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0B2260" w14:textId="77777777" w:rsidR="00764FB3" w:rsidRDefault="002D63BA">
      <w:pPr>
        <w:spacing w:after="160"/>
        <w:jc w:val="center"/>
        <w:rPr>
          <w:b/>
          <w:bCs/>
          <w:sz w:val="40"/>
          <w:szCs w:val="40"/>
        </w:rPr>
      </w:pPr>
      <w:r>
        <w:rPr>
          <w:b/>
          <w:bCs/>
          <w:noProof/>
          <w:sz w:val="40"/>
          <w:szCs w:val="40"/>
        </w:rPr>
        <w:drawing>
          <wp:inline distT="114300" distB="114300" distL="114300" distR="114300" wp14:anchorId="2969DB56" wp14:editId="5D102B90">
            <wp:extent cx="2762250" cy="11906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762250" cy="1190625"/>
                    </a:xfrm>
                    <a:prstGeom prst="rect">
                      <a:avLst/>
                    </a:prstGeom>
                    <a:ln/>
                  </pic:spPr>
                </pic:pic>
              </a:graphicData>
            </a:graphic>
          </wp:inline>
        </w:drawing>
      </w:r>
    </w:p>
    <w:p w14:paraId="7E327930" w14:textId="77777777" w:rsidR="00764FB3" w:rsidRDefault="00764FB3">
      <w:pPr>
        <w:spacing w:after="160"/>
        <w:jc w:val="center"/>
        <w:rPr>
          <w:b/>
          <w:bCs/>
          <w:sz w:val="40"/>
          <w:szCs w:val="40"/>
        </w:rPr>
      </w:pPr>
    </w:p>
    <w:p w14:paraId="71602F1B" w14:textId="77777777" w:rsidR="00764FB3" w:rsidRDefault="002D63BA">
      <w:pPr>
        <w:spacing w:after="160"/>
        <w:jc w:val="center"/>
        <w:rPr>
          <w:b/>
          <w:bCs/>
          <w:sz w:val="40"/>
          <w:szCs w:val="40"/>
        </w:rPr>
      </w:pPr>
      <w:r>
        <w:rPr>
          <w:b/>
          <w:bCs/>
          <w:sz w:val="40"/>
          <w:szCs w:val="40"/>
        </w:rPr>
        <w:t>Programme: BA (Hons) Leadership and Management Skills in the Workplace</w:t>
      </w:r>
    </w:p>
    <w:p w14:paraId="11FC04A4" w14:textId="77777777" w:rsidR="00764FB3" w:rsidRDefault="002D63BA">
      <w:pPr>
        <w:spacing w:after="160"/>
        <w:jc w:val="center"/>
        <w:rPr>
          <w:b/>
          <w:bCs/>
          <w:sz w:val="40"/>
          <w:szCs w:val="40"/>
        </w:rPr>
      </w:pPr>
      <w:r>
        <w:rPr>
          <w:b/>
          <w:bCs/>
          <w:sz w:val="40"/>
          <w:szCs w:val="40"/>
        </w:rPr>
        <w:t>Module: Project Management</w:t>
      </w:r>
    </w:p>
    <w:p w14:paraId="0C4AB55D" w14:textId="77777777" w:rsidR="00764FB3" w:rsidRDefault="002D63BA">
      <w:pPr>
        <w:spacing w:after="160"/>
        <w:jc w:val="center"/>
        <w:rPr>
          <w:b/>
          <w:bCs/>
          <w:sz w:val="40"/>
          <w:szCs w:val="40"/>
        </w:rPr>
      </w:pPr>
      <w:r>
        <w:rPr>
          <w:b/>
          <w:bCs/>
          <w:sz w:val="40"/>
          <w:szCs w:val="40"/>
        </w:rPr>
        <w:t>Module code: LCLM5003</w:t>
      </w:r>
    </w:p>
    <w:p w14:paraId="291C6397" w14:textId="77777777" w:rsidR="00764FB3" w:rsidRDefault="00764FB3">
      <w:pPr>
        <w:spacing w:after="160"/>
        <w:jc w:val="center"/>
        <w:rPr>
          <w:b/>
          <w:bCs/>
          <w:sz w:val="40"/>
          <w:szCs w:val="40"/>
        </w:rPr>
      </w:pPr>
    </w:p>
    <w:p w14:paraId="4125512D" w14:textId="77777777" w:rsidR="00764FB3" w:rsidRDefault="00764FB3">
      <w:pPr>
        <w:spacing w:after="160"/>
        <w:jc w:val="center"/>
        <w:rPr>
          <w:b/>
          <w:bCs/>
          <w:sz w:val="40"/>
          <w:szCs w:val="40"/>
        </w:rPr>
      </w:pPr>
    </w:p>
    <w:p w14:paraId="4FA80376" w14:textId="7CDB97D3" w:rsidR="00764FB3" w:rsidRDefault="002D63BA">
      <w:pPr>
        <w:spacing w:after="160"/>
        <w:jc w:val="center"/>
        <w:rPr>
          <w:b/>
          <w:bCs/>
          <w:i/>
          <w:iCs/>
          <w:sz w:val="36"/>
          <w:szCs w:val="36"/>
        </w:rPr>
      </w:pPr>
      <w:r>
        <w:rPr>
          <w:b/>
          <w:bCs/>
          <w:i/>
          <w:iCs/>
          <w:sz w:val="36"/>
          <w:szCs w:val="36"/>
        </w:rPr>
        <w:t>Student Name:</w:t>
      </w:r>
      <w:r w:rsidR="00AD29B1">
        <w:rPr>
          <w:b/>
          <w:bCs/>
          <w:i/>
          <w:iCs/>
          <w:sz w:val="36"/>
          <w:szCs w:val="36"/>
        </w:rPr>
        <w:t xml:space="preserve"> Malgorzata </w:t>
      </w:r>
      <w:proofErr w:type="spellStart"/>
      <w:r w:rsidR="00AD29B1">
        <w:rPr>
          <w:b/>
          <w:bCs/>
          <w:i/>
          <w:iCs/>
          <w:sz w:val="36"/>
          <w:szCs w:val="36"/>
        </w:rPr>
        <w:t>Dhouib</w:t>
      </w:r>
      <w:proofErr w:type="spellEnd"/>
    </w:p>
    <w:p w14:paraId="7B99B715" w14:textId="335BABB0" w:rsidR="00764FB3" w:rsidRDefault="002D63BA">
      <w:pPr>
        <w:spacing w:after="160"/>
        <w:jc w:val="center"/>
        <w:rPr>
          <w:b/>
          <w:bCs/>
          <w:i/>
          <w:iCs/>
          <w:sz w:val="36"/>
          <w:szCs w:val="36"/>
        </w:rPr>
      </w:pPr>
      <w:r>
        <w:rPr>
          <w:b/>
          <w:bCs/>
          <w:i/>
          <w:iCs/>
          <w:sz w:val="36"/>
          <w:szCs w:val="36"/>
        </w:rPr>
        <w:t>Student ID:</w:t>
      </w:r>
      <w:r w:rsidR="00AD29B1">
        <w:rPr>
          <w:b/>
          <w:bCs/>
          <w:i/>
          <w:iCs/>
          <w:sz w:val="36"/>
          <w:szCs w:val="36"/>
        </w:rPr>
        <w:t xml:space="preserve"> 2412522</w:t>
      </w:r>
    </w:p>
    <w:p w14:paraId="53118C13" w14:textId="77777777" w:rsidR="00764FB3" w:rsidRDefault="002D63BA">
      <w:pPr>
        <w:spacing w:after="160"/>
        <w:jc w:val="center"/>
        <w:rPr>
          <w:b/>
          <w:bCs/>
          <w:i/>
          <w:iCs/>
          <w:sz w:val="36"/>
          <w:szCs w:val="36"/>
        </w:rPr>
      </w:pPr>
      <w:r>
        <w:rPr>
          <w:b/>
          <w:bCs/>
          <w:i/>
          <w:iCs/>
          <w:sz w:val="36"/>
          <w:szCs w:val="36"/>
        </w:rPr>
        <w:t>Year: 2026</w:t>
      </w:r>
    </w:p>
    <w:p w14:paraId="6337A106" w14:textId="77777777" w:rsidR="00764FB3" w:rsidRDefault="00764FB3">
      <w:pPr>
        <w:spacing w:after="160"/>
        <w:jc w:val="center"/>
        <w:rPr>
          <w:b/>
          <w:bCs/>
          <w:sz w:val="40"/>
          <w:szCs w:val="40"/>
        </w:rPr>
      </w:pPr>
    </w:p>
    <w:p w14:paraId="68294123" w14:textId="77777777" w:rsidR="00764FB3" w:rsidRDefault="00764FB3">
      <w:pPr>
        <w:spacing w:after="160"/>
        <w:jc w:val="center"/>
        <w:rPr>
          <w:b/>
          <w:bCs/>
          <w:sz w:val="40"/>
          <w:szCs w:val="40"/>
        </w:rPr>
      </w:pPr>
    </w:p>
    <w:p w14:paraId="11B4D361" w14:textId="77777777" w:rsidR="00764FB3" w:rsidRDefault="002D63BA">
      <w:pPr>
        <w:spacing w:after="160"/>
        <w:jc w:val="center"/>
        <w:rPr>
          <w:b/>
          <w:bCs/>
          <w:sz w:val="40"/>
          <w:szCs w:val="40"/>
        </w:rPr>
      </w:pPr>
      <w:r>
        <w:br w:type="page"/>
      </w:r>
    </w:p>
    <w:bookmarkStart w:id="0" w:name="_heading=h.l2duvib7bh8h" w:colFirst="0" w:colLast="0" w:displacedByCustomXml="next"/>
    <w:bookmarkEnd w:id="0" w:displacedByCustomXml="next"/>
    <w:sdt>
      <w:sdtPr>
        <w:rPr>
          <w:rFonts w:ascii="Times New Roman" w:eastAsia="Times New Roman" w:hAnsi="Times New Roman" w:cs="Times New Roman"/>
          <w:b w:val="0"/>
          <w:bCs w:val="0"/>
          <w:color w:val="auto"/>
          <w:sz w:val="24"/>
          <w:szCs w:val="24"/>
          <w:lang w:val="en-IN" w:eastAsia="en-IN"/>
        </w:rPr>
        <w:id w:val="-1964802857"/>
        <w:docPartObj>
          <w:docPartGallery w:val="Table of Contents"/>
          <w:docPartUnique/>
        </w:docPartObj>
      </w:sdtPr>
      <w:sdtEndPr>
        <w:rPr>
          <w:noProof/>
        </w:rPr>
      </w:sdtEndPr>
      <w:sdtContent>
        <w:p w14:paraId="611DE6C9" w14:textId="77777777" w:rsidR="00212BB9" w:rsidRPr="00212BB9" w:rsidRDefault="00212BB9" w:rsidP="00212BB9">
          <w:pPr>
            <w:pStyle w:val="TOCHeading"/>
            <w:jc w:val="center"/>
            <w:rPr>
              <w:rFonts w:ascii="Times New Roman" w:hAnsi="Times New Roman" w:cs="Times New Roman"/>
              <w:color w:val="000000" w:themeColor="text1"/>
            </w:rPr>
          </w:pPr>
          <w:r w:rsidRPr="00212BB9">
            <w:rPr>
              <w:rFonts w:ascii="Times New Roman" w:hAnsi="Times New Roman" w:cs="Times New Roman"/>
              <w:color w:val="000000" w:themeColor="text1"/>
            </w:rPr>
            <w:t>Table of Contents</w:t>
          </w:r>
        </w:p>
        <w:p w14:paraId="532B8FD9" w14:textId="77777777" w:rsidR="00212BB9" w:rsidRDefault="00212BB9">
          <w:pPr>
            <w:pStyle w:val="TOC1"/>
            <w:tabs>
              <w:tab w:val="right" w:leader="dot" w:pos="9019"/>
            </w:tabs>
            <w:rPr>
              <w:rFonts w:asciiTheme="minorHAnsi" w:eastAsiaTheme="minorEastAsia" w:hAnsiTheme="minorHAnsi" w:cstheme="minorBidi"/>
              <w:noProof/>
              <w:sz w:val="22"/>
              <w:szCs w:val="22"/>
              <w:highlight w:val="none"/>
            </w:rPr>
          </w:pPr>
          <w:r>
            <w:fldChar w:fldCharType="begin"/>
          </w:r>
          <w:r>
            <w:instrText xml:space="preserve"> TOC \o "1-3" \h \z \u </w:instrText>
          </w:r>
          <w:r>
            <w:fldChar w:fldCharType="separate"/>
          </w:r>
          <w:hyperlink w:anchor="_Toc224061512" w:history="1">
            <w:r w:rsidRPr="00964A4C">
              <w:rPr>
                <w:rStyle w:val="Hyperlink"/>
                <w:noProof/>
              </w:rPr>
              <w:t>Part A- Project proposal poster</w:t>
            </w:r>
            <w:r>
              <w:rPr>
                <w:noProof/>
                <w:webHidden/>
              </w:rPr>
              <w:tab/>
            </w:r>
            <w:r>
              <w:rPr>
                <w:noProof/>
                <w:webHidden/>
              </w:rPr>
              <w:fldChar w:fldCharType="begin"/>
            </w:r>
            <w:r>
              <w:rPr>
                <w:noProof/>
                <w:webHidden/>
              </w:rPr>
              <w:instrText xml:space="preserve"> PAGEREF _Toc224061512 \h </w:instrText>
            </w:r>
            <w:r>
              <w:rPr>
                <w:noProof/>
                <w:webHidden/>
              </w:rPr>
            </w:r>
            <w:r>
              <w:rPr>
                <w:noProof/>
                <w:webHidden/>
              </w:rPr>
              <w:fldChar w:fldCharType="separate"/>
            </w:r>
            <w:r>
              <w:rPr>
                <w:noProof/>
                <w:webHidden/>
              </w:rPr>
              <w:t>2</w:t>
            </w:r>
            <w:r>
              <w:rPr>
                <w:noProof/>
                <w:webHidden/>
              </w:rPr>
              <w:fldChar w:fldCharType="end"/>
            </w:r>
          </w:hyperlink>
        </w:p>
        <w:p w14:paraId="493A6813" w14:textId="77777777" w:rsidR="00212BB9" w:rsidRDefault="00212BB9">
          <w:pPr>
            <w:pStyle w:val="TOC1"/>
            <w:tabs>
              <w:tab w:val="right" w:leader="dot" w:pos="9019"/>
            </w:tabs>
            <w:rPr>
              <w:rFonts w:asciiTheme="minorHAnsi" w:eastAsiaTheme="minorEastAsia" w:hAnsiTheme="minorHAnsi" w:cstheme="minorBidi"/>
              <w:noProof/>
              <w:sz w:val="22"/>
              <w:szCs w:val="22"/>
              <w:highlight w:val="none"/>
            </w:rPr>
          </w:pPr>
          <w:hyperlink w:anchor="_Toc224061513" w:history="1">
            <w:r w:rsidRPr="00964A4C">
              <w:rPr>
                <w:rStyle w:val="Hyperlink"/>
                <w:noProof/>
              </w:rPr>
              <w:t>Part B – Reflection on Feedback from Tutor and Peers</w:t>
            </w:r>
            <w:r>
              <w:rPr>
                <w:noProof/>
                <w:webHidden/>
              </w:rPr>
              <w:tab/>
            </w:r>
            <w:r>
              <w:rPr>
                <w:noProof/>
                <w:webHidden/>
              </w:rPr>
              <w:fldChar w:fldCharType="begin"/>
            </w:r>
            <w:r>
              <w:rPr>
                <w:noProof/>
                <w:webHidden/>
              </w:rPr>
              <w:instrText xml:space="preserve"> PAGEREF _Toc224061513 \h </w:instrText>
            </w:r>
            <w:r>
              <w:rPr>
                <w:noProof/>
                <w:webHidden/>
              </w:rPr>
            </w:r>
            <w:r>
              <w:rPr>
                <w:noProof/>
                <w:webHidden/>
              </w:rPr>
              <w:fldChar w:fldCharType="separate"/>
            </w:r>
            <w:r>
              <w:rPr>
                <w:noProof/>
                <w:webHidden/>
              </w:rPr>
              <w:t>2</w:t>
            </w:r>
            <w:r>
              <w:rPr>
                <w:noProof/>
                <w:webHidden/>
              </w:rPr>
              <w:fldChar w:fldCharType="end"/>
            </w:r>
          </w:hyperlink>
        </w:p>
        <w:p w14:paraId="60B77E7C" w14:textId="77777777" w:rsidR="00212BB9" w:rsidRDefault="00212BB9">
          <w:pPr>
            <w:pStyle w:val="TOC1"/>
            <w:tabs>
              <w:tab w:val="right" w:leader="dot" w:pos="9019"/>
            </w:tabs>
            <w:rPr>
              <w:rFonts w:asciiTheme="minorHAnsi" w:eastAsiaTheme="minorEastAsia" w:hAnsiTheme="minorHAnsi" w:cstheme="minorBidi"/>
              <w:noProof/>
              <w:sz w:val="22"/>
              <w:szCs w:val="22"/>
              <w:highlight w:val="none"/>
            </w:rPr>
          </w:pPr>
          <w:hyperlink w:anchor="_Toc224061514" w:history="1">
            <w:r w:rsidRPr="00964A4C">
              <w:rPr>
                <w:rStyle w:val="Hyperlink"/>
                <w:noProof/>
              </w:rPr>
              <w:t>Part C: Project Management Plan</w:t>
            </w:r>
            <w:r>
              <w:rPr>
                <w:noProof/>
                <w:webHidden/>
              </w:rPr>
              <w:tab/>
            </w:r>
            <w:r>
              <w:rPr>
                <w:noProof/>
                <w:webHidden/>
              </w:rPr>
              <w:fldChar w:fldCharType="begin"/>
            </w:r>
            <w:r>
              <w:rPr>
                <w:noProof/>
                <w:webHidden/>
              </w:rPr>
              <w:instrText xml:space="preserve"> PAGEREF _Toc224061514 \h </w:instrText>
            </w:r>
            <w:r>
              <w:rPr>
                <w:noProof/>
                <w:webHidden/>
              </w:rPr>
            </w:r>
            <w:r>
              <w:rPr>
                <w:noProof/>
                <w:webHidden/>
              </w:rPr>
              <w:fldChar w:fldCharType="separate"/>
            </w:r>
            <w:r>
              <w:rPr>
                <w:noProof/>
                <w:webHidden/>
              </w:rPr>
              <w:t>4</w:t>
            </w:r>
            <w:r>
              <w:rPr>
                <w:noProof/>
                <w:webHidden/>
              </w:rPr>
              <w:fldChar w:fldCharType="end"/>
            </w:r>
          </w:hyperlink>
        </w:p>
        <w:p w14:paraId="7A7C563A" w14:textId="77777777" w:rsidR="00212BB9" w:rsidRDefault="00212BB9">
          <w:pPr>
            <w:pStyle w:val="TOC2"/>
            <w:tabs>
              <w:tab w:val="right" w:leader="dot" w:pos="9019"/>
            </w:tabs>
            <w:rPr>
              <w:rFonts w:asciiTheme="minorHAnsi" w:eastAsiaTheme="minorEastAsia" w:hAnsiTheme="minorHAnsi" w:cstheme="minorBidi"/>
              <w:noProof/>
              <w:sz w:val="22"/>
              <w:szCs w:val="22"/>
              <w:highlight w:val="none"/>
            </w:rPr>
          </w:pPr>
          <w:hyperlink w:anchor="_Toc224061515" w:history="1">
            <w:r w:rsidRPr="00964A4C">
              <w:rPr>
                <w:rStyle w:val="Hyperlink"/>
                <w:noProof/>
              </w:rPr>
              <w:t>1. Introduction</w:t>
            </w:r>
            <w:r>
              <w:rPr>
                <w:noProof/>
                <w:webHidden/>
              </w:rPr>
              <w:tab/>
            </w:r>
            <w:r>
              <w:rPr>
                <w:noProof/>
                <w:webHidden/>
              </w:rPr>
              <w:fldChar w:fldCharType="begin"/>
            </w:r>
            <w:r>
              <w:rPr>
                <w:noProof/>
                <w:webHidden/>
              </w:rPr>
              <w:instrText xml:space="preserve"> PAGEREF _Toc224061515 \h </w:instrText>
            </w:r>
            <w:r>
              <w:rPr>
                <w:noProof/>
                <w:webHidden/>
              </w:rPr>
            </w:r>
            <w:r>
              <w:rPr>
                <w:noProof/>
                <w:webHidden/>
              </w:rPr>
              <w:fldChar w:fldCharType="separate"/>
            </w:r>
            <w:r>
              <w:rPr>
                <w:noProof/>
                <w:webHidden/>
              </w:rPr>
              <w:t>4</w:t>
            </w:r>
            <w:r>
              <w:rPr>
                <w:noProof/>
                <w:webHidden/>
              </w:rPr>
              <w:fldChar w:fldCharType="end"/>
            </w:r>
          </w:hyperlink>
        </w:p>
        <w:p w14:paraId="0F04E097" w14:textId="77777777" w:rsidR="00212BB9" w:rsidRDefault="00212BB9">
          <w:pPr>
            <w:pStyle w:val="TOC2"/>
            <w:tabs>
              <w:tab w:val="right" w:leader="dot" w:pos="9019"/>
            </w:tabs>
            <w:rPr>
              <w:rFonts w:asciiTheme="minorHAnsi" w:eastAsiaTheme="minorEastAsia" w:hAnsiTheme="minorHAnsi" w:cstheme="minorBidi"/>
              <w:noProof/>
              <w:sz w:val="22"/>
              <w:szCs w:val="22"/>
              <w:highlight w:val="none"/>
            </w:rPr>
          </w:pPr>
          <w:hyperlink w:anchor="_Toc224061516" w:history="1">
            <w:r w:rsidRPr="00964A4C">
              <w:rPr>
                <w:rStyle w:val="Hyperlink"/>
                <w:noProof/>
              </w:rPr>
              <w:t>2. Project Description</w:t>
            </w:r>
            <w:r>
              <w:rPr>
                <w:noProof/>
                <w:webHidden/>
              </w:rPr>
              <w:tab/>
            </w:r>
            <w:r>
              <w:rPr>
                <w:noProof/>
                <w:webHidden/>
              </w:rPr>
              <w:fldChar w:fldCharType="begin"/>
            </w:r>
            <w:r>
              <w:rPr>
                <w:noProof/>
                <w:webHidden/>
              </w:rPr>
              <w:instrText xml:space="preserve"> PAGEREF _Toc224061516 \h </w:instrText>
            </w:r>
            <w:r>
              <w:rPr>
                <w:noProof/>
                <w:webHidden/>
              </w:rPr>
            </w:r>
            <w:r>
              <w:rPr>
                <w:noProof/>
                <w:webHidden/>
              </w:rPr>
              <w:fldChar w:fldCharType="separate"/>
            </w:r>
            <w:r>
              <w:rPr>
                <w:noProof/>
                <w:webHidden/>
              </w:rPr>
              <w:t>4</w:t>
            </w:r>
            <w:r>
              <w:rPr>
                <w:noProof/>
                <w:webHidden/>
              </w:rPr>
              <w:fldChar w:fldCharType="end"/>
            </w:r>
          </w:hyperlink>
        </w:p>
        <w:p w14:paraId="4928BB86" w14:textId="77777777" w:rsidR="00212BB9" w:rsidRDefault="00212BB9">
          <w:pPr>
            <w:pStyle w:val="TOC2"/>
            <w:tabs>
              <w:tab w:val="right" w:leader="dot" w:pos="9019"/>
            </w:tabs>
            <w:rPr>
              <w:rFonts w:asciiTheme="minorHAnsi" w:eastAsiaTheme="minorEastAsia" w:hAnsiTheme="minorHAnsi" w:cstheme="minorBidi"/>
              <w:noProof/>
              <w:sz w:val="22"/>
              <w:szCs w:val="22"/>
              <w:highlight w:val="none"/>
            </w:rPr>
          </w:pPr>
          <w:hyperlink w:anchor="_Toc224061517" w:history="1">
            <w:r w:rsidRPr="00964A4C">
              <w:rPr>
                <w:rStyle w:val="Hyperlink"/>
                <w:noProof/>
              </w:rPr>
              <w:t>3. Project Scope</w:t>
            </w:r>
            <w:r>
              <w:rPr>
                <w:noProof/>
                <w:webHidden/>
              </w:rPr>
              <w:tab/>
            </w:r>
            <w:r>
              <w:rPr>
                <w:noProof/>
                <w:webHidden/>
              </w:rPr>
              <w:fldChar w:fldCharType="begin"/>
            </w:r>
            <w:r>
              <w:rPr>
                <w:noProof/>
                <w:webHidden/>
              </w:rPr>
              <w:instrText xml:space="preserve"> PAGEREF _Toc224061517 \h </w:instrText>
            </w:r>
            <w:r>
              <w:rPr>
                <w:noProof/>
                <w:webHidden/>
              </w:rPr>
            </w:r>
            <w:r>
              <w:rPr>
                <w:noProof/>
                <w:webHidden/>
              </w:rPr>
              <w:fldChar w:fldCharType="separate"/>
            </w:r>
            <w:r>
              <w:rPr>
                <w:noProof/>
                <w:webHidden/>
              </w:rPr>
              <w:t>5</w:t>
            </w:r>
            <w:r>
              <w:rPr>
                <w:noProof/>
                <w:webHidden/>
              </w:rPr>
              <w:fldChar w:fldCharType="end"/>
            </w:r>
          </w:hyperlink>
        </w:p>
        <w:p w14:paraId="3AAEE623" w14:textId="77777777" w:rsidR="00212BB9" w:rsidRDefault="00212BB9">
          <w:pPr>
            <w:pStyle w:val="TOC2"/>
            <w:tabs>
              <w:tab w:val="right" w:leader="dot" w:pos="9019"/>
            </w:tabs>
            <w:rPr>
              <w:rFonts w:asciiTheme="minorHAnsi" w:eastAsiaTheme="minorEastAsia" w:hAnsiTheme="minorHAnsi" w:cstheme="minorBidi"/>
              <w:noProof/>
              <w:sz w:val="22"/>
              <w:szCs w:val="22"/>
              <w:highlight w:val="none"/>
            </w:rPr>
          </w:pPr>
          <w:hyperlink w:anchor="_Toc224061518" w:history="1">
            <w:r w:rsidRPr="00964A4C">
              <w:rPr>
                <w:rStyle w:val="Hyperlink"/>
                <w:noProof/>
              </w:rPr>
              <w:t>4. Work Breakdown Structure (WBS)</w:t>
            </w:r>
            <w:r>
              <w:rPr>
                <w:noProof/>
                <w:webHidden/>
              </w:rPr>
              <w:tab/>
            </w:r>
            <w:r>
              <w:rPr>
                <w:noProof/>
                <w:webHidden/>
              </w:rPr>
              <w:fldChar w:fldCharType="begin"/>
            </w:r>
            <w:r>
              <w:rPr>
                <w:noProof/>
                <w:webHidden/>
              </w:rPr>
              <w:instrText xml:space="preserve"> PAGEREF _Toc224061518 \h </w:instrText>
            </w:r>
            <w:r>
              <w:rPr>
                <w:noProof/>
                <w:webHidden/>
              </w:rPr>
            </w:r>
            <w:r>
              <w:rPr>
                <w:noProof/>
                <w:webHidden/>
              </w:rPr>
              <w:fldChar w:fldCharType="separate"/>
            </w:r>
            <w:r>
              <w:rPr>
                <w:noProof/>
                <w:webHidden/>
              </w:rPr>
              <w:t>6</w:t>
            </w:r>
            <w:r>
              <w:rPr>
                <w:noProof/>
                <w:webHidden/>
              </w:rPr>
              <w:fldChar w:fldCharType="end"/>
            </w:r>
          </w:hyperlink>
        </w:p>
        <w:p w14:paraId="62BF9A1D" w14:textId="77777777" w:rsidR="00212BB9" w:rsidRDefault="00212BB9">
          <w:pPr>
            <w:pStyle w:val="TOC2"/>
            <w:tabs>
              <w:tab w:val="right" w:leader="dot" w:pos="9019"/>
            </w:tabs>
            <w:rPr>
              <w:rFonts w:asciiTheme="minorHAnsi" w:eastAsiaTheme="minorEastAsia" w:hAnsiTheme="minorHAnsi" w:cstheme="minorBidi"/>
              <w:noProof/>
              <w:sz w:val="22"/>
              <w:szCs w:val="22"/>
              <w:highlight w:val="none"/>
            </w:rPr>
          </w:pPr>
          <w:hyperlink w:anchor="_Toc224061519" w:history="1">
            <w:r w:rsidRPr="00964A4C">
              <w:rPr>
                <w:rStyle w:val="Hyperlink"/>
                <w:noProof/>
              </w:rPr>
              <w:t>5. Quad Chart</w:t>
            </w:r>
            <w:r>
              <w:rPr>
                <w:noProof/>
                <w:webHidden/>
              </w:rPr>
              <w:tab/>
            </w:r>
            <w:r>
              <w:rPr>
                <w:noProof/>
                <w:webHidden/>
              </w:rPr>
              <w:fldChar w:fldCharType="begin"/>
            </w:r>
            <w:r>
              <w:rPr>
                <w:noProof/>
                <w:webHidden/>
              </w:rPr>
              <w:instrText xml:space="preserve"> PAGEREF _Toc224061519 \h </w:instrText>
            </w:r>
            <w:r>
              <w:rPr>
                <w:noProof/>
                <w:webHidden/>
              </w:rPr>
            </w:r>
            <w:r>
              <w:rPr>
                <w:noProof/>
                <w:webHidden/>
              </w:rPr>
              <w:fldChar w:fldCharType="separate"/>
            </w:r>
            <w:r>
              <w:rPr>
                <w:noProof/>
                <w:webHidden/>
              </w:rPr>
              <w:t>7</w:t>
            </w:r>
            <w:r>
              <w:rPr>
                <w:noProof/>
                <w:webHidden/>
              </w:rPr>
              <w:fldChar w:fldCharType="end"/>
            </w:r>
          </w:hyperlink>
        </w:p>
        <w:p w14:paraId="6B883CB9" w14:textId="77777777" w:rsidR="00212BB9" w:rsidRDefault="00212BB9">
          <w:pPr>
            <w:pStyle w:val="TOC2"/>
            <w:tabs>
              <w:tab w:val="right" w:leader="dot" w:pos="9019"/>
            </w:tabs>
            <w:rPr>
              <w:rFonts w:asciiTheme="minorHAnsi" w:eastAsiaTheme="minorEastAsia" w:hAnsiTheme="minorHAnsi" w:cstheme="minorBidi"/>
              <w:noProof/>
              <w:sz w:val="22"/>
              <w:szCs w:val="22"/>
              <w:highlight w:val="none"/>
            </w:rPr>
          </w:pPr>
          <w:hyperlink w:anchor="_Toc224061520" w:history="1">
            <w:r w:rsidRPr="00964A4C">
              <w:rPr>
                <w:rStyle w:val="Hyperlink"/>
                <w:noProof/>
              </w:rPr>
              <w:t>8. Allocation of Resources</w:t>
            </w:r>
            <w:r>
              <w:rPr>
                <w:noProof/>
                <w:webHidden/>
              </w:rPr>
              <w:tab/>
            </w:r>
            <w:r>
              <w:rPr>
                <w:noProof/>
                <w:webHidden/>
              </w:rPr>
              <w:fldChar w:fldCharType="begin"/>
            </w:r>
            <w:r>
              <w:rPr>
                <w:noProof/>
                <w:webHidden/>
              </w:rPr>
              <w:instrText xml:space="preserve"> PAGEREF _Toc224061520 \h </w:instrText>
            </w:r>
            <w:r>
              <w:rPr>
                <w:noProof/>
                <w:webHidden/>
              </w:rPr>
            </w:r>
            <w:r>
              <w:rPr>
                <w:noProof/>
                <w:webHidden/>
              </w:rPr>
              <w:fldChar w:fldCharType="separate"/>
            </w:r>
            <w:r>
              <w:rPr>
                <w:noProof/>
                <w:webHidden/>
              </w:rPr>
              <w:t>11</w:t>
            </w:r>
            <w:r>
              <w:rPr>
                <w:noProof/>
                <w:webHidden/>
              </w:rPr>
              <w:fldChar w:fldCharType="end"/>
            </w:r>
          </w:hyperlink>
        </w:p>
        <w:p w14:paraId="648E7E84" w14:textId="77777777" w:rsidR="00212BB9" w:rsidRDefault="00212BB9">
          <w:pPr>
            <w:pStyle w:val="TOC2"/>
            <w:tabs>
              <w:tab w:val="right" w:leader="dot" w:pos="9019"/>
            </w:tabs>
            <w:rPr>
              <w:rFonts w:asciiTheme="minorHAnsi" w:eastAsiaTheme="minorEastAsia" w:hAnsiTheme="minorHAnsi" w:cstheme="minorBidi"/>
              <w:noProof/>
              <w:sz w:val="22"/>
              <w:szCs w:val="22"/>
              <w:highlight w:val="none"/>
            </w:rPr>
          </w:pPr>
          <w:hyperlink w:anchor="_Toc224061521" w:history="1">
            <w:r w:rsidRPr="00964A4C">
              <w:rPr>
                <w:rStyle w:val="Hyperlink"/>
                <w:noProof/>
              </w:rPr>
              <w:t>9. Risk Analysis</w:t>
            </w:r>
            <w:r>
              <w:rPr>
                <w:noProof/>
                <w:webHidden/>
              </w:rPr>
              <w:tab/>
            </w:r>
            <w:r>
              <w:rPr>
                <w:noProof/>
                <w:webHidden/>
              </w:rPr>
              <w:fldChar w:fldCharType="begin"/>
            </w:r>
            <w:r>
              <w:rPr>
                <w:noProof/>
                <w:webHidden/>
              </w:rPr>
              <w:instrText xml:space="preserve"> PAGEREF _Toc224061521 \h </w:instrText>
            </w:r>
            <w:r>
              <w:rPr>
                <w:noProof/>
                <w:webHidden/>
              </w:rPr>
            </w:r>
            <w:r>
              <w:rPr>
                <w:noProof/>
                <w:webHidden/>
              </w:rPr>
              <w:fldChar w:fldCharType="separate"/>
            </w:r>
            <w:r>
              <w:rPr>
                <w:noProof/>
                <w:webHidden/>
              </w:rPr>
              <w:t>12</w:t>
            </w:r>
            <w:r>
              <w:rPr>
                <w:noProof/>
                <w:webHidden/>
              </w:rPr>
              <w:fldChar w:fldCharType="end"/>
            </w:r>
          </w:hyperlink>
        </w:p>
        <w:p w14:paraId="49986ACA" w14:textId="77777777" w:rsidR="00212BB9" w:rsidRDefault="00212BB9">
          <w:pPr>
            <w:pStyle w:val="TOC1"/>
            <w:tabs>
              <w:tab w:val="right" w:leader="dot" w:pos="9019"/>
            </w:tabs>
            <w:rPr>
              <w:rFonts w:asciiTheme="minorHAnsi" w:eastAsiaTheme="minorEastAsia" w:hAnsiTheme="minorHAnsi" w:cstheme="minorBidi"/>
              <w:noProof/>
              <w:sz w:val="22"/>
              <w:szCs w:val="22"/>
              <w:highlight w:val="none"/>
            </w:rPr>
          </w:pPr>
          <w:hyperlink w:anchor="_Toc224061522" w:history="1">
            <w:r w:rsidRPr="00964A4C">
              <w:rPr>
                <w:rStyle w:val="Hyperlink"/>
                <w:noProof/>
              </w:rPr>
              <w:t>10. Conclusion</w:t>
            </w:r>
            <w:r>
              <w:rPr>
                <w:noProof/>
                <w:webHidden/>
              </w:rPr>
              <w:tab/>
            </w:r>
            <w:r>
              <w:rPr>
                <w:noProof/>
                <w:webHidden/>
              </w:rPr>
              <w:fldChar w:fldCharType="begin"/>
            </w:r>
            <w:r>
              <w:rPr>
                <w:noProof/>
                <w:webHidden/>
              </w:rPr>
              <w:instrText xml:space="preserve"> PAGEREF _Toc224061522 \h </w:instrText>
            </w:r>
            <w:r>
              <w:rPr>
                <w:noProof/>
                <w:webHidden/>
              </w:rPr>
            </w:r>
            <w:r>
              <w:rPr>
                <w:noProof/>
                <w:webHidden/>
              </w:rPr>
              <w:fldChar w:fldCharType="separate"/>
            </w:r>
            <w:r>
              <w:rPr>
                <w:noProof/>
                <w:webHidden/>
              </w:rPr>
              <w:t>13</w:t>
            </w:r>
            <w:r>
              <w:rPr>
                <w:noProof/>
                <w:webHidden/>
              </w:rPr>
              <w:fldChar w:fldCharType="end"/>
            </w:r>
          </w:hyperlink>
        </w:p>
        <w:p w14:paraId="7745A33E" w14:textId="77777777" w:rsidR="00212BB9" w:rsidRDefault="00212BB9">
          <w:pPr>
            <w:pStyle w:val="TOC1"/>
            <w:tabs>
              <w:tab w:val="right" w:leader="dot" w:pos="9019"/>
            </w:tabs>
            <w:rPr>
              <w:rFonts w:asciiTheme="minorHAnsi" w:eastAsiaTheme="minorEastAsia" w:hAnsiTheme="minorHAnsi" w:cstheme="minorBidi"/>
              <w:noProof/>
              <w:sz w:val="22"/>
              <w:szCs w:val="22"/>
              <w:highlight w:val="none"/>
            </w:rPr>
          </w:pPr>
          <w:hyperlink w:anchor="_Toc224061523" w:history="1">
            <w:r w:rsidRPr="00964A4C">
              <w:rPr>
                <w:rStyle w:val="Hyperlink"/>
                <w:noProof/>
              </w:rPr>
              <w:t>Reference List</w:t>
            </w:r>
            <w:r>
              <w:rPr>
                <w:noProof/>
                <w:webHidden/>
              </w:rPr>
              <w:tab/>
            </w:r>
            <w:r>
              <w:rPr>
                <w:noProof/>
                <w:webHidden/>
              </w:rPr>
              <w:fldChar w:fldCharType="begin"/>
            </w:r>
            <w:r>
              <w:rPr>
                <w:noProof/>
                <w:webHidden/>
              </w:rPr>
              <w:instrText xml:space="preserve"> PAGEREF _Toc224061523 \h </w:instrText>
            </w:r>
            <w:r>
              <w:rPr>
                <w:noProof/>
                <w:webHidden/>
              </w:rPr>
            </w:r>
            <w:r>
              <w:rPr>
                <w:noProof/>
                <w:webHidden/>
              </w:rPr>
              <w:fldChar w:fldCharType="separate"/>
            </w:r>
            <w:r>
              <w:rPr>
                <w:noProof/>
                <w:webHidden/>
              </w:rPr>
              <w:t>14</w:t>
            </w:r>
            <w:r>
              <w:rPr>
                <w:noProof/>
                <w:webHidden/>
              </w:rPr>
              <w:fldChar w:fldCharType="end"/>
            </w:r>
          </w:hyperlink>
        </w:p>
        <w:p w14:paraId="459475E3" w14:textId="77777777" w:rsidR="00212BB9" w:rsidRDefault="00212BB9">
          <w:r>
            <w:rPr>
              <w:b/>
              <w:bCs/>
              <w:noProof/>
            </w:rPr>
            <w:fldChar w:fldCharType="end"/>
          </w:r>
        </w:p>
      </w:sdtContent>
    </w:sdt>
    <w:p w14:paraId="6B7B62C0" w14:textId="77777777" w:rsidR="00212BB9" w:rsidRDefault="00212BB9">
      <w:pPr>
        <w:rPr>
          <w:b/>
          <w:bCs/>
          <w:sz w:val="28"/>
          <w:szCs w:val="28"/>
        </w:rPr>
      </w:pPr>
      <w:bookmarkStart w:id="1" w:name="_Toc224061512"/>
      <w:r>
        <w:br w:type="page"/>
      </w:r>
    </w:p>
    <w:p w14:paraId="77883F0E" w14:textId="77777777" w:rsidR="00764FB3" w:rsidRDefault="002D63BA">
      <w:pPr>
        <w:pStyle w:val="Heading1"/>
        <w:spacing w:after="160"/>
      </w:pPr>
      <w:r>
        <w:lastRenderedPageBreak/>
        <w:t>Part A- Project proposal poster</w:t>
      </w:r>
      <w:bookmarkEnd w:id="1"/>
    </w:p>
    <w:p w14:paraId="40E7FE16" w14:textId="77777777" w:rsidR="00764FB3" w:rsidRDefault="002D63BA">
      <w:pPr>
        <w:spacing w:after="160"/>
      </w:pPr>
      <w:r>
        <w:rPr>
          <w:noProof/>
        </w:rPr>
        <w:drawing>
          <wp:inline distT="114300" distB="114300" distL="114300" distR="114300" wp14:anchorId="50640B6D" wp14:editId="291745D1">
            <wp:extent cx="5731200" cy="42418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4241800"/>
                    </a:xfrm>
                    <a:prstGeom prst="rect">
                      <a:avLst/>
                    </a:prstGeom>
                    <a:ln w="25400">
                      <a:solidFill>
                        <a:srgbClr val="000000"/>
                      </a:solidFill>
                      <a:prstDash val="solid"/>
                    </a:ln>
                  </pic:spPr>
                </pic:pic>
              </a:graphicData>
            </a:graphic>
          </wp:inline>
        </w:drawing>
      </w:r>
    </w:p>
    <w:p w14:paraId="1F0B7187" w14:textId="77777777" w:rsidR="00764FB3" w:rsidRDefault="00764FB3">
      <w:pPr>
        <w:spacing w:after="160"/>
      </w:pPr>
    </w:p>
    <w:p w14:paraId="150F123A" w14:textId="77777777" w:rsidR="00764FB3" w:rsidRDefault="002D63BA">
      <w:pPr>
        <w:pStyle w:val="Heading1"/>
        <w:spacing w:before="240" w:after="240"/>
      </w:pPr>
      <w:bookmarkStart w:id="2" w:name="_heading=h.id39g75ta85t" w:colFirst="0" w:colLast="0"/>
      <w:bookmarkStart w:id="3" w:name="_Toc224061513"/>
      <w:bookmarkEnd w:id="2"/>
      <w:r>
        <w:t>Part B – Reflection on Feedback from Tutor and Peers</w:t>
      </w:r>
      <w:bookmarkEnd w:id="3"/>
      <w:r>
        <w:t xml:space="preserve"> </w:t>
      </w:r>
    </w:p>
    <w:p w14:paraId="7E3AE7CD" w14:textId="1C4F7010" w:rsidR="00764FB3" w:rsidRDefault="002D63BA">
      <w:pPr>
        <w:spacing w:before="240" w:after="240"/>
      </w:pPr>
      <w:r>
        <w:t xml:space="preserve">Since I had prepared my project proposal poster on the construction of a transport corridor and made it flood-resistant in the West Midlands, I was able to receive feedback from not only my tutor but also classmates. Reflecting on their remarks helped me to provide a critical evaluation of the merits of my work, not to mention that I could also determine the areas where improvements should be made. The reflection has also led me to understand how the project can be further developed into an ultimate project management plan. My proposal did well </w:t>
      </w:r>
      <w:proofErr w:type="gramStart"/>
      <w:r>
        <w:t>in the area of</w:t>
      </w:r>
      <w:proofErr w:type="gramEnd"/>
      <w:r>
        <w:t xml:space="preserve"> clarity of the project idea. My tutor and peers indicated that it was noted that the issue that was identified in the scenario was well spelt and it directly pertained to the solution that was </w:t>
      </w:r>
      <w:r w:rsidR="00763E6B">
        <w:t xml:space="preserve">offered. In my project , some words and abbreviations were used from internet, and it was my fault for not checking the meaning of the PMI – Project Management Institute I used when creating my poster. Now I will never forget its meaning, but I also remember that anything I don’t understand should be checked, </w:t>
      </w:r>
      <w:r w:rsidR="00397571">
        <w:t>the</w:t>
      </w:r>
      <w:r w:rsidR="00763E6B">
        <w:t xml:space="preserve"> poster was missing any </w:t>
      </w:r>
      <w:r w:rsidR="00763E6B">
        <w:lastRenderedPageBreak/>
        <w:t xml:space="preserve">important </w:t>
      </w:r>
      <w:r w:rsidR="00397571">
        <w:t>details</w:t>
      </w:r>
      <w:r w:rsidR="00763E6B">
        <w:t xml:space="preserve"> </w:t>
      </w:r>
      <w:r w:rsidR="00397571">
        <w:t>.</w:t>
      </w:r>
      <w:r>
        <w:t>My attention was given to the repair of one of the transport corridors that had suffered significantly as a result of the River Severn floods. Reflectively, I know that the audience was taken through the knowledge of the relevance of the project when I said a brief problem and a viable solution. One more thing that I would like to mention is that the purpose of the project was communicated in the form of presenting the project's aim and objectives in a structured form. The feedback determined that it was possible to meet the project objective that would be reflective of the situation because restoration of transportation infrastructure is significant in the revival of communities in the aftermath of a natural disaster scenario.</w:t>
      </w:r>
    </w:p>
    <w:p w14:paraId="34DB8E2C" w14:textId="291E2AF3" w:rsidR="00764FB3" w:rsidRDefault="002D63BA">
      <w:pPr>
        <w:spacing w:before="240" w:after="240"/>
      </w:pPr>
      <w:r>
        <w:t xml:space="preserve">Another positive point that was reported in the feedback was the stakeholders''' identification. The key stakeholders that I have also incorporated in the project are the local councils, emergency services, the Environment Agency, construction contractors and the local communities. </w:t>
      </w:r>
      <w:proofErr w:type="gramStart"/>
      <w:r>
        <w:t>With this in mind, I</w:t>
      </w:r>
      <w:proofErr w:type="gramEnd"/>
      <w:r>
        <w:t xml:space="preserve"> understand that identification of various stakeholder groups forms one of the main project management elements, especially in infrastructure projects which are likely to affect different communities. My peers observed that this indicated the actualisation of the collaborative element of disaster recovery projects. In addition, the focus on the creation of a resilient corridor to flooding rather than the reorganisation of damaged roads could be viewed as the future perspective. Despite the above-mentioned strengths, the feedback helped me realise the numerous areas in which my project proposal would require improvement. Among the key aspects of my tutor was that they recommended me to be more detailed when it comes to the project schedule. In this case, I have already highlighted the major phases of project management, its initiation, planning, execution and monitoring, and its closure; however, I have not mentioned the exact dates and milestones. </w:t>
      </w:r>
      <w:proofErr w:type="gramStart"/>
      <w:r>
        <w:t>In light of</w:t>
      </w:r>
      <w:proofErr w:type="gramEnd"/>
      <w:r>
        <w:t xml:space="preserve"> this, I have realised that the project plan becomes more practical and reasonable when it is properly scheduled. A more comprehensive schedule will also be given as an element of my end project management plan that will list the main project stages and deliverables. Another vital suggestion made in terms of the feedback was that there was a need for a more powerful risk management section. The discussion was not that in-</w:t>
      </w:r>
      <w:r w:rsidR="00AD29B1">
        <w:t>depth, although</w:t>
      </w:r>
      <w:r>
        <w:t xml:space="preserve"> I did very lightly touch on the possible hazards such as construction delays, insurance in the weather and financial constraints. After this feedback, I have understood that risk management is a highly significant part of the project planning. In the final plan, I will create a risk register in which the potential risks will be identified, assessed in accordance with the risk occurrence, and the recommended mitigation measures will be proposed. </w:t>
      </w:r>
    </w:p>
    <w:p w14:paraId="65E9FAA2" w14:textId="77777777" w:rsidR="00764FB3" w:rsidRDefault="00764FB3">
      <w:pPr>
        <w:spacing w:before="240" w:after="240"/>
      </w:pPr>
    </w:p>
    <w:p w14:paraId="5C411216" w14:textId="77777777" w:rsidR="00764FB3" w:rsidRDefault="002D63BA">
      <w:pPr>
        <w:pStyle w:val="Heading1"/>
        <w:spacing w:before="240" w:after="240"/>
        <w:rPr>
          <w:sz w:val="34"/>
          <w:szCs w:val="34"/>
        </w:rPr>
      </w:pPr>
      <w:bookmarkStart w:id="4" w:name="_heading=h.kqx3sxhj55af" w:colFirst="0" w:colLast="0"/>
      <w:bookmarkStart w:id="5" w:name="_Toc224061514"/>
      <w:bookmarkEnd w:id="4"/>
      <w:r>
        <w:t>Part C: Project Management Plan</w:t>
      </w:r>
      <w:bookmarkEnd w:id="5"/>
    </w:p>
    <w:p w14:paraId="475FABC9" w14:textId="77777777" w:rsidR="00764FB3" w:rsidRDefault="002D63BA">
      <w:pPr>
        <w:pStyle w:val="Heading2"/>
      </w:pPr>
      <w:bookmarkStart w:id="6" w:name="_heading=h.kv5cama14bqa" w:colFirst="0" w:colLast="0"/>
      <w:bookmarkStart w:id="7" w:name="_Toc224061515"/>
      <w:bookmarkEnd w:id="6"/>
      <w:r>
        <w:t>1. Introduction</w:t>
      </w:r>
      <w:bookmarkEnd w:id="7"/>
      <w:r>
        <w:t xml:space="preserve"> </w:t>
      </w:r>
    </w:p>
    <w:p w14:paraId="3C4E1709" w14:textId="77777777" w:rsidR="00764FB3" w:rsidRDefault="002D63BA">
      <w:pPr>
        <w:spacing w:before="240" w:after="240"/>
      </w:pPr>
      <w:r>
        <w:t xml:space="preserve">Heavy rains were witnessed in the West Midlands region of the United Kingdom, in </w:t>
      </w:r>
      <w:proofErr w:type="spellStart"/>
      <w:r>
        <w:t>mid July</w:t>
      </w:r>
      <w:proofErr w:type="spellEnd"/>
      <w:r>
        <w:t xml:space="preserve"> of the year 202, </w:t>
      </w:r>
      <w:proofErr w:type="gramStart"/>
      <w:r>
        <w:t>as a result of</w:t>
      </w:r>
      <w:proofErr w:type="gramEnd"/>
      <w:r>
        <w:t xml:space="preserve"> a rare climatic system which occurred in the Atlantic Ocean. River Severn, incidentally one of the longest rivers in the United Kingdom and around 354 kilometres in length, went both high and flooded its flood controls threateningly in several places (Sefton </w:t>
      </w:r>
      <w:r>
        <w:rPr>
          <w:i/>
          <w:iCs/>
        </w:rPr>
        <w:t>et al</w:t>
      </w:r>
      <w:r>
        <w:t xml:space="preserve">. 2025). This injury resulted in the mutilation of such towns as Worcester, Shrewsbury and Kidderminster. It flooded in a couple of hours, and hundreds of houses and businesses were destroyed. The transport infrastructure was among those most hit as over 180 local roads were said to have been </w:t>
      </w:r>
      <w:proofErr w:type="gramStart"/>
      <w:r>
        <w:t>closed down</w:t>
      </w:r>
      <w:proofErr w:type="gramEnd"/>
      <w:r>
        <w:t xml:space="preserve">, and some of the major transport routes were inaccessible (Day et al. 2022). Destruction of transport routes was a major challenge to emergency responding teams, localities and to those businesses that rely on transportation of goods and services. Its primary transport route, which traverses between Worcester and Shrewsbury, has a good population of approximately 28,000 vehicles </w:t>
      </w:r>
      <w:proofErr w:type="gramStart"/>
      <w:r>
        <w:t>on a daily basis</w:t>
      </w:r>
      <w:proofErr w:type="gramEnd"/>
      <w:r>
        <w:t xml:space="preserve"> and hence, the importance of reinforcing this infrastructural base to ensure that it is reestablished in a timely and efficient way (Chan et al. 2025). There should be organised project management to undertake a disaster rescue that would provide coordination to the reconstruction, allocation of resources, control of risks and satisfactory delivery of infrastructure projects in time. These are the project management plan that is focused on the reconstruction of a transport line that is resilient to floods in the River Severn. The plan will include the scope of the project, the strategy to be used in the implementation, the involvement of the stakeholders, the resources that should be used and the measures that should be undertaken to address the risks that are likely to occur in the implementation of the project.</w:t>
      </w:r>
    </w:p>
    <w:p w14:paraId="1AD68605" w14:textId="77777777" w:rsidR="00764FB3" w:rsidRDefault="002D63BA">
      <w:pPr>
        <w:pStyle w:val="Heading2"/>
      </w:pPr>
      <w:bookmarkStart w:id="8" w:name="_heading=h.xnd4nyjzpxx1" w:colFirst="0" w:colLast="0"/>
      <w:bookmarkStart w:id="9" w:name="_Toc224061516"/>
      <w:bookmarkEnd w:id="8"/>
      <w:r>
        <w:t>2. Project Description</w:t>
      </w:r>
      <w:bookmarkEnd w:id="9"/>
      <w:r>
        <w:t xml:space="preserve"> </w:t>
      </w:r>
    </w:p>
    <w:p w14:paraId="32E027D0" w14:textId="77777777" w:rsidR="00764FB3" w:rsidRDefault="002D63BA">
      <w:pPr>
        <w:spacing w:before="240" w:after="240"/>
      </w:pPr>
      <w:r>
        <w:t xml:space="preserve">The issue with the Severn Transport Corridor Reconstruction Project is the construction of the project with the aim of checking the damage caused by the flood that occurred in the United Kingdom in July 2025. The river server was overflowing because of the heavy rainfall after some weeks, and there were many areas where flood defences were flooded, such as in </w:t>
      </w:r>
      <w:r>
        <w:lastRenderedPageBreak/>
        <w:t xml:space="preserve">regions of the towns of Worcester, Shrewsbury and Kidderminster (Herrera et al. 2024). The massive transport infrastructure inconvenience also featured </w:t>
      </w:r>
      <w:proofErr w:type="gramStart"/>
      <w:r>
        <w:t>as a result of</w:t>
      </w:r>
      <w:proofErr w:type="gramEnd"/>
      <w:r>
        <w:t xml:space="preserve"> the flooding submerging roads, damaging, </w:t>
      </w:r>
      <w:proofErr w:type="gramStart"/>
      <w:r>
        <w:t>and also</w:t>
      </w:r>
      <w:proofErr w:type="gramEnd"/>
      <w:r>
        <w:t xml:space="preserve"> blocking major highways, which are links to people and stand as economic facilitators of the regions. This contributed to the sluggishness of emergency services, interrupted supply and thousands of inhabitants </w:t>
      </w:r>
      <w:proofErr w:type="gramStart"/>
      <w:r>
        <w:t>were not able to</w:t>
      </w:r>
      <w:proofErr w:type="gramEnd"/>
      <w:r>
        <w:t xml:space="preserve"> move freely. The project will involve redefining and improving a major transport route that links Worcester and Shrewsbury, and it covers an area of 42km road system (</w:t>
      </w:r>
      <w:proofErr w:type="spellStart"/>
      <w:r>
        <w:t>Cuckow</w:t>
      </w:r>
      <w:proofErr w:type="spellEnd"/>
      <w:r>
        <w:t xml:space="preserve"> et al. 2024). The corridor plays a crucial role in normal transportation within the region, where the number of vehicles travelled by on a </w:t>
      </w:r>
      <w:proofErr w:type="gramStart"/>
      <w:r>
        <w:t>daily basis amounts</w:t>
      </w:r>
      <w:proofErr w:type="gramEnd"/>
      <w:r>
        <w:t xml:space="preserve"> to about 28,000 vehicles that include passenger vehicles, freight vehicles and emergency vehicles. The erosion and the accumulation of debris are among the things that have been damaged </w:t>
      </w:r>
      <w:proofErr w:type="gramStart"/>
      <w:r>
        <w:t>as a result of</w:t>
      </w:r>
      <w:proofErr w:type="gramEnd"/>
      <w:r>
        <w:t xml:space="preserve"> the flooding, as the water pressure has led to erosion and accumulation of debris, destroying approximately 17 kilometres of the road surface </w:t>
      </w:r>
      <w:proofErr w:type="gramStart"/>
      <w:r>
        <w:t>in the course of</w:t>
      </w:r>
      <w:proofErr w:type="gramEnd"/>
      <w:r>
        <w:t xml:space="preserve"> the flooding (Slater et al. 2022). In addition, the corridor had three bridges that were tested </w:t>
      </w:r>
      <w:proofErr w:type="gramStart"/>
      <w:r>
        <w:t>with regard to</w:t>
      </w:r>
      <w:proofErr w:type="gramEnd"/>
      <w:r>
        <w:t xml:space="preserve"> their structural integrity, and 11 drainage points failed due to the huge amount of floodwater that exceeded the drainage capacity.</w:t>
      </w:r>
    </w:p>
    <w:p w14:paraId="5C6420AA" w14:textId="77777777" w:rsidR="00764FB3" w:rsidRDefault="002D63BA">
      <w:pPr>
        <w:spacing w:before="240" w:after="240"/>
      </w:pPr>
      <w:r>
        <w:t xml:space="preserve">The project will not only help to rehabilitate the damaged infrastructure but will also be able to enhance the strength of the infrastructure in case of floods that may occur in the future. Several engineering upgrades will hence be included in the reconstruction. They consist of resurfacing damaged portions of roads with reinforced asphalt, raising susceptible road areas to some 1.2 metres above ground level in the flood-prone regions and strengthening bridge foundations with the addition of more concrete and steel (Mills, 2023). Moreover, the project shall entail the construction of large-capacity drainage discharging systems that can handle up to 4,500 litres of water per minute during the downpour seasons. The reconstruction process will be carried out within a period of 18 months, and coordination of various organisations will be involved, such as local councils, transport authorities, engineering teams, and construction contractors (Burley, Radley, and Coram, 2023). The project budget approximated is 120 million sterling pounds that will take care of rebuilding infrastructure, engineering studies, manpower and backup planning. </w:t>
      </w:r>
    </w:p>
    <w:p w14:paraId="08460C41" w14:textId="77777777" w:rsidR="00764FB3" w:rsidRDefault="002D63BA">
      <w:pPr>
        <w:pStyle w:val="Heading2"/>
        <w:keepNext w:val="0"/>
        <w:keepLines w:val="0"/>
      </w:pPr>
      <w:bookmarkStart w:id="10" w:name="_heading=h.3w1mwyia9mge" w:colFirst="0" w:colLast="0"/>
      <w:bookmarkStart w:id="11" w:name="_Toc224061517"/>
      <w:bookmarkEnd w:id="10"/>
      <w:r>
        <w:t>3. Project Scope</w:t>
      </w:r>
      <w:bookmarkEnd w:id="11"/>
      <w:r>
        <w:t xml:space="preserve"> </w:t>
      </w:r>
    </w:p>
    <w:p w14:paraId="0250BBB6" w14:textId="77777777" w:rsidR="00764FB3" w:rsidRDefault="002D63BA">
      <w:pPr>
        <w:spacing w:before="240" w:after="240"/>
      </w:pPr>
      <w:r>
        <w:t xml:space="preserve">The scope of the project determines the activities that will be undertaken during the Severn Transport Corridor Reconstruction Project, which will rebuild and expand the transport </w:t>
      </w:r>
      <w:r>
        <w:lastRenderedPageBreak/>
        <w:t xml:space="preserve">infrastructure that has been damaged due to the floods in the Worcester-Shrewsbury communities' transportation system (Hailwood, Graham, and Ramalingam, 2022). The project is focused on the reconstruction of approximately 42 kilometres of highway that was seriously impaired </w:t>
      </w:r>
      <w:proofErr w:type="gramStart"/>
      <w:r>
        <w:t>as a result of</w:t>
      </w:r>
      <w:proofErr w:type="gramEnd"/>
      <w:r>
        <w:t xml:space="preserve"> the floods that hit the River Severn in </w:t>
      </w:r>
      <w:proofErr w:type="gramStart"/>
      <w:r>
        <w:t>July,</w:t>
      </w:r>
      <w:proofErr w:type="gramEnd"/>
      <w:r>
        <w:t xml:space="preserve"> 2025. The resultant structural damage running along 17 kilometres of roadside, three bridge structures, which were identified to require strengthening and collapse owing to drainage systems, were all observed during the engineering surveys along the line (Mushtaq, Corradi and Sikdar, 2024. The scope of the work, therefore, includes infrastructure rebuilding, flood resilience and transport restoration. The first aspect of the project is site assessment and site preparation. This entails structural checks clearance and soil stabilisation and temporary control of traffic so that construction can be allowed to proceed without causing damage. The second one is highway reconstruction because the damaged road surfaces were to be resurfaced or reconstructed with the use of reinforced asphalt and concrete materials (</w:t>
      </w:r>
      <w:proofErr w:type="spellStart"/>
      <w:r>
        <w:t>Doornkampet</w:t>
      </w:r>
      <w:proofErr w:type="spellEnd"/>
      <w:r>
        <w:t xml:space="preserve"> al. 2025). The total number of kilometres of road uplifted by almost 1.2 metres in flood-prone areas will be reduced to a minimum to ensure minimal exposure to floods in the future. Bridge rehabilitation and bridge reinforcement are also included in the third part (Lamb et al. 2022). Three bridges that are within the line of the corridor shall be stabilised using foundation stabilisation, concrete piling, and steel supports to support the structures of the bridges. The fourth factor is a better drainage system installed which has the ability of holding a large volume of surface water in the occurrence of extreme rains. The drainage pipes with a high capacity will be constructed at 3,500 metres as a way of controlling the water flow (Environment Agency, 2025). </w:t>
      </w:r>
    </w:p>
    <w:p w14:paraId="6E3DDB07" w14:textId="77777777" w:rsidR="00764FB3" w:rsidRDefault="002D63BA">
      <w:pPr>
        <w:pStyle w:val="Heading2"/>
        <w:spacing w:before="240" w:after="240"/>
      </w:pPr>
      <w:bookmarkStart w:id="12" w:name="_heading=h.lh2c94jer7w" w:colFirst="0" w:colLast="0"/>
      <w:bookmarkStart w:id="13" w:name="_Toc224061518"/>
      <w:bookmarkEnd w:id="12"/>
      <w:r>
        <w:lastRenderedPageBreak/>
        <w:t>4. Work Breakdown Structure (WBS)</w:t>
      </w:r>
      <w:bookmarkEnd w:id="13"/>
    </w:p>
    <w:p w14:paraId="5608984D" w14:textId="77777777" w:rsidR="00764FB3" w:rsidRDefault="002D63BA">
      <w:pPr>
        <w:spacing w:after="160"/>
      </w:pPr>
      <w:r>
        <w:rPr>
          <w:noProof/>
        </w:rPr>
        <w:drawing>
          <wp:inline distT="114300" distB="114300" distL="114300" distR="114300" wp14:anchorId="7CDE2802" wp14:editId="71B1C0B2">
            <wp:extent cx="5731200" cy="25527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2552700"/>
                    </a:xfrm>
                    <a:prstGeom prst="rect">
                      <a:avLst/>
                    </a:prstGeom>
                    <a:ln w="25400">
                      <a:solidFill>
                        <a:srgbClr val="000000"/>
                      </a:solidFill>
                      <a:prstDash val="solid"/>
                    </a:ln>
                  </pic:spPr>
                </pic:pic>
              </a:graphicData>
            </a:graphic>
          </wp:inline>
        </w:drawing>
      </w:r>
    </w:p>
    <w:p w14:paraId="22C79D03" w14:textId="77777777" w:rsidR="00764FB3" w:rsidRDefault="002D63BA">
      <w:pPr>
        <w:spacing w:before="240" w:after="240"/>
      </w:pPr>
      <w:r>
        <w:t xml:space="preserve">The Work Breakdown Structure (WBS, which was drafted on the Severn Transport Corridor Reconstruction Project, provides a hierarchical framework in the arrangement and control of the multiple tasks that will be present in the repair of the damage to the infrastructure after the July 2025 floods. The WBS breaks the entire project into small hierarchical elements where the project is the highest level, then it further breaks down to five large phases, which include project initiation, project planning, infrastructure reconstruction, drain and flood protection and monitoring and closure. The given dismantling allows the project managers to determine the tasks accurately and allocate </w:t>
      </w:r>
      <w:proofErr w:type="gramStart"/>
      <w:r>
        <w:t>roles,,</w:t>
      </w:r>
      <w:proofErr w:type="gramEnd"/>
      <w:r>
        <w:t xml:space="preserve"> and trace the project lifecycle (Yuan et al. 2021). The first level of WBS </w:t>
      </w:r>
      <w:proofErr w:type="gramStart"/>
      <w:r>
        <w:t>is considered to be</w:t>
      </w:r>
      <w:proofErr w:type="gramEnd"/>
      <w:r>
        <w:t xml:space="preserve"> the definition of the key milestones of the </w:t>
      </w:r>
      <w:proofErr w:type="gramStart"/>
      <w:r>
        <w:t>project,,</w:t>
      </w:r>
      <w:proofErr w:type="gramEnd"/>
      <w:r>
        <w:t xml:space="preserve"> which defines the logical chain of events which should be implemented to reach success. The initiation stage comprises a couple of activities that include project approval, stakeholder meetings, and project feasibility. The tasks will be significant in the establishment of the objectives of the project, permissions needed and the viability of the reconstruction plan (Iliadis, Glenis, and Kilsby, 2023). The preparation stage is then given to the technical preparation, which includes site survey, environmental research and procurement planning. These activities serve to ensure the availability of the right data and assets before construction commences. The mode of implementation of the project is the rebuilding of the infrastructure. The rebuilding of bridges, road elevation, and reinforcements are some of the tasks that are directly connected with the physical aftermath of the flooding (Costa et al. 2026). The existence of the drainage and flood protection measures indicates the aspect of the long-term resiliency strategy of the </w:t>
      </w:r>
      <w:proofErr w:type="spellStart"/>
      <w:r>
        <w:t>project,in</w:t>
      </w:r>
      <w:proofErr w:type="spellEnd"/>
      <w:r>
        <w:t xml:space="preserve"> which the transport corridor </w:t>
      </w:r>
      <w:r>
        <w:lastRenderedPageBreak/>
        <w:t xml:space="preserve">reinstated will be sustainable in the event of extreme weather occurrences that may occur in the future. The final step would be the monitoring and closure that would incorporate safety inspections, environmental inspection as well as finalising the project that ensures the infrastructure created is within the recommended and safety requirements. </w:t>
      </w:r>
    </w:p>
    <w:p w14:paraId="5EDF4A2A" w14:textId="77777777" w:rsidR="00764FB3" w:rsidRDefault="002D63BA">
      <w:pPr>
        <w:pStyle w:val="Heading2"/>
        <w:spacing w:after="160"/>
      </w:pPr>
      <w:bookmarkStart w:id="14" w:name="_heading=h.g9on5j992yzq" w:colFirst="0" w:colLast="0"/>
      <w:bookmarkStart w:id="15" w:name="_Toc224061519"/>
      <w:bookmarkEnd w:id="14"/>
      <w:r>
        <w:t>5. Quad Chart</w:t>
      </w:r>
      <w:bookmarkEnd w:id="15"/>
      <w:r>
        <w:t xml:space="preserve"> </w:t>
      </w:r>
    </w:p>
    <w:p w14:paraId="372D1170" w14:textId="77777777" w:rsidR="00764FB3" w:rsidRDefault="00764FB3">
      <w:pPr>
        <w:spacing w:after="160"/>
        <w:rPr>
          <w:b/>
          <w:bCs/>
        </w:rPr>
      </w:pPr>
    </w:p>
    <w:tbl>
      <w:tblPr>
        <w:tblStyle w:val="afc"/>
        <w:tblW w:w="11220" w:type="dxa"/>
        <w:tblInd w:w="-840" w:type="dxa"/>
        <w:tblBorders>
          <w:top w:val="nil"/>
          <w:left w:val="nil"/>
          <w:bottom w:val="nil"/>
          <w:right w:val="nil"/>
          <w:insideH w:val="nil"/>
          <w:insideV w:val="nil"/>
        </w:tblBorders>
        <w:tblLayout w:type="fixed"/>
        <w:tblLook w:val="0600" w:firstRow="0" w:lastRow="0" w:firstColumn="0" w:lastColumn="0" w:noHBand="1" w:noVBand="1"/>
      </w:tblPr>
      <w:tblGrid>
        <w:gridCol w:w="5910"/>
        <w:gridCol w:w="5310"/>
      </w:tblGrid>
      <w:tr w:rsidR="00764FB3" w14:paraId="64582311" w14:textId="77777777">
        <w:trPr>
          <w:trHeight w:val="615"/>
        </w:trPr>
        <w:tc>
          <w:tcPr>
            <w:tcW w:w="591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702C9E8" w14:textId="77777777" w:rsidR="00764FB3" w:rsidRDefault="002D63BA">
            <w:pPr>
              <w:widowControl w:val="0"/>
              <w:spacing w:line="276" w:lineRule="auto"/>
              <w:jc w:val="center"/>
            </w:pPr>
            <w:r>
              <w:rPr>
                <w:b/>
                <w:bCs/>
              </w:rPr>
              <w:t>Project Purpose (Why is the project being done?)</w:t>
            </w:r>
          </w:p>
        </w:tc>
        <w:tc>
          <w:tcPr>
            <w:tcW w:w="531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2108A96B" w14:textId="77777777" w:rsidR="00764FB3" w:rsidRDefault="002D63BA">
            <w:pPr>
              <w:widowControl w:val="0"/>
              <w:spacing w:line="276" w:lineRule="auto"/>
              <w:ind w:left="-9020" w:right="-9020"/>
              <w:jc w:val="center"/>
              <w:rPr>
                <w:b/>
                <w:bCs/>
              </w:rPr>
            </w:pPr>
            <w:r>
              <w:rPr>
                <w:b/>
                <w:bCs/>
              </w:rPr>
              <w:t>Customers / Stakeholders (Who is the project for?)</w:t>
            </w:r>
          </w:p>
        </w:tc>
      </w:tr>
      <w:tr w:rsidR="00764FB3" w14:paraId="49C5B0D8" w14:textId="77777777">
        <w:trPr>
          <w:trHeight w:val="5670"/>
        </w:trPr>
        <w:tc>
          <w:tcPr>
            <w:tcW w:w="591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4464208" w14:textId="77777777" w:rsidR="00764FB3" w:rsidRDefault="002D63BA">
            <w:pPr>
              <w:widowControl w:val="0"/>
            </w:pPr>
            <w:r>
              <w:t xml:space="preserve">The project seeks to repair and enhance the main transport route that was hit by the July 2025 flooding in the West Midlands. Heavy rainfall led to the River Severn overflowing flood </w:t>
            </w:r>
            <w:proofErr w:type="spellStart"/>
            <w:r>
              <w:t>defences,leaving</w:t>
            </w:r>
            <w:proofErr w:type="spellEnd"/>
            <w:r>
              <w:t xml:space="preserve"> various parts of the regional highways closed and affecting the daily commuting of over 60,000 daily commuters and freight transport (Li, Zhao, and Chen, 2024). This project is aimed at re-establishing the damaged road network, reconnecting the regions and making sure that the transportation infrastructure would withstand future floods. The reconstruction will touch on raising roads, better drainage systems and strengthening of bridge structures to minimise accessibility to adverse weather. The project will also enhance economic recovery because it will rebuild supply chains and mobility in Worcester, Shrewsbury and Kidderminster, where over 1,500 local businesses rely on road transport to conduct their logistics and daily operations (</w:t>
            </w:r>
            <w:proofErr w:type="spellStart"/>
            <w:r>
              <w:t>Koksv</w:t>
            </w:r>
            <w:proofErr w:type="spellEnd"/>
            <w:r>
              <w:t xml:space="preserve"> et al. 2020). Finally, the project will aim at providing a safer, more robust and climate-resilient transport passage that will benefit local populations and the economic operations of the region. Units and regional economic activities.</w:t>
            </w:r>
          </w:p>
        </w:tc>
        <w:tc>
          <w:tcPr>
            <w:tcW w:w="531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365FF43D" w14:textId="77777777" w:rsidR="00764FB3" w:rsidRDefault="00764FB3">
            <w:pPr>
              <w:widowControl w:val="0"/>
            </w:pPr>
          </w:p>
          <w:p w14:paraId="1A299F01" w14:textId="77777777" w:rsidR="00764FB3" w:rsidRDefault="002D63BA">
            <w:pPr>
              <w:widowControl w:val="0"/>
            </w:pPr>
            <w:r>
              <w:t xml:space="preserve">The main beneficiaries of the project are residents, businesses, and other public service organisations that are spread across the affected towns. The corridor is important to approximately 200,000 residents in the West Midlands region who interact with it daily, in case of emergencies, and to commute to work, school, and college (Bates and Neal, 2021). The restoration of reliable infrastructure will also be beneficial to the freight and logistics companies, who will be transporting about 12 million tonnes of goods across this corridor on an annual basis. The Environment Agency, local councils of Worcester, Shrewsbury and Kidderminster, the Department for Transport, construction contractors and emergency services are some of the important stakeholders in the project (UK Government, 2022). Communities that are immediately affected by the reconstruction are also important stakeholders because residential zones will be impacted, as well as the economic activity. The project will need the government officials, the engineering team, the environmental agencies and the community representatives to work together to make sure that the rebuilt infrastructure is safe, as well as to </w:t>
            </w:r>
            <w:r>
              <w:lastRenderedPageBreak/>
              <w:t>facilitate long-term development in the region.</w:t>
            </w:r>
          </w:p>
        </w:tc>
      </w:tr>
      <w:tr w:rsidR="00764FB3" w14:paraId="735DE9EF" w14:textId="77777777">
        <w:trPr>
          <w:trHeight w:val="765"/>
        </w:trPr>
        <w:tc>
          <w:tcPr>
            <w:tcW w:w="591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01E333F" w14:textId="77777777" w:rsidR="00764FB3" w:rsidRDefault="002D63BA">
            <w:pPr>
              <w:widowControl w:val="0"/>
              <w:spacing w:line="276" w:lineRule="auto"/>
              <w:jc w:val="center"/>
            </w:pPr>
            <w:r>
              <w:rPr>
                <w:b/>
                <w:bCs/>
              </w:rPr>
              <w:lastRenderedPageBreak/>
              <w:t>Desired End Result (Goals and Critical Success Factors)</w:t>
            </w:r>
          </w:p>
        </w:tc>
        <w:tc>
          <w:tcPr>
            <w:tcW w:w="531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61A0DD7D" w14:textId="77777777" w:rsidR="00764FB3" w:rsidRDefault="002D63BA">
            <w:pPr>
              <w:widowControl w:val="0"/>
              <w:spacing w:line="276" w:lineRule="auto"/>
              <w:ind w:left="-9020" w:right="-9020"/>
              <w:jc w:val="center"/>
              <w:rPr>
                <w:b/>
                <w:bCs/>
              </w:rPr>
            </w:pPr>
            <w:r>
              <w:rPr>
                <w:b/>
                <w:bCs/>
              </w:rPr>
              <w:t>Measures of Success (Key Performance Indicators)</w:t>
            </w:r>
          </w:p>
        </w:tc>
      </w:tr>
      <w:tr w:rsidR="00764FB3" w14:paraId="1DEB324D" w14:textId="77777777">
        <w:trPr>
          <w:trHeight w:val="4125"/>
        </w:trPr>
        <w:tc>
          <w:tcPr>
            <w:tcW w:w="591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4E47ABE" w14:textId="77777777" w:rsidR="00764FB3" w:rsidRDefault="002D63BA">
            <w:pPr>
              <w:widowControl w:val="0"/>
            </w:pPr>
            <w:r>
              <w:t xml:space="preserve">The targeted result of the project is full restoration and upgrading of the damaged transport corridor on a planned project initiated for 18 months, and approximated project budget of the project is 120 million pounds. The reconstruction will involve the rebuilding of 35 kilometres of highway, strengthening of three large bridges, installation of cutting-edge drainage systems in 18 areas prone to flooding and elevation of the road by about 1.2 metres in risky areas. One of the success factors will be to make sure that the reconstructed corridor is at least in accordance with national flood-resilience infrastructure set-ups (Thacker et al. 2019). The other important objective is to reduce future interference by extreme weather through the incorporation of sustainable drainage systems and riverbank reinforcement. Besides, the project will also aim at restoring the traffic flow capacity of about 60,000 vehicles per </w:t>
            </w:r>
            <w:proofErr w:type="spellStart"/>
            <w:r>
              <w:t>day,as</w:t>
            </w:r>
            <w:proofErr w:type="spellEnd"/>
            <w:r>
              <w:t xml:space="preserve"> well as improving the emergency response time in the </w:t>
            </w:r>
            <w:r>
              <w:lastRenderedPageBreak/>
              <w:t>affected towns.</w:t>
            </w:r>
          </w:p>
        </w:tc>
        <w:tc>
          <w:tcPr>
            <w:tcW w:w="531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7C45D437" w14:textId="77777777" w:rsidR="00764FB3" w:rsidRDefault="002D63BA">
            <w:pPr>
              <w:widowControl w:val="0"/>
            </w:pPr>
            <w:r>
              <w:lastRenderedPageBreak/>
              <w:t xml:space="preserve">The success of the project will have been determined by </w:t>
            </w:r>
            <w:proofErr w:type="gramStart"/>
            <w:r>
              <w:t>a number of</w:t>
            </w:r>
            <w:proofErr w:type="gramEnd"/>
            <w:r>
              <w:t xml:space="preserve"> performance indicators. The completion of 35km of the reconstructed road network and the strengthening of three bridge networks within the intended 18 months are the initiatives. The other important performance indicator is ensuring that the project costs do not exceed the budget value of £120 million (IPCC, 2022). The infrastructure resilience will be tested by using flood simulation tests that demonstrate that the corridor can survive a river water level of at least 0.8 metres higher than that witnessed before in the historical records of floods. Other indicators of performance refer to restoring daily traffic capacity to 60,000 vehicles and eliminating diversion due to transportation issues by at least 48 hours in case of extreme weather conditions. The environmental performance will also be assessed by </w:t>
            </w:r>
            <w:r>
              <w:lastRenderedPageBreak/>
              <w:t xml:space="preserve">monitoring the efficiency of the drainages, </w:t>
            </w:r>
            <w:proofErr w:type="gramStart"/>
            <w:r>
              <w:t>and also</w:t>
            </w:r>
            <w:proofErr w:type="gramEnd"/>
            <w:r>
              <w:t xml:space="preserve"> by controlling to ensure that the construction activities comply with the environmental protection standards established by the Environment Agency.</w:t>
            </w:r>
          </w:p>
        </w:tc>
      </w:tr>
    </w:tbl>
    <w:p w14:paraId="62F5723C" w14:textId="77777777" w:rsidR="00764FB3" w:rsidRDefault="00764FB3">
      <w:pPr>
        <w:spacing w:after="160"/>
        <w:rPr>
          <w:b/>
          <w:bCs/>
        </w:rPr>
      </w:pPr>
    </w:p>
    <w:p w14:paraId="7D2C65D3" w14:textId="77777777" w:rsidR="00764FB3" w:rsidRDefault="002D63BA">
      <w:pPr>
        <w:spacing w:after="160"/>
        <w:rPr>
          <w:b/>
          <w:bCs/>
        </w:rPr>
      </w:pPr>
      <w:r>
        <w:rPr>
          <w:b/>
          <w:bCs/>
        </w:rPr>
        <w:t>6. Gantt Chart</w:t>
      </w:r>
    </w:p>
    <w:p w14:paraId="2B4B3D6D" w14:textId="77777777" w:rsidR="00764FB3" w:rsidRDefault="00764FB3">
      <w:pPr>
        <w:spacing w:after="160"/>
        <w:rPr>
          <w:b/>
          <w:bCs/>
        </w:rPr>
      </w:pPr>
    </w:p>
    <w:tbl>
      <w:tblPr>
        <w:tblStyle w:val="afd"/>
        <w:tblW w:w="9135" w:type="dxa"/>
        <w:tblInd w:w="630" w:type="dxa"/>
        <w:tblBorders>
          <w:top w:val="nil"/>
          <w:left w:val="nil"/>
          <w:bottom w:val="nil"/>
          <w:right w:val="nil"/>
          <w:insideH w:val="nil"/>
          <w:insideV w:val="nil"/>
        </w:tblBorders>
        <w:tblLayout w:type="fixed"/>
        <w:tblLook w:val="0600" w:firstRow="0" w:lastRow="0" w:firstColumn="0" w:lastColumn="0" w:noHBand="1" w:noVBand="1"/>
      </w:tblPr>
      <w:tblGrid>
        <w:gridCol w:w="870"/>
        <w:gridCol w:w="2730"/>
        <w:gridCol w:w="1725"/>
        <w:gridCol w:w="1950"/>
        <w:gridCol w:w="1860"/>
      </w:tblGrid>
      <w:tr w:rsidR="00764FB3" w14:paraId="0261AAD1" w14:textId="77777777">
        <w:trPr>
          <w:trHeight w:val="555"/>
        </w:trPr>
        <w:tc>
          <w:tcPr>
            <w:tcW w:w="87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0803620" w14:textId="77777777" w:rsidR="00764FB3" w:rsidRDefault="002D63BA">
            <w:pPr>
              <w:widowControl w:val="0"/>
              <w:spacing w:line="276" w:lineRule="auto"/>
              <w:jc w:val="center"/>
            </w:pPr>
            <w:r>
              <w:rPr>
                <w:b/>
                <w:bCs/>
              </w:rPr>
              <w:t>Task ID</w:t>
            </w:r>
          </w:p>
        </w:tc>
        <w:tc>
          <w:tcPr>
            <w:tcW w:w="273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1A90D97" w14:textId="77777777" w:rsidR="00764FB3" w:rsidRDefault="002D63BA">
            <w:pPr>
              <w:widowControl w:val="0"/>
              <w:spacing w:line="276" w:lineRule="auto"/>
              <w:jc w:val="center"/>
            </w:pPr>
            <w:r>
              <w:rPr>
                <w:b/>
                <w:bCs/>
              </w:rPr>
              <w:t>Project Activity</w:t>
            </w:r>
          </w:p>
        </w:tc>
        <w:tc>
          <w:tcPr>
            <w:tcW w:w="17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D7B3AE3" w14:textId="77777777" w:rsidR="00764FB3" w:rsidRDefault="002D63BA">
            <w:pPr>
              <w:widowControl w:val="0"/>
              <w:spacing w:line="276" w:lineRule="auto"/>
              <w:jc w:val="center"/>
            </w:pPr>
            <w:r>
              <w:rPr>
                <w:b/>
                <w:bCs/>
              </w:rPr>
              <w:t>Start Month</w:t>
            </w:r>
          </w:p>
        </w:tc>
        <w:tc>
          <w:tcPr>
            <w:tcW w:w="195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B8F0462" w14:textId="77777777" w:rsidR="00764FB3" w:rsidRDefault="002D63BA">
            <w:pPr>
              <w:widowControl w:val="0"/>
              <w:spacing w:line="276" w:lineRule="auto"/>
              <w:jc w:val="center"/>
            </w:pPr>
            <w:r>
              <w:rPr>
                <w:b/>
                <w:bCs/>
              </w:rPr>
              <w:t>End Month</w:t>
            </w:r>
          </w:p>
        </w:tc>
        <w:tc>
          <w:tcPr>
            <w:tcW w:w="186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18A80F5A" w14:textId="77777777" w:rsidR="00764FB3" w:rsidRDefault="002D63BA">
            <w:pPr>
              <w:widowControl w:val="0"/>
              <w:spacing w:line="276" w:lineRule="auto"/>
              <w:ind w:left="-9020" w:right="-9020"/>
              <w:jc w:val="center"/>
              <w:rPr>
                <w:b/>
                <w:bCs/>
              </w:rPr>
            </w:pPr>
            <w:r>
              <w:rPr>
                <w:b/>
                <w:bCs/>
              </w:rPr>
              <w:t>Duration (Months)</w:t>
            </w:r>
          </w:p>
        </w:tc>
      </w:tr>
      <w:tr w:rsidR="00764FB3" w14:paraId="1094758D" w14:textId="77777777">
        <w:trPr>
          <w:trHeight w:val="1035"/>
        </w:trPr>
        <w:tc>
          <w:tcPr>
            <w:tcW w:w="87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7E2D376" w14:textId="77777777" w:rsidR="00764FB3" w:rsidRDefault="002D63BA">
            <w:pPr>
              <w:widowControl w:val="0"/>
              <w:spacing w:line="276" w:lineRule="auto"/>
              <w:jc w:val="right"/>
            </w:pPr>
            <w:r>
              <w:t>1</w:t>
            </w:r>
          </w:p>
        </w:tc>
        <w:tc>
          <w:tcPr>
            <w:tcW w:w="273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3D75745" w14:textId="77777777" w:rsidR="00764FB3" w:rsidRDefault="002D63BA">
            <w:pPr>
              <w:widowControl w:val="0"/>
            </w:pPr>
            <w:r>
              <w:t>Project approval and stakeholder consultation</w:t>
            </w:r>
          </w:p>
        </w:tc>
        <w:tc>
          <w:tcPr>
            <w:tcW w:w="17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73BD726" w14:textId="77777777" w:rsidR="00764FB3" w:rsidRDefault="002D63BA">
            <w:pPr>
              <w:widowControl w:val="0"/>
              <w:spacing w:line="276" w:lineRule="auto"/>
              <w:jc w:val="left"/>
            </w:pPr>
            <w:r>
              <w:t>Month 1</w:t>
            </w:r>
          </w:p>
        </w:tc>
        <w:tc>
          <w:tcPr>
            <w:tcW w:w="195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DB9818E" w14:textId="77777777" w:rsidR="00764FB3" w:rsidRDefault="002D63BA">
            <w:pPr>
              <w:widowControl w:val="0"/>
              <w:spacing w:line="276" w:lineRule="auto"/>
              <w:jc w:val="left"/>
            </w:pPr>
            <w:r>
              <w:t>Month 1</w:t>
            </w:r>
          </w:p>
        </w:tc>
        <w:tc>
          <w:tcPr>
            <w:tcW w:w="18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0ABF9A0" w14:textId="77777777" w:rsidR="00764FB3" w:rsidRDefault="002D63BA">
            <w:pPr>
              <w:widowControl w:val="0"/>
              <w:spacing w:line="276" w:lineRule="auto"/>
              <w:jc w:val="right"/>
            </w:pPr>
            <w:r>
              <w:t>1</w:t>
            </w:r>
          </w:p>
        </w:tc>
      </w:tr>
      <w:tr w:rsidR="00764FB3" w14:paraId="23F0FA15" w14:textId="77777777">
        <w:trPr>
          <w:trHeight w:val="1035"/>
        </w:trPr>
        <w:tc>
          <w:tcPr>
            <w:tcW w:w="87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A6E509B" w14:textId="77777777" w:rsidR="00764FB3" w:rsidRDefault="002D63BA">
            <w:pPr>
              <w:widowControl w:val="0"/>
              <w:spacing w:line="276" w:lineRule="auto"/>
              <w:jc w:val="right"/>
            </w:pPr>
            <w:r>
              <w:t>2</w:t>
            </w:r>
          </w:p>
        </w:tc>
        <w:tc>
          <w:tcPr>
            <w:tcW w:w="273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5170E7E" w14:textId="77777777" w:rsidR="00764FB3" w:rsidRDefault="002D63BA">
            <w:pPr>
              <w:widowControl w:val="0"/>
            </w:pPr>
            <w:r>
              <w:t>Site inspection and engineering surveys</w:t>
            </w:r>
          </w:p>
        </w:tc>
        <w:tc>
          <w:tcPr>
            <w:tcW w:w="17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093DCDA" w14:textId="77777777" w:rsidR="00764FB3" w:rsidRDefault="002D63BA">
            <w:pPr>
              <w:widowControl w:val="0"/>
              <w:spacing w:line="276" w:lineRule="auto"/>
              <w:jc w:val="left"/>
            </w:pPr>
            <w:r>
              <w:t>Month 2</w:t>
            </w:r>
          </w:p>
        </w:tc>
        <w:tc>
          <w:tcPr>
            <w:tcW w:w="195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38C7250" w14:textId="77777777" w:rsidR="00764FB3" w:rsidRDefault="002D63BA">
            <w:pPr>
              <w:widowControl w:val="0"/>
              <w:spacing w:line="276" w:lineRule="auto"/>
              <w:jc w:val="left"/>
            </w:pPr>
            <w:r>
              <w:t>Month 4</w:t>
            </w:r>
          </w:p>
        </w:tc>
        <w:tc>
          <w:tcPr>
            <w:tcW w:w="18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E0A15BE" w14:textId="77777777" w:rsidR="00764FB3" w:rsidRDefault="002D63BA">
            <w:pPr>
              <w:widowControl w:val="0"/>
              <w:spacing w:line="276" w:lineRule="auto"/>
              <w:jc w:val="right"/>
            </w:pPr>
            <w:r>
              <w:t>3</w:t>
            </w:r>
          </w:p>
        </w:tc>
      </w:tr>
      <w:tr w:rsidR="00764FB3" w14:paraId="18501F8A" w14:textId="77777777">
        <w:trPr>
          <w:trHeight w:val="1035"/>
        </w:trPr>
        <w:tc>
          <w:tcPr>
            <w:tcW w:w="87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EB6CC38" w14:textId="77777777" w:rsidR="00764FB3" w:rsidRDefault="002D63BA">
            <w:pPr>
              <w:widowControl w:val="0"/>
              <w:spacing w:line="276" w:lineRule="auto"/>
              <w:jc w:val="right"/>
            </w:pPr>
            <w:r>
              <w:t>3</w:t>
            </w:r>
          </w:p>
        </w:tc>
        <w:tc>
          <w:tcPr>
            <w:tcW w:w="273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5C58351" w14:textId="77777777" w:rsidR="00764FB3" w:rsidRDefault="002D63BA">
            <w:pPr>
              <w:widowControl w:val="0"/>
            </w:pPr>
            <w:r>
              <w:t>Environmental assessment and project planning</w:t>
            </w:r>
          </w:p>
        </w:tc>
        <w:tc>
          <w:tcPr>
            <w:tcW w:w="17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54BA7BF" w14:textId="77777777" w:rsidR="00764FB3" w:rsidRDefault="002D63BA">
            <w:pPr>
              <w:widowControl w:val="0"/>
              <w:spacing w:line="276" w:lineRule="auto"/>
              <w:jc w:val="left"/>
            </w:pPr>
            <w:r>
              <w:t>Month 2</w:t>
            </w:r>
          </w:p>
        </w:tc>
        <w:tc>
          <w:tcPr>
            <w:tcW w:w="195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26F24D4" w14:textId="77777777" w:rsidR="00764FB3" w:rsidRDefault="002D63BA">
            <w:pPr>
              <w:widowControl w:val="0"/>
              <w:spacing w:line="276" w:lineRule="auto"/>
              <w:jc w:val="left"/>
            </w:pPr>
            <w:r>
              <w:t>Month 4</w:t>
            </w:r>
          </w:p>
        </w:tc>
        <w:tc>
          <w:tcPr>
            <w:tcW w:w="18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CE495B5" w14:textId="77777777" w:rsidR="00764FB3" w:rsidRDefault="002D63BA">
            <w:pPr>
              <w:widowControl w:val="0"/>
              <w:spacing w:line="276" w:lineRule="auto"/>
              <w:jc w:val="right"/>
            </w:pPr>
            <w:r>
              <w:t>3</w:t>
            </w:r>
          </w:p>
        </w:tc>
      </w:tr>
      <w:tr w:rsidR="00764FB3" w14:paraId="15F8EE31" w14:textId="77777777">
        <w:trPr>
          <w:trHeight w:val="795"/>
        </w:trPr>
        <w:tc>
          <w:tcPr>
            <w:tcW w:w="87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4D6C26E" w14:textId="77777777" w:rsidR="00764FB3" w:rsidRDefault="002D63BA">
            <w:pPr>
              <w:widowControl w:val="0"/>
              <w:spacing w:line="276" w:lineRule="auto"/>
              <w:jc w:val="right"/>
            </w:pPr>
            <w:r>
              <w:t>4</w:t>
            </w:r>
          </w:p>
        </w:tc>
        <w:tc>
          <w:tcPr>
            <w:tcW w:w="273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DEDD2DF" w14:textId="77777777" w:rsidR="00764FB3" w:rsidRDefault="002D63BA">
            <w:pPr>
              <w:widowControl w:val="0"/>
            </w:pPr>
            <w:r>
              <w:t>Debris removal and land preparation</w:t>
            </w:r>
          </w:p>
        </w:tc>
        <w:tc>
          <w:tcPr>
            <w:tcW w:w="17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7BF97D8" w14:textId="77777777" w:rsidR="00764FB3" w:rsidRDefault="002D63BA">
            <w:pPr>
              <w:widowControl w:val="0"/>
              <w:spacing w:line="276" w:lineRule="auto"/>
              <w:jc w:val="left"/>
            </w:pPr>
            <w:r>
              <w:t>Month 5</w:t>
            </w:r>
          </w:p>
        </w:tc>
        <w:tc>
          <w:tcPr>
            <w:tcW w:w="195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C310359" w14:textId="77777777" w:rsidR="00764FB3" w:rsidRDefault="002D63BA">
            <w:pPr>
              <w:widowControl w:val="0"/>
              <w:spacing w:line="276" w:lineRule="auto"/>
              <w:jc w:val="left"/>
            </w:pPr>
            <w:r>
              <w:t>Month 6</w:t>
            </w:r>
          </w:p>
        </w:tc>
        <w:tc>
          <w:tcPr>
            <w:tcW w:w="18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F5A4AEC" w14:textId="77777777" w:rsidR="00764FB3" w:rsidRDefault="002D63BA">
            <w:pPr>
              <w:widowControl w:val="0"/>
              <w:spacing w:line="276" w:lineRule="auto"/>
              <w:jc w:val="right"/>
            </w:pPr>
            <w:r>
              <w:t>2</w:t>
            </w:r>
          </w:p>
        </w:tc>
      </w:tr>
      <w:tr w:rsidR="00764FB3" w14:paraId="435E5E2C" w14:textId="77777777">
        <w:trPr>
          <w:trHeight w:val="795"/>
        </w:trPr>
        <w:tc>
          <w:tcPr>
            <w:tcW w:w="87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9D698F5" w14:textId="77777777" w:rsidR="00764FB3" w:rsidRDefault="002D63BA">
            <w:pPr>
              <w:widowControl w:val="0"/>
              <w:spacing w:line="276" w:lineRule="auto"/>
              <w:jc w:val="right"/>
            </w:pPr>
            <w:r>
              <w:t>5</w:t>
            </w:r>
          </w:p>
        </w:tc>
        <w:tc>
          <w:tcPr>
            <w:tcW w:w="273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8B6A99A" w14:textId="77777777" w:rsidR="00764FB3" w:rsidRDefault="002D63BA">
            <w:pPr>
              <w:widowControl w:val="0"/>
            </w:pPr>
            <w:r>
              <w:t>Road reconstruction and resurfacing</w:t>
            </w:r>
          </w:p>
        </w:tc>
        <w:tc>
          <w:tcPr>
            <w:tcW w:w="17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2952E11" w14:textId="77777777" w:rsidR="00764FB3" w:rsidRDefault="002D63BA">
            <w:pPr>
              <w:widowControl w:val="0"/>
              <w:spacing w:line="276" w:lineRule="auto"/>
              <w:jc w:val="left"/>
            </w:pPr>
            <w:r>
              <w:t>Month 7</w:t>
            </w:r>
          </w:p>
        </w:tc>
        <w:tc>
          <w:tcPr>
            <w:tcW w:w="195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0153A10" w14:textId="77777777" w:rsidR="00764FB3" w:rsidRDefault="002D63BA">
            <w:pPr>
              <w:widowControl w:val="0"/>
              <w:spacing w:line="276" w:lineRule="auto"/>
              <w:jc w:val="left"/>
            </w:pPr>
            <w:r>
              <w:t>Month 11</w:t>
            </w:r>
          </w:p>
        </w:tc>
        <w:tc>
          <w:tcPr>
            <w:tcW w:w="18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9614345" w14:textId="77777777" w:rsidR="00764FB3" w:rsidRDefault="002D63BA">
            <w:pPr>
              <w:widowControl w:val="0"/>
              <w:spacing w:line="276" w:lineRule="auto"/>
              <w:jc w:val="right"/>
            </w:pPr>
            <w:r>
              <w:t>5</w:t>
            </w:r>
          </w:p>
        </w:tc>
      </w:tr>
      <w:tr w:rsidR="00764FB3" w14:paraId="3DDCB7F2" w14:textId="77777777">
        <w:trPr>
          <w:trHeight w:val="1035"/>
        </w:trPr>
        <w:tc>
          <w:tcPr>
            <w:tcW w:w="87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64F88FE" w14:textId="77777777" w:rsidR="00764FB3" w:rsidRDefault="002D63BA">
            <w:pPr>
              <w:widowControl w:val="0"/>
              <w:spacing w:line="276" w:lineRule="auto"/>
              <w:jc w:val="right"/>
            </w:pPr>
            <w:r>
              <w:t>6</w:t>
            </w:r>
          </w:p>
        </w:tc>
        <w:tc>
          <w:tcPr>
            <w:tcW w:w="273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44724EF" w14:textId="77777777" w:rsidR="00764FB3" w:rsidRDefault="002D63BA">
            <w:pPr>
              <w:widowControl w:val="0"/>
            </w:pPr>
            <w:r>
              <w:t>Bridge reinforcement and structural repairs</w:t>
            </w:r>
          </w:p>
        </w:tc>
        <w:tc>
          <w:tcPr>
            <w:tcW w:w="17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860A231" w14:textId="77777777" w:rsidR="00764FB3" w:rsidRDefault="002D63BA">
            <w:pPr>
              <w:widowControl w:val="0"/>
              <w:spacing w:line="276" w:lineRule="auto"/>
              <w:jc w:val="left"/>
            </w:pPr>
            <w:r>
              <w:t>Month 9</w:t>
            </w:r>
          </w:p>
        </w:tc>
        <w:tc>
          <w:tcPr>
            <w:tcW w:w="195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E3B0292" w14:textId="77777777" w:rsidR="00764FB3" w:rsidRDefault="002D63BA">
            <w:pPr>
              <w:widowControl w:val="0"/>
              <w:spacing w:line="276" w:lineRule="auto"/>
              <w:jc w:val="left"/>
            </w:pPr>
            <w:r>
              <w:t>Month 12</w:t>
            </w:r>
          </w:p>
        </w:tc>
        <w:tc>
          <w:tcPr>
            <w:tcW w:w="18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8DE93E5" w14:textId="77777777" w:rsidR="00764FB3" w:rsidRDefault="002D63BA">
            <w:pPr>
              <w:widowControl w:val="0"/>
              <w:spacing w:line="276" w:lineRule="auto"/>
              <w:jc w:val="right"/>
            </w:pPr>
            <w:r>
              <w:t>4</w:t>
            </w:r>
          </w:p>
        </w:tc>
      </w:tr>
      <w:tr w:rsidR="00764FB3" w14:paraId="722F992E" w14:textId="77777777">
        <w:trPr>
          <w:trHeight w:val="795"/>
        </w:trPr>
        <w:tc>
          <w:tcPr>
            <w:tcW w:w="87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7898D23" w14:textId="77777777" w:rsidR="00764FB3" w:rsidRDefault="002D63BA">
            <w:pPr>
              <w:widowControl w:val="0"/>
              <w:spacing w:line="276" w:lineRule="auto"/>
              <w:jc w:val="right"/>
            </w:pPr>
            <w:r>
              <w:t>7</w:t>
            </w:r>
          </w:p>
        </w:tc>
        <w:tc>
          <w:tcPr>
            <w:tcW w:w="273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2F869D4" w14:textId="77777777" w:rsidR="00764FB3" w:rsidRDefault="002D63BA">
            <w:pPr>
              <w:widowControl w:val="0"/>
            </w:pPr>
            <w:r>
              <w:t xml:space="preserve">Drainage system </w:t>
            </w:r>
            <w:r>
              <w:lastRenderedPageBreak/>
              <w:t>installation</w:t>
            </w:r>
          </w:p>
        </w:tc>
        <w:tc>
          <w:tcPr>
            <w:tcW w:w="17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F00DC5C" w14:textId="77777777" w:rsidR="00764FB3" w:rsidRDefault="002D63BA">
            <w:pPr>
              <w:widowControl w:val="0"/>
              <w:spacing w:line="276" w:lineRule="auto"/>
              <w:jc w:val="left"/>
            </w:pPr>
            <w:r>
              <w:lastRenderedPageBreak/>
              <w:t>Month 10</w:t>
            </w:r>
          </w:p>
        </w:tc>
        <w:tc>
          <w:tcPr>
            <w:tcW w:w="195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F126FF0" w14:textId="77777777" w:rsidR="00764FB3" w:rsidRDefault="002D63BA">
            <w:pPr>
              <w:widowControl w:val="0"/>
              <w:spacing w:line="276" w:lineRule="auto"/>
              <w:jc w:val="left"/>
            </w:pPr>
            <w:r>
              <w:t>Month 14</w:t>
            </w:r>
          </w:p>
        </w:tc>
        <w:tc>
          <w:tcPr>
            <w:tcW w:w="18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15D4513" w14:textId="77777777" w:rsidR="00764FB3" w:rsidRDefault="002D63BA">
            <w:pPr>
              <w:widowControl w:val="0"/>
              <w:spacing w:line="276" w:lineRule="auto"/>
              <w:jc w:val="right"/>
            </w:pPr>
            <w:r>
              <w:t>5</w:t>
            </w:r>
          </w:p>
        </w:tc>
      </w:tr>
      <w:tr w:rsidR="00764FB3" w14:paraId="21F4BCE5" w14:textId="77777777">
        <w:trPr>
          <w:trHeight w:val="795"/>
        </w:trPr>
        <w:tc>
          <w:tcPr>
            <w:tcW w:w="87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7146B28" w14:textId="77777777" w:rsidR="00764FB3" w:rsidRDefault="002D63BA">
            <w:pPr>
              <w:widowControl w:val="0"/>
              <w:spacing w:line="276" w:lineRule="auto"/>
              <w:jc w:val="right"/>
            </w:pPr>
            <w:r>
              <w:t>8</w:t>
            </w:r>
          </w:p>
        </w:tc>
        <w:tc>
          <w:tcPr>
            <w:tcW w:w="273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55F9CB2" w14:textId="77777777" w:rsidR="00764FB3" w:rsidRDefault="002D63BA">
            <w:pPr>
              <w:widowControl w:val="0"/>
            </w:pPr>
            <w:r>
              <w:t>Flood mitigation infrastructure construction</w:t>
            </w:r>
          </w:p>
        </w:tc>
        <w:tc>
          <w:tcPr>
            <w:tcW w:w="17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00B3739" w14:textId="77777777" w:rsidR="00764FB3" w:rsidRDefault="002D63BA">
            <w:pPr>
              <w:widowControl w:val="0"/>
              <w:spacing w:line="276" w:lineRule="auto"/>
              <w:jc w:val="left"/>
            </w:pPr>
            <w:r>
              <w:t>Month 12</w:t>
            </w:r>
          </w:p>
        </w:tc>
        <w:tc>
          <w:tcPr>
            <w:tcW w:w="195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9526863" w14:textId="77777777" w:rsidR="00764FB3" w:rsidRDefault="002D63BA">
            <w:pPr>
              <w:widowControl w:val="0"/>
              <w:spacing w:line="276" w:lineRule="auto"/>
              <w:jc w:val="left"/>
            </w:pPr>
            <w:r>
              <w:t>Month 15</w:t>
            </w:r>
          </w:p>
        </w:tc>
        <w:tc>
          <w:tcPr>
            <w:tcW w:w="18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97B8045" w14:textId="77777777" w:rsidR="00764FB3" w:rsidRDefault="002D63BA">
            <w:pPr>
              <w:widowControl w:val="0"/>
              <w:spacing w:line="276" w:lineRule="auto"/>
              <w:jc w:val="right"/>
            </w:pPr>
            <w:r>
              <w:t>4</w:t>
            </w:r>
          </w:p>
        </w:tc>
      </w:tr>
      <w:tr w:rsidR="00764FB3" w14:paraId="01F4E79E" w14:textId="77777777">
        <w:trPr>
          <w:trHeight w:val="1035"/>
        </w:trPr>
        <w:tc>
          <w:tcPr>
            <w:tcW w:w="87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4FF7143" w14:textId="77777777" w:rsidR="00764FB3" w:rsidRDefault="002D63BA">
            <w:pPr>
              <w:widowControl w:val="0"/>
              <w:spacing w:line="276" w:lineRule="auto"/>
              <w:jc w:val="right"/>
            </w:pPr>
            <w:r>
              <w:t>9</w:t>
            </w:r>
          </w:p>
        </w:tc>
        <w:tc>
          <w:tcPr>
            <w:tcW w:w="273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6A8E98A" w14:textId="77777777" w:rsidR="00764FB3" w:rsidRDefault="002D63BA">
            <w:pPr>
              <w:widowControl w:val="0"/>
            </w:pPr>
            <w:r>
              <w:t>Safety inspections and infrastructure testing</w:t>
            </w:r>
          </w:p>
        </w:tc>
        <w:tc>
          <w:tcPr>
            <w:tcW w:w="17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9141092" w14:textId="77777777" w:rsidR="00764FB3" w:rsidRDefault="002D63BA">
            <w:pPr>
              <w:widowControl w:val="0"/>
              <w:spacing w:line="276" w:lineRule="auto"/>
              <w:jc w:val="left"/>
            </w:pPr>
            <w:r>
              <w:t>Month 16</w:t>
            </w:r>
          </w:p>
        </w:tc>
        <w:tc>
          <w:tcPr>
            <w:tcW w:w="195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1CCAF25" w14:textId="77777777" w:rsidR="00764FB3" w:rsidRDefault="002D63BA">
            <w:pPr>
              <w:widowControl w:val="0"/>
              <w:spacing w:line="276" w:lineRule="auto"/>
              <w:jc w:val="left"/>
            </w:pPr>
            <w:r>
              <w:t>Month 17</w:t>
            </w:r>
          </w:p>
        </w:tc>
        <w:tc>
          <w:tcPr>
            <w:tcW w:w="18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467ECD1" w14:textId="77777777" w:rsidR="00764FB3" w:rsidRDefault="002D63BA">
            <w:pPr>
              <w:widowControl w:val="0"/>
              <w:spacing w:line="276" w:lineRule="auto"/>
              <w:jc w:val="right"/>
            </w:pPr>
            <w:r>
              <w:t>2</w:t>
            </w:r>
          </w:p>
        </w:tc>
      </w:tr>
      <w:tr w:rsidR="00764FB3" w14:paraId="703B9866" w14:textId="77777777">
        <w:trPr>
          <w:trHeight w:val="795"/>
        </w:trPr>
        <w:tc>
          <w:tcPr>
            <w:tcW w:w="87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B665C23" w14:textId="77777777" w:rsidR="00764FB3" w:rsidRDefault="002D63BA">
            <w:pPr>
              <w:widowControl w:val="0"/>
              <w:spacing w:line="276" w:lineRule="auto"/>
              <w:jc w:val="right"/>
            </w:pPr>
            <w:r>
              <w:t>10</w:t>
            </w:r>
          </w:p>
        </w:tc>
        <w:tc>
          <w:tcPr>
            <w:tcW w:w="273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0E965FD" w14:textId="77777777" w:rsidR="00764FB3" w:rsidRDefault="002D63BA">
            <w:pPr>
              <w:widowControl w:val="0"/>
            </w:pPr>
            <w:r>
              <w:t>Final evaluation and corridor reopening</w:t>
            </w:r>
          </w:p>
        </w:tc>
        <w:tc>
          <w:tcPr>
            <w:tcW w:w="172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4FA5906" w14:textId="77777777" w:rsidR="00764FB3" w:rsidRDefault="002D63BA">
            <w:pPr>
              <w:widowControl w:val="0"/>
              <w:spacing w:line="276" w:lineRule="auto"/>
              <w:jc w:val="left"/>
            </w:pPr>
            <w:r>
              <w:t>Month 18</w:t>
            </w:r>
          </w:p>
        </w:tc>
        <w:tc>
          <w:tcPr>
            <w:tcW w:w="195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3362B45" w14:textId="77777777" w:rsidR="00764FB3" w:rsidRDefault="002D63BA">
            <w:pPr>
              <w:widowControl w:val="0"/>
              <w:spacing w:line="276" w:lineRule="auto"/>
              <w:jc w:val="left"/>
            </w:pPr>
            <w:r>
              <w:t>Month 18</w:t>
            </w:r>
          </w:p>
        </w:tc>
        <w:tc>
          <w:tcPr>
            <w:tcW w:w="1860"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026EC15" w14:textId="77777777" w:rsidR="00764FB3" w:rsidRDefault="002D63BA">
            <w:pPr>
              <w:widowControl w:val="0"/>
              <w:spacing w:line="276" w:lineRule="auto"/>
              <w:jc w:val="right"/>
            </w:pPr>
            <w:r>
              <w:t>1</w:t>
            </w:r>
          </w:p>
        </w:tc>
      </w:tr>
    </w:tbl>
    <w:p w14:paraId="395278CB" w14:textId="77777777" w:rsidR="00764FB3" w:rsidRDefault="00764FB3">
      <w:pPr>
        <w:spacing w:after="160"/>
        <w:rPr>
          <w:b/>
          <w:bCs/>
        </w:rPr>
      </w:pPr>
    </w:p>
    <w:p w14:paraId="2BF0CFA6" w14:textId="77777777" w:rsidR="00764FB3" w:rsidRDefault="002D63BA">
      <w:pPr>
        <w:spacing w:after="160"/>
        <w:rPr>
          <w:b/>
          <w:bCs/>
        </w:rPr>
      </w:pPr>
      <w:r>
        <w:rPr>
          <w:b/>
          <w:bCs/>
        </w:rPr>
        <w:t>7. Stakeholder Involvement</w:t>
      </w:r>
    </w:p>
    <w:p w14:paraId="505AED38" w14:textId="77777777" w:rsidR="00764FB3" w:rsidRDefault="002D63BA">
      <w:pPr>
        <w:spacing w:after="160"/>
        <w:jc w:val="center"/>
        <w:rPr>
          <w:b/>
          <w:bCs/>
        </w:rPr>
      </w:pPr>
      <w:r>
        <w:rPr>
          <w:b/>
          <w:bCs/>
          <w:noProof/>
        </w:rPr>
        <w:drawing>
          <wp:inline distT="114300" distB="114300" distL="114300" distR="114300" wp14:anchorId="4B3A6320" wp14:editId="19F9A336">
            <wp:extent cx="3848100" cy="2733675"/>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848100" cy="2733675"/>
                    </a:xfrm>
                    <a:prstGeom prst="rect">
                      <a:avLst/>
                    </a:prstGeom>
                    <a:ln w="25400">
                      <a:solidFill>
                        <a:srgbClr val="000000"/>
                      </a:solidFill>
                      <a:prstDash val="solid"/>
                    </a:ln>
                  </pic:spPr>
                </pic:pic>
              </a:graphicData>
            </a:graphic>
          </wp:inline>
        </w:drawing>
      </w:r>
    </w:p>
    <w:p w14:paraId="4B4B55FC" w14:textId="77777777" w:rsidR="00764FB3" w:rsidRDefault="002D63BA">
      <w:pPr>
        <w:spacing w:before="240" w:after="240"/>
      </w:pPr>
      <w:r>
        <w:t xml:space="preserve">The presence of stakeholders is a very crucial factor in the efficient execution of the Severn Transport Corridor Reconstruction Project. There are various stakeholders in the project whose contributions to the project will guarantee effective planning, coordination, and execution of the reconstruction activities. Such stakeholders are government agencies, local authorities, infrastructure experts, community individuals, and emergency services. The central role in the project governance and coordination is played by local councils in Worcester, Shrewsbury, and Kidderminster. These powers will be charged with issuance of planning rights, supervision of local infrastructure requirements, and taking care of the fact that the reconstruction activity complies with the policies of regional development. The councils are a conglomerate of approximately 650,000 people who use the transport corridor </w:t>
      </w:r>
      <w:r>
        <w:lastRenderedPageBreak/>
        <w:t>mode of transport, services availability, and in business. Meetings with the council representatives will be conducted on a regular basis to inform them about the project and tackle the issues of the community.</w:t>
      </w:r>
    </w:p>
    <w:p w14:paraId="242E79D1" w14:textId="77777777" w:rsidR="00764FB3" w:rsidRDefault="002D63BA">
      <w:pPr>
        <w:spacing w:before="240" w:after="240"/>
      </w:pPr>
      <w:r>
        <w:t>Another important stakeholder is the Environment Agency, which controls environmental effects and recommends ways to address floods. Its experience will help them make sure that the process of reconstruction is aligned with environmental regulations and accommodate the new infrastructure with flood-resilient designs. Periodic checks will be in place within the construction to check and control the river levels, drainage efficiency, and riverbank stability by the agency. The technical aspects of the project are part of the transport authorities, as well as civil engineering consultants. The structural evaluations, road construction, reinforcement of bridges and installation of drainage systems will be handled by engineering teams (</w:t>
      </w:r>
      <w:r>
        <w:rPr>
          <w:color w:val="222222"/>
        </w:rPr>
        <w:t>Environment Agency, 2025)</w:t>
      </w:r>
      <w:r>
        <w:t xml:space="preserve">. To control these activities, around 60 engineering experts will be engaged in planning and overseeing these processes to address the requirements of the national standards of road safety. The other stakeholders include construction contractors and labour teams, and the number of workers is estimated to be about 320 workers involved in construction activities within the 18 months of the construction project timeframe. </w:t>
      </w:r>
    </w:p>
    <w:p w14:paraId="26041587" w14:textId="77777777" w:rsidR="00764FB3" w:rsidRDefault="002D63BA">
      <w:pPr>
        <w:pStyle w:val="Heading2"/>
        <w:keepNext w:val="0"/>
        <w:keepLines w:val="0"/>
        <w:spacing w:before="480" w:after="120"/>
      </w:pPr>
      <w:bookmarkStart w:id="16" w:name="_heading=h.flk36pewao18" w:colFirst="0" w:colLast="0"/>
      <w:bookmarkStart w:id="17" w:name="_Toc224061520"/>
      <w:bookmarkEnd w:id="16"/>
      <w:r>
        <w:t>8. Allocation of Resources</w:t>
      </w:r>
      <w:bookmarkEnd w:id="17"/>
    </w:p>
    <w:p w14:paraId="05BAA447" w14:textId="77777777" w:rsidR="00764FB3" w:rsidRDefault="002D63BA">
      <w:pPr>
        <w:spacing w:before="240" w:after="240"/>
      </w:pPr>
      <w:r>
        <w:t xml:space="preserve">Resource allocation plays a vital role in making sure that the project will be completed in an efficient and planned manner. There are 12 project managers and senior engineers in the human resources department who </w:t>
      </w:r>
      <w:proofErr w:type="gramStart"/>
      <w:r>
        <w:t>are in charge of</w:t>
      </w:r>
      <w:proofErr w:type="gramEnd"/>
      <w:r>
        <w:t xml:space="preserve"> the reconstruction process. A further 48 civil engineers will </w:t>
      </w:r>
      <w:proofErr w:type="gramStart"/>
      <w:r>
        <w:t>be in charge of</w:t>
      </w:r>
      <w:proofErr w:type="gramEnd"/>
      <w:r>
        <w:t xml:space="preserve"> structural design and safety checks (OECD, 2020). The labour force will consist of about 260 competent labourers, equipment operators, and technicians to perform construction work. The budget of the project is made up of financial resources amounting to 120 million pounds. Construction materials of about £82 </w:t>
      </w:r>
      <w:proofErr w:type="gramStart"/>
      <w:r>
        <w:t>million,,</w:t>
      </w:r>
      <w:proofErr w:type="gramEnd"/>
      <w:r>
        <w:t xml:space="preserve"> which include reinforced concrete, steel structures, asphalt and drainage systems, are used. The equipment facilities have 24 heavy construction pieces of equipment  such as excavators, bulldozers and asphalt paving machines. These machines will be used in various construction sites in the corridor (</w:t>
      </w:r>
      <w:r>
        <w:rPr>
          <w:color w:val="222222"/>
        </w:rPr>
        <w:t>National Audit Office, 2023)</w:t>
      </w:r>
      <w:r>
        <w:t xml:space="preserve">. The material resources will be 90 tonnes of asphalt, 12,000 cubic metres of reinforced concrete and 3,500 metres of high-capacity drainage pipes. Equipment that measures the environment will also be deployed to measure </w:t>
      </w:r>
      <w:r>
        <w:lastRenderedPageBreak/>
        <w:t xml:space="preserve">the river depth, the stability of the soil, and the probable effects of construction on the environment. </w:t>
      </w:r>
    </w:p>
    <w:p w14:paraId="643CEF2A" w14:textId="77777777" w:rsidR="00764FB3" w:rsidRDefault="002D63BA">
      <w:pPr>
        <w:pStyle w:val="Heading2"/>
        <w:spacing w:before="240" w:after="240"/>
      </w:pPr>
      <w:bookmarkStart w:id="18" w:name="_heading=h.r5ggupjs0fgh" w:colFirst="0" w:colLast="0"/>
      <w:bookmarkStart w:id="19" w:name="_Toc224061521"/>
      <w:bookmarkEnd w:id="18"/>
      <w:r>
        <w:t>9. Risk Analysis</w:t>
      </w:r>
      <w:bookmarkEnd w:id="19"/>
    </w:p>
    <w:p w14:paraId="10B00104" w14:textId="77777777" w:rsidR="00764FB3" w:rsidRDefault="00764FB3">
      <w:pPr>
        <w:spacing w:after="160"/>
      </w:pPr>
    </w:p>
    <w:tbl>
      <w:tblPr>
        <w:tblStyle w:val="afe"/>
        <w:tblW w:w="11685" w:type="dxa"/>
        <w:tblInd w:w="-1245" w:type="dxa"/>
        <w:tblBorders>
          <w:top w:val="nil"/>
          <w:left w:val="nil"/>
          <w:bottom w:val="nil"/>
          <w:right w:val="nil"/>
          <w:insideH w:val="nil"/>
          <w:insideV w:val="nil"/>
        </w:tblBorders>
        <w:tblLayout w:type="fixed"/>
        <w:tblLook w:val="0600" w:firstRow="0" w:lastRow="0" w:firstColumn="0" w:lastColumn="0" w:noHBand="1" w:noVBand="1"/>
      </w:tblPr>
      <w:tblGrid>
        <w:gridCol w:w="855"/>
        <w:gridCol w:w="4005"/>
        <w:gridCol w:w="1065"/>
        <w:gridCol w:w="855"/>
        <w:gridCol w:w="735"/>
        <w:gridCol w:w="4170"/>
      </w:tblGrid>
      <w:tr w:rsidR="00764FB3" w14:paraId="77B8A04E" w14:textId="77777777">
        <w:trPr>
          <w:trHeight w:val="555"/>
        </w:trPr>
        <w:tc>
          <w:tcPr>
            <w:tcW w:w="8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B23B95D" w14:textId="77777777" w:rsidR="00764FB3" w:rsidRDefault="002D63BA">
            <w:pPr>
              <w:widowControl w:val="0"/>
              <w:spacing w:line="276" w:lineRule="auto"/>
              <w:jc w:val="center"/>
            </w:pPr>
            <w:r>
              <w:rPr>
                <w:b/>
                <w:bCs/>
              </w:rPr>
              <w:t>Risk ID</w:t>
            </w:r>
          </w:p>
        </w:tc>
        <w:tc>
          <w:tcPr>
            <w:tcW w:w="40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48B067E" w14:textId="77777777" w:rsidR="00764FB3" w:rsidRDefault="002D63BA">
            <w:pPr>
              <w:widowControl w:val="0"/>
              <w:spacing w:line="276" w:lineRule="auto"/>
              <w:jc w:val="center"/>
            </w:pPr>
            <w:r>
              <w:rPr>
                <w:b/>
                <w:bCs/>
              </w:rPr>
              <w:t>Risk Description</w:t>
            </w:r>
          </w:p>
        </w:tc>
        <w:tc>
          <w:tcPr>
            <w:tcW w:w="106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484E437" w14:textId="77777777" w:rsidR="00764FB3" w:rsidRDefault="002D63BA">
            <w:pPr>
              <w:widowControl w:val="0"/>
              <w:spacing w:line="276" w:lineRule="auto"/>
              <w:jc w:val="center"/>
            </w:pPr>
            <w:r>
              <w:rPr>
                <w:b/>
                <w:bCs/>
              </w:rPr>
              <w:t>Likelihood</w:t>
            </w:r>
          </w:p>
        </w:tc>
        <w:tc>
          <w:tcPr>
            <w:tcW w:w="8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9340706" w14:textId="77777777" w:rsidR="00764FB3" w:rsidRDefault="002D63BA">
            <w:pPr>
              <w:widowControl w:val="0"/>
              <w:spacing w:line="276" w:lineRule="auto"/>
              <w:jc w:val="center"/>
            </w:pPr>
            <w:r>
              <w:rPr>
                <w:b/>
                <w:bCs/>
              </w:rPr>
              <w:t>Impact</w:t>
            </w:r>
          </w:p>
        </w:tc>
        <w:tc>
          <w:tcPr>
            <w:tcW w:w="7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BFE1A04" w14:textId="77777777" w:rsidR="00764FB3" w:rsidRDefault="002D63BA">
            <w:pPr>
              <w:widowControl w:val="0"/>
              <w:spacing w:line="276" w:lineRule="auto"/>
              <w:jc w:val="center"/>
            </w:pPr>
            <w:r>
              <w:rPr>
                <w:b/>
                <w:bCs/>
              </w:rPr>
              <w:t>Risk Level</w:t>
            </w:r>
          </w:p>
        </w:tc>
        <w:tc>
          <w:tcPr>
            <w:tcW w:w="417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4E38E511" w14:textId="77777777" w:rsidR="00764FB3" w:rsidRDefault="002D63BA">
            <w:pPr>
              <w:widowControl w:val="0"/>
              <w:spacing w:line="276" w:lineRule="auto"/>
              <w:ind w:left="-9020" w:right="-9020"/>
              <w:jc w:val="center"/>
              <w:rPr>
                <w:b/>
                <w:bCs/>
              </w:rPr>
            </w:pPr>
            <w:r>
              <w:rPr>
                <w:b/>
                <w:bCs/>
              </w:rPr>
              <w:t>Mitigation Strategy</w:t>
            </w:r>
          </w:p>
        </w:tc>
      </w:tr>
      <w:tr w:rsidR="00764FB3" w14:paraId="2DB1E3E8" w14:textId="77777777">
        <w:trPr>
          <w:trHeight w:val="2715"/>
        </w:trPr>
        <w:tc>
          <w:tcPr>
            <w:tcW w:w="8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0EAB618" w14:textId="77777777" w:rsidR="00764FB3" w:rsidRDefault="002D63BA">
            <w:pPr>
              <w:widowControl w:val="0"/>
              <w:spacing w:line="276" w:lineRule="auto"/>
              <w:jc w:val="left"/>
            </w:pPr>
            <w:r>
              <w:t>R1</w:t>
            </w:r>
          </w:p>
        </w:tc>
        <w:tc>
          <w:tcPr>
            <w:tcW w:w="40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7585D9B" w14:textId="77777777" w:rsidR="00764FB3" w:rsidRDefault="002D63BA">
            <w:pPr>
              <w:widowControl w:val="0"/>
            </w:pPr>
            <w:r>
              <w:t>Extreme weather conditions as heavy rainfall during the construction period, may delay road reconstruction and bridge repair activities.</w:t>
            </w:r>
          </w:p>
        </w:tc>
        <w:tc>
          <w:tcPr>
            <w:tcW w:w="106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40BE791" w14:textId="77777777" w:rsidR="00764FB3" w:rsidRDefault="002D63BA">
            <w:pPr>
              <w:widowControl w:val="0"/>
            </w:pPr>
            <w:r>
              <w:t>Medium</w:t>
            </w:r>
          </w:p>
        </w:tc>
        <w:tc>
          <w:tcPr>
            <w:tcW w:w="8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7BF65F6" w14:textId="77777777" w:rsidR="00764FB3" w:rsidRDefault="002D63BA">
            <w:pPr>
              <w:widowControl w:val="0"/>
            </w:pPr>
            <w:r>
              <w:t>High</w:t>
            </w:r>
          </w:p>
        </w:tc>
        <w:tc>
          <w:tcPr>
            <w:tcW w:w="7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4B788BB" w14:textId="77777777" w:rsidR="00764FB3" w:rsidRDefault="002D63BA">
            <w:pPr>
              <w:widowControl w:val="0"/>
            </w:pPr>
            <w:r>
              <w:t>High</w:t>
            </w:r>
          </w:p>
        </w:tc>
        <w:tc>
          <w:tcPr>
            <w:tcW w:w="417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100512E0" w14:textId="77777777" w:rsidR="00764FB3" w:rsidRDefault="002D63BA">
            <w:pPr>
              <w:widowControl w:val="0"/>
            </w:pPr>
            <w:r>
              <w:t>Schedule construction activities during relatively stable weather periods and include a buffer time of 2 months in the project schedule. Continuous monitoring of weather forecasts will support planning adjustments.</w:t>
            </w:r>
          </w:p>
        </w:tc>
      </w:tr>
      <w:tr w:rsidR="00764FB3" w14:paraId="33931A8D" w14:textId="77777777">
        <w:trPr>
          <w:trHeight w:val="2235"/>
        </w:trPr>
        <w:tc>
          <w:tcPr>
            <w:tcW w:w="8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C810E87" w14:textId="77777777" w:rsidR="00764FB3" w:rsidRDefault="002D63BA">
            <w:pPr>
              <w:widowControl w:val="0"/>
              <w:spacing w:line="276" w:lineRule="auto"/>
              <w:jc w:val="left"/>
            </w:pPr>
            <w:r>
              <w:t>R2</w:t>
            </w:r>
          </w:p>
        </w:tc>
        <w:tc>
          <w:tcPr>
            <w:tcW w:w="40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E172351" w14:textId="77777777" w:rsidR="00764FB3" w:rsidRDefault="002D63BA">
            <w:pPr>
              <w:widowControl w:val="0"/>
            </w:pPr>
            <w:r>
              <w:t>Structural instability in bridges or road foundations due to previous flood damage may increase reconstruction complexity.</w:t>
            </w:r>
          </w:p>
        </w:tc>
        <w:tc>
          <w:tcPr>
            <w:tcW w:w="106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8B29ED5" w14:textId="77777777" w:rsidR="00764FB3" w:rsidRDefault="002D63BA">
            <w:pPr>
              <w:widowControl w:val="0"/>
            </w:pPr>
            <w:r>
              <w:t>Medium</w:t>
            </w:r>
          </w:p>
        </w:tc>
        <w:tc>
          <w:tcPr>
            <w:tcW w:w="8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7844B5C" w14:textId="77777777" w:rsidR="00764FB3" w:rsidRDefault="002D63BA">
            <w:pPr>
              <w:widowControl w:val="0"/>
            </w:pPr>
            <w:r>
              <w:t>High</w:t>
            </w:r>
          </w:p>
        </w:tc>
        <w:tc>
          <w:tcPr>
            <w:tcW w:w="7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94BFD89" w14:textId="77777777" w:rsidR="00764FB3" w:rsidRDefault="002D63BA">
            <w:pPr>
              <w:widowControl w:val="0"/>
            </w:pPr>
            <w:r>
              <w:t>High</w:t>
            </w:r>
          </w:p>
        </w:tc>
        <w:tc>
          <w:tcPr>
            <w:tcW w:w="417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634A4703" w14:textId="77777777" w:rsidR="00764FB3" w:rsidRDefault="002D63BA">
            <w:pPr>
              <w:widowControl w:val="0"/>
            </w:pPr>
            <w:r>
              <w:t>Conduct detailed engineering inspections and structural assessments before reconstruction begins. Use reinforced concrete piles and steel supports to strengthen foundations (</w:t>
            </w:r>
            <w:r>
              <w:rPr>
                <w:color w:val="222222"/>
              </w:rPr>
              <w:t>Iliadis, Glenis, and Kilsby, 2023)</w:t>
            </w:r>
            <w:r>
              <w:t>.</w:t>
            </w:r>
          </w:p>
        </w:tc>
      </w:tr>
      <w:tr w:rsidR="00764FB3" w14:paraId="70C0B86A" w14:textId="77777777">
        <w:trPr>
          <w:trHeight w:val="2235"/>
        </w:trPr>
        <w:tc>
          <w:tcPr>
            <w:tcW w:w="8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D6E729C" w14:textId="77777777" w:rsidR="00764FB3" w:rsidRDefault="002D63BA">
            <w:pPr>
              <w:widowControl w:val="0"/>
              <w:spacing w:line="276" w:lineRule="auto"/>
              <w:jc w:val="left"/>
            </w:pPr>
            <w:r>
              <w:t>R3</w:t>
            </w:r>
          </w:p>
        </w:tc>
        <w:tc>
          <w:tcPr>
            <w:tcW w:w="40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12F86EB" w14:textId="77777777" w:rsidR="00764FB3" w:rsidRDefault="002D63BA">
            <w:pPr>
              <w:widowControl w:val="0"/>
            </w:pPr>
            <w:r>
              <w:t xml:space="preserve">An increase in construction material costs, such as steel, asphalt, and </w:t>
            </w:r>
            <w:proofErr w:type="spellStart"/>
            <w:r>
              <w:t>concrete,it</w:t>
            </w:r>
            <w:proofErr w:type="spellEnd"/>
            <w:r>
              <w:t xml:space="preserve"> may affect the project budget of £120 million.</w:t>
            </w:r>
          </w:p>
        </w:tc>
        <w:tc>
          <w:tcPr>
            <w:tcW w:w="106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7579A59" w14:textId="77777777" w:rsidR="00764FB3" w:rsidRDefault="002D63BA">
            <w:pPr>
              <w:widowControl w:val="0"/>
            </w:pPr>
            <w:r>
              <w:t>Medium</w:t>
            </w:r>
          </w:p>
        </w:tc>
        <w:tc>
          <w:tcPr>
            <w:tcW w:w="8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6C90BEC" w14:textId="77777777" w:rsidR="00764FB3" w:rsidRDefault="002D63BA">
            <w:pPr>
              <w:widowControl w:val="0"/>
            </w:pPr>
            <w:r>
              <w:t>Medium</w:t>
            </w:r>
          </w:p>
        </w:tc>
        <w:tc>
          <w:tcPr>
            <w:tcW w:w="7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9DB1591" w14:textId="77777777" w:rsidR="00764FB3" w:rsidRDefault="002D63BA">
            <w:pPr>
              <w:widowControl w:val="0"/>
            </w:pPr>
            <w:r>
              <w:t>Medium</w:t>
            </w:r>
          </w:p>
        </w:tc>
        <w:tc>
          <w:tcPr>
            <w:tcW w:w="417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24D7400B" w14:textId="77777777" w:rsidR="00764FB3" w:rsidRDefault="002D63BA">
            <w:pPr>
              <w:widowControl w:val="0"/>
            </w:pPr>
            <w:r>
              <w:t>Establish long-term procurement contracts with suppliers and allocate contingency funds of £8 million to manage cost fluctuations.</w:t>
            </w:r>
          </w:p>
        </w:tc>
      </w:tr>
      <w:tr w:rsidR="00764FB3" w14:paraId="758FC15E" w14:textId="77777777">
        <w:trPr>
          <w:trHeight w:val="2475"/>
        </w:trPr>
        <w:tc>
          <w:tcPr>
            <w:tcW w:w="8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C6FB338" w14:textId="77777777" w:rsidR="00764FB3" w:rsidRDefault="002D63BA">
            <w:pPr>
              <w:widowControl w:val="0"/>
              <w:spacing w:line="276" w:lineRule="auto"/>
              <w:jc w:val="left"/>
            </w:pPr>
            <w:r>
              <w:t>R4</w:t>
            </w:r>
          </w:p>
        </w:tc>
        <w:tc>
          <w:tcPr>
            <w:tcW w:w="40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543B36CC" w14:textId="77777777" w:rsidR="00764FB3" w:rsidRDefault="002D63BA">
            <w:pPr>
              <w:widowControl w:val="0"/>
            </w:pPr>
            <w:r>
              <w:t xml:space="preserve">Delays in equipment delivery or shortage of construction </w:t>
            </w:r>
            <w:proofErr w:type="gramStart"/>
            <w:r>
              <w:t>machinery,,</w:t>
            </w:r>
            <w:proofErr w:type="gramEnd"/>
            <w:r>
              <w:t xml:space="preserve"> such as excavators and asphalt paving machines.</w:t>
            </w:r>
          </w:p>
        </w:tc>
        <w:tc>
          <w:tcPr>
            <w:tcW w:w="106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7EB20693" w14:textId="77777777" w:rsidR="00764FB3" w:rsidRDefault="002D63BA">
            <w:pPr>
              <w:widowControl w:val="0"/>
            </w:pPr>
            <w:r>
              <w:t>Low</w:t>
            </w:r>
          </w:p>
        </w:tc>
        <w:tc>
          <w:tcPr>
            <w:tcW w:w="8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EB326C6" w14:textId="77777777" w:rsidR="00764FB3" w:rsidRDefault="002D63BA">
            <w:pPr>
              <w:widowControl w:val="0"/>
            </w:pPr>
            <w:r>
              <w:t>Medium</w:t>
            </w:r>
          </w:p>
        </w:tc>
        <w:tc>
          <w:tcPr>
            <w:tcW w:w="7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9E326AA" w14:textId="77777777" w:rsidR="00764FB3" w:rsidRDefault="002D63BA">
            <w:pPr>
              <w:widowControl w:val="0"/>
            </w:pPr>
            <w:r>
              <w:t>Low</w:t>
            </w:r>
          </w:p>
        </w:tc>
        <w:tc>
          <w:tcPr>
            <w:tcW w:w="417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6A4F0C17" w14:textId="77777777" w:rsidR="00764FB3" w:rsidRDefault="002D63BA">
            <w:pPr>
              <w:widowControl w:val="0"/>
            </w:pPr>
            <w:r>
              <w:t>Secure equipment contracts early and maintain backup agreements with equipment rental suppliers.</w:t>
            </w:r>
          </w:p>
        </w:tc>
      </w:tr>
      <w:tr w:rsidR="00764FB3" w14:paraId="03FFE37D" w14:textId="77777777">
        <w:trPr>
          <w:trHeight w:val="2475"/>
        </w:trPr>
        <w:tc>
          <w:tcPr>
            <w:tcW w:w="8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6FA2C62" w14:textId="77777777" w:rsidR="00764FB3" w:rsidRDefault="002D63BA">
            <w:pPr>
              <w:widowControl w:val="0"/>
              <w:spacing w:line="276" w:lineRule="auto"/>
              <w:jc w:val="left"/>
            </w:pPr>
            <w:r>
              <w:lastRenderedPageBreak/>
              <w:t>R5</w:t>
            </w:r>
          </w:p>
        </w:tc>
        <w:tc>
          <w:tcPr>
            <w:tcW w:w="40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685818B" w14:textId="77777777" w:rsidR="00764FB3" w:rsidRDefault="002D63BA">
            <w:pPr>
              <w:widowControl w:val="0"/>
            </w:pPr>
            <w:r>
              <w:t>Environmental risks such as riverbank erosion or disturbance to aquatic ecosystems during construction activities.</w:t>
            </w:r>
          </w:p>
        </w:tc>
        <w:tc>
          <w:tcPr>
            <w:tcW w:w="106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2AC79873" w14:textId="77777777" w:rsidR="00764FB3" w:rsidRDefault="002D63BA">
            <w:pPr>
              <w:widowControl w:val="0"/>
            </w:pPr>
            <w:r>
              <w:t>Medium</w:t>
            </w:r>
          </w:p>
        </w:tc>
        <w:tc>
          <w:tcPr>
            <w:tcW w:w="8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6303D48" w14:textId="77777777" w:rsidR="00764FB3" w:rsidRDefault="002D63BA">
            <w:pPr>
              <w:widowControl w:val="0"/>
            </w:pPr>
            <w:r>
              <w:t>Medium</w:t>
            </w:r>
          </w:p>
        </w:tc>
        <w:tc>
          <w:tcPr>
            <w:tcW w:w="7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3ABD443" w14:textId="77777777" w:rsidR="00764FB3" w:rsidRDefault="002D63BA">
            <w:pPr>
              <w:widowControl w:val="0"/>
            </w:pPr>
            <w:r>
              <w:t>Medium</w:t>
            </w:r>
          </w:p>
        </w:tc>
        <w:tc>
          <w:tcPr>
            <w:tcW w:w="417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31FAF7C4" w14:textId="77777777" w:rsidR="00764FB3" w:rsidRDefault="002D63BA">
            <w:pPr>
              <w:widowControl w:val="0"/>
            </w:pPr>
            <w:r>
              <w:t>Conduct environmental impact monitoring and ensure that all construction activities follow Environment Agency regulations. Install temporary protective barriers near riverbanks.</w:t>
            </w:r>
          </w:p>
        </w:tc>
      </w:tr>
      <w:tr w:rsidR="00764FB3" w14:paraId="26364F4E" w14:textId="77777777">
        <w:trPr>
          <w:trHeight w:val="1995"/>
        </w:trPr>
        <w:tc>
          <w:tcPr>
            <w:tcW w:w="8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AC6D841" w14:textId="77777777" w:rsidR="00764FB3" w:rsidRDefault="002D63BA">
            <w:pPr>
              <w:widowControl w:val="0"/>
              <w:spacing w:line="276" w:lineRule="auto"/>
              <w:jc w:val="left"/>
            </w:pPr>
            <w:r>
              <w:t>R6</w:t>
            </w:r>
          </w:p>
        </w:tc>
        <w:tc>
          <w:tcPr>
            <w:tcW w:w="400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0962DEAD" w14:textId="77777777" w:rsidR="00764FB3" w:rsidRDefault="002D63BA">
            <w:pPr>
              <w:widowControl w:val="0"/>
            </w:pPr>
            <w:r>
              <w:t>Health and safety hazards for workers operating heavy machinery and working near flood-affected areas.</w:t>
            </w:r>
          </w:p>
        </w:tc>
        <w:tc>
          <w:tcPr>
            <w:tcW w:w="106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1055B01" w14:textId="77777777" w:rsidR="00764FB3" w:rsidRDefault="002D63BA">
            <w:pPr>
              <w:widowControl w:val="0"/>
            </w:pPr>
            <w:r>
              <w:t>Medium</w:t>
            </w:r>
          </w:p>
        </w:tc>
        <w:tc>
          <w:tcPr>
            <w:tcW w:w="85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5810C22" w14:textId="77777777" w:rsidR="00764FB3" w:rsidRDefault="002D63BA">
            <w:pPr>
              <w:widowControl w:val="0"/>
            </w:pPr>
            <w:r>
              <w:t>High</w:t>
            </w:r>
          </w:p>
        </w:tc>
        <w:tc>
          <w:tcPr>
            <w:tcW w:w="735"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2BB34DE" w14:textId="77777777" w:rsidR="00764FB3" w:rsidRDefault="002D63BA">
            <w:pPr>
              <w:widowControl w:val="0"/>
            </w:pPr>
            <w:r>
              <w:t>High</w:t>
            </w:r>
          </w:p>
        </w:tc>
        <w:tc>
          <w:tcPr>
            <w:tcW w:w="4170" w:type="dxa"/>
            <w:tcBorders>
              <w:top w:val="single" w:sz="5" w:space="0" w:color="000000"/>
              <w:left w:val="single" w:sz="5" w:space="0" w:color="000000"/>
              <w:bottom w:val="single" w:sz="5" w:space="0" w:color="000000"/>
              <w:right w:val="single" w:sz="5" w:space="0" w:color="000000"/>
            </w:tcBorders>
            <w:tcMar>
              <w:top w:w="40" w:type="dxa"/>
              <w:left w:w="0" w:type="dxa"/>
              <w:bottom w:w="40" w:type="dxa"/>
              <w:right w:w="0" w:type="dxa"/>
            </w:tcMar>
            <w:vAlign w:val="bottom"/>
          </w:tcPr>
          <w:p w14:paraId="52E7EB2F" w14:textId="77777777" w:rsidR="00764FB3" w:rsidRDefault="002D63BA">
            <w:pPr>
              <w:widowControl w:val="0"/>
            </w:pPr>
            <w:r>
              <w:t>Implement strict safety procedures, provide training programs for approximately 320 construction workers, and ensure the use of protective equipment at all construction sites.</w:t>
            </w:r>
          </w:p>
        </w:tc>
      </w:tr>
    </w:tbl>
    <w:p w14:paraId="0C8D2607" w14:textId="77777777" w:rsidR="00764FB3" w:rsidRDefault="00764FB3">
      <w:pPr>
        <w:spacing w:after="160"/>
      </w:pPr>
    </w:p>
    <w:p w14:paraId="1DF880FC" w14:textId="77777777" w:rsidR="00764FB3" w:rsidRDefault="002D63BA">
      <w:pPr>
        <w:pStyle w:val="Heading1"/>
      </w:pPr>
      <w:bookmarkStart w:id="20" w:name="_heading=h.2zvhbtnwxsgb" w:colFirst="0" w:colLast="0"/>
      <w:bookmarkStart w:id="21" w:name="_Toc224061522"/>
      <w:bookmarkEnd w:id="20"/>
      <w:r>
        <w:t>10. Conclusion</w:t>
      </w:r>
      <w:bookmarkEnd w:id="21"/>
    </w:p>
    <w:p w14:paraId="6178FDFD" w14:textId="77777777" w:rsidR="00764FB3" w:rsidRDefault="002D63BA">
      <w:pPr>
        <w:spacing w:before="240" w:after="240"/>
      </w:pPr>
      <w:r>
        <w:t xml:space="preserve">The river flooding that occurred in the region in July 2025 in the West Midlands had severe effects on the transport infrastructure that disrupted portions of Newswire along the River Severn, further impacting the movement, economic actions, and capabilities of responding to crises. The Severn Transport Corridor Reconstruction Project will enhance and restore a strategic transport path between Worcester and Shrewsbury and other towns. The project management plan suggests a phase-by-phase process of rebuilding the infrastructure, which is already damaged, through planning, liaising with the stakeholders and determining the </w:t>
      </w:r>
      <w:proofErr w:type="gramStart"/>
      <w:r>
        <w:t>manner in which</w:t>
      </w:r>
      <w:proofErr w:type="gramEnd"/>
      <w:r>
        <w:t xml:space="preserve"> the risk could be treated. The project will reconstruct 42 kilometres of road, reinforce three bridges and install superior drainage systems, which will be </w:t>
      </w:r>
      <w:proofErr w:type="gramStart"/>
      <w:r>
        <w:t>in a position</w:t>
      </w:r>
      <w:proofErr w:type="gramEnd"/>
      <w:r>
        <w:t xml:space="preserve"> to contain high amounts of flood water. The estimated budget of the reconstruction project of 120million pounds and 18 </w:t>
      </w:r>
      <w:proofErr w:type="spellStart"/>
      <w:r>
        <w:t>months</w:t>
      </w:r>
      <w:proofErr w:type="spellEnd"/>
      <w:r>
        <w:t xml:space="preserve"> timeframe of completion will restore the normal levels of security transport of approximately 28000 vehicles each day. </w:t>
      </w:r>
    </w:p>
    <w:p w14:paraId="79B4C6D2" w14:textId="77777777" w:rsidR="00212BB9" w:rsidRDefault="00212BB9">
      <w:pPr>
        <w:rPr>
          <w:b/>
          <w:bCs/>
          <w:sz w:val="28"/>
          <w:szCs w:val="28"/>
        </w:rPr>
      </w:pPr>
      <w:bookmarkStart w:id="22" w:name="_heading=h.yfix48qdweqt" w:colFirst="0" w:colLast="0"/>
      <w:bookmarkStart w:id="23" w:name="_Toc224061523"/>
      <w:bookmarkEnd w:id="22"/>
      <w:r>
        <w:br w:type="page"/>
      </w:r>
    </w:p>
    <w:p w14:paraId="273C666B" w14:textId="77777777" w:rsidR="00764FB3" w:rsidRDefault="002D63BA">
      <w:pPr>
        <w:pStyle w:val="Heading1"/>
        <w:spacing w:after="160"/>
      </w:pPr>
      <w:r>
        <w:lastRenderedPageBreak/>
        <w:t>Reference List</w:t>
      </w:r>
      <w:bookmarkEnd w:id="23"/>
    </w:p>
    <w:p w14:paraId="5331E1B9" w14:textId="77777777" w:rsidR="00212BB9" w:rsidRDefault="00212BB9">
      <w:pPr>
        <w:spacing w:after="160"/>
      </w:pPr>
      <w:r>
        <w:t xml:space="preserve">Bates, P. and Neal, J. (2021) </w:t>
      </w:r>
      <w:r>
        <w:rPr>
          <w:i/>
          <w:iCs/>
        </w:rPr>
        <w:t>Transforming global flood risk management through advanced modelling.</w:t>
      </w:r>
      <w:r>
        <w:t xml:space="preserve"> University of Bristol Research Impact. Available at:</w:t>
      </w:r>
      <w:hyperlink r:id="rId12">
        <w:r>
          <w:t xml:space="preserve"> </w:t>
        </w:r>
      </w:hyperlink>
      <w:hyperlink r:id="rId13">
        <w:r>
          <w:rPr>
            <w:color w:val="1155CC"/>
            <w:u w:val="single"/>
          </w:rPr>
          <w:t>https://www.bristol.ac.uk/research/impact/transforming-global-flood-risk-management/</w:t>
        </w:r>
      </w:hyperlink>
      <w:r>
        <w:t xml:space="preserve"> (Accessed: 10 March 2026).</w:t>
      </w:r>
    </w:p>
    <w:p w14:paraId="3BAD61A8" w14:textId="77777777" w:rsidR="00212BB9" w:rsidRDefault="00212BB9">
      <w:pPr>
        <w:spacing w:after="160"/>
      </w:pPr>
      <w:r>
        <w:t>Burley, S.D., Radley, J.D. and Coram, R.A., 2023. ‘A hard rain's a‐</w:t>
      </w:r>
      <w:proofErr w:type="spellStart"/>
      <w:r>
        <w:t>gonna</w:t>
      </w:r>
      <w:proofErr w:type="spellEnd"/>
      <w:r>
        <w:t xml:space="preserve"> fall’: torrential rain, flash floods and desert lakes in the Late Triassic Arden Sandstone of Central England. Geology Today, 39(3), pp.90-98.</w:t>
      </w:r>
      <w:hyperlink r:id="rId14">
        <w:r>
          <w:rPr>
            <w:color w:val="1155CC"/>
            <w:u w:val="single"/>
          </w:rPr>
          <w:t>https://onlinelibrary.wiley.com/doi/abs/10.1111/gto.12430</w:t>
        </w:r>
      </w:hyperlink>
      <w:r>
        <w:t xml:space="preserve"> </w:t>
      </w:r>
    </w:p>
    <w:p w14:paraId="05882FA5" w14:textId="77777777" w:rsidR="00212BB9" w:rsidRDefault="00212BB9">
      <w:pPr>
        <w:spacing w:after="160"/>
      </w:pPr>
      <w:r>
        <w:t xml:space="preserve">Chan, W., Armitage, R., Howson, T., Bambrick, C. and </w:t>
      </w:r>
      <w:proofErr w:type="spellStart"/>
      <w:r>
        <w:t>Clemas</w:t>
      </w:r>
      <w:proofErr w:type="spellEnd"/>
      <w:r>
        <w:t>, S., 2025. Hydrological summary for the United Kingdom: August 2025.</w:t>
      </w:r>
      <w:hyperlink r:id="rId15">
        <w:r>
          <w:rPr>
            <w:color w:val="1155CC"/>
            <w:u w:val="single"/>
          </w:rPr>
          <w:t>https://nora.nerc.ac.uk/id/</w:t>
        </w:r>
        <w:proofErr w:type="spellStart"/>
        <w:r>
          <w:rPr>
            <w:color w:val="1155CC"/>
            <w:u w:val="single"/>
          </w:rPr>
          <w:t>eprint</w:t>
        </w:r>
        <w:proofErr w:type="spellEnd"/>
        <w:r>
          <w:rPr>
            <w:color w:val="1155CC"/>
            <w:u w:val="single"/>
          </w:rPr>
          <w:t>/540231/</w:t>
        </w:r>
      </w:hyperlink>
      <w:r>
        <w:t xml:space="preserve"> </w:t>
      </w:r>
    </w:p>
    <w:p w14:paraId="5498769A" w14:textId="77777777" w:rsidR="00212BB9" w:rsidRDefault="00212BB9">
      <w:pPr>
        <w:spacing w:after="160"/>
      </w:pPr>
      <w:r>
        <w:t xml:space="preserve">Costa, M., Vandervoort, A., Schmidt, C., Petersen, M., Morrissey, K. and Pereira, F. (2026) </w:t>
      </w:r>
      <w:r>
        <w:rPr>
          <w:i/>
          <w:iCs/>
        </w:rPr>
        <w:t>Learning long-term climate-resilient transport adaptation pathways under flood impacts.</w:t>
      </w:r>
      <w:r>
        <w:t xml:space="preserve"> Available at:</w:t>
      </w:r>
      <w:hyperlink r:id="rId16">
        <w:r>
          <w:t xml:space="preserve"> </w:t>
        </w:r>
      </w:hyperlink>
      <w:hyperlink r:id="rId17">
        <w:r>
          <w:rPr>
            <w:color w:val="1155CC"/>
            <w:u w:val="single"/>
          </w:rPr>
          <w:t>https://arxiv.org/abs/2601.18586</w:t>
        </w:r>
      </w:hyperlink>
      <w:r>
        <w:t xml:space="preserve"> </w:t>
      </w:r>
    </w:p>
    <w:p w14:paraId="780ACB7B" w14:textId="77777777" w:rsidR="00212BB9" w:rsidRDefault="00212BB9">
      <w:pPr>
        <w:spacing w:after="160"/>
      </w:pPr>
      <w:proofErr w:type="spellStart"/>
      <w:r>
        <w:t>Cuckow</w:t>
      </w:r>
      <w:proofErr w:type="spellEnd"/>
      <w:r>
        <w:t>, S., Dacre, H.F., Martínez‐Alvarado, O. and Smith, S.A., 2024. Quantifying the role of orographic processes in producing extreme precipitation: A case study of an atmospheric river associated with storm Bronagh. Journal of Geophysical Research: Atmospheres, 129(18), p.e2023JD040557.</w:t>
      </w:r>
      <w:hyperlink r:id="rId18">
        <w:r>
          <w:rPr>
            <w:color w:val="1155CC"/>
            <w:u w:val="single"/>
          </w:rPr>
          <w:t>https://agupubs.onlinelibrary.wiley.com/doi/abs/10.1029/2023JD040557</w:t>
        </w:r>
      </w:hyperlink>
      <w:r>
        <w:t xml:space="preserve"> </w:t>
      </w:r>
    </w:p>
    <w:p w14:paraId="512D3035" w14:textId="77777777" w:rsidR="00212BB9" w:rsidRDefault="00212BB9">
      <w:pPr>
        <w:spacing w:after="160"/>
      </w:pPr>
      <w:proofErr w:type="spellStart"/>
      <w:r>
        <w:t>Dayrell</w:t>
      </w:r>
      <w:proofErr w:type="spellEnd"/>
      <w:r>
        <w:t>, C., Svensson, C., Hannaford, J., McEnery, T., Barker, L.J., Baker, H. and Tanguy, M., 2022. Representation of drought events in the United Kingdom: contrasting 200 years of news texts and rainfall records. Frontiers in environmental science, 10, p.760147.</w:t>
      </w:r>
      <w:hyperlink r:id="rId19">
        <w:r>
          <w:rPr>
            <w:color w:val="1155CC"/>
            <w:u w:val="single"/>
          </w:rPr>
          <w:t>https://www.frontiersin.org/journals/environmental-science/articles/10.3389/fenvs.2022.760147/full</w:t>
        </w:r>
      </w:hyperlink>
      <w:r>
        <w:t xml:space="preserve"> </w:t>
      </w:r>
    </w:p>
    <w:p w14:paraId="4D9F4B47" w14:textId="77777777" w:rsidR="00212BB9" w:rsidRDefault="00212BB9">
      <w:pPr>
        <w:spacing w:after="160"/>
      </w:pPr>
      <w:proofErr w:type="spellStart"/>
      <w:r>
        <w:t>Doornkamp</w:t>
      </w:r>
      <w:proofErr w:type="spellEnd"/>
      <w:r>
        <w:t xml:space="preserve">, T.J.L., Vinke-de </w:t>
      </w:r>
      <w:proofErr w:type="spellStart"/>
      <w:r>
        <w:t>Kruijf</w:t>
      </w:r>
      <w:proofErr w:type="spellEnd"/>
      <w:r>
        <w:t xml:space="preserve">, J. and Pahlow, M. (2025) </w:t>
      </w:r>
      <w:r>
        <w:rPr>
          <w:i/>
          <w:iCs/>
        </w:rPr>
        <w:t>How flood risk management projects can improve urban resilience: A combined assessment approach.</w:t>
      </w:r>
      <w:r>
        <w:t xml:space="preserve"> Australasian Journal of Water Resources. Available at: </w:t>
      </w:r>
      <w:hyperlink r:id="rId20">
        <w:r>
          <w:rPr>
            <w:color w:val="1155CC"/>
            <w:u w:val="single"/>
          </w:rPr>
          <w:t>https://doi.org/10.1080/13241583.2024.2429226</w:t>
        </w:r>
      </w:hyperlink>
      <w:r>
        <w:t xml:space="preserve"> </w:t>
      </w:r>
    </w:p>
    <w:p w14:paraId="7317BD74" w14:textId="77777777" w:rsidR="00212BB9" w:rsidRDefault="00212BB9">
      <w:pPr>
        <w:spacing w:after="160"/>
      </w:pPr>
      <w:r>
        <w:t xml:space="preserve">Environment Agency (2025) </w:t>
      </w:r>
      <w:r>
        <w:rPr>
          <w:i/>
          <w:iCs/>
        </w:rPr>
        <w:t>Flood and coastal erosion risk management report: 1 April 2024 to 31 March 2025.</w:t>
      </w:r>
      <w:r>
        <w:t xml:space="preserve"> Available at:</w:t>
      </w:r>
      <w:hyperlink r:id="rId21">
        <w:r>
          <w:t xml:space="preserve"> </w:t>
        </w:r>
      </w:hyperlink>
      <w:hyperlink r:id="rId22">
        <w:r>
          <w:rPr>
            <w:color w:val="1155CC"/>
            <w:u w:val="single"/>
          </w:rPr>
          <w:t>https://www.gov.uk/government/publications/flood-and-coastal-risk-management-national-report/flood-and-coastal-erosion-risk-management-report-1-april-2024-to-31-march-2025</w:t>
        </w:r>
      </w:hyperlink>
      <w:r>
        <w:t xml:space="preserve"> </w:t>
      </w:r>
    </w:p>
    <w:p w14:paraId="70CC0319" w14:textId="77777777" w:rsidR="00212BB9" w:rsidRDefault="00212BB9">
      <w:pPr>
        <w:spacing w:before="240" w:after="240"/>
        <w:rPr>
          <w:color w:val="222222"/>
        </w:rPr>
      </w:pPr>
      <w:r>
        <w:rPr>
          <w:color w:val="222222"/>
        </w:rPr>
        <w:lastRenderedPageBreak/>
        <w:t xml:space="preserve">Environment Agency (2025) </w:t>
      </w:r>
      <w:r>
        <w:rPr>
          <w:i/>
          <w:iCs/>
          <w:color w:val="222222"/>
        </w:rPr>
        <w:t>Flood and coastal erosion risk management report: 1 April 2024 to 31 March 2025.</w:t>
      </w:r>
      <w:r>
        <w:rPr>
          <w:color w:val="222222"/>
        </w:rPr>
        <w:t xml:space="preserve"> Available at: </w:t>
      </w:r>
      <w:hyperlink r:id="rId23">
        <w:r>
          <w:rPr>
            <w:color w:val="1155CC"/>
            <w:u w:val="single"/>
          </w:rPr>
          <w:t>Flood and coastal erosion risk management report</w:t>
        </w:r>
      </w:hyperlink>
      <w:r>
        <w:rPr>
          <w:color w:val="222222"/>
        </w:rPr>
        <w:t xml:space="preserve"> (Accessed: 10 March 2026).</w:t>
      </w:r>
    </w:p>
    <w:p w14:paraId="5D9FCEF1" w14:textId="77777777" w:rsidR="00212BB9" w:rsidRDefault="00212BB9">
      <w:pPr>
        <w:spacing w:after="160"/>
      </w:pPr>
      <w:r>
        <w:t xml:space="preserve">Hailwood, A., Graham, C. and Ramalingam, S., 2022. Increase in COVID-19 downwind following a wind </w:t>
      </w:r>
      <w:proofErr w:type="spellStart"/>
      <w:r>
        <w:t>change.</w:t>
      </w:r>
      <w:hyperlink r:id="rId24">
        <w:r>
          <w:rPr>
            <w:color w:val="1155CC"/>
            <w:u w:val="single"/>
          </w:rPr>
          <w:t>https</w:t>
        </w:r>
        <w:proofErr w:type="spellEnd"/>
        <w:r>
          <w:rPr>
            <w:color w:val="1155CC"/>
            <w:u w:val="single"/>
          </w:rPr>
          <w:t>://europepmc.org/article/ppr/ppr511415</w:t>
        </w:r>
      </w:hyperlink>
      <w:r>
        <w:t xml:space="preserve"> </w:t>
      </w:r>
    </w:p>
    <w:p w14:paraId="56D2CCF0" w14:textId="77777777" w:rsidR="00212BB9" w:rsidRDefault="00212BB9">
      <w:pPr>
        <w:spacing w:after="160"/>
      </w:pPr>
      <w:r>
        <w:t xml:space="preserve">Herrera, R.V., Blenkinsop, S., Guerreiro, S.B. and Fowler, H.J., 2023. The creation and climatology of a large independent rainfall event database for Great Britain. Int. J. </w:t>
      </w:r>
      <w:proofErr w:type="spellStart"/>
      <w:r>
        <w:t>Climatol</w:t>
      </w:r>
      <w:proofErr w:type="spellEnd"/>
      <w:r>
        <w:t>, 43, pp.6020-6037.</w:t>
      </w:r>
      <w:hyperlink r:id="rId25">
        <w:r>
          <w:rPr>
            <w:color w:val="1155CC"/>
            <w:u w:val="single"/>
          </w:rPr>
          <w:t>https://www.researchgate.net/profile/Hayley-Fowler-2/publication/373132930_The_creation_and_climatology_of_a_large_independent_rainfall_event_database_for_Great_Britain/links/650c1c4082f01628f03475fd/The-creation-and-climatology-of-a-large-independent-rainfall-event-database-for-Great-Britain.pdf</w:t>
        </w:r>
      </w:hyperlink>
      <w:r>
        <w:t xml:space="preserve"> </w:t>
      </w:r>
    </w:p>
    <w:p w14:paraId="700D07C6" w14:textId="77777777" w:rsidR="00212BB9" w:rsidRDefault="00212BB9">
      <w:pPr>
        <w:spacing w:after="160"/>
      </w:pPr>
      <w:r>
        <w:t xml:space="preserve">Iliadis, C., Glenis, V. and Kilsby, C. (2023) </w:t>
      </w:r>
      <w:r>
        <w:rPr>
          <w:i/>
          <w:iCs/>
        </w:rPr>
        <w:t>A cost-benefit source-receptor framework for implementation of blue-green flood risk management.</w:t>
      </w:r>
      <w:r>
        <w:t xml:space="preserve"> Available at:</w:t>
      </w:r>
      <w:hyperlink r:id="rId26">
        <w:r>
          <w:t xml:space="preserve"> </w:t>
        </w:r>
      </w:hyperlink>
      <w:hyperlink r:id="rId27">
        <w:r>
          <w:rPr>
            <w:color w:val="1155CC"/>
            <w:u w:val="single"/>
          </w:rPr>
          <w:t>https://arxiv.org/abs/2311.00420</w:t>
        </w:r>
      </w:hyperlink>
    </w:p>
    <w:p w14:paraId="3EF0290C" w14:textId="77777777" w:rsidR="00212BB9" w:rsidRDefault="00212BB9">
      <w:pPr>
        <w:spacing w:before="240" w:after="240"/>
        <w:rPr>
          <w:color w:val="222222"/>
        </w:rPr>
      </w:pPr>
      <w:r>
        <w:rPr>
          <w:color w:val="222222"/>
        </w:rPr>
        <w:t xml:space="preserve">Iliadis, C., Glenis, V. and Kilsby, C. (2023) </w:t>
      </w:r>
      <w:r>
        <w:rPr>
          <w:i/>
          <w:iCs/>
          <w:color w:val="222222"/>
        </w:rPr>
        <w:t>A cost-benefit source-receptor framework for implementation of Blue-Green flood risk management.</w:t>
      </w:r>
      <w:r>
        <w:rPr>
          <w:color w:val="222222"/>
        </w:rPr>
        <w:t xml:space="preserve"> Available at:</w:t>
      </w:r>
      <w:r>
        <w:rPr>
          <w:color w:val="222222"/>
        </w:rPr>
        <w:br/>
      </w:r>
      <w:hyperlink r:id="rId28">
        <w:r>
          <w:rPr>
            <w:color w:val="1155CC"/>
            <w:u w:val="single"/>
          </w:rPr>
          <w:t>https://arxiv.org/abs/2311.00420</w:t>
        </w:r>
      </w:hyperlink>
      <w:r>
        <w:rPr>
          <w:color w:val="222222"/>
        </w:rPr>
        <w:t xml:space="preserve"> (Accessed: 10 March 2026).</w:t>
      </w:r>
    </w:p>
    <w:p w14:paraId="1E637D6A" w14:textId="77777777" w:rsidR="00212BB9" w:rsidRDefault="00212BB9">
      <w:pPr>
        <w:spacing w:after="160"/>
      </w:pPr>
      <w:r>
        <w:t xml:space="preserve">IPCC (2022) </w:t>
      </w:r>
      <w:r>
        <w:rPr>
          <w:i/>
          <w:iCs/>
        </w:rPr>
        <w:t>Climate change 2022: Impacts, adaptation and vulnerability.</w:t>
      </w:r>
      <w:r>
        <w:t xml:space="preserve"> Available at:</w:t>
      </w:r>
      <w:hyperlink r:id="rId29">
        <w:r>
          <w:t xml:space="preserve"> </w:t>
        </w:r>
      </w:hyperlink>
      <w:hyperlink r:id="rId30">
        <w:r>
          <w:rPr>
            <w:color w:val="1155CC"/>
            <w:u w:val="single"/>
          </w:rPr>
          <w:t>https://www.ipcc.ch/report/ar6/wg2/</w:t>
        </w:r>
      </w:hyperlink>
      <w:r>
        <w:t xml:space="preserve"> </w:t>
      </w:r>
    </w:p>
    <w:p w14:paraId="69CF0CFE" w14:textId="77777777" w:rsidR="00212BB9" w:rsidRDefault="00212BB9">
      <w:pPr>
        <w:spacing w:after="160"/>
      </w:pPr>
      <w:r>
        <w:t xml:space="preserve">Koks, E., Ward, P., Winsemius, H. and Aerts, J. (2020) </w:t>
      </w:r>
      <w:r>
        <w:rPr>
          <w:i/>
          <w:iCs/>
        </w:rPr>
        <w:t>Global multi-hazard risk analysis of road and railway infrastructure assets.</w:t>
      </w:r>
      <w:r>
        <w:t xml:space="preserve"> Nature Communications. Available at: </w:t>
      </w:r>
      <w:hyperlink r:id="rId31">
        <w:r>
          <w:rPr>
            <w:color w:val="1155CC"/>
            <w:u w:val="single"/>
          </w:rPr>
          <w:t>https://www.itrc.org.uk/index.html?p=38158</w:t>
        </w:r>
      </w:hyperlink>
      <w:r>
        <w:t xml:space="preserve"> </w:t>
      </w:r>
    </w:p>
    <w:p w14:paraId="47326309" w14:textId="77777777" w:rsidR="00212BB9" w:rsidRDefault="00212BB9">
      <w:pPr>
        <w:spacing w:after="160"/>
      </w:pPr>
      <w:r>
        <w:t xml:space="preserve">Lamb, R., Longfield, S., Manson, S., Cloke, H., Pilling, C., Reynard, N., Sheppard, N., Asadullah, A., Vaughan, M., Fowler, H. and Beven, K. (2022) </w:t>
      </w:r>
      <w:r>
        <w:rPr>
          <w:i/>
          <w:iCs/>
        </w:rPr>
        <w:t>The future of flood hydrology in the UK.</w:t>
      </w:r>
      <w:r>
        <w:t xml:space="preserve"> Hydrology Research, 53(10), pp.1286–1303. Available at: </w:t>
      </w:r>
      <w:hyperlink r:id="rId32">
        <w:r>
          <w:rPr>
            <w:color w:val="1155CC"/>
            <w:u w:val="single"/>
          </w:rPr>
          <w:t>https://doi.org/10.2166/nh.2022.053</w:t>
        </w:r>
      </w:hyperlink>
      <w:r>
        <w:t xml:space="preserve"> </w:t>
      </w:r>
    </w:p>
    <w:p w14:paraId="730E2649" w14:textId="77777777" w:rsidR="00212BB9" w:rsidRDefault="00212BB9">
      <w:pPr>
        <w:spacing w:after="160"/>
      </w:pPr>
      <w:r>
        <w:t xml:space="preserve">Li, X., Zhao, Y. and Chen, H. (2024) </w:t>
      </w:r>
      <w:r>
        <w:rPr>
          <w:i/>
          <w:iCs/>
        </w:rPr>
        <w:t>Mitigating flood impacts on road infrastructure and transportation using integrated data frameworks.</w:t>
      </w:r>
      <w:r>
        <w:t xml:space="preserve"> Resources, Conservation and Recycling. Available at:</w:t>
      </w:r>
      <w:hyperlink r:id="rId33">
        <w:r>
          <w:t xml:space="preserve"> </w:t>
        </w:r>
      </w:hyperlink>
      <w:hyperlink r:id="rId34">
        <w:r>
          <w:rPr>
            <w:color w:val="1155CC"/>
            <w:u w:val="single"/>
          </w:rPr>
          <w:t>https://doi.org/10.1016/j.resconrec.2024.107607</w:t>
        </w:r>
      </w:hyperlink>
      <w:r>
        <w:t xml:space="preserve"> </w:t>
      </w:r>
    </w:p>
    <w:p w14:paraId="00DFAC72" w14:textId="77777777" w:rsidR="00212BB9" w:rsidRDefault="00212BB9">
      <w:pPr>
        <w:spacing w:after="160"/>
      </w:pPr>
      <w:r>
        <w:lastRenderedPageBreak/>
        <w:t xml:space="preserve">Mills, T.C., 2023. Modelling monthly trends in frost days for the United Kingdom and its </w:t>
      </w:r>
      <w:proofErr w:type="spellStart"/>
      <w:r>
        <w:t>regions.</w:t>
      </w:r>
      <w:hyperlink r:id="rId35">
        <w:r>
          <w:rPr>
            <w:color w:val="1155CC"/>
            <w:u w:val="single"/>
          </w:rPr>
          <w:t>https</w:t>
        </w:r>
        <w:proofErr w:type="spellEnd"/>
        <w:r>
          <w:rPr>
            <w:color w:val="1155CC"/>
            <w:u w:val="single"/>
          </w:rPr>
          <w:t>://www.academia.edu/download/121348948/latest.pdf</w:t>
        </w:r>
      </w:hyperlink>
      <w:r>
        <w:t xml:space="preserve"> </w:t>
      </w:r>
    </w:p>
    <w:p w14:paraId="1FE73083" w14:textId="77777777" w:rsidR="00212BB9" w:rsidRDefault="00212BB9">
      <w:pPr>
        <w:spacing w:after="160"/>
      </w:pPr>
      <w:r>
        <w:t xml:space="preserve">Mushtaq, M., Corradi, M. and Sikdar, S. (2024) </w:t>
      </w:r>
      <w:r>
        <w:rPr>
          <w:i/>
          <w:iCs/>
        </w:rPr>
        <w:t>Climate adaptation of roads to flooding hazards—A review.</w:t>
      </w:r>
      <w:r>
        <w:t xml:space="preserve"> Construction Materials, 4(4), pp.748–776. Available at:</w:t>
      </w:r>
      <w:hyperlink r:id="rId36">
        <w:r>
          <w:t xml:space="preserve"> </w:t>
        </w:r>
      </w:hyperlink>
      <w:hyperlink r:id="rId37">
        <w:r>
          <w:rPr>
            <w:color w:val="1155CC"/>
            <w:u w:val="single"/>
          </w:rPr>
          <w:t>https://www.mdpi.com/2673-7108/4/4/41</w:t>
        </w:r>
      </w:hyperlink>
      <w:r>
        <w:t xml:space="preserve"> </w:t>
      </w:r>
    </w:p>
    <w:p w14:paraId="033CD3AF" w14:textId="77777777" w:rsidR="00212BB9" w:rsidRDefault="00212BB9">
      <w:pPr>
        <w:spacing w:before="240" w:after="240"/>
        <w:rPr>
          <w:color w:val="222222"/>
        </w:rPr>
      </w:pPr>
      <w:r>
        <w:rPr>
          <w:color w:val="222222"/>
        </w:rPr>
        <w:t xml:space="preserve">National Audit Office (2020) </w:t>
      </w:r>
      <w:r>
        <w:rPr>
          <w:i/>
          <w:iCs/>
          <w:color w:val="222222"/>
        </w:rPr>
        <w:t>Managing flood risk.</w:t>
      </w:r>
      <w:r>
        <w:rPr>
          <w:color w:val="222222"/>
        </w:rPr>
        <w:t xml:space="preserve"> Available at: </w:t>
      </w:r>
      <w:hyperlink r:id="rId38">
        <w:r>
          <w:rPr>
            <w:color w:val="1155CC"/>
            <w:u w:val="single"/>
          </w:rPr>
          <w:t>https://www.nao.org.uk/reports/managing-flood-risk/?utm_source</w:t>
        </w:r>
      </w:hyperlink>
      <w:r>
        <w:rPr>
          <w:color w:val="222222"/>
        </w:rPr>
        <w:t xml:space="preserve"> (Accessed: 10 March 2026).</w:t>
      </w:r>
    </w:p>
    <w:p w14:paraId="4F918121" w14:textId="77777777" w:rsidR="00212BB9" w:rsidRDefault="00212BB9">
      <w:pPr>
        <w:spacing w:before="240" w:after="240"/>
        <w:rPr>
          <w:color w:val="222222"/>
        </w:rPr>
      </w:pPr>
      <w:r>
        <w:rPr>
          <w:color w:val="222222"/>
        </w:rPr>
        <w:t xml:space="preserve">National Audit Office (2023) </w:t>
      </w:r>
      <w:r>
        <w:rPr>
          <w:i/>
          <w:iCs/>
          <w:color w:val="222222"/>
        </w:rPr>
        <w:t>Resilience to flooding.</w:t>
      </w:r>
      <w:r>
        <w:rPr>
          <w:color w:val="222222"/>
        </w:rPr>
        <w:t xml:space="preserve"> Available at: </w:t>
      </w:r>
      <w:hyperlink r:id="rId39">
        <w:r>
          <w:rPr>
            <w:color w:val="1155CC"/>
            <w:u w:val="single"/>
          </w:rPr>
          <w:t>https://www.nao.org.uk/reports/resilience-to-flooding/?utm_source</w:t>
        </w:r>
      </w:hyperlink>
      <w:r>
        <w:rPr>
          <w:color w:val="222222"/>
        </w:rPr>
        <w:t xml:space="preserve"> (Accessed: 10 March 2026).</w:t>
      </w:r>
    </w:p>
    <w:p w14:paraId="1C13B90E" w14:textId="77777777" w:rsidR="00212BB9" w:rsidRDefault="00212BB9">
      <w:pPr>
        <w:spacing w:after="160"/>
      </w:pPr>
      <w:r>
        <w:t xml:space="preserve">OECD (2020) </w:t>
      </w:r>
      <w:r>
        <w:rPr>
          <w:i/>
          <w:iCs/>
        </w:rPr>
        <w:t>Strengthening infrastructure resilience to climate change.</w:t>
      </w:r>
      <w:r>
        <w:t xml:space="preserve"> Available at: </w:t>
      </w:r>
      <w:hyperlink r:id="rId40">
        <w:r>
          <w:rPr>
            <w:color w:val="1155CC"/>
            <w:u w:val="single"/>
          </w:rPr>
          <w:t>https://www.oecd.org/environment/strengthening-infrastructure-resilience-to-climate-change-34f90d3d-en.htm</w:t>
        </w:r>
      </w:hyperlink>
      <w:r>
        <w:t xml:space="preserve"> </w:t>
      </w:r>
    </w:p>
    <w:p w14:paraId="3BAF09A8" w14:textId="77777777" w:rsidR="00212BB9" w:rsidRDefault="00212BB9">
      <w:pPr>
        <w:spacing w:before="240" w:after="240"/>
        <w:rPr>
          <w:color w:val="222222"/>
        </w:rPr>
      </w:pPr>
      <w:r>
        <w:rPr>
          <w:color w:val="222222"/>
        </w:rPr>
        <w:t xml:space="preserve">Rajput, A.A., Nayak, S., Dong, S. and Mostafavi, A. (2022) </w:t>
      </w:r>
      <w:r>
        <w:rPr>
          <w:i/>
          <w:iCs/>
          <w:color w:val="222222"/>
        </w:rPr>
        <w:t>Anatomy of perturbed traffic networks during urban flooding.</w:t>
      </w:r>
      <w:r>
        <w:rPr>
          <w:color w:val="222222"/>
        </w:rPr>
        <w:t xml:space="preserve"> Available at: </w:t>
      </w:r>
      <w:hyperlink r:id="rId41">
        <w:r>
          <w:rPr>
            <w:color w:val="1155CC"/>
            <w:u w:val="single"/>
          </w:rPr>
          <w:t>https://arxiv.org/abs/2210.00403</w:t>
        </w:r>
      </w:hyperlink>
      <w:r>
        <w:rPr>
          <w:color w:val="222222"/>
        </w:rPr>
        <w:t xml:space="preserve"> </w:t>
      </w:r>
    </w:p>
    <w:p w14:paraId="45123504" w14:textId="77777777" w:rsidR="00212BB9" w:rsidRDefault="00212BB9">
      <w:pPr>
        <w:spacing w:after="160"/>
      </w:pPr>
      <w:r>
        <w:t xml:space="preserve">Sefton, C., Magee, E., Howson, T., Harrison, P. and </w:t>
      </w:r>
      <w:proofErr w:type="spellStart"/>
      <w:r>
        <w:t>Clemas</w:t>
      </w:r>
      <w:proofErr w:type="spellEnd"/>
      <w:r>
        <w:t>, S., 2025. Hydrological summary for the United Kingdom: July 2025.</w:t>
      </w:r>
      <w:hyperlink r:id="rId42">
        <w:r>
          <w:rPr>
            <w:color w:val="1155CC"/>
            <w:u w:val="single"/>
          </w:rPr>
          <w:t>https://nora.nerc.ac.uk/id/</w:t>
        </w:r>
        <w:proofErr w:type="spellStart"/>
        <w:r>
          <w:rPr>
            <w:color w:val="1155CC"/>
            <w:u w:val="single"/>
          </w:rPr>
          <w:t>eprint</w:t>
        </w:r>
        <w:proofErr w:type="spellEnd"/>
        <w:r>
          <w:rPr>
            <w:color w:val="1155CC"/>
            <w:u w:val="single"/>
          </w:rPr>
          <w:t>/540122/</w:t>
        </w:r>
      </w:hyperlink>
      <w:r>
        <w:t xml:space="preserve"> </w:t>
      </w:r>
    </w:p>
    <w:p w14:paraId="6688C320" w14:textId="77777777" w:rsidR="00212BB9" w:rsidRDefault="00212BB9">
      <w:pPr>
        <w:spacing w:after="160"/>
      </w:pPr>
      <w:r>
        <w:t xml:space="preserve">Slater, L.J., </w:t>
      </w:r>
      <w:proofErr w:type="spellStart"/>
      <w:r>
        <w:t>Huntingford</w:t>
      </w:r>
      <w:proofErr w:type="spellEnd"/>
      <w:r>
        <w:t>, C., Pywell, R.F., Redhead, J.W. and Kendon, E.J., 2022. Resilience of UK crop yields to compound climate change. Earth System Dynamics, 13(3), pp.1377-1396.</w:t>
      </w:r>
      <w:hyperlink r:id="rId43">
        <w:r>
          <w:rPr>
            <w:color w:val="1155CC"/>
            <w:u w:val="single"/>
          </w:rPr>
          <w:t>https://esd.copernicus.org/articles/13/1377/2022/</w:t>
        </w:r>
      </w:hyperlink>
      <w:r>
        <w:t xml:space="preserve"> </w:t>
      </w:r>
    </w:p>
    <w:p w14:paraId="27B29950" w14:textId="77777777" w:rsidR="00212BB9" w:rsidRDefault="00212BB9">
      <w:pPr>
        <w:spacing w:after="160"/>
      </w:pPr>
      <w:r>
        <w:t xml:space="preserve">Thacker, S., Adshead, D., Fay, M., </w:t>
      </w:r>
      <w:proofErr w:type="spellStart"/>
      <w:r>
        <w:t>Hallegatte</w:t>
      </w:r>
      <w:proofErr w:type="spellEnd"/>
      <w:r>
        <w:t xml:space="preserve">, S., Harvey, M., Meller, H., O’Regan, N., Rozenberg, J., Watkins, G. and Hall, J. (2019) </w:t>
      </w:r>
      <w:r>
        <w:rPr>
          <w:i/>
          <w:iCs/>
        </w:rPr>
        <w:t>Infrastructure for sustainable development.</w:t>
      </w:r>
      <w:r>
        <w:t xml:space="preserve"> Nature Sustainability, 2, pp.324–331. Available at: </w:t>
      </w:r>
      <w:hyperlink r:id="rId44">
        <w:r>
          <w:rPr>
            <w:color w:val="1155CC"/>
            <w:u w:val="single"/>
          </w:rPr>
          <w:t>https://doi.org/10.1038/s41893-019-0256-8</w:t>
        </w:r>
      </w:hyperlink>
      <w:r>
        <w:t xml:space="preserve">   </w:t>
      </w:r>
    </w:p>
    <w:p w14:paraId="09B0611E" w14:textId="77777777" w:rsidR="00212BB9" w:rsidRDefault="00212BB9">
      <w:pPr>
        <w:spacing w:after="160"/>
      </w:pPr>
      <w:r>
        <w:t xml:space="preserve">UK Government (2022) </w:t>
      </w:r>
      <w:r>
        <w:rPr>
          <w:i/>
          <w:iCs/>
        </w:rPr>
        <w:t>Flood and coastal erosion risk management strategy for England.</w:t>
      </w:r>
      <w:r>
        <w:t xml:space="preserve"> Available at:</w:t>
      </w:r>
      <w:hyperlink r:id="rId45">
        <w:r>
          <w:t xml:space="preserve"> </w:t>
        </w:r>
      </w:hyperlink>
      <w:hyperlink r:id="rId46">
        <w:r>
          <w:rPr>
            <w:color w:val="1155CC"/>
            <w:u w:val="single"/>
          </w:rPr>
          <w:t>https://www.gov.uk/government/publications/national-flood-and-coastal-erosion-risk-management-strategy-for-england</w:t>
        </w:r>
      </w:hyperlink>
      <w:r>
        <w:t xml:space="preserve"> (Accessed: 10 March 2026).</w:t>
      </w:r>
    </w:p>
    <w:p w14:paraId="4E8A6136" w14:textId="77777777" w:rsidR="00212BB9" w:rsidRDefault="00212BB9">
      <w:pPr>
        <w:spacing w:after="160"/>
      </w:pPr>
      <w:r>
        <w:lastRenderedPageBreak/>
        <w:t xml:space="preserve">Yuan, F., Fan, C., Farahmand, H., Coleman, N., </w:t>
      </w:r>
      <w:proofErr w:type="spellStart"/>
      <w:r>
        <w:t>Esmalian</w:t>
      </w:r>
      <w:proofErr w:type="spellEnd"/>
      <w:r>
        <w:t xml:space="preserve">, A., Lee, C., Patrascu, F., Zhang, C., Dong, S. and Mostafavi, A. (2021) </w:t>
      </w:r>
      <w:r>
        <w:rPr>
          <w:i/>
          <w:iCs/>
        </w:rPr>
        <w:t>Smart flood resilience: Harnessing community-scale big data for predictive flood risk monitoring.</w:t>
      </w:r>
      <w:r>
        <w:t xml:space="preserve"> Available at:</w:t>
      </w:r>
      <w:hyperlink r:id="rId47">
        <w:r>
          <w:t xml:space="preserve"> </w:t>
        </w:r>
      </w:hyperlink>
      <w:hyperlink r:id="rId48">
        <w:r>
          <w:rPr>
            <w:color w:val="1155CC"/>
            <w:u w:val="single"/>
          </w:rPr>
          <w:t>https://arxiv.org/abs/2111.06461</w:t>
        </w:r>
      </w:hyperlink>
    </w:p>
    <w:p w14:paraId="2DC03FFE" w14:textId="77777777" w:rsidR="00764FB3" w:rsidRDefault="00764FB3">
      <w:pPr>
        <w:spacing w:after="160"/>
        <w:rPr>
          <w:b/>
          <w:bCs/>
        </w:rPr>
      </w:pPr>
    </w:p>
    <w:p w14:paraId="4363B1EA" w14:textId="77777777" w:rsidR="00764FB3" w:rsidRDefault="00764FB3">
      <w:pPr>
        <w:spacing w:after="160"/>
      </w:pPr>
    </w:p>
    <w:p w14:paraId="62AD3227" w14:textId="77777777" w:rsidR="00764FB3" w:rsidRDefault="00764FB3"/>
    <w:sectPr w:rsidR="00764FB3">
      <w:footerReference w:type="default" r:id="rId4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E074BC" w14:textId="77777777" w:rsidR="000362B9" w:rsidRDefault="000362B9">
      <w:pPr>
        <w:spacing w:line="240" w:lineRule="auto"/>
      </w:pPr>
      <w:r>
        <w:separator/>
      </w:r>
    </w:p>
  </w:endnote>
  <w:endnote w:type="continuationSeparator" w:id="0">
    <w:p w14:paraId="2020C25A" w14:textId="77777777" w:rsidR="000362B9" w:rsidRDefault="000362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B0152E3-FE4C-4132-B31B-1927EC1E9EB8}"/>
    <w:embedBold r:id="rId2" w:fontKey="{7D4FDE7D-3F9C-41DE-A4EE-90525871B800}"/>
  </w:font>
  <w:font w:name="Tahoma">
    <w:panose1 w:val="020B0604030504040204"/>
    <w:charset w:val="00"/>
    <w:family w:val="swiss"/>
    <w:pitch w:val="variable"/>
    <w:sig w:usb0="E1002EFF" w:usb1="C000605B" w:usb2="00000029" w:usb3="00000000" w:csb0="000101FF" w:csb1="00000000"/>
    <w:embedRegular r:id="rId3" w:fontKey="{20B2F26B-9DCD-4636-A7D1-128637D4AEB3}"/>
  </w:font>
  <w:font w:name="Cambria">
    <w:panose1 w:val="02040503050406030204"/>
    <w:charset w:val="00"/>
    <w:family w:val="roman"/>
    <w:pitch w:val="variable"/>
    <w:sig w:usb0="E00006FF" w:usb1="420024FF" w:usb2="02000000" w:usb3="00000000" w:csb0="0000019F" w:csb1="00000000"/>
    <w:embedRegular r:id="rId4" w:fontKey="{641B953F-35E5-480E-B971-9810F48192F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3EB733" w14:textId="77777777" w:rsidR="00764FB3" w:rsidRDefault="002D63BA">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sidR="00212BB9">
      <w:rPr>
        <w:b/>
        <w:bCs/>
        <w:noProof/>
        <w:color w:val="000000"/>
      </w:rPr>
      <w:t>15</w:t>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sidR="00212BB9">
      <w:rPr>
        <w:b/>
        <w:bCs/>
        <w:noProof/>
        <w:color w:val="000000"/>
      </w:rPr>
      <w:t>19</w:t>
    </w:r>
    <w:r>
      <w:rPr>
        <w:b/>
        <w:bCs/>
        <w:color w:val="000000"/>
      </w:rPr>
      <w:fldChar w:fldCharType="end"/>
    </w:r>
  </w:p>
  <w:p w14:paraId="0806EC1C" w14:textId="77777777" w:rsidR="00764FB3" w:rsidRDefault="00764FB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129DE8" w14:textId="77777777" w:rsidR="000362B9" w:rsidRDefault="000362B9">
      <w:pPr>
        <w:spacing w:line="240" w:lineRule="auto"/>
      </w:pPr>
      <w:r>
        <w:separator/>
      </w:r>
    </w:p>
  </w:footnote>
  <w:footnote w:type="continuationSeparator" w:id="0">
    <w:p w14:paraId="536F77EB" w14:textId="77777777" w:rsidR="000362B9" w:rsidRDefault="000362B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FB3"/>
    <w:rsid w:val="000362B9"/>
    <w:rsid w:val="00212BB9"/>
    <w:rsid w:val="00276CD5"/>
    <w:rsid w:val="002D63BA"/>
    <w:rsid w:val="00397571"/>
    <w:rsid w:val="00763E6B"/>
    <w:rsid w:val="00764FB3"/>
    <w:rsid w:val="00AD29B1"/>
    <w:rsid w:val="00C3282C"/>
    <w:rsid w:val="00D01C86"/>
    <w:rsid w:val="00DC3E70"/>
    <w:rsid w:val="00FA236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5CE35"/>
  <w15:docId w15:val="{7EB4859E-77B8-468C-9693-7589D2F92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highlight w:val="white"/>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80" w:after="80"/>
      <w:outlineLvl w:val="0"/>
    </w:pPr>
    <w:rPr>
      <w:b/>
      <w:bCs/>
      <w:sz w:val="28"/>
      <w:szCs w:val="28"/>
    </w:rPr>
  </w:style>
  <w:style w:type="paragraph" w:styleId="Heading2">
    <w:name w:val="heading 2"/>
    <w:basedOn w:val="Normal"/>
    <w:next w:val="Normal"/>
    <w:pPr>
      <w:keepNext/>
      <w:keepLines/>
      <w:spacing w:before="280" w:after="80"/>
      <w:outlineLvl w:val="1"/>
    </w:pPr>
    <w:rPr>
      <w:b/>
      <w:bCs/>
      <w:sz w:val="26"/>
      <w:szCs w:val="26"/>
    </w:rPr>
  </w:style>
  <w:style w:type="paragraph" w:styleId="Heading3">
    <w:name w:val="heading 3"/>
    <w:basedOn w:val="Normal"/>
    <w:next w:val="Normal"/>
    <w:pPr>
      <w:keepNext/>
      <w:keepLines/>
      <w:spacing w:before="240" w:after="240"/>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TableNormal5">
    <w:name w:val="TableNormal"/>
    <w:tblPr>
      <w:tblCellMar>
        <w:top w:w="100" w:type="dxa"/>
        <w:left w:w="100" w:type="dxa"/>
        <w:bottom w:w="100" w:type="dxa"/>
        <w:right w:w="100" w:type="dxa"/>
      </w:tblCellMar>
    </w:tblPr>
  </w:style>
  <w:style w:type="table" w:customStyle="1" w:styleId="TableNormal6">
    <w:name w:val="TableNormal"/>
    <w:tblPr>
      <w:tblCellMar>
        <w:top w:w="100" w:type="dxa"/>
        <w:left w:w="100" w:type="dxa"/>
        <w:bottom w:w="100" w:type="dxa"/>
        <w:right w:w="100" w:type="dxa"/>
      </w:tblCellMar>
    </w:tblPr>
  </w:style>
  <w:style w:type="table" w:customStyle="1" w:styleId="TableNormal7">
    <w:name w:val="TableNormal"/>
    <w:tblPr>
      <w:tblCellMar>
        <w:top w:w="100" w:type="dxa"/>
        <w:left w:w="100" w:type="dxa"/>
        <w:bottom w:w="100" w:type="dxa"/>
        <w:right w:w="100" w:type="dxa"/>
      </w:tblCellMar>
    </w:tblPr>
  </w:style>
  <w:style w:type="table" w:customStyle="1" w:styleId="TableNormal8">
    <w:name w:val="TableNormal"/>
    <w:tblPr>
      <w:tblCellMar>
        <w:top w:w="100" w:type="dxa"/>
        <w:left w:w="100" w:type="dxa"/>
        <w:bottom w:w="100" w:type="dxa"/>
        <w:right w:w="100" w:type="dxa"/>
      </w:tblCellMar>
    </w:tblPr>
  </w:style>
  <w:style w:type="table" w:customStyle="1" w:styleId="TableNormal9">
    <w:name w:val="TableNormal"/>
    <w:tblPr>
      <w:tblCellMar>
        <w:top w:w="100" w:type="dxa"/>
        <w:left w:w="100" w:type="dxa"/>
        <w:bottom w:w="100" w:type="dxa"/>
        <w:right w:w="100" w:type="dxa"/>
      </w:tblCellMar>
    </w:tblPr>
  </w:style>
  <w:style w:type="table" w:customStyle="1" w:styleId="TableNormala">
    <w:name w:val="TableNormal"/>
    <w:tblPr>
      <w:tblCellMar>
        <w:top w:w="100" w:type="dxa"/>
        <w:left w:w="100" w:type="dxa"/>
        <w:bottom w:w="100" w:type="dxa"/>
        <w:right w:w="100" w:type="dxa"/>
      </w:tblCellMar>
    </w:tblPr>
  </w:style>
  <w:style w:type="table" w:customStyle="1" w:styleId="TableNormalb">
    <w:name w:val="TableNormal"/>
    <w:tblPr>
      <w:tblCellMar>
        <w:top w:w="100" w:type="dxa"/>
        <w:left w:w="100" w:type="dxa"/>
        <w:bottom w:w="100" w:type="dxa"/>
        <w:right w:w="100" w:type="dxa"/>
      </w:tblCellMar>
    </w:tblPr>
  </w:style>
  <w:style w:type="table" w:customStyle="1" w:styleId="TableNormalc">
    <w:name w:val="TableNormal"/>
    <w:tblPr>
      <w:tblCellMar>
        <w:top w:w="100" w:type="dxa"/>
        <w:left w:w="100" w:type="dxa"/>
        <w:bottom w:w="100" w:type="dxa"/>
        <w:right w:w="100" w:type="dxa"/>
      </w:tblCellMar>
    </w:tblPr>
  </w:style>
  <w:style w:type="table" w:customStyle="1" w:styleId="TableNormald">
    <w:name w:val="TableNormal"/>
    <w:tblPr>
      <w:tblCellMar>
        <w:top w:w="100" w:type="dxa"/>
        <w:left w:w="100" w:type="dxa"/>
        <w:bottom w:w="100" w:type="dxa"/>
        <w:right w:w="100" w:type="dxa"/>
      </w:tblCellMar>
    </w:tblPr>
  </w:style>
  <w:style w:type="table" w:customStyle="1" w:styleId="TableNormale">
    <w:name w:val="TableNormal"/>
    <w:tblPr>
      <w:tblCellMar>
        <w:top w:w="100" w:type="dxa"/>
        <w:left w:w="100" w:type="dxa"/>
        <w:bottom w:w="100" w:type="dxa"/>
        <w:right w:w="100" w:type="dxa"/>
      </w:tblCellMar>
    </w:tblPr>
  </w:style>
  <w:style w:type="table" w:customStyle="1" w:styleId="a">
    <w:basedOn w:val="TableNormale"/>
    <w:tblPr>
      <w:tblStyleRowBandSize w:val="1"/>
      <w:tblStyleColBandSize w:val="1"/>
    </w:tblPr>
  </w:style>
  <w:style w:type="table" w:customStyle="1" w:styleId="a0">
    <w:basedOn w:val="TableNormale"/>
    <w:tblPr>
      <w:tblStyleRowBandSize w:val="1"/>
      <w:tblStyleColBandSize w:val="1"/>
    </w:tblPr>
  </w:style>
  <w:style w:type="paragraph" w:styleId="TOCHeading">
    <w:name w:val="TOC Heading"/>
    <w:basedOn w:val="Heading1"/>
    <w:next w:val="Normal"/>
    <w:uiPriority w:val="39"/>
    <w:semiHidden/>
    <w:unhideWhenUsed/>
    <w:qFormat/>
    <w:rsid w:val="00FA54AE"/>
    <w:pPr>
      <w:spacing w:before="480" w:after="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
    <w:next w:val="Normal"/>
    <w:autoRedefine/>
    <w:uiPriority w:val="39"/>
    <w:unhideWhenUsed/>
    <w:rsid w:val="00FA54AE"/>
    <w:pPr>
      <w:spacing w:after="100"/>
    </w:pPr>
  </w:style>
  <w:style w:type="paragraph" w:styleId="TOC3">
    <w:name w:val="toc 3"/>
    <w:basedOn w:val="Normal"/>
    <w:next w:val="Normal"/>
    <w:autoRedefine/>
    <w:uiPriority w:val="39"/>
    <w:unhideWhenUsed/>
    <w:rsid w:val="00FA54AE"/>
    <w:pPr>
      <w:spacing w:after="100"/>
      <w:ind w:left="440"/>
    </w:pPr>
  </w:style>
  <w:style w:type="character" w:styleId="Hyperlink">
    <w:name w:val="Hyperlink"/>
    <w:basedOn w:val="DefaultParagraphFont"/>
    <w:uiPriority w:val="99"/>
    <w:unhideWhenUsed/>
    <w:rsid w:val="00FA54AE"/>
    <w:rPr>
      <w:color w:val="0000FF" w:themeColor="hyperlink"/>
      <w:u w:val="single"/>
    </w:rPr>
  </w:style>
  <w:style w:type="paragraph" w:styleId="BalloonText">
    <w:name w:val="Balloon Text"/>
    <w:basedOn w:val="Normal"/>
    <w:link w:val="BalloonTextChar"/>
    <w:uiPriority w:val="99"/>
    <w:semiHidden/>
    <w:unhideWhenUsed/>
    <w:rsid w:val="00FA54A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54AE"/>
    <w:rPr>
      <w:rFonts w:ascii="Tahoma" w:hAnsi="Tahoma" w:cs="Tahoma"/>
      <w:sz w:val="16"/>
      <w:szCs w:val="16"/>
    </w:rPr>
  </w:style>
  <w:style w:type="paragraph" w:styleId="Header">
    <w:name w:val="header"/>
    <w:basedOn w:val="Normal"/>
    <w:link w:val="HeaderChar"/>
    <w:uiPriority w:val="99"/>
    <w:unhideWhenUsed/>
    <w:rsid w:val="00FA54AE"/>
    <w:pPr>
      <w:tabs>
        <w:tab w:val="center" w:pos="4513"/>
        <w:tab w:val="right" w:pos="9026"/>
      </w:tabs>
      <w:spacing w:line="240" w:lineRule="auto"/>
    </w:pPr>
  </w:style>
  <w:style w:type="character" w:customStyle="1" w:styleId="HeaderChar">
    <w:name w:val="Header Char"/>
    <w:basedOn w:val="DefaultParagraphFont"/>
    <w:link w:val="Header"/>
    <w:uiPriority w:val="99"/>
    <w:rsid w:val="00FA54AE"/>
  </w:style>
  <w:style w:type="paragraph" w:styleId="Footer">
    <w:name w:val="footer"/>
    <w:basedOn w:val="Normal"/>
    <w:link w:val="FooterChar"/>
    <w:uiPriority w:val="99"/>
    <w:unhideWhenUsed/>
    <w:rsid w:val="00FA54AE"/>
    <w:pPr>
      <w:tabs>
        <w:tab w:val="center" w:pos="4513"/>
        <w:tab w:val="right" w:pos="9026"/>
      </w:tabs>
      <w:spacing w:line="240" w:lineRule="auto"/>
    </w:pPr>
  </w:style>
  <w:style w:type="character" w:customStyle="1" w:styleId="FooterChar">
    <w:name w:val="Footer Char"/>
    <w:basedOn w:val="DefaultParagraphFont"/>
    <w:link w:val="Footer"/>
    <w:uiPriority w:val="99"/>
    <w:rsid w:val="00FA54AE"/>
  </w:style>
  <w:style w:type="paragraph" w:styleId="TOC2">
    <w:name w:val="toc 2"/>
    <w:basedOn w:val="Normal"/>
    <w:next w:val="Normal"/>
    <w:autoRedefine/>
    <w:uiPriority w:val="39"/>
    <w:unhideWhenUsed/>
    <w:rsid w:val="00721571"/>
    <w:pPr>
      <w:spacing w:after="100"/>
      <w:ind w:left="220"/>
    </w:p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character" w:styleId="CommentReference">
    <w:name w:val="annotation reference"/>
    <w:basedOn w:val="DefaultParagraphFont"/>
    <w:uiPriority w:val="99"/>
    <w:semiHidden/>
    <w:unhideWhenUsed/>
    <w:rsid w:val="00D90D5C"/>
    <w:rPr>
      <w:sz w:val="16"/>
      <w:szCs w:val="16"/>
    </w:rPr>
  </w:style>
  <w:style w:type="paragraph" w:styleId="CommentText">
    <w:name w:val="annotation text"/>
    <w:basedOn w:val="Normal"/>
    <w:link w:val="CommentTextChar"/>
    <w:uiPriority w:val="99"/>
    <w:unhideWhenUsed/>
    <w:rsid w:val="00D90D5C"/>
    <w:pPr>
      <w:spacing w:line="240" w:lineRule="auto"/>
    </w:pPr>
    <w:rPr>
      <w:sz w:val="20"/>
      <w:szCs w:val="20"/>
    </w:rPr>
  </w:style>
  <w:style w:type="character" w:customStyle="1" w:styleId="CommentTextChar">
    <w:name w:val="Comment Text Char"/>
    <w:basedOn w:val="DefaultParagraphFont"/>
    <w:link w:val="CommentText"/>
    <w:uiPriority w:val="99"/>
    <w:rsid w:val="00D90D5C"/>
    <w:rPr>
      <w:sz w:val="20"/>
      <w:szCs w:val="20"/>
    </w:rPr>
  </w:style>
  <w:style w:type="paragraph" w:styleId="CommentSubject">
    <w:name w:val="annotation subject"/>
    <w:basedOn w:val="CommentText"/>
    <w:next w:val="CommentText"/>
    <w:link w:val="CommentSubjectChar"/>
    <w:uiPriority w:val="99"/>
    <w:semiHidden/>
    <w:unhideWhenUsed/>
    <w:rsid w:val="00D90D5C"/>
    <w:rPr>
      <w:b/>
      <w:bCs/>
    </w:rPr>
  </w:style>
  <w:style w:type="character" w:customStyle="1" w:styleId="CommentSubjectChar">
    <w:name w:val="Comment Subject Char"/>
    <w:basedOn w:val="CommentTextChar"/>
    <w:link w:val="CommentSubject"/>
    <w:uiPriority w:val="99"/>
    <w:semiHidden/>
    <w:rsid w:val="00D90D5C"/>
    <w:rPr>
      <w:b/>
      <w:bCs/>
      <w:sz w:val="20"/>
      <w:szCs w:val="20"/>
    </w:rPr>
  </w:style>
  <w:style w:type="paragraph" w:styleId="Revision">
    <w:name w:val="Revision"/>
    <w:hidden/>
    <w:uiPriority w:val="99"/>
    <w:semiHidden/>
    <w:rsid w:val="00D90D5C"/>
    <w:pPr>
      <w:spacing w:line="240" w:lineRule="auto"/>
    </w:p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Pr>
  </w:style>
  <w:style w:type="table" w:customStyle="1" w:styleId="af9">
    <w:basedOn w:val="TableNormal"/>
    <w:tblPr>
      <w:tblStyleRowBandSize w:val="1"/>
      <w:tblStyleColBandSize w:val="1"/>
    </w:tblPr>
  </w:style>
  <w:style w:type="table" w:customStyle="1" w:styleId="afa">
    <w:basedOn w:val="TableNormal"/>
    <w:pPr>
      <w:spacing w:line="240" w:lineRule="auto"/>
    </w:pPr>
    <w:tblPr>
      <w:tblStyleRowBandSize w:val="1"/>
      <w:tblStyleColBandSize w:val="1"/>
    </w:tblPr>
  </w:style>
  <w:style w:type="table" w:customStyle="1" w:styleId="afb">
    <w:basedOn w:val="TableNormal"/>
    <w:tblPr>
      <w:tblStyleRowBandSize w:val="1"/>
      <w:tblStyleColBandSize w:val="1"/>
    </w:tblPr>
  </w:style>
  <w:style w:type="paragraph" w:styleId="Subtitle">
    <w:name w:val="Subtitle"/>
    <w:basedOn w:val="Normal"/>
    <w:next w:val="Normal"/>
    <w:pPr>
      <w:keepNext/>
      <w:keepLines/>
      <w:spacing w:after="320"/>
    </w:pPr>
    <w:rPr>
      <w:color w:val="666666"/>
      <w:sz w:val="30"/>
      <w:szCs w:val="30"/>
    </w:rPr>
  </w:style>
  <w:style w:type="table" w:customStyle="1" w:styleId="afc">
    <w:basedOn w:val="TableNormal"/>
    <w:tblPr>
      <w:tblStyleRowBandSize w:val="1"/>
      <w:tblStyleColBandSize w:val="1"/>
    </w:tblPr>
  </w:style>
  <w:style w:type="table" w:customStyle="1" w:styleId="afd">
    <w:basedOn w:val="TableNormal"/>
    <w:tblPr>
      <w:tblStyleRowBandSize w:val="1"/>
      <w:tblStyleColBandSize w:val="1"/>
    </w:tblPr>
  </w:style>
  <w:style w:type="table" w:customStyle="1" w:styleId="afe">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stol.ac.uk/research/impact/transforming-global-flood-risk-management/" TargetMode="External"/><Relationship Id="rId18" Type="http://schemas.openxmlformats.org/officeDocument/2006/relationships/hyperlink" Target="https://agupubs.onlinelibrary.wiley.com/doi/abs/10.1029/2023JD040557" TargetMode="External"/><Relationship Id="rId26" Type="http://schemas.openxmlformats.org/officeDocument/2006/relationships/hyperlink" Target="https://arxiv.org/abs/2311.00420" TargetMode="External"/><Relationship Id="rId39" Type="http://schemas.openxmlformats.org/officeDocument/2006/relationships/hyperlink" Target="https://www.nao.org.uk/reports/resilience-to-flooding/?utm_source" TargetMode="External"/><Relationship Id="rId21" Type="http://schemas.openxmlformats.org/officeDocument/2006/relationships/hyperlink" Target="https://www.gov.uk/government/publications/flood-and-coastal-risk-management-national-report/flood-and-coastal-erosion-risk-management-report-1-april-2024-to-31-march-2025?utm_source=chatgpt.com" TargetMode="External"/><Relationship Id="rId34" Type="http://schemas.openxmlformats.org/officeDocument/2006/relationships/hyperlink" Target="https://doi.org/10.1016/j.resconrec.2024.107607" TargetMode="External"/><Relationship Id="rId42" Type="http://schemas.openxmlformats.org/officeDocument/2006/relationships/hyperlink" Target="https://nora.nerc.ac.uk/id/eprint/540122/" TargetMode="External"/><Relationship Id="rId47" Type="http://schemas.openxmlformats.org/officeDocument/2006/relationships/hyperlink" Target="https://arxiv.org/abs/2111.06461"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arxiv.org/abs/2601.18586" TargetMode="External"/><Relationship Id="rId29" Type="http://schemas.openxmlformats.org/officeDocument/2006/relationships/hyperlink" Target="https://www.ipcc.ch/report/ar6/wg2/" TargetMode="External"/><Relationship Id="rId11" Type="http://schemas.openxmlformats.org/officeDocument/2006/relationships/image" Target="media/image4.png"/><Relationship Id="rId24" Type="http://schemas.openxmlformats.org/officeDocument/2006/relationships/hyperlink" Target="https://europepmc.org/article/ppr/ppr511415" TargetMode="External"/><Relationship Id="rId32" Type="http://schemas.openxmlformats.org/officeDocument/2006/relationships/hyperlink" Target="https://doi.org/10.2166/nh.2022.053" TargetMode="External"/><Relationship Id="rId37" Type="http://schemas.openxmlformats.org/officeDocument/2006/relationships/hyperlink" Target="https://www.mdpi.com/2673-7108/4/4/41" TargetMode="External"/><Relationship Id="rId40" Type="http://schemas.openxmlformats.org/officeDocument/2006/relationships/hyperlink" Target="https://www.oecd.org/environment/strengthening-infrastructure-resilience-to-climate-change-34f90d3d-en.htm" TargetMode="External"/><Relationship Id="rId45" Type="http://schemas.openxmlformats.org/officeDocument/2006/relationships/hyperlink" Target="https://www.gov.uk/government/publications/national-flood-and-coastal-erosion-risk-management-strategy-for-england" TargetMode="External"/><Relationship Id="rId5" Type="http://schemas.openxmlformats.org/officeDocument/2006/relationships/webSettings" Target="webSettings.xml"/><Relationship Id="rId15" Type="http://schemas.openxmlformats.org/officeDocument/2006/relationships/hyperlink" Target="https://nora.nerc.ac.uk/id/eprint/540231/" TargetMode="External"/><Relationship Id="rId23" Type="http://schemas.openxmlformats.org/officeDocument/2006/relationships/hyperlink" Target="https://www.gov.uk/government/publications/flood-and-coastal-risk-management-national-report/flood-and-coastal-erosion-risk-management-report-1-april-2024-to-31-march-2025?utm_source=chatgpt.com" TargetMode="External"/><Relationship Id="rId28" Type="http://schemas.openxmlformats.org/officeDocument/2006/relationships/hyperlink" Target="https://arxiv.org/abs/2311.00420" TargetMode="External"/><Relationship Id="rId36" Type="http://schemas.openxmlformats.org/officeDocument/2006/relationships/hyperlink" Target="https://www.mdpi.com/2673-7108/4/4/41"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frontiersin.org/journals/environmental-science/articles/10.3389/fenvs.2022.760147/full" TargetMode="External"/><Relationship Id="rId31" Type="http://schemas.openxmlformats.org/officeDocument/2006/relationships/hyperlink" Target="https://www.itrc.org.uk/index.html?p=38158" TargetMode="External"/><Relationship Id="rId44" Type="http://schemas.openxmlformats.org/officeDocument/2006/relationships/hyperlink" Target="https://doi.org/10.1038/s41893-019-0256-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nlinelibrary.wiley.com/doi/abs/10.1111/gto.12430" TargetMode="External"/><Relationship Id="rId22" Type="http://schemas.openxmlformats.org/officeDocument/2006/relationships/hyperlink" Target="https://www.gov.uk/government/publications/flood-and-coastal-risk-management-national-report/flood-and-coastal-erosion-risk-management-report-1-april-2024-to-31-march-2025?utm_source=chatgpt.com" TargetMode="External"/><Relationship Id="rId27" Type="http://schemas.openxmlformats.org/officeDocument/2006/relationships/hyperlink" Target="https://arxiv.org/abs/2311.00420" TargetMode="External"/><Relationship Id="rId30" Type="http://schemas.openxmlformats.org/officeDocument/2006/relationships/hyperlink" Target="https://www.ipcc.ch/report/ar6/wg2/" TargetMode="External"/><Relationship Id="rId35" Type="http://schemas.openxmlformats.org/officeDocument/2006/relationships/hyperlink" Target="https://www.academia.edu/download/121348948/latest.pdf" TargetMode="External"/><Relationship Id="rId43" Type="http://schemas.openxmlformats.org/officeDocument/2006/relationships/hyperlink" Target="https://esd.copernicus.org/articles/13/1377/2022/" TargetMode="External"/><Relationship Id="rId48" Type="http://schemas.openxmlformats.org/officeDocument/2006/relationships/hyperlink" Target="https://arxiv.org/abs/2111.06461"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bristol.ac.uk/research/impact/transforming-global-flood-risk-management/" TargetMode="External"/><Relationship Id="rId17" Type="http://schemas.openxmlformats.org/officeDocument/2006/relationships/hyperlink" Target="https://arxiv.org/abs/2601.18586" TargetMode="External"/><Relationship Id="rId25" Type="http://schemas.openxmlformats.org/officeDocument/2006/relationships/hyperlink" Target="https://www.researchgate.net/profile/Hayley-Fowler-2/publication/373132930_The_creation_and_climatology_of_a_large_independent_rainfall_event_database_for_Great_Britain/links/650c1c4082f01628f03475fd/The-creation-and-climatology-of-a-large-independent-rainfall-event-database-for-Great-Britain.pdf" TargetMode="External"/><Relationship Id="rId33" Type="http://schemas.openxmlformats.org/officeDocument/2006/relationships/hyperlink" Target="https://doi.org/10.1016/j.resconrec.2024.107607" TargetMode="External"/><Relationship Id="rId38" Type="http://schemas.openxmlformats.org/officeDocument/2006/relationships/hyperlink" Target="https://www.nao.org.uk/reports/managing-flood-risk/?utm_source" TargetMode="External"/><Relationship Id="rId46" Type="http://schemas.openxmlformats.org/officeDocument/2006/relationships/hyperlink" Target="https://www.gov.uk/government/publications/national-flood-and-coastal-erosion-risk-management-strategy-for-england" TargetMode="External"/><Relationship Id="rId20" Type="http://schemas.openxmlformats.org/officeDocument/2006/relationships/hyperlink" Target="https://doi.org/10.1080/13241583.2024.2429226" TargetMode="External"/><Relationship Id="rId41" Type="http://schemas.openxmlformats.org/officeDocument/2006/relationships/hyperlink" Target="https://arxiv.org/abs/2210.00403"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lqvjO4AVo/ywfINn/g9hYloJOA==">CgMxLjAyDmgubDJkdXZpYjdiaDhoMg5oLmlkMzlnNzV0YTg1dDIOaC5rcXgzc3hoajU1YWYyDmgua3Y1Y2FtYTE0YnFhMg5oLnhuZDRueWp6cHh4MTIOaC4zdzFtd3lpYTltZ2UyDWgubGgyYzk0amVyN3cyDmguZzlvbjVqOTkyeXpxMg5oLmZsazM2cGV3YW8xODIOaC5yNWdndXBqczBmZ2gyDmguMnp2aGJ0bnd4c2diMg5oLnlmaXg0OHFkd2VxdDgAciExX3UzaHMzbjg3azBrUS13UWo5YlZueW1RT01RQmVnOGk=</go:docsCustomData>
</go:gDocsCustomXmlDataStorage>
</file>

<file path=customXml/itemProps1.xml><?xml version="1.0" encoding="utf-8"?>
<ds:datastoreItem xmlns:ds="http://schemas.openxmlformats.org/officeDocument/2006/customXml" ds:itemID="{05D24A2A-59BD-42F8-BDD5-7A2E70923083}">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5488</Words>
  <Characters>31287</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Gosia Znaniecka</dc:creator>
  <cp:lastModifiedBy>Gosia Znaniecka</cp:lastModifiedBy>
  <cp:revision>2</cp:revision>
  <dcterms:created xsi:type="dcterms:W3CDTF">2026-04-27T18:50:00Z</dcterms:created>
  <dcterms:modified xsi:type="dcterms:W3CDTF">2026-04-27T18:50:00Z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8f281e09-1b9e-4342-be32-2a4561445ad0</vt:lpwstr>
  </property>
</Properties>
</file>