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FF139AA" w14:textId="197112C5" w:rsidR="003F3614" w:rsidRDefault="003F3614" w:rsidP="00E8044A">
      <w:pPr>
        <w:jc w:val="center"/>
        <w:rPr>
          <w:b/>
          <w:bCs/>
          <w:sz w:val="28"/>
          <w:szCs w:val="32"/>
        </w:rPr>
      </w:pPr>
      <w:r w:rsidRPr="003F3614">
        <w:rPr>
          <w:b/>
          <w:bCs/>
          <w:noProof/>
          <w:sz w:val="28"/>
          <w:szCs w:val="32"/>
          <w:lang w:val="en-GB" w:eastAsia="en-GB"/>
        </w:rPr>
        <w:drawing>
          <wp:inline distT="0" distB="0" distL="0" distR="0" wp14:anchorId="21E9CF2F" wp14:editId="21BDF9B8">
            <wp:extent cx="1971950" cy="771633"/>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971950" cy="771633"/>
                    </a:xfrm>
                    <a:prstGeom prst="rect">
                      <a:avLst/>
                    </a:prstGeom>
                  </pic:spPr>
                </pic:pic>
              </a:graphicData>
            </a:graphic>
          </wp:inline>
        </w:drawing>
      </w:r>
    </w:p>
    <w:p w14:paraId="5FA20DE0" w14:textId="597245EB" w:rsidR="00E8044A" w:rsidRPr="00E8044A" w:rsidRDefault="00E8044A" w:rsidP="00E8044A">
      <w:pPr>
        <w:jc w:val="center"/>
        <w:rPr>
          <w:b/>
          <w:bCs/>
          <w:sz w:val="28"/>
          <w:szCs w:val="32"/>
        </w:rPr>
      </w:pPr>
      <w:r w:rsidRPr="00E8044A">
        <w:rPr>
          <w:b/>
          <w:bCs/>
          <w:sz w:val="28"/>
          <w:szCs w:val="32"/>
        </w:rPr>
        <w:t>UNIVERSITY OF WALES TRINITY SAINT DAVID</w:t>
      </w:r>
    </w:p>
    <w:p w14:paraId="66FB464E" w14:textId="77777777" w:rsidR="00E8044A" w:rsidRPr="00E8044A" w:rsidRDefault="00E8044A" w:rsidP="00E8044A">
      <w:pPr>
        <w:jc w:val="center"/>
        <w:rPr>
          <w:sz w:val="28"/>
          <w:szCs w:val="32"/>
        </w:rPr>
      </w:pPr>
      <w:r w:rsidRPr="00E8044A">
        <w:rPr>
          <w:sz w:val="28"/>
          <w:szCs w:val="32"/>
        </w:rPr>
        <w:t>MSc Public Health and Social Care in Practice</w:t>
      </w:r>
    </w:p>
    <w:p w14:paraId="31EFCB4F" w14:textId="77777777" w:rsidR="00E8044A" w:rsidRPr="00E8044A" w:rsidRDefault="00E8044A" w:rsidP="00E8044A">
      <w:pPr>
        <w:jc w:val="center"/>
        <w:rPr>
          <w:sz w:val="28"/>
          <w:szCs w:val="32"/>
        </w:rPr>
      </w:pPr>
      <w:r w:rsidRPr="00E8044A">
        <w:rPr>
          <w:sz w:val="28"/>
          <w:szCs w:val="32"/>
        </w:rPr>
        <w:t>Module Code: LCHS7009</w:t>
      </w:r>
    </w:p>
    <w:p w14:paraId="575774EF" w14:textId="77777777" w:rsidR="00E8044A" w:rsidRPr="00E8044A" w:rsidRDefault="00E8044A" w:rsidP="00E8044A">
      <w:pPr>
        <w:jc w:val="center"/>
        <w:rPr>
          <w:sz w:val="28"/>
          <w:szCs w:val="32"/>
        </w:rPr>
      </w:pPr>
      <w:r w:rsidRPr="00E8044A">
        <w:rPr>
          <w:sz w:val="28"/>
          <w:szCs w:val="32"/>
        </w:rPr>
        <w:t>Module Title: Population Health and Digital Health Promotion</w:t>
      </w:r>
    </w:p>
    <w:p w14:paraId="6497CA5A" w14:textId="77777777" w:rsidR="00E8044A" w:rsidRPr="00E8044A" w:rsidRDefault="00E8044A" w:rsidP="00E8044A">
      <w:pPr>
        <w:jc w:val="center"/>
        <w:rPr>
          <w:sz w:val="28"/>
          <w:szCs w:val="32"/>
        </w:rPr>
      </w:pPr>
      <w:r w:rsidRPr="00E8044A">
        <w:rPr>
          <w:sz w:val="28"/>
          <w:szCs w:val="32"/>
        </w:rPr>
        <w:t>Component 1: Two Blogs</w:t>
      </w:r>
    </w:p>
    <w:p w14:paraId="2E3AC7E5" w14:textId="77777777" w:rsidR="00E8044A" w:rsidRPr="00E8044A" w:rsidRDefault="00E8044A" w:rsidP="00E8044A">
      <w:pPr>
        <w:jc w:val="center"/>
        <w:rPr>
          <w:sz w:val="28"/>
          <w:szCs w:val="32"/>
        </w:rPr>
      </w:pPr>
      <w:r w:rsidRPr="00E8044A">
        <w:rPr>
          <w:sz w:val="28"/>
          <w:szCs w:val="32"/>
        </w:rPr>
        <w:t>Digital Solutions for Physical Inactivity among UK University Students</w:t>
      </w:r>
    </w:p>
    <w:p w14:paraId="7C7A63A9" w14:textId="77777777" w:rsidR="003F3614" w:rsidRDefault="003F3614" w:rsidP="00E8044A">
      <w:pPr>
        <w:jc w:val="center"/>
        <w:rPr>
          <w:sz w:val="28"/>
          <w:szCs w:val="32"/>
        </w:rPr>
      </w:pPr>
    </w:p>
    <w:p w14:paraId="00493D5E" w14:textId="521242CA" w:rsidR="00E8044A" w:rsidRPr="00E8044A" w:rsidRDefault="00E8044A" w:rsidP="00E8044A">
      <w:pPr>
        <w:jc w:val="center"/>
        <w:rPr>
          <w:sz w:val="28"/>
          <w:szCs w:val="32"/>
        </w:rPr>
      </w:pPr>
      <w:r w:rsidRPr="00E8044A">
        <w:rPr>
          <w:sz w:val="28"/>
          <w:szCs w:val="32"/>
        </w:rPr>
        <w:t xml:space="preserve">Student Name: </w:t>
      </w:r>
      <w:r w:rsidR="00BC11F3">
        <w:rPr>
          <w:sz w:val="28"/>
          <w:szCs w:val="32"/>
        </w:rPr>
        <w:t>Md. Shohel Hossen</w:t>
      </w:r>
      <w:r w:rsidRPr="00E8044A">
        <w:rPr>
          <w:sz w:val="28"/>
          <w:szCs w:val="32"/>
        </w:rPr>
        <w:br/>
        <w:t xml:space="preserve">Student Number: </w:t>
      </w:r>
      <w:r w:rsidR="00BC11F3">
        <w:rPr>
          <w:sz w:val="28"/>
          <w:szCs w:val="32"/>
        </w:rPr>
        <w:t>2433869</w:t>
      </w:r>
      <w:bookmarkStart w:id="0" w:name="_GoBack"/>
      <w:bookmarkEnd w:id="0"/>
    </w:p>
    <w:p w14:paraId="14C3F0D4" w14:textId="3304771A" w:rsidR="00E8044A" w:rsidRPr="00E8044A" w:rsidRDefault="00BC11F3" w:rsidP="00E8044A">
      <w:pPr>
        <w:jc w:val="center"/>
        <w:rPr>
          <w:sz w:val="28"/>
          <w:szCs w:val="32"/>
        </w:rPr>
      </w:pPr>
      <w:r>
        <w:rPr>
          <w:sz w:val="28"/>
          <w:szCs w:val="32"/>
        </w:rPr>
        <w:t>Lecturer</w:t>
      </w:r>
      <w:r w:rsidR="00AF6DC8">
        <w:rPr>
          <w:sz w:val="28"/>
          <w:szCs w:val="32"/>
        </w:rPr>
        <w:t>:</w:t>
      </w:r>
      <w:r>
        <w:rPr>
          <w:sz w:val="28"/>
          <w:szCs w:val="32"/>
        </w:rPr>
        <w:t xml:space="preserve"> </w:t>
      </w:r>
      <w:r w:rsidR="00E8044A" w:rsidRPr="00E8044A">
        <w:rPr>
          <w:sz w:val="28"/>
          <w:szCs w:val="32"/>
        </w:rPr>
        <w:t>Dr Ping Wu</w:t>
      </w:r>
    </w:p>
    <w:p w14:paraId="1C944D7E" w14:textId="77777777" w:rsidR="00E8044A" w:rsidRPr="00E8044A" w:rsidRDefault="00E8044A" w:rsidP="00E8044A">
      <w:pPr>
        <w:jc w:val="center"/>
        <w:rPr>
          <w:sz w:val="28"/>
          <w:szCs w:val="32"/>
        </w:rPr>
      </w:pPr>
      <w:r w:rsidRPr="00E8044A">
        <w:rPr>
          <w:sz w:val="28"/>
          <w:szCs w:val="32"/>
        </w:rPr>
        <w:t>Submission Date: 28 July 2026</w:t>
      </w:r>
    </w:p>
    <w:p w14:paraId="006DA315" w14:textId="77C75384" w:rsidR="00E8044A" w:rsidRPr="00E8044A" w:rsidRDefault="00E8044A" w:rsidP="00E8044A">
      <w:pPr>
        <w:jc w:val="center"/>
        <w:rPr>
          <w:sz w:val="28"/>
          <w:szCs w:val="32"/>
        </w:rPr>
      </w:pPr>
      <w:r w:rsidRPr="00E8044A">
        <w:rPr>
          <w:sz w:val="28"/>
          <w:szCs w:val="32"/>
        </w:rPr>
        <w:t xml:space="preserve">Total Blog Word Count: </w:t>
      </w:r>
      <w:r w:rsidR="00CA1313">
        <w:rPr>
          <w:sz w:val="28"/>
          <w:szCs w:val="32"/>
        </w:rPr>
        <w:t>1020</w:t>
      </w:r>
      <w:r w:rsidRPr="00E8044A">
        <w:rPr>
          <w:sz w:val="28"/>
          <w:szCs w:val="32"/>
        </w:rPr>
        <w:t xml:space="preserve"> words</w:t>
      </w:r>
      <w:r w:rsidR="003F3614">
        <w:rPr>
          <w:sz w:val="28"/>
          <w:szCs w:val="32"/>
        </w:rPr>
        <w:t xml:space="preserve"> (</w:t>
      </w:r>
      <w:r w:rsidRPr="00E8044A">
        <w:rPr>
          <w:sz w:val="28"/>
          <w:szCs w:val="32"/>
        </w:rPr>
        <w:t>excluding figures, captions and reference lists</w:t>
      </w:r>
      <w:r w:rsidR="003F3614">
        <w:rPr>
          <w:sz w:val="28"/>
          <w:szCs w:val="32"/>
        </w:rPr>
        <w:t>)</w:t>
      </w:r>
    </w:p>
    <w:p w14:paraId="1EC03841" w14:textId="77777777" w:rsidR="00DA1A1B" w:rsidRDefault="003F3614" w:rsidP="00A71BCB">
      <w:r>
        <w:br w:type="page"/>
      </w:r>
    </w:p>
    <w:p w14:paraId="4F3AD873" w14:textId="77777777" w:rsidR="00DA1A1B" w:rsidRDefault="003F3614" w:rsidP="00A71BCB">
      <w:pPr>
        <w:pStyle w:val="Heading1"/>
        <w:jc w:val="center"/>
      </w:pPr>
      <w:r>
        <w:lastRenderedPageBreak/>
        <w:t>Blog 1: Can a Smartphone Get Students Moving? A Critical Review of NHS Couch to 5K</w:t>
      </w:r>
    </w:p>
    <w:p w14:paraId="3AFE3685" w14:textId="77777777" w:rsidR="00DA1A1B" w:rsidRDefault="003F3614" w:rsidP="00A71BCB">
      <w:pPr>
        <w:pStyle w:val="Heading2"/>
      </w:pPr>
      <w:r>
        <w:t>University Students Are Not All Active</w:t>
      </w:r>
    </w:p>
    <w:p w14:paraId="1B67321F" w14:textId="5DFBEAC8" w:rsidR="00DA1A1B" w:rsidRDefault="002C5E04" w:rsidP="002C5E04">
      <w:r w:rsidRPr="002B518A">
        <w:rPr>
          <w:noProof/>
          <w:lang w:val="en-GB" w:eastAsia="en-GB"/>
        </w:rPr>
        <w:drawing>
          <wp:anchor distT="0" distB="0" distL="114300" distR="114300" simplePos="0" relativeHeight="251659264" behindDoc="1" locked="0" layoutInCell="1" allowOverlap="1" wp14:anchorId="7E821F0A" wp14:editId="3A51DD2A">
            <wp:simplePos x="0" y="0"/>
            <wp:positionH relativeFrom="column">
              <wp:posOffset>1121410</wp:posOffset>
            </wp:positionH>
            <wp:positionV relativeFrom="paragraph">
              <wp:posOffset>1588135</wp:posOffset>
            </wp:positionV>
            <wp:extent cx="5288280" cy="1743075"/>
            <wp:effectExtent l="0" t="0" r="7620" b="9525"/>
            <wp:wrapTight wrapText="bothSides">
              <wp:wrapPolygon edited="0">
                <wp:start x="0" y="0"/>
                <wp:lineTo x="0" y="21482"/>
                <wp:lineTo x="21553" y="21482"/>
                <wp:lineTo x="2155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88280" cy="1743075"/>
                    </a:xfrm>
                    <a:prstGeom prst="rect">
                      <a:avLst/>
                    </a:prstGeom>
                  </pic:spPr>
                </pic:pic>
              </a:graphicData>
            </a:graphic>
            <wp14:sizeRelH relativeFrom="margin">
              <wp14:pctWidth>0</wp14:pctWidth>
            </wp14:sizeRelH>
          </wp:anchor>
        </w:drawing>
      </w:r>
      <w:r w:rsidR="009E22FC" w:rsidRPr="009E22FC">
        <w:t xml:space="preserve">Prolonged lectures, independent study, commuting and screen-based work with the university are all factors that make physical activity difficult to maintain. </w:t>
      </w:r>
      <w:r w:rsidR="00703BB8" w:rsidRPr="00703BB8">
        <w:t xml:space="preserve">The Student Active Wellbeing Survey 2024-25 gathered information from 7,740 students from 145 UK universities and colleges, with 82% of respondents being found active, </w:t>
      </w:r>
      <w:r w:rsidR="0000160C" w:rsidRPr="0000160C">
        <w:t>8% fairly active and 10% inactive</w:t>
      </w:r>
      <w:r w:rsidR="00703BB8" w:rsidRPr="00703BB8">
        <w:t xml:space="preserve"> (BUCS, 2025</w:t>
      </w:r>
      <w:r w:rsidR="009E22FC" w:rsidRPr="009E22FC">
        <w:t>). Despite this relatively high proportion of activity, 18% of this group did not achieve 150 minutes per week, indicating the importance of accessible interventions.</w:t>
      </w:r>
    </w:p>
    <w:p w14:paraId="60FA971E" w14:textId="77777777" w:rsidR="00DA1A1B" w:rsidRPr="002C5E04" w:rsidRDefault="003F3614" w:rsidP="00A71BCB">
      <w:pPr>
        <w:jc w:val="center"/>
        <w:rPr>
          <w:i/>
          <w:iCs/>
          <w:sz w:val="20"/>
          <w:szCs w:val="22"/>
        </w:rPr>
      </w:pPr>
      <w:r w:rsidRPr="002C5E04">
        <w:rPr>
          <w:i/>
          <w:iCs/>
          <w:sz w:val="20"/>
          <w:szCs w:val="22"/>
        </w:rPr>
        <w:t>Figure 1: Physical activity levels among UK higher-education student survey respondents, 2024–25. Source: BUCS (2025).</w:t>
      </w:r>
    </w:p>
    <w:p w14:paraId="53DE3E87" w14:textId="77777777" w:rsidR="00DA1A1B" w:rsidRDefault="003F3614" w:rsidP="00A71BCB">
      <w:pPr>
        <w:pStyle w:val="Heading2"/>
      </w:pPr>
      <w:r>
        <w:t>How Does Couch to 5K Work?</w:t>
      </w:r>
    </w:p>
    <w:p w14:paraId="1011A872" w14:textId="29DC32F9" w:rsidR="00DA1A1B" w:rsidRDefault="002C5E04" w:rsidP="00A71BCB">
      <w:r>
        <w:rPr>
          <w:noProof/>
          <w:lang w:val="en-GB" w:eastAsia="en-GB"/>
        </w:rPr>
        <w:drawing>
          <wp:anchor distT="0" distB="0" distL="114300" distR="114300" simplePos="0" relativeHeight="251658240" behindDoc="0" locked="0" layoutInCell="1" allowOverlap="1" wp14:anchorId="1BFBE06C" wp14:editId="5779EE61">
            <wp:simplePos x="0" y="0"/>
            <wp:positionH relativeFrom="column">
              <wp:posOffset>4052246</wp:posOffset>
            </wp:positionH>
            <wp:positionV relativeFrom="paragraph">
              <wp:posOffset>580803</wp:posOffset>
            </wp:positionV>
            <wp:extent cx="2988310" cy="3319780"/>
            <wp:effectExtent l="0" t="0" r="2540" b="0"/>
            <wp:wrapSquare wrapText="bothSides"/>
            <wp:docPr id="3" name="Picture 3" descr="Get running with Couch to 5K - Better Health - NH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et running with Couch to 5K - Better Health - NH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88310" cy="33197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A4C71" w:rsidRPr="006A4C71">
        <w:t xml:space="preserve">The NHS Couch to 5K app is a nine-week programme that slowly increases the amount of walking and running until the user transitions towards running. The use of audio instructions, regular programme time and progress monitoring helps to turn the general advice to “More exercise” into manageable steps (NHS, 2025). This design has been formulated based on the evidence that technology-based strategies like mobile applications or messaging are able to support university students' physical activity (Johannes et al., 2024). Another randomised trial demonstrated that, as compared to information alone, a goal-based mobile intervention led to higher levels of student activity after the intervention </w:t>
      </w:r>
      <w:r w:rsidR="003F3614">
        <w:t>(Al-Nawaiseh, McIntosh and McKyer, 2022).</w:t>
      </w:r>
    </w:p>
    <w:p w14:paraId="0E23C5A5" w14:textId="77777777" w:rsidR="00FF4C72" w:rsidRPr="00FF4C72" w:rsidRDefault="00FF4C72" w:rsidP="002C5E04">
      <w:pPr>
        <w:jc w:val="right"/>
        <w:rPr>
          <w:i/>
          <w:iCs/>
          <w:sz w:val="22"/>
          <w:szCs w:val="24"/>
        </w:rPr>
      </w:pPr>
      <w:r w:rsidRPr="00FF4C72">
        <w:rPr>
          <w:i/>
          <w:iCs/>
          <w:sz w:val="22"/>
          <w:szCs w:val="24"/>
        </w:rPr>
        <w:t>Figure 2: NHS Couch to 5K mobile application interface.</w:t>
      </w:r>
    </w:p>
    <w:p w14:paraId="54927B0A" w14:textId="0D6216B3" w:rsidR="003E6E22" w:rsidRPr="003E6E22" w:rsidRDefault="00FF4C72" w:rsidP="002C5E04">
      <w:pPr>
        <w:jc w:val="right"/>
        <w:rPr>
          <w:i/>
          <w:iCs/>
          <w:sz w:val="22"/>
          <w:szCs w:val="24"/>
        </w:rPr>
      </w:pPr>
      <w:r w:rsidRPr="00FF4C72">
        <w:rPr>
          <w:i/>
          <w:iCs/>
          <w:sz w:val="22"/>
          <w:szCs w:val="24"/>
        </w:rPr>
        <w:t>Source: NHS (2025).</w:t>
      </w:r>
    </w:p>
    <w:p w14:paraId="1077EA5E" w14:textId="77777777" w:rsidR="00DA1A1B" w:rsidRDefault="003F3614" w:rsidP="00A71BCB">
      <w:pPr>
        <w:pStyle w:val="Heading2"/>
      </w:pPr>
      <w:r>
        <w:lastRenderedPageBreak/>
        <w:t>Why Could It Work?</w:t>
      </w:r>
    </w:p>
    <w:p w14:paraId="6366E087" w14:textId="2C4C5A05" w:rsidR="00DA1A1B" w:rsidRDefault="006A4C71" w:rsidP="00A71BCB">
      <w:r w:rsidRPr="006A4C71">
        <w:t>It is convenient, inexpensive and slow. Students may access it without gym fees, hold sessions to study and practice during challenging times or practice during difficult weeks. Progressive goals can also boost confidence by giving them a sense of success on easier runs that they'll want to try longer in the future. The private format may be less competitive than competitive University sport, especially for students who feel self-conscious about fitness. Peng et al. (2023) conducted a meta-analysis which showed that e-health interventions had small positive effects on physical activity levels among college students, but no significant effects were found at follow-up, suggesting that the effects may diminish over time. Therefore, Couch to 5K should be considered a stepping stone approach rather than a means of long-term behaviour change.</w:t>
      </w:r>
    </w:p>
    <w:p w14:paraId="7CC086B6" w14:textId="77777777" w:rsidR="00DA1A1B" w:rsidRDefault="003F3614" w:rsidP="00A71BCB">
      <w:pPr>
        <w:pStyle w:val="Heading2"/>
      </w:pPr>
      <w:r>
        <w:t>Who May Be Left Behind?</w:t>
      </w:r>
    </w:p>
    <w:p w14:paraId="00FCF4FF" w14:textId="393656D0" w:rsidR="00DA1A1B" w:rsidRDefault="00FE14EC" w:rsidP="00A71BCB">
      <w:r w:rsidRPr="00FE14EC">
        <w:t xml:space="preserve">Important limitations remain. A programme that is based on running may result in the exclusion of students with disabilities, chronic conditions, little or no safe outdoor space and/or low fitness. Even generic progression cannot respond to the risk level of injuries and changing stress, fatigue, or individual motivation. Figueroa et al. </w:t>
      </w:r>
      <w:r>
        <w:t>(</w:t>
      </w:r>
      <w:r w:rsidRPr="00FE14EC">
        <w:t>2024</w:t>
      </w:r>
      <w:r>
        <w:t>)</w:t>
      </w:r>
      <w:r w:rsidRPr="00FE14EC">
        <w:t xml:space="preserve"> found that student responses to physical-activity apps show that messages are not very useful when they are not connected with the users' daily activities or personal motivations for being physically active. Technology access does not bring about social or environmental equity.</w:t>
      </w:r>
    </w:p>
    <w:p w14:paraId="034F9E4D" w14:textId="77777777" w:rsidR="00DA1A1B" w:rsidRDefault="003F3614" w:rsidP="00A71BCB">
      <w:pPr>
        <w:pStyle w:val="Heading2"/>
      </w:pPr>
      <w:r>
        <w:t>From Couch to 5K to a More Inclusive Intervention</w:t>
      </w:r>
    </w:p>
    <w:p w14:paraId="2078A447" w14:textId="2A0865E3" w:rsidR="00DA1A1B" w:rsidRDefault="00FE14EC" w:rsidP="00A71BCB">
      <w:r w:rsidRPr="00FE14EC">
        <w:t>Walking, wheelchair and low-impact paths, individualised pacing, flexible reminders, offline content, safety screening and links to university wellbeing or peer groups are all options that could be explored for strengthening Couch to 5K. Overall, it provides a scalable introduction to activity, but a more inclusive platform with students joined as the main players is required to tackle motivation issues and ensure long-term engagement beyond the nine weeks.</w:t>
      </w:r>
    </w:p>
    <w:p w14:paraId="519D73EE" w14:textId="77777777" w:rsidR="00A71BCB" w:rsidRDefault="00A71BCB">
      <w:pPr>
        <w:spacing w:after="200" w:line="276" w:lineRule="auto"/>
        <w:jc w:val="left"/>
        <w:rPr>
          <w:rFonts w:eastAsiaTheme="majorEastAsia"/>
          <w:b/>
          <w:bCs/>
          <w:color w:val="000000" w:themeColor="text1"/>
          <w:sz w:val="28"/>
        </w:rPr>
      </w:pPr>
      <w:r>
        <w:br w:type="page"/>
      </w:r>
    </w:p>
    <w:p w14:paraId="4F42EE86" w14:textId="43E209C4" w:rsidR="00DA1A1B" w:rsidRDefault="003F3614" w:rsidP="00A71BCB">
      <w:pPr>
        <w:pStyle w:val="Heading2"/>
      </w:pPr>
      <w:r>
        <w:lastRenderedPageBreak/>
        <w:t>Reference List</w:t>
      </w:r>
    </w:p>
    <w:p w14:paraId="55C57B1C" w14:textId="77777777" w:rsidR="00DA1A1B" w:rsidRDefault="003F3614" w:rsidP="00A71BCB">
      <w:r>
        <w:t>Al-Nawaiseh, H.K., McIntosh, W.A. and McKyer, L.J. (2022) ‘An m-health intervention using smartphone app to improve physical activity in college students: A randomized controlled trial’, International Journal of Environmental Research and Public Health, 19(12), 7228. doi: 10.3390/ijerph19127228.</w:t>
      </w:r>
    </w:p>
    <w:p w14:paraId="1410BD09" w14:textId="13564446" w:rsidR="00DA1A1B" w:rsidRDefault="00E619B0" w:rsidP="00A71BCB">
      <w:r w:rsidRPr="00E619B0">
        <w:t xml:space="preserve">British Universities and Colleges Sport (BUCS) (2025) </w:t>
      </w:r>
      <w:r w:rsidRPr="00E619B0">
        <w:rPr>
          <w:i/>
          <w:iCs/>
        </w:rPr>
        <w:t>Student Active Wellbeing Survey 2024–25: The impact of sport and physical activity on higher education student outcomes</w:t>
      </w:r>
      <w:r w:rsidRPr="00E619B0">
        <w:t xml:space="preserve">. </w:t>
      </w:r>
      <w:r w:rsidR="00C00CBA" w:rsidRPr="00C00CBA">
        <w:t>Available at: https://www.bucs.org.uk/resources-page/student-active-wellbeing-survey-report-2024-25.html [Accessed 26 July 2026]</w:t>
      </w:r>
      <w:r w:rsidRPr="00E619B0">
        <w:t>.</w:t>
      </w:r>
    </w:p>
    <w:p w14:paraId="6130D045" w14:textId="77777777" w:rsidR="00DA1A1B" w:rsidRDefault="003F3614" w:rsidP="00A71BCB">
      <w:r>
        <w:t>Figueroa, C.A., Gomez-Pathak, L., Khan, I., Williams, J.J., Lyles, C.R. and Aguilera, A. (2024) ‘Ratings and experiences in using a mobile application to increase physical activity among university students: implications for future design’, Universal Access in the Information Society, 23(2), pp. 821–830. doi: 10.1007/s10209-022-00962-z.</w:t>
      </w:r>
    </w:p>
    <w:p w14:paraId="28B2C447" w14:textId="77777777" w:rsidR="00DA1A1B" w:rsidRDefault="003F3614" w:rsidP="00A71BCB">
      <w:r>
        <w:t>Johannes, C., Roman, N.V., Onagbiye, S.O., Titus, S. and Leach, L.L. (2024) ‘Strategies and best practices that enhance the physical activity levels of undergraduate university students: A systematic review’, International Journal of Environmental Research and Public Health, 21(2), 173. doi: 10.3390/ijerph21020173.</w:t>
      </w:r>
    </w:p>
    <w:p w14:paraId="6D20B022" w14:textId="2DC16C02" w:rsidR="00DA1A1B" w:rsidRDefault="003F3614" w:rsidP="00A71BCB">
      <w:r>
        <w:t xml:space="preserve">NHS (2025) ‘Couch to 5K running plan’, Better Health. Available at: https://www.nhs.uk/better-health/get-active/get-running-with-couch-to-5k/couch-to-5k-running-plan/ </w:t>
      </w:r>
      <w:r w:rsidR="00C00CBA">
        <w:t>[</w:t>
      </w:r>
      <w:r>
        <w:t>Accessed: 26 July 2026</w:t>
      </w:r>
      <w:r w:rsidR="00C00CBA">
        <w:t>]</w:t>
      </w:r>
      <w:r>
        <w:t>.</w:t>
      </w:r>
    </w:p>
    <w:p w14:paraId="1A11E81D" w14:textId="77777777" w:rsidR="00DA1A1B" w:rsidRDefault="003F3614" w:rsidP="00A71BCB">
      <w:r>
        <w:t>Peng, S., Yuan, F., Othman, A.T., Zhou, X., Shen, G. and Liang, J. (2023) ‘The effectiveness of e-health interventions promoting physical activity and reducing sedentary behavior in college students: A systematic review and meta-analysis of randomized controlled trials’, International Journal of Environmental Research and Public Health, 20(1), 318. doi: 10.3390/ijerph20010318.</w:t>
      </w:r>
    </w:p>
    <w:p w14:paraId="3C025968" w14:textId="77777777" w:rsidR="00DA1A1B" w:rsidRDefault="003F3614" w:rsidP="00A71BCB">
      <w:r>
        <w:br w:type="page"/>
      </w:r>
    </w:p>
    <w:p w14:paraId="412CBF73" w14:textId="1E3E219C" w:rsidR="00DA1A1B" w:rsidRPr="00A71BCB" w:rsidRDefault="003F3614" w:rsidP="00A71BCB">
      <w:pPr>
        <w:pStyle w:val="Heading1"/>
      </w:pPr>
      <w:r w:rsidRPr="00A71BCB">
        <w:lastRenderedPageBreak/>
        <w:t>Blog 2: MoveEqual</w:t>
      </w:r>
      <w:r w:rsidR="00A71BCB" w:rsidRPr="00A71BCB">
        <w:t>-</w:t>
      </w:r>
      <w:r w:rsidRPr="00A71BCB">
        <w:t>Designing an Inclusive Digital Physical-Activity Intervention for University Students</w:t>
      </w:r>
    </w:p>
    <w:p w14:paraId="23CAC643" w14:textId="5B700A69" w:rsidR="00DA1A1B" w:rsidRPr="00A71BCB" w:rsidRDefault="003F3614" w:rsidP="00A71BCB">
      <w:pPr>
        <w:pStyle w:val="Heading2"/>
      </w:pPr>
      <w:r w:rsidRPr="00A71BCB">
        <w:t>Why Is Another Physical-Activity App Needed?</w:t>
      </w:r>
    </w:p>
    <w:p w14:paraId="5B02C10B" w14:textId="744C4638" w:rsidR="00DA1A1B" w:rsidRDefault="00B10AA1" w:rsidP="00B10AA1">
      <w:r>
        <w:rPr>
          <w:noProof/>
          <w:lang w:val="en-GB" w:eastAsia="en-GB"/>
        </w:rPr>
        <w:drawing>
          <wp:anchor distT="0" distB="0" distL="114300" distR="114300" simplePos="0" relativeHeight="251661312" behindDoc="0" locked="0" layoutInCell="1" allowOverlap="1" wp14:anchorId="2201BA0C" wp14:editId="00772893">
            <wp:simplePos x="0" y="0"/>
            <wp:positionH relativeFrom="column">
              <wp:posOffset>3492500</wp:posOffset>
            </wp:positionH>
            <wp:positionV relativeFrom="paragraph">
              <wp:posOffset>1077595</wp:posOffset>
            </wp:positionV>
            <wp:extent cx="3515995" cy="2083435"/>
            <wp:effectExtent l="0" t="0" r="825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1">
                      <a:extLst>
                        <a:ext uri="{28A0092B-C50C-407E-A947-70E740481C1C}">
                          <a14:useLocalDpi xmlns:a14="http://schemas.microsoft.com/office/drawing/2010/main" val="0"/>
                        </a:ext>
                      </a:extLst>
                    </a:blip>
                    <a:srcRect b="8989"/>
                    <a:stretch/>
                  </pic:blipFill>
                  <pic:spPr bwMode="auto">
                    <a:xfrm>
                      <a:off x="0" y="0"/>
                      <a:ext cx="3515995" cy="20834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D6F01">
        <w:t>Often, physical-activity apps assume that their problems are simply information and motivation. There is more mixed evidence from 590 students at one UK University. 54.2% of 284 students who reported that they had barriers were affected by lack of money, 48.9% affected by tiredness, 46.5% affected by lack of time, and 43.3% low motivation (Roberts et al., 2024). Percentages are greater than 100 since participants were able to check off multiple barriers. However, because the design was self-reported and single-institution, it generalises less well; the findings indicate that for an effective intervention to be spread, it must be free, flexible and responsive to students' context.</w:t>
      </w:r>
    </w:p>
    <w:p w14:paraId="13B4B7AA" w14:textId="0D6C17C7" w:rsidR="00DA1A1B" w:rsidRPr="00A71BCB" w:rsidRDefault="003F3614" w:rsidP="00A71BCB">
      <w:pPr>
        <w:jc w:val="center"/>
        <w:rPr>
          <w:i/>
          <w:iCs/>
          <w:sz w:val="20"/>
          <w:szCs w:val="22"/>
        </w:rPr>
      </w:pPr>
      <w:r w:rsidRPr="00A71BCB">
        <w:rPr>
          <w:i/>
          <w:iCs/>
          <w:sz w:val="20"/>
          <w:szCs w:val="22"/>
        </w:rPr>
        <w:t xml:space="preserve">Figure </w:t>
      </w:r>
      <w:r w:rsidR="0012055D">
        <w:rPr>
          <w:i/>
          <w:iCs/>
          <w:sz w:val="20"/>
          <w:szCs w:val="22"/>
        </w:rPr>
        <w:t>3</w:t>
      </w:r>
      <w:r w:rsidRPr="00A71BCB">
        <w:rPr>
          <w:i/>
          <w:iCs/>
          <w:sz w:val="20"/>
          <w:szCs w:val="22"/>
        </w:rPr>
        <w:t>: Main barriers to physical activity among UK university students reporting barriers (n = 284). Source: Author’s calculations based on Roberts et al. (2024).</w:t>
      </w:r>
    </w:p>
    <w:p w14:paraId="0E8FC3C2" w14:textId="77777777" w:rsidR="00DA1A1B" w:rsidRDefault="003F3614" w:rsidP="00A71BCB">
      <w:pPr>
        <w:pStyle w:val="Heading2"/>
      </w:pPr>
      <w:r>
        <w:t>Introducing MoveEqual</w:t>
      </w:r>
    </w:p>
    <w:p w14:paraId="3C55A45F" w14:textId="03CC9CFB" w:rsidR="00DA1A1B" w:rsidRDefault="00016D6D" w:rsidP="00A71BCB">
      <w:r w:rsidRPr="00016D6D">
        <w:t>MoveEqual is a suggested Exercise for all based at the University that offers walking, beginner running, home exercise, exercise for chair users and wheelchair users. Onboarding consists of users choosing their present level of capability, time, accessibility needs and objectives. Then, the app offers 5, 10 or 20 minute blocks of time to use, downloadable plans, low data usage, and optional SMS alerts. Large text, screen-reader-friendly and multilingual audio, captions and more would further help students with various communication needs while avoiding unnecessary digital exclusion. The lack of money is overcome by providing equipment-free activities, connecting to free campus activities, and by having fatigue through low-intensity options and limited time through shorter sessions, motivation through feedback and peer support and achievable milestones.</w:t>
      </w:r>
    </w:p>
    <w:p w14:paraId="3C8FA182" w14:textId="670784B6" w:rsidR="00DA1A1B" w:rsidRDefault="003F3614" w:rsidP="00A71BCB">
      <w:pPr>
        <w:pStyle w:val="Heading2"/>
      </w:pPr>
      <w:r>
        <w:t>Turning Barriers into Achievable Action</w:t>
      </w:r>
    </w:p>
    <w:p w14:paraId="6D33DFA0" w14:textId="55DDA15D" w:rsidR="00DA1A1B" w:rsidRDefault="00016D6D" w:rsidP="00A71BCB">
      <w:r w:rsidRPr="00016D6D">
        <w:t>MoveEqual’s behaviour-change pathway is: assessment, personalised goal, prompt, activity, feedback and adjusted goal. Accessible guidance builds capability; free home and campus options broaden opportunity; and meaningful goals, feedback and social support build motivation</w:t>
      </w:r>
      <w:r>
        <w:t xml:space="preserve"> </w:t>
      </w:r>
      <w:r w:rsidRPr="00016D6D">
        <w:t xml:space="preserve">this is COM-B. According to a systematic review, university-student interventions should specifically focus on: </w:t>
      </w:r>
      <w:r w:rsidRPr="00016D6D">
        <w:lastRenderedPageBreak/>
        <w:t xml:space="preserve">Environmental resources, social influences, and social goals (Brown et al., 2024). It is important to </w:t>
      </w:r>
      <w:r w:rsidR="00D83A2B">
        <w:rPr>
          <w:noProof/>
          <w:lang w:val="en-GB" w:eastAsia="en-GB"/>
        </w:rPr>
        <w:drawing>
          <wp:anchor distT="0" distB="0" distL="114300" distR="114300" simplePos="0" relativeHeight="251659776" behindDoc="1" locked="0" layoutInCell="1" allowOverlap="1" wp14:anchorId="6D84378D" wp14:editId="08B880EB">
            <wp:simplePos x="0" y="0"/>
            <wp:positionH relativeFrom="column">
              <wp:posOffset>2828925</wp:posOffset>
            </wp:positionH>
            <wp:positionV relativeFrom="paragraph">
              <wp:posOffset>470535</wp:posOffset>
            </wp:positionV>
            <wp:extent cx="3815715" cy="2413000"/>
            <wp:effectExtent l="0" t="0" r="0" b="635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15715" cy="2413000"/>
                    </a:xfrm>
                    <a:prstGeom prst="rect">
                      <a:avLst/>
                    </a:prstGeom>
                    <a:noFill/>
                    <a:ln>
                      <a:noFill/>
                    </a:ln>
                  </pic:spPr>
                </pic:pic>
              </a:graphicData>
            </a:graphic>
            <wp14:sizeRelH relativeFrom="margin">
              <wp14:pctWidth>0</wp14:pctWidth>
            </wp14:sizeRelH>
          </wp:anchor>
        </w:drawing>
      </w:r>
      <w:r w:rsidRPr="00016D6D">
        <w:t>consider the design and evaluation of activities for less active students as well, as shown by the example of</w:t>
      </w:r>
      <w:r w:rsidR="008D2889">
        <w:t xml:space="preserve"> </w:t>
      </w:r>
      <w:r w:rsidRPr="00016D6D">
        <w:t>BUCS (2025), where active students are overrepresented in surveys.</w:t>
      </w:r>
    </w:p>
    <w:p w14:paraId="49484467" w14:textId="62EF86E0" w:rsidR="008D2889" w:rsidRPr="006D0E1D" w:rsidRDefault="00C87D76" w:rsidP="00C87D76">
      <w:pPr>
        <w:jc w:val="center"/>
        <w:rPr>
          <w:i/>
          <w:iCs/>
          <w:sz w:val="22"/>
          <w:szCs w:val="24"/>
        </w:rPr>
      </w:pPr>
      <w:r w:rsidRPr="00C87D76">
        <w:rPr>
          <w:i/>
          <w:iCs/>
          <w:sz w:val="22"/>
          <w:szCs w:val="24"/>
        </w:rPr>
        <w:t>Figure 4: COM-B model showing capability, opportunity and motivation as determinants of behaviour.</w:t>
      </w:r>
      <w:r w:rsidR="006D0E1D" w:rsidRPr="006D0E1D">
        <w:rPr>
          <w:i/>
          <w:iCs/>
          <w:sz w:val="22"/>
          <w:szCs w:val="24"/>
        </w:rPr>
        <w:br/>
        <w:t xml:space="preserve">Source: </w:t>
      </w:r>
      <w:r w:rsidRPr="00C87D76">
        <w:rPr>
          <w:i/>
          <w:iCs/>
          <w:sz w:val="22"/>
          <w:szCs w:val="24"/>
        </w:rPr>
        <w:t>(Gedrag en Communicatie, 2023)</w:t>
      </w:r>
      <w:r>
        <w:rPr>
          <w:i/>
          <w:iCs/>
          <w:sz w:val="22"/>
          <w:szCs w:val="24"/>
        </w:rPr>
        <w:t>.</w:t>
      </w:r>
    </w:p>
    <w:p w14:paraId="7A16F070" w14:textId="77777777" w:rsidR="00DA1A1B" w:rsidRDefault="003F3614" w:rsidP="00A71BCB">
      <w:pPr>
        <w:pStyle w:val="Heading2"/>
      </w:pPr>
      <w:r>
        <w:t>Digital Innovation Is Not Automatically Inclusive</w:t>
      </w:r>
    </w:p>
    <w:p w14:paraId="5D12E781" w14:textId="467C0367" w:rsidR="00DA1A1B" w:rsidRDefault="00016D6D" w:rsidP="00A71BCB">
      <w:r w:rsidRPr="00016D6D">
        <w:t>The platform may be more inclusive than run-only apps, but personalisation is not a given that it will ensure engagement. Pupils complain they do not like the messages they receive in apps when they are missing school meetings due to changes in their timetables, or when they are not called up when they need to attend one, or when their reasons for attending, their stress levels, are changing (Figueroa et al., 2024). Remind and reward also need to be evaluated, and there are conflicting findings about the effectiveness of strategies designed to enhance digital-health engagement (Grady et al., 2023). Other risks are under-reporting, incorrect exercise recommendations, note fatigue, privacy issues, and exclusion of students who are unfamiliar with information technology.</w:t>
      </w:r>
    </w:p>
    <w:p w14:paraId="39483294" w14:textId="77777777" w:rsidR="00DA1A1B" w:rsidRDefault="003F3614" w:rsidP="00A71BCB">
      <w:pPr>
        <w:pStyle w:val="Heading2"/>
      </w:pPr>
      <w:r>
        <w:t>Designing for Safety and Equality</w:t>
      </w:r>
    </w:p>
    <w:p w14:paraId="4DD2FE41" w14:textId="38876577" w:rsidR="00A71BCB" w:rsidRDefault="00016D6D" w:rsidP="00A71BCB">
      <w:pPr>
        <w:rPr>
          <w:rFonts w:asciiTheme="majorHAnsi" w:eastAsiaTheme="majorEastAsia" w:hAnsiTheme="majorHAnsi" w:cstheme="majorBidi"/>
          <w:color w:val="217346"/>
          <w:sz w:val="25"/>
          <w:szCs w:val="26"/>
        </w:rPr>
      </w:pPr>
      <w:r w:rsidRPr="00016D6D">
        <w:t>Therefore, it is important to co-design with students and disability representatives, clinically review, trial prior to the expansion and evaluate across income, disability and engagement groups with MoveEqual. Greater transparency, less data collection, adjustable notifications, and safety screening and printout alternatives would enhance trust. While it can't fix all structural obstacles, it may be a way of linking inclusive digital guidance with coordinated university support.</w:t>
      </w:r>
      <w:r w:rsidR="00A71BCB">
        <w:br w:type="page"/>
      </w:r>
    </w:p>
    <w:p w14:paraId="3F07F2E7" w14:textId="681D79B5" w:rsidR="00DA1A1B" w:rsidRPr="00A71BCB" w:rsidRDefault="003F3614" w:rsidP="00A71BCB">
      <w:pPr>
        <w:pStyle w:val="Heading2"/>
      </w:pPr>
      <w:r w:rsidRPr="00A71BCB">
        <w:lastRenderedPageBreak/>
        <w:t>Reference List</w:t>
      </w:r>
    </w:p>
    <w:p w14:paraId="1BD5A732" w14:textId="77777777" w:rsidR="00532353" w:rsidRPr="00532353" w:rsidRDefault="00532353" w:rsidP="00A71BCB">
      <w:r w:rsidRPr="00532353">
        <w:t>British Universities and Colleges Sport (BUCS) (2025) Student Active Wellbeing Survey 2024–25: The impact of sport and physical activity on higher education student outcomes. London: BUCS. Available at: https://www.bucs.org.uk/resources-page/student-active-wellbeing-survey-report-2024-25.html [Accessed 26 July 2026].</w:t>
      </w:r>
    </w:p>
    <w:p w14:paraId="6E7BF656" w14:textId="77777777" w:rsidR="00532353" w:rsidRPr="00532353" w:rsidRDefault="00532353" w:rsidP="00A71BCB">
      <w:r w:rsidRPr="00532353">
        <w:t>Brown, C.E.B., Richardson, K., Halil-Pizzirani, B., Atkins, L., Yücel, M. and Segrave, R.A. (2024) ‘Key influences on university students’ physical activity: A systematic review using the Theoretical Domains Framework and the COM-B model of human behaviour’, BMC Public Health, 24, 418. doi: 10.1186/s12889-023-17621-4.</w:t>
      </w:r>
    </w:p>
    <w:p w14:paraId="24A644E5" w14:textId="77777777" w:rsidR="00532353" w:rsidRPr="00532353" w:rsidRDefault="00532353" w:rsidP="00A71BCB">
      <w:r w:rsidRPr="00532353">
        <w:t>Figueroa, C.A., Gomez-Pathak, L., Khan, I., Williams, J.J., Lyles, C.R. and Aguilera, A. (2024) ‘Ratings and experiences in using a mobile application to increase physical activity among university students: implications for future design’, Universal Access in the Information Society, 23(2), pp. 821–830. doi: 10.1007/s10209-022-00962-z.</w:t>
      </w:r>
    </w:p>
    <w:p w14:paraId="19ADBE37" w14:textId="77777777" w:rsidR="00532353" w:rsidRPr="00532353" w:rsidRDefault="00532353" w:rsidP="00532353">
      <w:r w:rsidRPr="00532353">
        <w:t>Gedrag en Communicatie (2023). Voorbeeld com-b model: Hoe werkt het? - Gedrag en communicatie. [online] Gedrag en communicatie. Available at: https://gedragencommunicatie.nl/motivatie-com-b/ [Accessed 26 July 2026].</w:t>
      </w:r>
    </w:p>
    <w:p w14:paraId="39670039" w14:textId="77777777" w:rsidR="00532353" w:rsidRPr="00532353" w:rsidRDefault="00532353" w:rsidP="00A71BCB">
      <w:r w:rsidRPr="00532353">
        <w:t>Grady, A., Pearson, N., Lamont, H., Leigh, L., Wolfenden, L., Barnes, C., Wyse, R., Finch, M., McLaughlin, M., Delaney, T., Sutherland, R., Hodder, R. and Yoong, S.L. (2023) ‘The effectiveness of strategies to improve user engagement with digital health interventions targeting nutrition, physical activity, and overweight and obesity: Systematic review and meta-analysis’, Journal of Medical Internet Research, 25, e47987. doi: 10.2196/47987.</w:t>
      </w:r>
    </w:p>
    <w:p w14:paraId="3F80660C" w14:textId="77777777" w:rsidR="00532353" w:rsidRPr="00532353" w:rsidRDefault="00532353" w:rsidP="00A71BCB">
      <w:r w:rsidRPr="00532353">
        <w:t>Roberts, C.J., Ryan, D.J., Campbell, J. and Hardwicke, J. (2024) ‘Self-reported physical activity and sedentary behaviour amongst UK university students: A cross-sectional case study’, Critical Public Health, 34(1), pp. 1–17. doi: 10.1080/09581596.2024.2338182.</w:t>
      </w:r>
    </w:p>
    <w:p w14:paraId="342C0E9D" w14:textId="77777777" w:rsidR="00532353" w:rsidRDefault="00532353" w:rsidP="00A71BCB"/>
    <w:sectPr w:rsidR="00532353" w:rsidSect="00034616">
      <w:pgSz w:w="12240" w:h="15840"/>
      <w:pgMar w:top="936" w:right="1080" w:bottom="936" w:left="108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D104A50" w14:textId="77777777" w:rsidR="00970113" w:rsidRDefault="00970113" w:rsidP="00A71BCB">
      <w:r>
        <w:separator/>
      </w:r>
    </w:p>
  </w:endnote>
  <w:endnote w:type="continuationSeparator" w:id="0">
    <w:p w14:paraId="5F545F62" w14:textId="77777777" w:rsidR="00970113" w:rsidRDefault="00970113" w:rsidP="00A71B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333E649" w14:textId="77777777" w:rsidR="00970113" w:rsidRDefault="00970113" w:rsidP="00A71BCB">
      <w:r>
        <w:separator/>
      </w:r>
    </w:p>
  </w:footnote>
  <w:footnote w:type="continuationSeparator" w:id="0">
    <w:p w14:paraId="5F953614" w14:textId="77777777" w:rsidR="00970113" w:rsidRDefault="00970113" w:rsidP="00A71BC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0160C"/>
    <w:rsid w:val="00016D6D"/>
    <w:rsid w:val="00034616"/>
    <w:rsid w:val="00041FEF"/>
    <w:rsid w:val="0006063C"/>
    <w:rsid w:val="00066E7B"/>
    <w:rsid w:val="000A1ABE"/>
    <w:rsid w:val="000A292F"/>
    <w:rsid w:val="0012055D"/>
    <w:rsid w:val="0015074B"/>
    <w:rsid w:val="00162040"/>
    <w:rsid w:val="00162E32"/>
    <w:rsid w:val="0019481A"/>
    <w:rsid w:val="00211ACA"/>
    <w:rsid w:val="00217E20"/>
    <w:rsid w:val="0029639D"/>
    <w:rsid w:val="002B518A"/>
    <w:rsid w:val="002C5E04"/>
    <w:rsid w:val="00320FD0"/>
    <w:rsid w:val="00326F90"/>
    <w:rsid w:val="00332788"/>
    <w:rsid w:val="00390932"/>
    <w:rsid w:val="003B1E45"/>
    <w:rsid w:val="003E6E22"/>
    <w:rsid w:val="003E76F4"/>
    <w:rsid w:val="003F3614"/>
    <w:rsid w:val="00491C08"/>
    <w:rsid w:val="00532353"/>
    <w:rsid w:val="00532F15"/>
    <w:rsid w:val="006A4C71"/>
    <w:rsid w:val="006D0E1D"/>
    <w:rsid w:val="0070008B"/>
    <w:rsid w:val="00703BB8"/>
    <w:rsid w:val="008D2889"/>
    <w:rsid w:val="008D413B"/>
    <w:rsid w:val="00970113"/>
    <w:rsid w:val="00973DD1"/>
    <w:rsid w:val="009E22FC"/>
    <w:rsid w:val="00A71BCB"/>
    <w:rsid w:val="00AA1D8D"/>
    <w:rsid w:val="00AF6DC8"/>
    <w:rsid w:val="00B10AA1"/>
    <w:rsid w:val="00B36CE7"/>
    <w:rsid w:val="00B47730"/>
    <w:rsid w:val="00BC11F3"/>
    <w:rsid w:val="00C00CBA"/>
    <w:rsid w:val="00C320B6"/>
    <w:rsid w:val="00C87D76"/>
    <w:rsid w:val="00CA1313"/>
    <w:rsid w:val="00CB0664"/>
    <w:rsid w:val="00D2752C"/>
    <w:rsid w:val="00D56F09"/>
    <w:rsid w:val="00D83A2B"/>
    <w:rsid w:val="00DA1A1B"/>
    <w:rsid w:val="00DD6F01"/>
    <w:rsid w:val="00DE51FF"/>
    <w:rsid w:val="00E238EF"/>
    <w:rsid w:val="00E619B0"/>
    <w:rsid w:val="00E64D1E"/>
    <w:rsid w:val="00E8044A"/>
    <w:rsid w:val="00FC693F"/>
    <w:rsid w:val="00FE14EC"/>
    <w:rsid w:val="00FF22EC"/>
    <w:rsid w:val="00FF4C7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062061"/>
  <w14:defaultImageDpi w14:val="300"/>
  <w15:docId w15:val="{DA7A567E-7124-401E-A9A8-848A81A59A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71BCB"/>
    <w:pPr>
      <w:spacing w:after="100" w:line="360" w:lineRule="auto"/>
      <w:jc w:val="both"/>
    </w:pPr>
    <w:rPr>
      <w:rFonts w:ascii="Times New Roman" w:hAnsi="Times New Roman" w:cs="Times New Roman"/>
      <w:sz w:val="24"/>
      <w:szCs w:val="28"/>
    </w:rPr>
  </w:style>
  <w:style w:type="paragraph" w:styleId="Heading1">
    <w:name w:val="heading 1"/>
    <w:basedOn w:val="Normal"/>
    <w:next w:val="Normal"/>
    <w:link w:val="Heading1Char"/>
    <w:uiPriority w:val="9"/>
    <w:qFormat/>
    <w:rsid w:val="00A71BCB"/>
    <w:pPr>
      <w:keepNext/>
      <w:keepLines/>
      <w:spacing w:before="480" w:after="0"/>
      <w:outlineLvl w:val="0"/>
    </w:pPr>
    <w:rPr>
      <w:rFonts w:eastAsiaTheme="majorEastAsia"/>
      <w:b/>
      <w:bCs/>
      <w:color w:val="000000" w:themeColor="text1"/>
      <w:sz w:val="32"/>
      <w:szCs w:val="24"/>
    </w:rPr>
  </w:style>
  <w:style w:type="paragraph" w:styleId="Heading2">
    <w:name w:val="heading 2"/>
    <w:basedOn w:val="Normal"/>
    <w:next w:val="Normal"/>
    <w:link w:val="Heading2Char"/>
    <w:uiPriority w:val="9"/>
    <w:unhideWhenUsed/>
    <w:qFormat/>
    <w:rsid w:val="00A71BCB"/>
    <w:pPr>
      <w:keepNext/>
      <w:keepLines/>
      <w:spacing w:before="200" w:after="0"/>
      <w:outlineLvl w:val="1"/>
    </w:pPr>
    <w:rPr>
      <w:rFonts w:eastAsiaTheme="majorEastAsia"/>
      <w:b/>
      <w:bCs/>
      <w:color w:val="000000" w:themeColor="text1"/>
      <w:sz w:val="28"/>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A71BCB"/>
    <w:rPr>
      <w:rFonts w:ascii="Times New Roman" w:eastAsiaTheme="majorEastAsia" w:hAnsi="Times New Roman" w:cs="Times New Roman"/>
      <w:b/>
      <w:bCs/>
      <w:color w:val="000000" w:themeColor="text1"/>
      <w:sz w:val="32"/>
      <w:szCs w:val="24"/>
    </w:rPr>
  </w:style>
  <w:style w:type="character" w:customStyle="1" w:styleId="Heading2Char">
    <w:name w:val="Heading 2 Char"/>
    <w:basedOn w:val="DefaultParagraphFont"/>
    <w:link w:val="Heading2"/>
    <w:uiPriority w:val="9"/>
    <w:rsid w:val="00A71BCB"/>
    <w:rPr>
      <w:rFonts w:ascii="Times New Roman" w:eastAsiaTheme="majorEastAsia" w:hAnsi="Times New Roman" w:cs="Times New Roman"/>
      <w:b/>
      <w:bCs/>
      <w:color w:val="000000" w:themeColor="text1"/>
      <w:sz w:val="28"/>
      <w:szCs w:val="28"/>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F4E79"/>
      <w:spacing w:val="5"/>
      <w:kern w:val="28"/>
      <w:sz w:val="48"/>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50532975">
      <w:bodyDiv w:val="1"/>
      <w:marLeft w:val="0"/>
      <w:marRight w:val="0"/>
      <w:marTop w:val="0"/>
      <w:marBottom w:val="0"/>
      <w:divBdr>
        <w:top w:val="none" w:sz="0" w:space="0" w:color="auto"/>
        <w:left w:val="none" w:sz="0" w:space="0" w:color="auto"/>
        <w:bottom w:val="none" w:sz="0" w:space="0" w:color="auto"/>
        <w:right w:val="none" w:sz="0" w:space="0" w:color="auto"/>
      </w:divBdr>
    </w:div>
    <w:div w:id="1172912571">
      <w:bodyDiv w:val="1"/>
      <w:marLeft w:val="0"/>
      <w:marRight w:val="0"/>
      <w:marTop w:val="0"/>
      <w:marBottom w:val="0"/>
      <w:divBdr>
        <w:top w:val="none" w:sz="0" w:space="0" w:color="auto"/>
        <w:left w:val="none" w:sz="0" w:space="0" w:color="auto"/>
        <w:bottom w:val="none" w:sz="0" w:space="0" w:color="auto"/>
        <w:right w:val="none" w:sz="0" w:space="0" w:color="auto"/>
      </w:divBdr>
      <w:divsChild>
        <w:div w:id="1536037037">
          <w:marLeft w:val="0"/>
          <w:marRight w:val="0"/>
          <w:marTop w:val="0"/>
          <w:marBottom w:val="0"/>
          <w:divBdr>
            <w:top w:val="none" w:sz="0" w:space="0" w:color="auto"/>
            <w:left w:val="none" w:sz="0" w:space="0" w:color="auto"/>
            <w:bottom w:val="none" w:sz="0" w:space="0" w:color="auto"/>
            <w:right w:val="none" w:sz="0" w:space="0" w:color="auto"/>
          </w:divBdr>
        </w:div>
      </w:divsChild>
    </w:div>
    <w:div w:id="1816684381">
      <w:bodyDiv w:val="1"/>
      <w:marLeft w:val="0"/>
      <w:marRight w:val="0"/>
      <w:marTop w:val="0"/>
      <w:marBottom w:val="0"/>
      <w:divBdr>
        <w:top w:val="none" w:sz="0" w:space="0" w:color="auto"/>
        <w:left w:val="none" w:sz="0" w:space="0" w:color="auto"/>
        <w:bottom w:val="none" w:sz="0" w:space="0" w:color="auto"/>
        <w:right w:val="none" w:sz="0" w:space="0" w:color="auto"/>
      </w:divBdr>
    </w:div>
    <w:div w:id="1885829134">
      <w:bodyDiv w:val="1"/>
      <w:marLeft w:val="0"/>
      <w:marRight w:val="0"/>
      <w:marTop w:val="0"/>
      <w:marBottom w:val="0"/>
      <w:divBdr>
        <w:top w:val="none" w:sz="0" w:space="0" w:color="auto"/>
        <w:left w:val="none" w:sz="0" w:space="0" w:color="auto"/>
        <w:bottom w:val="none" w:sz="0" w:space="0" w:color="auto"/>
        <w:right w:val="none" w:sz="0" w:space="0" w:color="auto"/>
      </w:divBdr>
      <w:divsChild>
        <w:div w:id="1633558253">
          <w:marLeft w:val="0"/>
          <w:marRight w:val="0"/>
          <w:marTop w:val="0"/>
          <w:marBottom w:val="0"/>
          <w:divBdr>
            <w:top w:val="none" w:sz="0" w:space="0" w:color="auto"/>
            <w:left w:val="none" w:sz="0" w:space="0" w:color="auto"/>
            <w:bottom w:val="none" w:sz="0" w:space="0" w:color="auto"/>
            <w:right w:val="none" w:sz="0" w:space="0" w:color="auto"/>
          </w:divBdr>
        </w:div>
      </w:divsChild>
    </w:div>
    <w:div w:id="1898586803">
      <w:bodyDiv w:val="1"/>
      <w:marLeft w:val="0"/>
      <w:marRight w:val="0"/>
      <w:marTop w:val="0"/>
      <w:marBottom w:val="0"/>
      <w:divBdr>
        <w:top w:val="none" w:sz="0" w:space="0" w:color="auto"/>
        <w:left w:val="none" w:sz="0" w:space="0" w:color="auto"/>
        <w:bottom w:val="none" w:sz="0" w:space="0" w:color="auto"/>
        <w:right w:val="none" w:sz="0" w:space="0" w:color="auto"/>
      </w:divBdr>
    </w:div>
    <w:div w:id="2065834901">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B1ED512-B1C4-4771-8112-4DA47E2360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7</Pages>
  <Words>1785</Words>
  <Characters>10180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11942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cp:lastModifiedBy>ismail - [2010]</cp:lastModifiedBy>
  <cp:revision>4</cp:revision>
  <dcterms:created xsi:type="dcterms:W3CDTF">2026-07-27T19:11:00Z</dcterms:created>
  <dcterms:modified xsi:type="dcterms:W3CDTF">2026-07-27T07:43:00Z</dcterms:modified>
  <cp:category/>
</cp:coreProperties>
</file>