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FECA6A" w14:textId="77777777" w:rsidR="00ED2AB1" w:rsidRDefault="00ED2AB1" w:rsidP="00ED2AB1">
      <w:pPr>
        <w:rPr>
          <w:sz w:val="24"/>
          <w:szCs w:val="24"/>
        </w:rPr>
      </w:pPr>
    </w:p>
    <w:p w14:paraId="7BE2518D" w14:textId="77777777" w:rsidR="00ED2AB1" w:rsidRDefault="00ED2AB1" w:rsidP="00ED2AB1">
      <w:pPr>
        <w:rPr>
          <w:sz w:val="24"/>
          <w:szCs w:val="24"/>
        </w:rPr>
      </w:pPr>
    </w:p>
    <w:p w14:paraId="504F6446" w14:textId="4ABD6B62" w:rsidR="00ED2AB1" w:rsidRPr="00ED2AB1" w:rsidRDefault="00ED2AB1" w:rsidP="00ED2AB1">
      <w:pPr>
        <w:jc w:val="center"/>
        <w:rPr>
          <w:rFonts w:cstheme="minorHAnsi"/>
          <w:sz w:val="24"/>
          <w:szCs w:val="24"/>
          <w:u w:val="single"/>
        </w:rPr>
      </w:pPr>
      <w:r w:rsidRPr="00ED2AB1">
        <w:rPr>
          <w:rFonts w:cstheme="minorHAnsi"/>
          <w:sz w:val="24"/>
          <w:szCs w:val="24"/>
          <w:u w:val="single"/>
        </w:rPr>
        <w:t xml:space="preserve">A commentary of </w:t>
      </w:r>
      <w:r w:rsidRPr="00ED2AB1">
        <w:rPr>
          <w:rFonts w:cstheme="minorHAnsi"/>
          <w:sz w:val="24"/>
          <w:szCs w:val="24"/>
          <w:u w:val="single"/>
        </w:rPr>
        <w:t xml:space="preserve">extract from the </w:t>
      </w:r>
      <w:r w:rsidRPr="00ED2AB1">
        <w:rPr>
          <w:rFonts w:cstheme="minorHAnsi"/>
          <w:i/>
          <w:iCs/>
          <w:sz w:val="24"/>
          <w:szCs w:val="24"/>
          <w:u w:val="single"/>
        </w:rPr>
        <w:t xml:space="preserve">Chronicon </w:t>
      </w:r>
      <w:proofErr w:type="spellStart"/>
      <w:r w:rsidRPr="00ED2AB1">
        <w:rPr>
          <w:rFonts w:cstheme="minorHAnsi"/>
          <w:i/>
          <w:iCs/>
          <w:sz w:val="24"/>
          <w:szCs w:val="24"/>
          <w:u w:val="single"/>
        </w:rPr>
        <w:t>Anglicanum</w:t>
      </w:r>
      <w:proofErr w:type="spellEnd"/>
    </w:p>
    <w:p w14:paraId="30E764C4" w14:textId="77777777" w:rsidR="00ED2AB1" w:rsidRDefault="00ED2AB1" w:rsidP="00ED2AB1">
      <w:pPr>
        <w:jc w:val="center"/>
        <w:rPr>
          <w:sz w:val="24"/>
          <w:szCs w:val="24"/>
        </w:rPr>
      </w:pPr>
    </w:p>
    <w:p w14:paraId="0611DAD6" w14:textId="3994CBDC" w:rsidR="00ED2AB1" w:rsidRPr="00ED2AB1" w:rsidRDefault="00ED2AB1" w:rsidP="00ED2AB1">
      <w:pPr>
        <w:rPr>
          <w:sz w:val="24"/>
          <w:szCs w:val="24"/>
        </w:rPr>
      </w:pPr>
      <w:r w:rsidRPr="00ED2AB1">
        <w:rPr>
          <w:sz w:val="24"/>
          <w:szCs w:val="24"/>
        </w:rPr>
        <w:t xml:space="preserve">Lord Ralph, the fifth abbot of Coggeshall and a monk, wrote the Chronicon </w:t>
      </w:r>
      <w:proofErr w:type="spellStart"/>
      <w:r w:rsidRPr="00ED2AB1">
        <w:rPr>
          <w:sz w:val="24"/>
          <w:szCs w:val="24"/>
        </w:rPr>
        <w:t>Anglicanum</w:t>
      </w:r>
      <w:proofErr w:type="spellEnd"/>
      <w:r w:rsidRPr="00ED2AB1">
        <w:rPr>
          <w:sz w:val="24"/>
          <w:szCs w:val="24"/>
        </w:rPr>
        <w:t>.</w:t>
      </w:r>
      <w:r w:rsidR="00154FFF">
        <w:rPr>
          <w:rStyle w:val="FootnoteReference"/>
          <w:sz w:val="24"/>
          <w:szCs w:val="24"/>
        </w:rPr>
        <w:footnoteReference w:id="1"/>
      </w:r>
      <w:r w:rsidRPr="00ED2AB1">
        <w:rPr>
          <w:sz w:val="24"/>
          <w:szCs w:val="24"/>
        </w:rPr>
        <w:t xml:space="preserve"> This sample illuminates the political and religious climate of the time by revealing the author's and audience's interests. This analysis will examine the excerpt's content and consider the author's interests and the audience's expectations.</w:t>
      </w:r>
    </w:p>
    <w:p w14:paraId="7604F976" w14:textId="746CCE3E" w:rsidR="00ED2AB1" w:rsidRPr="00ED2AB1" w:rsidRDefault="00ED2AB1" w:rsidP="00ED2AB1">
      <w:pPr>
        <w:rPr>
          <w:sz w:val="24"/>
          <w:szCs w:val="24"/>
        </w:rPr>
      </w:pPr>
      <w:r w:rsidRPr="00ED2AB1">
        <w:rPr>
          <w:sz w:val="24"/>
          <w:szCs w:val="24"/>
        </w:rPr>
        <w:t>The story begins in 1207 with Lord Thomas, the former abbot of Coggeshall, dying and Lord Ralph becoming his successor. Lord Ralph was both an abbot and a chronicler, indicating intellectual and religious interests.</w:t>
      </w:r>
      <w:r w:rsidR="00154FFF">
        <w:rPr>
          <w:rStyle w:val="FootnoteReference"/>
          <w:sz w:val="24"/>
          <w:szCs w:val="24"/>
        </w:rPr>
        <w:footnoteReference w:id="2"/>
      </w:r>
      <w:r w:rsidRPr="00ED2AB1">
        <w:rPr>
          <w:sz w:val="24"/>
          <w:szCs w:val="24"/>
        </w:rPr>
        <w:t xml:space="preserve"> The author states that he wrote the chronicle "commencing from the acquisition of the Holy Cross and extending until the eleventh year of the reign of King Henry III, the progeny of King John." The chronicle covers 1195, when the Holy Cross was taken, to 1223, Henry III's eleventh year.</w:t>
      </w:r>
    </w:p>
    <w:p w14:paraId="37E32D23" w14:textId="77777777" w:rsidR="00ED2AB1" w:rsidRPr="00ED2AB1" w:rsidRDefault="00ED2AB1" w:rsidP="00ED2AB1">
      <w:pPr>
        <w:rPr>
          <w:sz w:val="24"/>
          <w:szCs w:val="24"/>
        </w:rPr>
      </w:pPr>
      <w:r w:rsidRPr="00ED2AB1">
        <w:rPr>
          <w:sz w:val="24"/>
          <w:szCs w:val="24"/>
        </w:rPr>
        <w:t>Lord Ralph emphasises his meticulous efforts to document specific visions he received from esteemed individuals to enlighten and benefit a wide audience. The author's comment suggests a desire to examine the events' spiritual and theological aspects. The author wants to give readers a chronological history and ethical and metaphysical advice. This suggests that the author's target audience may include monks, clergy, and laypeople interested in religion.</w:t>
      </w:r>
    </w:p>
    <w:p w14:paraId="21476891" w14:textId="77777777" w:rsidR="00ED2AB1" w:rsidRPr="00ED2AB1" w:rsidRDefault="00ED2AB1" w:rsidP="00ED2AB1">
      <w:pPr>
        <w:rPr>
          <w:sz w:val="24"/>
          <w:szCs w:val="24"/>
        </w:rPr>
      </w:pPr>
      <w:r w:rsidRPr="00ED2AB1">
        <w:rPr>
          <w:sz w:val="24"/>
          <w:szCs w:val="24"/>
        </w:rPr>
        <w:t>According to the 1207 chronicle, Pope Innocent ordained Master Stephen Langton as Archbishop of Canterbury. The chronicle emphasises church matters by including the above event, which has great religious significance. The target demographic may be interested in ecclesiastical dynamics and the complex relationship between religious and secular powers.</w:t>
      </w:r>
    </w:p>
    <w:p w14:paraId="4B8335C7" w14:textId="6BCAEA31" w:rsidR="00ED2AB1" w:rsidRPr="00ED2AB1" w:rsidRDefault="00ED2AB1" w:rsidP="00ED2AB1">
      <w:pPr>
        <w:rPr>
          <w:sz w:val="24"/>
          <w:szCs w:val="24"/>
        </w:rPr>
      </w:pPr>
      <w:r w:rsidRPr="00ED2AB1">
        <w:rPr>
          <w:sz w:val="24"/>
          <w:szCs w:val="24"/>
        </w:rPr>
        <w:t xml:space="preserve">The reference to King John's expulsion of the Canterbury nuns and seizure of the </w:t>
      </w:r>
      <w:r w:rsidR="00AE1D64">
        <w:rPr>
          <w:sz w:val="24"/>
          <w:szCs w:val="24"/>
        </w:rPr>
        <w:t>C</w:t>
      </w:r>
      <w:r w:rsidRPr="00ED2AB1">
        <w:rPr>
          <w:sz w:val="24"/>
          <w:szCs w:val="24"/>
        </w:rPr>
        <w:t xml:space="preserve">hurch's assets highlights the </w:t>
      </w:r>
      <w:r w:rsidR="00AE1D64">
        <w:rPr>
          <w:sz w:val="24"/>
          <w:szCs w:val="24"/>
        </w:rPr>
        <w:t>K</w:t>
      </w:r>
      <w:r w:rsidRPr="00ED2AB1">
        <w:rPr>
          <w:sz w:val="24"/>
          <w:szCs w:val="24"/>
        </w:rPr>
        <w:t xml:space="preserve">ing's strained relationship with </w:t>
      </w:r>
      <w:r w:rsidR="00AE1D64">
        <w:rPr>
          <w:sz w:val="24"/>
          <w:szCs w:val="24"/>
        </w:rPr>
        <w:t>T</w:t>
      </w:r>
      <w:r w:rsidRPr="00ED2AB1">
        <w:rPr>
          <w:sz w:val="24"/>
          <w:szCs w:val="24"/>
        </w:rPr>
        <w:t xml:space="preserve">he </w:t>
      </w:r>
      <w:r w:rsidR="00AE1D64">
        <w:rPr>
          <w:sz w:val="24"/>
          <w:szCs w:val="24"/>
        </w:rPr>
        <w:t>C</w:t>
      </w:r>
      <w:r w:rsidRPr="00ED2AB1">
        <w:rPr>
          <w:sz w:val="24"/>
          <w:szCs w:val="24"/>
        </w:rPr>
        <w:t>hurch. This event shows the power dynamics and confrontations between secular and religious establishments at the time.</w:t>
      </w:r>
      <w:r w:rsidR="00AE1D64">
        <w:rPr>
          <w:rStyle w:val="FootnoteReference"/>
          <w:sz w:val="24"/>
          <w:szCs w:val="24"/>
        </w:rPr>
        <w:footnoteReference w:id="3"/>
      </w:r>
      <w:r w:rsidRPr="00ED2AB1">
        <w:rPr>
          <w:sz w:val="24"/>
          <w:szCs w:val="24"/>
        </w:rPr>
        <w:t xml:space="preserve"> Lord Ralph's audience will likely want to understand this relationship's complexities.</w:t>
      </w:r>
    </w:p>
    <w:p w14:paraId="03B2E87E" w14:textId="77777777" w:rsidR="00ED2AB1" w:rsidRPr="00ED2AB1" w:rsidRDefault="00ED2AB1" w:rsidP="00ED2AB1">
      <w:pPr>
        <w:rPr>
          <w:sz w:val="24"/>
          <w:szCs w:val="24"/>
        </w:rPr>
      </w:pPr>
      <w:r w:rsidRPr="00ED2AB1">
        <w:rPr>
          <w:sz w:val="24"/>
          <w:szCs w:val="24"/>
        </w:rPr>
        <w:t>In 1208, Lord Ralph recorded that England and Wales were under a strict ecclesiastical interdict that suspended religious ceremonies and sacraments. The author's audience is religiously preoccupied. Lord Ralph's chronicle gives a historical account of the clergy and monks' expropriation, which would have been significant to a religious audience.</w:t>
      </w:r>
    </w:p>
    <w:p w14:paraId="018DCB0C" w14:textId="34463101" w:rsidR="00ED2AB1" w:rsidRPr="00ED2AB1" w:rsidRDefault="00ED2AB1" w:rsidP="00ED2AB1">
      <w:pPr>
        <w:rPr>
          <w:sz w:val="24"/>
          <w:szCs w:val="24"/>
        </w:rPr>
      </w:pPr>
      <w:r w:rsidRPr="00ED2AB1">
        <w:rPr>
          <w:sz w:val="24"/>
          <w:szCs w:val="24"/>
        </w:rPr>
        <w:t>King John's promise to reconcile with the church and pope and his failure to do so reflect the political and religious upheaval of the time.</w:t>
      </w:r>
      <w:r w:rsidR="002907AA">
        <w:rPr>
          <w:rStyle w:val="FootnoteReference"/>
          <w:sz w:val="24"/>
          <w:szCs w:val="24"/>
        </w:rPr>
        <w:footnoteReference w:id="4"/>
      </w:r>
      <w:r w:rsidRPr="00ED2AB1">
        <w:rPr>
          <w:sz w:val="24"/>
          <w:szCs w:val="24"/>
        </w:rPr>
        <w:t xml:space="preserve"> The author uses these details to show the </w:t>
      </w:r>
      <w:r w:rsidRPr="00ED2AB1">
        <w:rPr>
          <w:sz w:val="24"/>
          <w:szCs w:val="24"/>
        </w:rPr>
        <w:lastRenderedPageBreak/>
        <w:t>audience's interest in rulers' behaviour and interactions with the church. Leaders' ethical and religious devotion should be examined by the audience.</w:t>
      </w:r>
    </w:p>
    <w:p w14:paraId="37B33159" w14:textId="0C5328E8" w:rsidR="00ED2AB1" w:rsidRPr="00ED2AB1" w:rsidRDefault="00ED2AB1" w:rsidP="00ED2AB1">
      <w:pPr>
        <w:rPr>
          <w:sz w:val="24"/>
          <w:szCs w:val="24"/>
        </w:rPr>
      </w:pPr>
      <w:r w:rsidRPr="00ED2AB1">
        <w:rPr>
          <w:sz w:val="24"/>
          <w:szCs w:val="24"/>
        </w:rPr>
        <w:t>The birth of Richard, King John's second son, and Henry, Duke of Saxony, in 1209 are significant. These events are important in the political context of the day despite having no religious connection. The inclusion of Duke Henry, Emperor Otto's sibling, suggests foreign ties, which may interest political and social observers.</w:t>
      </w:r>
      <w:r w:rsidR="004E0FB6">
        <w:rPr>
          <w:rStyle w:val="FootnoteReference"/>
          <w:sz w:val="24"/>
          <w:szCs w:val="24"/>
        </w:rPr>
        <w:footnoteReference w:id="5"/>
      </w:r>
    </w:p>
    <w:p w14:paraId="707900B1" w14:textId="77777777" w:rsidR="00ED2AB1" w:rsidRPr="00ED2AB1" w:rsidRDefault="00ED2AB1" w:rsidP="00ED2AB1">
      <w:pPr>
        <w:rPr>
          <w:sz w:val="24"/>
          <w:szCs w:val="24"/>
        </w:rPr>
      </w:pPr>
      <w:r w:rsidRPr="00ED2AB1">
        <w:rPr>
          <w:sz w:val="24"/>
          <w:szCs w:val="24"/>
        </w:rPr>
        <w:t>During mid-Lent, clouds and light clash in an intriguing way. While not directly related to politics or religion, this passage suggests that Lord Ralph's audience was interested in paranormal phenomena. The chronicle's tendency to record such events shows an audience with a deep interest in the extraordinary.</w:t>
      </w:r>
    </w:p>
    <w:p w14:paraId="6D1C780A" w14:textId="77777777" w:rsidR="00ED2AB1" w:rsidRPr="00ED2AB1" w:rsidRDefault="00ED2AB1" w:rsidP="00ED2AB1">
      <w:pPr>
        <w:rPr>
          <w:sz w:val="24"/>
          <w:szCs w:val="24"/>
        </w:rPr>
      </w:pPr>
      <w:r w:rsidRPr="00ED2AB1">
        <w:rPr>
          <w:sz w:val="24"/>
          <w:szCs w:val="24"/>
        </w:rPr>
        <w:t>The passage describes King John's 1210 activities. These actions included taxing religious institutions heavily, subjugating the Cistercians, and sending a military force to Ireland. The reference to the Cistercians and the king's tensions shows that Lord Ralph's audience cares deeply about religious institutions and leaders. The audience may want to understand the complexities of King John and the church's ongoing conflict.</w:t>
      </w:r>
    </w:p>
    <w:p w14:paraId="78360DA4" w14:textId="77777777" w:rsidR="00ED2AB1" w:rsidRPr="00ED2AB1" w:rsidRDefault="00ED2AB1" w:rsidP="00ED2AB1">
      <w:pPr>
        <w:rPr>
          <w:sz w:val="24"/>
          <w:szCs w:val="24"/>
        </w:rPr>
      </w:pPr>
      <w:r w:rsidRPr="00ED2AB1">
        <w:rPr>
          <w:sz w:val="24"/>
          <w:szCs w:val="24"/>
        </w:rPr>
        <w:t>The passage emphasises Pope Innocent and Emperor Otto's unresolved conflict. Although this ecclesiastical dispute does not directly affect England, religious audiences would be interested in it because of the Catholic Church and its hierarchy.</w:t>
      </w:r>
    </w:p>
    <w:p w14:paraId="4CB65014" w14:textId="590C5918" w:rsidR="00ED2AB1" w:rsidRPr="00ED2AB1" w:rsidRDefault="00ED2AB1" w:rsidP="00ED2AB1">
      <w:pPr>
        <w:rPr>
          <w:sz w:val="24"/>
          <w:szCs w:val="24"/>
        </w:rPr>
      </w:pPr>
      <w:r w:rsidRPr="00ED2AB1">
        <w:rPr>
          <w:sz w:val="24"/>
          <w:szCs w:val="24"/>
        </w:rPr>
        <w:t>Emperor Otto and King John were excommunicated in 1211, emphasising the chronicle's religious aspect.</w:t>
      </w:r>
      <w:r w:rsidR="00FD7E82">
        <w:rPr>
          <w:rStyle w:val="FootnoteReference"/>
          <w:sz w:val="24"/>
          <w:szCs w:val="24"/>
        </w:rPr>
        <w:footnoteReference w:id="6"/>
      </w:r>
      <w:r w:rsidRPr="00ED2AB1">
        <w:rPr>
          <w:sz w:val="24"/>
          <w:szCs w:val="24"/>
        </w:rPr>
        <w:t xml:space="preserve"> Lord Ralph emphasises the church's global influence and interests by summoning bishops and clerks from abroad. The author's readers may find the crowning of John, count of Brienne, as king of Jerusalem relevant because it reflects European politics.</w:t>
      </w:r>
    </w:p>
    <w:p w14:paraId="7562CFCB" w14:textId="152D5513" w:rsidR="00FD7E82" w:rsidRPr="00FD7E82" w:rsidRDefault="00ED2AB1" w:rsidP="00ED2AB1">
      <w:pPr>
        <w:rPr>
          <w:sz w:val="24"/>
          <w:szCs w:val="24"/>
        </w:rPr>
      </w:pPr>
      <w:r w:rsidRPr="00ED2AB1">
        <w:rPr>
          <w:sz w:val="24"/>
          <w:szCs w:val="24"/>
        </w:rPr>
        <w:t xml:space="preserve">This extract from 1212 concludes with the Scottish monarch's ceremonial knighthood of his children in London and his request for compensation after his sister Joanna's wedding. These events, though not religious, are crucial to the era's political and dynastic interests. Lord Ralph's audience is expected to be interested in the complex dynamics of political alliances </w:t>
      </w:r>
      <w:r w:rsidRPr="00FD7E82">
        <w:rPr>
          <w:sz w:val="24"/>
          <w:szCs w:val="24"/>
        </w:rPr>
        <w:t>across Europe and their effects on the English monarchy.</w:t>
      </w:r>
    </w:p>
    <w:p w14:paraId="7835798F" w14:textId="038040E2" w:rsidR="00FD7E82" w:rsidRPr="00FD7E82" w:rsidRDefault="00FD7E82" w:rsidP="00ED2AB1">
      <w:pPr>
        <w:rPr>
          <w:sz w:val="24"/>
          <w:szCs w:val="24"/>
        </w:rPr>
      </w:pPr>
      <w:r w:rsidRPr="00FD7E82">
        <w:rPr>
          <w:sz w:val="24"/>
          <w:szCs w:val="24"/>
        </w:rPr>
        <w:t xml:space="preserve">This section of the Chronicon </w:t>
      </w:r>
      <w:proofErr w:type="spellStart"/>
      <w:r w:rsidRPr="00FD7E82">
        <w:rPr>
          <w:sz w:val="24"/>
          <w:szCs w:val="24"/>
        </w:rPr>
        <w:t>Anglicanum</w:t>
      </w:r>
      <w:proofErr w:type="spellEnd"/>
      <w:r w:rsidRPr="00FD7E82">
        <w:rPr>
          <w:sz w:val="24"/>
          <w:szCs w:val="24"/>
        </w:rPr>
        <w:t xml:space="preserve"> demonstrates that the book is primarily concerned with political and religious matters, particularly the relationship that existed between the king and the church. The author, Lord Ralph, meticulously</w:t>
      </w:r>
      <w:r w:rsidRPr="00FD7E82">
        <w:rPr>
          <w:sz w:val="24"/>
          <w:szCs w:val="24"/>
        </w:rPr>
        <w:t xml:space="preserve"> </w:t>
      </w:r>
      <w:r w:rsidRPr="00FD7E82">
        <w:rPr>
          <w:sz w:val="24"/>
          <w:szCs w:val="24"/>
        </w:rPr>
        <w:t xml:space="preserve">documents notable events and extraordinary incidents to pique the interest of readers who are interested in religion, politics, and Europe. </w:t>
      </w:r>
      <w:proofErr w:type="gramStart"/>
      <w:r w:rsidRPr="00FD7E82">
        <w:rPr>
          <w:sz w:val="24"/>
          <w:szCs w:val="24"/>
        </w:rPr>
        <w:t>It would appear that the</w:t>
      </w:r>
      <w:proofErr w:type="gramEnd"/>
      <w:r w:rsidRPr="00FD7E82">
        <w:rPr>
          <w:sz w:val="24"/>
          <w:szCs w:val="24"/>
        </w:rPr>
        <w:t xml:space="preserve"> audience is comprised of religious monks, clergy, and laypeople looking for moral and spiritual direction from historical narratives. The writing and content provided by Lord Ralph demonstrate that he </w:t>
      </w:r>
      <w:proofErr w:type="gramStart"/>
      <w:r w:rsidRPr="00FD7E82">
        <w:rPr>
          <w:sz w:val="24"/>
          <w:szCs w:val="24"/>
        </w:rPr>
        <w:t>has an understanding of</w:t>
      </w:r>
      <w:proofErr w:type="gramEnd"/>
      <w:r w:rsidRPr="00FD7E82">
        <w:rPr>
          <w:sz w:val="24"/>
          <w:szCs w:val="24"/>
        </w:rPr>
        <w:t xml:space="preserve"> the concerns and interests of the audience.</w:t>
      </w:r>
    </w:p>
    <w:p w14:paraId="6E991854" w14:textId="77777777" w:rsidR="00FD7E82" w:rsidRDefault="00FD7E82" w:rsidP="00ED2AB1">
      <w:pPr>
        <w:rPr>
          <w:sz w:val="24"/>
          <w:szCs w:val="24"/>
        </w:rPr>
      </w:pPr>
    </w:p>
    <w:p w14:paraId="00D217AA" w14:textId="08D85748" w:rsidR="00154FFF" w:rsidRDefault="00154FFF" w:rsidP="00ED2AB1">
      <w:pPr>
        <w:rPr>
          <w:sz w:val="24"/>
          <w:szCs w:val="24"/>
          <w:u w:val="single"/>
        </w:rPr>
      </w:pPr>
      <w:r w:rsidRPr="00154FFF">
        <w:rPr>
          <w:sz w:val="24"/>
          <w:szCs w:val="24"/>
          <w:u w:val="single"/>
        </w:rPr>
        <w:t>Reference List</w:t>
      </w:r>
    </w:p>
    <w:p w14:paraId="1804987E" w14:textId="77777777" w:rsidR="00154FFF" w:rsidRPr="00154FFF" w:rsidRDefault="00154FFF" w:rsidP="00154FFF"/>
    <w:p w14:paraId="6FF07F10" w14:textId="4E3FF1D6" w:rsidR="00154FFF" w:rsidRDefault="00154FFF" w:rsidP="00154FFF">
      <w:pPr>
        <w:pStyle w:val="ListParagraph"/>
        <w:numPr>
          <w:ilvl w:val="0"/>
          <w:numId w:val="2"/>
        </w:numPr>
        <w:rPr>
          <w:sz w:val="24"/>
          <w:szCs w:val="24"/>
        </w:rPr>
      </w:pPr>
      <w:r w:rsidRPr="002907AA">
        <w:rPr>
          <w:sz w:val="24"/>
          <w:szCs w:val="24"/>
        </w:rPr>
        <w:t>Jones, Dan (2017). "Chapter 11". </w:t>
      </w:r>
      <w:r w:rsidRPr="002907AA">
        <w:rPr>
          <w:i/>
          <w:iCs/>
          <w:color w:val="000000" w:themeColor="text1"/>
          <w:sz w:val="24"/>
          <w:szCs w:val="24"/>
        </w:rPr>
        <w:t>The Templars: The Rise and Fall of God's Holy Warriors.</w:t>
      </w:r>
      <w:r w:rsidRPr="002907AA">
        <w:rPr>
          <w:color w:val="000000" w:themeColor="text1"/>
          <w:sz w:val="24"/>
          <w:szCs w:val="24"/>
        </w:rPr>
        <w:t xml:space="preserve"> </w:t>
      </w:r>
      <w:r w:rsidRPr="002907AA">
        <w:rPr>
          <w:sz w:val="24"/>
          <w:szCs w:val="24"/>
        </w:rPr>
        <w:t>Head of Zeus. </w:t>
      </w:r>
    </w:p>
    <w:p w14:paraId="1BC7E32A" w14:textId="77777777" w:rsidR="004E0FB6" w:rsidRPr="004E0FB6" w:rsidRDefault="004E0FB6" w:rsidP="004E0FB6">
      <w:pPr>
        <w:pStyle w:val="ListParagraph"/>
        <w:rPr>
          <w:sz w:val="24"/>
          <w:szCs w:val="24"/>
        </w:rPr>
      </w:pPr>
    </w:p>
    <w:p w14:paraId="6F430AD3" w14:textId="26F80D32" w:rsidR="00AE1D64" w:rsidRPr="002907AA" w:rsidRDefault="00AE1D64" w:rsidP="00AE1D64">
      <w:pPr>
        <w:pStyle w:val="ListParagraph"/>
        <w:numPr>
          <w:ilvl w:val="0"/>
          <w:numId w:val="2"/>
        </w:numPr>
        <w:rPr>
          <w:sz w:val="24"/>
          <w:szCs w:val="24"/>
        </w:rPr>
      </w:pPr>
      <w:r w:rsidRPr="002907AA">
        <w:rPr>
          <w:sz w:val="24"/>
          <w:szCs w:val="24"/>
        </w:rPr>
        <w:t xml:space="preserve">Editors Of Encyclopaedia Britannica (1998). </w:t>
      </w:r>
      <w:r w:rsidRPr="002907AA">
        <w:rPr>
          <w:i/>
          <w:iCs/>
          <w:sz w:val="24"/>
          <w:szCs w:val="24"/>
        </w:rPr>
        <w:t>Ralph Of Coggeshall</w:t>
      </w:r>
      <w:r w:rsidRPr="002907AA">
        <w:rPr>
          <w:i/>
          <w:iCs/>
          <w:sz w:val="24"/>
          <w:szCs w:val="24"/>
        </w:rPr>
        <w:t xml:space="preserve">. </w:t>
      </w:r>
      <w:r w:rsidRPr="002907AA">
        <w:rPr>
          <w:sz w:val="24"/>
          <w:szCs w:val="24"/>
        </w:rPr>
        <w:t xml:space="preserve">Accessed at: </w:t>
      </w:r>
      <w:hyperlink r:id="rId7" w:history="1">
        <w:r w:rsidRPr="002907AA">
          <w:rPr>
            <w:rStyle w:val="Hyperlink"/>
            <w:sz w:val="24"/>
            <w:szCs w:val="24"/>
          </w:rPr>
          <w:t xml:space="preserve">Ralph </w:t>
        </w:r>
        <w:proofErr w:type="gramStart"/>
        <w:r w:rsidRPr="002907AA">
          <w:rPr>
            <w:rStyle w:val="Hyperlink"/>
            <w:sz w:val="24"/>
            <w:szCs w:val="24"/>
          </w:rPr>
          <w:t>Of</w:t>
        </w:r>
        <w:proofErr w:type="gramEnd"/>
        <w:r w:rsidRPr="002907AA">
          <w:rPr>
            <w:rStyle w:val="Hyperlink"/>
            <w:sz w:val="24"/>
            <w:szCs w:val="24"/>
          </w:rPr>
          <w:t xml:space="preserve"> Coggeshall | Monastic Chronicler, Abbot of Coggeshall | Britannica</w:t>
        </w:r>
      </w:hyperlink>
    </w:p>
    <w:p w14:paraId="19CAF511" w14:textId="77777777" w:rsidR="00AE1D64" w:rsidRPr="002907AA" w:rsidRDefault="00AE1D64" w:rsidP="00AE1D64">
      <w:pPr>
        <w:pStyle w:val="ListParagraph"/>
        <w:rPr>
          <w:sz w:val="24"/>
          <w:szCs w:val="24"/>
        </w:rPr>
      </w:pPr>
    </w:p>
    <w:p w14:paraId="2A7327AA" w14:textId="4E7E22D1" w:rsidR="00AE1D64" w:rsidRPr="002907AA" w:rsidRDefault="00AE1D64" w:rsidP="00AE1D64">
      <w:pPr>
        <w:pStyle w:val="ListParagraph"/>
        <w:numPr>
          <w:ilvl w:val="0"/>
          <w:numId w:val="2"/>
        </w:numPr>
        <w:rPr>
          <w:sz w:val="24"/>
          <w:szCs w:val="24"/>
        </w:rPr>
      </w:pPr>
      <w:r w:rsidRPr="002907AA">
        <w:rPr>
          <w:sz w:val="24"/>
          <w:szCs w:val="24"/>
        </w:rPr>
        <w:t xml:space="preserve">Monalisa M (Unknown). </w:t>
      </w:r>
      <w:r w:rsidRPr="002907AA">
        <w:rPr>
          <w:i/>
          <w:iCs/>
          <w:sz w:val="24"/>
          <w:szCs w:val="24"/>
        </w:rPr>
        <w:t>Conflict between the Church and the State | Medieval Period</w:t>
      </w:r>
      <w:r w:rsidRPr="002907AA">
        <w:rPr>
          <w:i/>
          <w:iCs/>
          <w:sz w:val="24"/>
          <w:szCs w:val="24"/>
        </w:rPr>
        <w:t xml:space="preserve">. </w:t>
      </w:r>
      <w:r w:rsidRPr="002907AA">
        <w:rPr>
          <w:sz w:val="24"/>
          <w:szCs w:val="24"/>
        </w:rPr>
        <w:t xml:space="preserve">Accessed at: </w:t>
      </w:r>
      <w:hyperlink r:id="rId8" w:history="1">
        <w:r w:rsidRPr="002907AA">
          <w:rPr>
            <w:rStyle w:val="Hyperlink"/>
            <w:sz w:val="24"/>
            <w:szCs w:val="24"/>
          </w:rPr>
          <w:t>Conflict between the Church and the State | Medieval Period (politicalsciencenotes.com)</w:t>
        </w:r>
      </w:hyperlink>
    </w:p>
    <w:p w14:paraId="180BF31C" w14:textId="77777777" w:rsidR="002907AA" w:rsidRDefault="002907AA" w:rsidP="00AE1D64">
      <w:pPr>
        <w:pStyle w:val="ListParagraph"/>
        <w:rPr>
          <w:sz w:val="24"/>
          <w:szCs w:val="24"/>
        </w:rPr>
      </w:pPr>
    </w:p>
    <w:p w14:paraId="74C1BA72" w14:textId="232D919B" w:rsidR="002907AA" w:rsidRPr="002907AA" w:rsidRDefault="002907AA" w:rsidP="002907AA">
      <w:pPr>
        <w:pStyle w:val="ListParagraph"/>
        <w:numPr>
          <w:ilvl w:val="0"/>
          <w:numId w:val="2"/>
        </w:numPr>
        <w:rPr>
          <w:sz w:val="24"/>
          <w:szCs w:val="24"/>
        </w:rPr>
      </w:pPr>
      <w:r w:rsidRPr="002907AA">
        <w:rPr>
          <w:sz w:val="24"/>
          <w:szCs w:val="24"/>
        </w:rPr>
        <w:t xml:space="preserve">Holt, James (1999). </w:t>
      </w:r>
      <w:r w:rsidRPr="002907AA">
        <w:rPr>
          <w:i/>
          <w:iCs/>
          <w:sz w:val="24"/>
          <w:szCs w:val="24"/>
        </w:rPr>
        <w:t>John. Quarrel with the church.</w:t>
      </w:r>
      <w:r w:rsidRPr="002907AA">
        <w:rPr>
          <w:sz w:val="24"/>
          <w:szCs w:val="24"/>
        </w:rPr>
        <w:t xml:space="preserve"> Accessed at: </w:t>
      </w:r>
      <w:hyperlink r:id="rId9" w:history="1">
        <w:r w:rsidRPr="002907AA">
          <w:rPr>
            <w:rStyle w:val="Hyperlink"/>
            <w:sz w:val="24"/>
            <w:szCs w:val="24"/>
          </w:rPr>
          <w:t>John - Church Quarrel, Magna Carta, Reforms | Britannica</w:t>
        </w:r>
      </w:hyperlink>
    </w:p>
    <w:p w14:paraId="735A0AD3" w14:textId="77777777" w:rsidR="004E0FB6" w:rsidRDefault="004E0FB6" w:rsidP="00AE1D64">
      <w:pPr>
        <w:pStyle w:val="ListParagraph"/>
      </w:pPr>
    </w:p>
    <w:p w14:paraId="17D746BE" w14:textId="4387E303" w:rsidR="004E0FB6" w:rsidRDefault="004E0FB6" w:rsidP="004E0FB6">
      <w:pPr>
        <w:pStyle w:val="ListParagraph"/>
        <w:numPr>
          <w:ilvl w:val="0"/>
          <w:numId w:val="2"/>
        </w:numPr>
        <w:rPr>
          <w:sz w:val="24"/>
          <w:szCs w:val="24"/>
        </w:rPr>
      </w:pPr>
      <w:r w:rsidRPr="004E0FB6">
        <w:rPr>
          <w:sz w:val="24"/>
          <w:szCs w:val="24"/>
        </w:rPr>
        <w:t>Davis 2013</w:t>
      </w:r>
      <w:r w:rsidRPr="004E0FB6">
        <w:rPr>
          <w:sz w:val="24"/>
          <w:szCs w:val="24"/>
        </w:rPr>
        <w:t>, p. 46; Ridgeway, Huw W. (2004), </w:t>
      </w:r>
      <w:r w:rsidRPr="004E0FB6">
        <w:rPr>
          <w:i/>
          <w:iCs/>
          <w:sz w:val="24"/>
          <w:szCs w:val="24"/>
        </w:rPr>
        <w:t>"Henry III (1207–1272)"</w:t>
      </w:r>
      <w:r w:rsidRPr="004E0FB6">
        <w:rPr>
          <w:i/>
          <w:iCs/>
          <w:sz w:val="24"/>
          <w:szCs w:val="24"/>
        </w:rPr>
        <w:t>,</w:t>
      </w:r>
      <w:r w:rsidRPr="004E0FB6">
        <w:rPr>
          <w:sz w:val="24"/>
          <w:szCs w:val="24"/>
        </w:rPr>
        <w:t> </w:t>
      </w:r>
      <w:r w:rsidRPr="004E0FB6">
        <w:rPr>
          <w:sz w:val="24"/>
          <w:szCs w:val="24"/>
        </w:rPr>
        <w:t>Oxford Dictionary of National Biography</w:t>
      </w:r>
      <w:r w:rsidRPr="004E0FB6">
        <w:rPr>
          <w:sz w:val="24"/>
          <w:szCs w:val="24"/>
        </w:rPr>
        <w:t> (online ed.), Oxford University Press (published September 2010)</w:t>
      </w:r>
    </w:p>
    <w:p w14:paraId="0DE12744" w14:textId="77777777" w:rsidR="00FD7E82" w:rsidRPr="00FD7E82" w:rsidRDefault="00FD7E82" w:rsidP="00FD7E82">
      <w:pPr>
        <w:pStyle w:val="ListParagraph"/>
        <w:rPr>
          <w:sz w:val="24"/>
          <w:szCs w:val="24"/>
        </w:rPr>
      </w:pPr>
    </w:p>
    <w:p w14:paraId="68F4AEC2" w14:textId="13390347" w:rsidR="00FD7E82" w:rsidRPr="00FD7E82" w:rsidRDefault="00FD7E82" w:rsidP="004E0FB6">
      <w:pPr>
        <w:pStyle w:val="ListParagraph"/>
        <w:numPr>
          <w:ilvl w:val="0"/>
          <w:numId w:val="2"/>
        </w:numPr>
        <w:rPr>
          <w:sz w:val="24"/>
          <w:szCs w:val="24"/>
        </w:rPr>
      </w:pPr>
      <w:r w:rsidRPr="00FD7E82">
        <w:rPr>
          <w:sz w:val="24"/>
          <w:szCs w:val="24"/>
        </w:rPr>
        <w:t>Editors Of Encyclopaedia Britannica (1998).</w:t>
      </w:r>
      <w:r w:rsidRPr="00FD7E82">
        <w:rPr>
          <w:i/>
          <w:iCs/>
          <w:sz w:val="24"/>
          <w:szCs w:val="24"/>
        </w:rPr>
        <w:t xml:space="preserve"> Otto IV</w:t>
      </w:r>
      <w:r w:rsidRPr="00FD7E82">
        <w:rPr>
          <w:i/>
          <w:iCs/>
          <w:sz w:val="24"/>
          <w:szCs w:val="24"/>
        </w:rPr>
        <w:t xml:space="preserve">. </w:t>
      </w:r>
      <w:r w:rsidRPr="00FD7E82">
        <w:rPr>
          <w:sz w:val="24"/>
          <w:szCs w:val="24"/>
        </w:rPr>
        <w:t>Accessed at:</w:t>
      </w:r>
      <w:r w:rsidRPr="00FD7E82">
        <w:rPr>
          <w:sz w:val="24"/>
          <w:szCs w:val="24"/>
        </w:rPr>
        <w:t xml:space="preserve"> </w:t>
      </w:r>
      <w:hyperlink r:id="rId10" w:history="1">
        <w:r w:rsidRPr="00FD7E82">
          <w:rPr>
            <w:rStyle w:val="Hyperlink"/>
            <w:sz w:val="24"/>
            <w:szCs w:val="24"/>
          </w:rPr>
          <w:t>Otto IV | Holy Roman Emperor, German King &amp; Count of Poitou | Britannica</w:t>
        </w:r>
      </w:hyperlink>
    </w:p>
    <w:sectPr w:rsidR="00FD7E82" w:rsidRPr="00FD7E8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66B4BA" w14:textId="77777777" w:rsidR="00154FFF" w:rsidRDefault="00154FFF" w:rsidP="00154FFF">
      <w:pPr>
        <w:spacing w:after="0" w:line="240" w:lineRule="auto"/>
      </w:pPr>
      <w:r>
        <w:separator/>
      </w:r>
    </w:p>
  </w:endnote>
  <w:endnote w:type="continuationSeparator" w:id="0">
    <w:p w14:paraId="0642797A" w14:textId="77777777" w:rsidR="00154FFF" w:rsidRDefault="00154FFF" w:rsidP="00154F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D6AB1D" w14:textId="77777777" w:rsidR="00154FFF" w:rsidRDefault="00154FFF" w:rsidP="00154FFF">
      <w:pPr>
        <w:spacing w:after="0" w:line="240" w:lineRule="auto"/>
      </w:pPr>
      <w:r>
        <w:separator/>
      </w:r>
    </w:p>
  </w:footnote>
  <w:footnote w:type="continuationSeparator" w:id="0">
    <w:p w14:paraId="551F855E" w14:textId="77777777" w:rsidR="00154FFF" w:rsidRDefault="00154FFF" w:rsidP="00154FFF">
      <w:pPr>
        <w:spacing w:after="0" w:line="240" w:lineRule="auto"/>
      </w:pPr>
      <w:r>
        <w:continuationSeparator/>
      </w:r>
    </w:p>
  </w:footnote>
  <w:footnote w:id="1">
    <w:p w14:paraId="1C5D8227" w14:textId="2351E5F2" w:rsidR="00154FFF" w:rsidRDefault="00154FFF">
      <w:pPr>
        <w:pStyle w:val="FootnoteText"/>
      </w:pPr>
    </w:p>
  </w:footnote>
  <w:footnote w:id="2">
    <w:p w14:paraId="0D31151E" w14:textId="0A78765C" w:rsidR="00154FFF" w:rsidRDefault="00154FFF">
      <w:pPr>
        <w:pStyle w:val="FootnoteText"/>
      </w:pPr>
    </w:p>
  </w:footnote>
  <w:footnote w:id="3">
    <w:p w14:paraId="62874D43" w14:textId="7B287BFC" w:rsidR="00AE1D64" w:rsidRDefault="00AE1D64">
      <w:pPr>
        <w:pStyle w:val="FootnoteText"/>
      </w:pPr>
    </w:p>
  </w:footnote>
  <w:footnote w:id="4">
    <w:p w14:paraId="03D2C08B" w14:textId="2A8F49F6" w:rsidR="002907AA" w:rsidRDefault="002907AA">
      <w:pPr>
        <w:pStyle w:val="FootnoteText"/>
      </w:pPr>
    </w:p>
  </w:footnote>
  <w:footnote w:id="5">
    <w:p w14:paraId="4C3AD604" w14:textId="7D225E79" w:rsidR="004E0FB6" w:rsidRDefault="004E0FB6">
      <w:pPr>
        <w:pStyle w:val="FootnoteText"/>
      </w:pPr>
    </w:p>
  </w:footnote>
  <w:footnote w:id="6">
    <w:p w14:paraId="49C2C084" w14:textId="45DE6600" w:rsidR="00FD7E82" w:rsidRDefault="00FD7E82">
      <w:pPr>
        <w:pStyle w:val="FootnoteText"/>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235C90"/>
    <w:multiLevelType w:val="hybridMultilevel"/>
    <w:tmpl w:val="861AFD00"/>
    <w:lvl w:ilvl="0" w:tplc="7132E68A">
      <w:start w:val="1"/>
      <w:numFmt w:val="decimal"/>
      <w:lvlText w:val="%1."/>
      <w:lvlJc w:val="left"/>
      <w:pPr>
        <w:ind w:left="720" w:hanging="360"/>
      </w:pPr>
      <w:rPr>
        <w:rFonts w:hint="default"/>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8646914"/>
    <w:multiLevelType w:val="hybridMultilevel"/>
    <w:tmpl w:val="6D12BC2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659185075">
    <w:abstractNumId w:val="1"/>
  </w:num>
  <w:num w:numId="2" w16cid:durableId="61128598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2AB1"/>
    <w:rsid w:val="00154FFF"/>
    <w:rsid w:val="002907AA"/>
    <w:rsid w:val="002A3EA5"/>
    <w:rsid w:val="004E0FB6"/>
    <w:rsid w:val="00AE1D64"/>
    <w:rsid w:val="00E33468"/>
    <w:rsid w:val="00ED2AB1"/>
    <w:rsid w:val="00F640BA"/>
    <w:rsid w:val="00FD7E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66F5355"/>
  <w15:chartTrackingRefBased/>
  <w15:docId w15:val="{6C21C6A6-5F85-4DB0-BCB2-64B34A80EC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AE1D64"/>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ED2AB1"/>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FootnoteText">
    <w:name w:val="footnote text"/>
    <w:basedOn w:val="Normal"/>
    <w:link w:val="FootnoteTextChar"/>
    <w:uiPriority w:val="99"/>
    <w:semiHidden/>
    <w:unhideWhenUsed/>
    <w:rsid w:val="00154FFF"/>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54FFF"/>
    <w:rPr>
      <w:sz w:val="20"/>
      <w:szCs w:val="20"/>
    </w:rPr>
  </w:style>
  <w:style w:type="character" w:styleId="FootnoteReference">
    <w:name w:val="footnote reference"/>
    <w:basedOn w:val="DefaultParagraphFont"/>
    <w:uiPriority w:val="99"/>
    <w:semiHidden/>
    <w:unhideWhenUsed/>
    <w:rsid w:val="00154FFF"/>
    <w:rPr>
      <w:vertAlign w:val="superscript"/>
    </w:rPr>
  </w:style>
  <w:style w:type="paragraph" w:styleId="ListParagraph">
    <w:name w:val="List Paragraph"/>
    <w:basedOn w:val="Normal"/>
    <w:uiPriority w:val="34"/>
    <w:qFormat/>
    <w:rsid w:val="00154FFF"/>
    <w:pPr>
      <w:ind w:left="720"/>
      <w:contextualSpacing/>
    </w:pPr>
  </w:style>
  <w:style w:type="character" w:styleId="Hyperlink">
    <w:name w:val="Hyperlink"/>
    <w:basedOn w:val="DefaultParagraphFont"/>
    <w:uiPriority w:val="99"/>
    <w:unhideWhenUsed/>
    <w:rsid w:val="00154FFF"/>
    <w:rPr>
      <w:color w:val="0000FF"/>
      <w:u w:val="single"/>
    </w:rPr>
  </w:style>
  <w:style w:type="character" w:customStyle="1" w:styleId="Heading1Char">
    <w:name w:val="Heading 1 Char"/>
    <w:basedOn w:val="DefaultParagraphFont"/>
    <w:link w:val="Heading1"/>
    <w:uiPriority w:val="9"/>
    <w:rsid w:val="00AE1D64"/>
    <w:rPr>
      <w:rFonts w:ascii="Times New Roman" w:eastAsia="Times New Roman" w:hAnsi="Times New Roman" w:cs="Times New Roman"/>
      <w:b/>
      <w:bCs/>
      <w:kern w:val="36"/>
      <w:sz w:val="48"/>
      <w:szCs w:val="48"/>
      <w:lang w:eastAsia="en-GB"/>
      <w14:ligatures w14:val="none"/>
    </w:rPr>
  </w:style>
  <w:style w:type="character" w:styleId="HTMLCite">
    <w:name w:val="HTML Cite"/>
    <w:basedOn w:val="DefaultParagraphFont"/>
    <w:uiPriority w:val="99"/>
    <w:semiHidden/>
    <w:unhideWhenUsed/>
    <w:rsid w:val="004E0FB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8017747">
      <w:bodyDiv w:val="1"/>
      <w:marLeft w:val="0"/>
      <w:marRight w:val="0"/>
      <w:marTop w:val="0"/>
      <w:marBottom w:val="0"/>
      <w:divBdr>
        <w:top w:val="none" w:sz="0" w:space="0" w:color="auto"/>
        <w:left w:val="none" w:sz="0" w:space="0" w:color="auto"/>
        <w:bottom w:val="none" w:sz="0" w:space="0" w:color="auto"/>
        <w:right w:val="none" w:sz="0" w:space="0" w:color="auto"/>
      </w:divBdr>
    </w:div>
    <w:div w:id="895556423">
      <w:bodyDiv w:val="1"/>
      <w:marLeft w:val="0"/>
      <w:marRight w:val="0"/>
      <w:marTop w:val="0"/>
      <w:marBottom w:val="0"/>
      <w:divBdr>
        <w:top w:val="none" w:sz="0" w:space="0" w:color="auto"/>
        <w:left w:val="none" w:sz="0" w:space="0" w:color="auto"/>
        <w:bottom w:val="none" w:sz="0" w:space="0" w:color="auto"/>
        <w:right w:val="none" w:sz="0" w:space="0" w:color="auto"/>
      </w:divBdr>
    </w:div>
    <w:div w:id="17178992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oliticalsciencenotes.com/medieval-political-thought/conflict-between-the-church-and-the-state-medieval-period/1053" TargetMode="External"/><Relationship Id="rId3" Type="http://schemas.openxmlformats.org/officeDocument/2006/relationships/settings" Target="settings.xml"/><Relationship Id="rId7" Type="http://schemas.openxmlformats.org/officeDocument/2006/relationships/hyperlink" Target="https://www.britannica.com/biography/Ralph-of-Coggeshall"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https://www.britannica.com/biography/Otto-IV" TargetMode="External"/><Relationship Id="rId4" Type="http://schemas.openxmlformats.org/officeDocument/2006/relationships/webSettings" Target="webSettings.xml"/><Relationship Id="rId9" Type="http://schemas.openxmlformats.org/officeDocument/2006/relationships/hyperlink" Target="https://www.britannica.com/biography/John-king-of-England/Quarrel-with-the-churc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1421</TotalTime>
  <Pages>3</Pages>
  <Words>956</Words>
  <Characters>5463</Characters>
  <Application>Microsoft Office Word</Application>
  <DocSecurity>0</DocSecurity>
  <Lines>91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Broc Morgan</dc:creator>
  <cp:keywords/>
  <dc:description/>
  <cp:lastModifiedBy>Broc Morgan</cp:lastModifiedBy>
  <cp:revision>1</cp:revision>
  <dcterms:created xsi:type="dcterms:W3CDTF">2023-11-04T17:17:00Z</dcterms:created>
  <dcterms:modified xsi:type="dcterms:W3CDTF">2023-11-05T17:00:00Z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378569ae-f457-4d51-8558-503d33dd8348</vt:lpwstr>
  </property>
</Properties>
</file>