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EE72F2" w14:textId="77777777" w:rsidR="001751A1" w:rsidRDefault="00000000">
      <w:pPr>
        <w:pBdr>
          <w:top w:val="nil"/>
          <w:left w:val="nil"/>
          <w:bottom w:val="nil"/>
          <w:right w:val="nil"/>
          <w:between w:val="nil"/>
        </w:pBdr>
        <w:spacing w:before="262"/>
        <w:jc w:val="center"/>
        <w:rPr>
          <w:i/>
          <w:color w:val="000000"/>
          <w:sz w:val="24"/>
          <w:szCs w:val="24"/>
        </w:rPr>
      </w:pPr>
      <w:r>
        <w:rPr>
          <w:i/>
          <w:noProof/>
          <w:color w:val="000000"/>
          <w:sz w:val="24"/>
          <w:szCs w:val="24"/>
        </w:rPr>
        <w:drawing>
          <wp:inline distT="0" distB="0" distL="0" distR="0" wp14:anchorId="5EB77104" wp14:editId="3E77816B">
            <wp:extent cx="3009900" cy="10001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009900" cy="1000125"/>
                    </a:xfrm>
                    <a:prstGeom prst="rect">
                      <a:avLst/>
                    </a:prstGeom>
                    <a:ln/>
                  </pic:spPr>
                </pic:pic>
              </a:graphicData>
            </a:graphic>
          </wp:inline>
        </w:drawing>
      </w:r>
    </w:p>
    <w:p w14:paraId="16BC8B34" w14:textId="77777777" w:rsidR="001751A1" w:rsidRDefault="001751A1">
      <w:pPr>
        <w:pBdr>
          <w:top w:val="nil"/>
          <w:left w:val="nil"/>
          <w:bottom w:val="nil"/>
          <w:right w:val="nil"/>
          <w:between w:val="nil"/>
        </w:pBdr>
        <w:spacing w:before="262"/>
        <w:jc w:val="center"/>
        <w:rPr>
          <w:i/>
          <w:color w:val="000000"/>
          <w:sz w:val="24"/>
          <w:szCs w:val="24"/>
        </w:rPr>
      </w:pPr>
    </w:p>
    <w:p w14:paraId="5A3502D6" w14:textId="77777777" w:rsidR="001751A1" w:rsidRDefault="00000000">
      <w:pPr>
        <w:jc w:val="center"/>
        <w:rPr>
          <w:sz w:val="44"/>
          <w:szCs w:val="44"/>
        </w:rPr>
      </w:pPr>
      <w:r>
        <w:rPr>
          <w:b/>
          <w:sz w:val="44"/>
          <w:szCs w:val="44"/>
        </w:rPr>
        <w:t>Module Code</w:t>
      </w:r>
      <w:r>
        <w:rPr>
          <w:sz w:val="44"/>
          <w:szCs w:val="44"/>
        </w:rPr>
        <w:t>: BMHP5014</w:t>
      </w:r>
    </w:p>
    <w:p w14:paraId="3EBAA761" w14:textId="77777777" w:rsidR="001751A1" w:rsidRDefault="00000000">
      <w:pPr>
        <w:jc w:val="center"/>
        <w:rPr>
          <w:sz w:val="44"/>
          <w:szCs w:val="44"/>
        </w:rPr>
      </w:pPr>
      <w:r>
        <w:rPr>
          <w:b/>
          <w:sz w:val="44"/>
          <w:szCs w:val="44"/>
        </w:rPr>
        <w:t>Module Name</w:t>
      </w:r>
      <w:r>
        <w:rPr>
          <w:sz w:val="44"/>
          <w:szCs w:val="44"/>
        </w:rPr>
        <w:t>: Changemakers - Creativity and Value Creation</w:t>
      </w:r>
    </w:p>
    <w:p w14:paraId="19B413B3" w14:textId="77777777" w:rsidR="001751A1" w:rsidRDefault="00000000" w:rsidP="726BE64A">
      <w:pPr>
        <w:jc w:val="center"/>
        <w:rPr>
          <w:sz w:val="44"/>
          <w:szCs w:val="44"/>
          <w:lang w:val="en-US"/>
        </w:rPr>
      </w:pPr>
      <w:r w:rsidRPr="726BE64A">
        <w:rPr>
          <w:b/>
          <w:bCs/>
          <w:sz w:val="44"/>
          <w:szCs w:val="44"/>
          <w:lang w:val="en-US"/>
        </w:rPr>
        <w:t>Assignment Title</w:t>
      </w:r>
      <w:r w:rsidRPr="726BE64A">
        <w:rPr>
          <w:sz w:val="44"/>
          <w:szCs w:val="44"/>
          <w:lang w:val="en-US"/>
        </w:rPr>
        <w:t>: Component 1 - Online</w:t>
      </w:r>
    </w:p>
    <w:p w14:paraId="2C647D3D" w14:textId="77777777" w:rsidR="001751A1" w:rsidRDefault="00000000">
      <w:pPr>
        <w:jc w:val="center"/>
        <w:rPr>
          <w:sz w:val="44"/>
          <w:szCs w:val="44"/>
        </w:rPr>
      </w:pPr>
      <w:r>
        <w:rPr>
          <w:sz w:val="44"/>
          <w:szCs w:val="44"/>
        </w:rPr>
        <w:t>Portfolio of Set Exercises</w:t>
      </w:r>
    </w:p>
    <w:p w14:paraId="26256461" w14:textId="77777777" w:rsidR="001751A1" w:rsidRDefault="001751A1">
      <w:pPr>
        <w:jc w:val="center"/>
        <w:rPr>
          <w:sz w:val="44"/>
          <w:szCs w:val="44"/>
        </w:rPr>
      </w:pPr>
    </w:p>
    <w:p w14:paraId="0388A134" w14:textId="77777777" w:rsidR="001751A1" w:rsidRDefault="00000000" w:rsidP="726BE64A">
      <w:pPr>
        <w:jc w:val="left"/>
        <w:rPr>
          <w:sz w:val="36"/>
          <w:szCs w:val="36"/>
          <w:lang w:val="en-US"/>
        </w:rPr>
      </w:pPr>
      <w:r w:rsidRPr="726BE64A">
        <w:rPr>
          <w:b/>
          <w:bCs/>
          <w:sz w:val="36"/>
          <w:szCs w:val="36"/>
          <w:lang w:val="en-US"/>
        </w:rPr>
        <w:t>Internal Verifier:</w:t>
      </w:r>
      <w:r w:rsidRPr="726BE64A">
        <w:rPr>
          <w:sz w:val="36"/>
          <w:szCs w:val="36"/>
          <w:lang w:val="en-US"/>
        </w:rPr>
        <w:t xml:space="preserve"> Dr Eleni Koutsogeorgou-Andreou</w:t>
      </w:r>
    </w:p>
    <w:p w14:paraId="2B9CF1B4" w14:textId="77777777" w:rsidR="001751A1" w:rsidRDefault="00000000">
      <w:pPr>
        <w:jc w:val="center"/>
        <w:rPr>
          <w:sz w:val="36"/>
          <w:szCs w:val="36"/>
        </w:rPr>
      </w:pPr>
      <w:r>
        <w:rPr>
          <w:b/>
          <w:sz w:val="36"/>
          <w:szCs w:val="36"/>
        </w:rPr>
        <w:t>Student Name</w:t>
      </w:r>
      <w:r>
        <w:rPr>
          <w:sz w:val="36"/>
          <w:szCs w:val="36"/>
        </w:rPr>
        <w:t xml:space="preserve">: Samina shahzad </w:t>
      </w:r>
    </w:p>
    <w:p w14:paraId="3EF14781" w14:textId="77777777" w:rsidR="001751A1" w:rsidRDefault="00000000">
      <w:pPr>
        <w:jc w:val="center"/>
        <w:rPr>
          <w:sz w:val="36"/>
          <w:szCs w:val="36"/>
        </w:rPr>
      </w:pPr>
      <w:r>
        <w:rPr>
          <w:sz w:val="36"/>
          <w:szCs w:val="36"/>
        </w:rPr>
        <w:t xml:space="preserve">Student Id:2328504 </w:t>
      </w:r>
    </w:p>
    <w:p w14:paraId="4950F3C8" w14:textId="77777777" w:rsidR="001751A1" w:rsidRDefault="001751A1">
      <w:pPr>
        <w:jc w:val="left"/>
        <w:rPr>
          <w:sz w:val="36"/>
          <w:szCs w:val="36"/>
        </w:rPr>
        <w:sectPr w:rsidR="001751A1">
          <w:pgSz w:w="12240" w:h="15840"/>
          <w:pgMar w:top="1800" w:right="1440" w:bottom="280" w:left="1440" w:header="720" w:footer="720" w:gutter="0"/>
          <w:pgNumType w:start="1"/>
          <w:cols w:space="720"/>
        </w:sectPr>
      </w:pPr>
    </w:p>
    <w:p w14:paraId="41A52A48" w14:textId="77777777" w:rsidR="001751A1" w:rsidRDefault="00000000">
      <w:pPr>
        <w:keepNext/>
        <w:keepLines/>
        <w:widowControl/>
        <w:pBdr>
          <w:top w:val="nil"/>
          <w:left w:val="nil"/>
          <w:bottom w:val="nil"/>
          <w:right w:val="nil"/>
          <w:between w:val="nil"/>
        </w:pBdr>
        <w:spacing w:before="480" w:line="276" w:lineRule="auto"/>
        <w:jc w:val="left"/>
        <w:rPr>
          <w:rFonts w:ascii="Cambria" w:eastAsia="Cambria" w:hAnsi="Cambria" w:cs="Cambria"/>
          <w:b/>
          <w:color w:val="366091"/>
          <w:sz w:val="28"/>
          <w:szCs w:val="28"/>
        </w:rPr>
      </w:pPr>
      <w:r>
        <w:rPr>
          <w:rFonts w:ascii="Cambria" w:eastAsia="Cambria" w:hAnsi="Cambria" w:cs="Cambria"/>
          <w:b/>
          <w:color w:val="366091"/>
          <w:sz w:val="28"/>
          <w:szCs w:val="28"/>
        </w:rPr>
        <w:lastRenderedPageBreak/>
        <w:t>Table of Contents</w:t>
      </w:r>
    </w:p>
    <w:sdt>
      <w:sdtPr>
        <w:id w:val="678390109"/>
        <w:docPartObj>
          <w:docPartGallery w:val="Table of Contents"/>
          <w:docPartUnique/>
        </w:docPartObj>
      </w:sdtPr>
      <w:sdtContent>
        <w:p w14:paraId="7853D1D6" w14:textId="77777777" w:rsidR="001751A1" w:rsidRDefault="00000000">
          <w:pPr>
            <w:pBdr>
              <w:top w:val="nil"/>
              <w:left w:val="nil"/>
              <w:bottom w:val="nil"/>
              <w:right w:val="nil"/>
              <w:between w:val="nil"/>
            </w:pBdr>
            <w:tabs>
              <w:tab w:val="right" w:leader="dot" w:pos="9350"/>
            </w:tabs>
            <w:spacing w:before="120"/>
            <w:jc w:val="left"/>
            <w:rPr>
              <w:rFonts w:ascii="Calibri" w:eastAsia="Calibri" w:hAnsi="Calibri" w:cs="Calibri"/>
              <w:color w:val="000000"/>
              <w:sz w:val="24"/>
              <w:szCs w:val="24"/>
            </w:rPr>
          </w:pPr>
          <w:r>
            <w:fldChar w:fldCharType="begin"/>
          </w:r>
          <w:r>
            <w:instrText xml:space="preserve"> TOC \h \u \z \t "Heading 1,1,Heading 2,2,Heading 3,3,"</w:instrText>
          </w:r>
          <w:r>
            <w:fldChar w:fldCharType="separate"/>
          </w:r>
          <w:hyperlink w:anchor="_wevx9x4lup80">
            <w:r w:rsidR="001751A1">
              <w:rPr>
                <w:rFonts w:ascii="Calibri" w:eastAsia="Calibri" w:hAnsi="Calibri" w:cs="Calibri"/>
                <w:b/>
                <w:i/>
                <w:color w:val="000000"/>
                <w:sz w:val="24"/>
                <w:szCs w:val="24"/>
              </w:rPr>
              <w:t>Task 1 - Concept Map</w:t>
            </w:r>
            <w:r w:rsidR="001751A1">
              <w:rPr>
                <w:rFonts w:ascii="Calibri" w:eastAsia="Calibri" w:hAnsi="Calibri" w:cs="Calibri"/>
                <w:b/>
                <w:i/>
                <w:color w:val="000000"/>
                <w:sz w:val="24"/>
                <w:szCs w:val="24"/>
              </w:rPr>
              <w:tab/>
              <w:t>3</w:t>
            </w:r>
          </w:hyperlink>
        </w:p>
        <w:p w14:paraId="42A5FC19" w14:textId="77777777" w:rsidR="001751A1" w:rsidRDefault="001751A1">
          <w:pPr>
            <w:pBdr>
              <w:top w:val="nil"/>
              <w:left w:val="nil"/>
              <w:bottom w:val="nil"/>
              <w:right w:val="nil"/>
              <w:between w:val="nil"/>
            </w:pBdr>
            <w:tabs>
              <w:tab w:val="right" w:leader="dot" w:pos="9350"/>
            </w:tabs>
            <w:spacing w:before="120"/>
            <w:jc w:val="left"/>
            <w:rPr>
              <w:rFonts w:ascii="Calibri" w:eastAsia="Calibri" w:hAnsi="Calibri" w:cs="Calibri"/>
              <w:color w:val="000000"/>
              <w:sz w:val="24"/>
              <w:szCs w:val="24"/>
            </w:rPr>
          </w:pPr>
          <w:hyperlink w:anchor="_eznkbbnh1k7e">
            <w:r>
              <w:rPr>
                <w:rFonts w:ascii="Calibri" w:eastAsia="Calibri" w:hAnsi="Calibri" w:cs="Calibri"/>
                <w:b/>
                <w:i/>
                <w:color w:val="000000"/>
                <w:sz w:val="24"/>
                <w:szCs w:val="24"/>
              </w:rPr>
              <w:t>Task 2 - Self-Reflection of Group Activity</w:t>
            </w:r>
            <w:r>
              <w:rPr>
                <w:rFonts w:ascii="Calibri" w:eastAsia="Calibri" w:hAnsi="Calibri" w:cs="Calibri"/>
                <w:b/>
                <w:i/>
                <w:color w:val="000000"/>
                <w:sz w:val="24"/>
                <w:szCs w:val="24"/>
              </w:rPr>
              <w:tab/>
              <w:t>5</w:t>
            </w:r>
          </w:hyperlink>
        </w:p>
        <w:p w14:paraId="74C52093" w14:textId="77777777" w:rsidR="001751A1" w:rsidRDefault="001751A1">
          <w:pPr>
            <w:pBdr>
              <w:top w:val="nil"/>
              <w:left w:val="nil"/>
              <w:bottom w:val="nil"/>
              <w:right w:val="nil"/>
              <w:between w:val="nil"/>
            </w:pBdr>
            <w:tabs>
              <w:tab w:val="right" w:leader="dot" w:pos="9350"/>
            </w:tabs>
            <w:spacing w:before="120"/>
            <w:jc w:val="left"/>
            <w:rPr>
              <w:rFonts w:ascii="Calibri" w:eastAsia="Calibri" w:hAnsi="Calibri" w:cs="Calibri"/>
              <w:color w:val="000000"/>
              <w:sz w:val="24"/>
              <w:szCs w:val="24"/>
            </w:rPr>
          </w:pPr>
          <w:hyperlink w:anchor="_c4qulwzhk609">
            <w:r>
              <w:rPr>
                <w:rFonts w:ascii="Calibri" w:eastAsia="Calibri" w:hAnsi="Calibri" w:cs="Calibri"/>
                <w:b/>
                <w:i/>
                <w:color w:val="000000"/>
                <w:sz w:val="24"/>
                <w:szCs w:val="24"/>
              </w:rPr>
              <w:t>Task 3 - Case Study of a UK innovation</w:t>
            </w:r>
            <w:r>
              <w:rPr>
                <w:rFonts w:ascii="Calibri" w:eastAsia="Calibri" w:hAnsi="Calibri" w:cs="Calibri"/>
                <w:b/>
                <w:i/>
                <w:color w:val="000000"/>
                <w:sz w:val="24"/>
                <w:szCs w:val="24"/>
              </w:rPr>
              <w:tab/>
              <w:t>6</w:t>
            </w:r>
          </w:hyperlink>
        </w:p>
        <w:p w14:paraId="497F8AE8" w14:textId="77777777" w:rsidR="001751A1" w:rsidRDefault="001751A1">
          <w:pPr>
            <w:pBdr>
              <w:top w:val="nil"/>
              <w:left w:val="nil"/>
              <w:bottom w:val="nil"/>
              <w:right w:val="nil"/>
              <w:between w:val="nil"/>
            </w:pBdr>
            <w:tabs>
              <w:tab w:val="right" w:leader="dot" w:pos="9350"/>
            </w:tabs>
            <w:spacing w:before="120"/>
            <w:jc w:val="left"/>
            <w:rPr>
              <w:rFonts w:ascii="Calibri" w:eastAsia="Calibri" w:hAnsi="Calibri" w:cs="Calibri"/>
              <w:color w:val="000000"/>
              <w:sz w:val="24"/>
              <w:szCs w:val="24"/>
            </w:rPr>
          </w:pPr>
          <w:hyperlink w:anchor="_y0wii2xgoia9">
            <w:r>
              <w:rPr>
                <w:rFonts w:ascii="Calibri" w:eastAsia="Calibri" w:hAnsi="Calibri" w:cs="Calibri"/>
                <w:b/>
                <w:i/>
                <w:color w:val="000000"/>
                <w:sz w:val="24"/>
                <w:szCs w:val="24"/>
              </w:rPr>
              <w:t>Task 4 - Research Task</w:t>
            </w:r>
            <w:r>
              <w:rPr>
                <w:rFonts w:ascii="Calibri" w:eastAsia="Calibri" w:hAnsi="Calibri" w:cs="Calibri"/>
                <w:b/>
                <w:i/>
                <w:color w:val="000000"/>
                <w:sz w:val="24"/>
                <w:szCs w:val="24"/>
              </w:rPr>
              <w:tab/>
              <w:t>8</w:t>
            </w:r>
          </w:hyperlink>
        </w:p>
        <w:p w14:paraId="3D00C883" w14:textId="77777777" w:rsidR="001751A1" w:rsidRDefault="001751A1">
          <w:pPr>
            <w:pBdr>
              <w:top w:val="nil"/>
              <w:left w:val="nil"/>
              <w:bottom w:val="nil"/>
              <w:right w:val="nil"/>
              <w:between w:val="nil"/>
            </w:pBdr>
            <w:tabs>
              <w:tab w:val="right" w:leader="dot" w:pos="9350"/>
            </w:tabs>
            <w:spacing w:before="120"/>
            <w:jc w:val="left"/>
            <w:rPr>
              <w:rFonts w:ascii="Calibri" w:eastAsia="Calibri" w:hAnsi="Calibri" w:cs="Calibri"/>
              <w:color w:val="000000"/>
              <w:sz w:val="24"/>
              <w:szCs w:val="24"/>
            </w:rPr>
          </w:pPr>
          <w:hyperlink w:anchor="_eznv1a9ed0rm">
            <w:r>
              <w:rPr>
                <w:rFonts w:ascii="Calibri" w:eastAsia="Calibri" w:hAnsi="Calibri" w:cs="Calibri"/>
                <w:b/>
                <w:i/>
                <w:color w:val="000000"/>
                <w:sz w:val="24"/>
                <w:szCs w:val="24"/>
              </w:rPr>
              <w:t>Task 5 - Podcast</w:t>
            </w:r>
            <w:r>
              <w:rPr>
                <w:rFonts w:ascii="Calibri" w:eastAsia="Calibri" w:hAnsi="Calibri" w:cs="Calibri"/>
                <w:b/>
                <w:i/>
                <w:color w:val="000000"/>
                <w:sz w:val="24"/>
                <w:szCs w:val="24"/>
              </w:rPr>
              <w:tab/>
              <w:t>9</w:t>
            </w:r>
          </w:hyperlink>
        </w:p>
        <w:p w14:paraId="62192873" w14:textId="77777777" w:rsidR="001751A1" w:rsidRDefault="001751A1">
          <w:pPr>
            <w:pBdr>
              <w:top w:val="nil"/>
              <w:left w:val="nil"/>
              <w:bottom w:val="nil"/>
              <w:right w:val="nil"/>
              <w:between w:val="nil"/>
            </w:pBdr>
            <w:tabs>
              <w:tab w:val="right" w:leader="dot" w:pos="9350"/>
            </w:tabs>
            <w:spacing w:before="120"/>
            <w:jc w:val="left"/>
            <w:rPr>
              <w:rFonts w:ascii="Calibri" w:eastAsia="Calibri" w:hAnsi="Calibri" w:cs="Calibri"/>
              <w:color w:val="000000"/>
              <w:sz w:val="24"/>
              <w:szCs w:val="24"/>
            </w:rPr>
          </w:pPr>
          <w:hyperlink w:anchor="_7ssw8wbuwicr">
            <w:r>
              <w:rPr>
                <w:rFonts w:ascii="Calibri" w:eastAsia="Calibri" w:hAnsi="Calibri" w:cs="Calibri"/>
                <w:b/>
                <w:i/>
                <w:color w:val="000000"/>
                <w:sz w:val="24"/>
                <w:szCs w:val="24"/>
              </w:rPr>
              <w:t>Task 6 - NHS Leadership Framework Analysis</w:t>
            </w:r>
            <w:r>
              <w:rPr>
                <w:rFonts w:ascii="Calibri" w:eastAsia="Calibri" w:hAnsi="Calibri" w:cs="Calibri"/>
                <w:b/>
                <w:i/>
                <w:color w:val="000000"/>
                <w:sz w:val="24"/>
                <w:szCs w:val="24"/>
              </w:rPr>
              <w:tab/>
              <w:t>10</w:t>
            </w:r>
          </w:hyperlink>
        </w:p>
        <w:p w14:paraId="7A319BF7" w14:textId="77777777" w:rsidR="001751A1" w:rsidRDefault="001751A1">
          <w:pPr>
            <w:pBdr>
              <w:top w:val="nil"/>
              <w:left w:val="nil"/>
              <w:bottom w:val="nil"/>
              <w:right w:val="nil"/>
              <w:between w:val="nil"/>
            </w:pBdr>
            <w:tabs>
              <w:tab w:val="right" w:leader="dot" w:pos="9350"/>
            </w:tabs>
            <w:spacing w:before="120"/>
            <w:jc w:val="left"/>
            <w:rPr>
              <w:rFonts w:ascii="Calibri" w:eastAsia="Calibri" w:hAnsi="Calibri" w:cs="Calibri"/>
              <w:color w:val="000000"/>
              <w:sz w:val="24"/>
              <w:szCs w:val="24"/>
            </w:rPr>
          </w:pPr>
          <w:hyperlink w:anchor="_h5utjp1u3fse">
            <w:r>
              <w:rPr>
                <w:rFonts w:ascii="Calibri" w:eastAsia="Calibri" w:hAnsi="Calibri" w:cs="Calibri"/>
                <w:b/>
                <w:i/>
                <w:color w:val="000000"/>
                <w:sz w:val="24"/>
                <w:szCs w:val="24"/>
              </w:rPr>
              <w:t>Task 7 - Self-Reflection Journal Entry</w:t>
            </w:r>
            <w:r>
              <w:rPr>
                <w:rFonts w:ascii="Calibri" w:eastAsia="Calibri" w:hAnsi="Calibri" w:cs="Calibri"/>
                <w:b/>
                <w:i/>
                <w:color w:val="000000"/>
                <w:sz w:val="24"/>
                <w:szCs w:val="24"/>
              </w:rPr>
              <w:tab/>
              <w:t>12</w:t>
            </w:r>
          </w:hyperlink>
        </w:p>
        <w:p w14:paraId="5C394AEA" w14:textId="77777777" w:rsidR="001751A1" w:rsidRDefault="001751A1">
          <w:pPr>
            <w:pBdr>
              <w:top w:val="nil"/>
              <w:left w:val="nil"/>
              <w:bottom w:val="nil"/>
              <w:right w:val="nil"/>
              <w:between w:val="nil"/>
            </w:pBdr>
            <w:tabs>
              <w:tab w:val="right" w:leader="dot" w:pos="9350"/>
            </w:tabs>
            <w:spacing w:before="120"/>
            <w:jc w:val="left"/>
            <w:rPr>
              <w:rFonts w:ascii="Calibri" w:eastAsia="Calibri" w:hAnsi="Calibri" w:cs="Calibri"/>
              <w:color w:val="000000"/>
              <w:sz w:val="24"/>
              <w:szCs w:val="24"/>
            </w:rPr>
          </w:pPr>
          <w:hyperlink w:anchor="_tduz3dbn9lqx">
            <w:r>
              <w:rPr>
                <w:rFonts w:ascii="Calibri" w:eastAsia="Calibri" w:hAnsi="Calibri" w:cs="Calibri"/>
                <w:b/>
                <w:i/>
                <w:color w:val="000000"/>
                <w:sz w:val="24"/>
                <w:szCs w:val="24"/>
              </w:rPr>
              <w:t>References</w:t>
            </w:r>
            <w:r>
              <w:rPr>
                <w:rFonts w:ascii="Calibri" w:eastAsia="Calibri" w:hAnsi="Calibri" w:cs="Calibri"/>
                <w:b/>
                <w:i/>
                <w:color w:val="000000"/>
                <w:sz w:val="24"/>
                <w:szCs w:val="24"/>
              </w:rPr>
              <w:tab/>
              <w:t>13</w:t>
            </w:r>
          </w:hyperlink>
        </w:p>
        <w:p w14:paraId="1CFBDA56" w14:textId="77777777" w:rsidR="001751A1" w:rsidRDefault="00000000">
          <w:r>
            <w:fldChar w:fldCharType="end"/>
          </w:r>
        </w:p>
      </w:sdtContent>
    </w:sdt>
    <w:p w14:paraId="04F3DB3B" w14:textId="77777777" w:rsidR="001751A1" w:rsidRDefault="00000000">
      <w:pPr>
        <w:spacing w:line="240" w:lineRule="auto"/>
        <w:jc w:val="left"/>
        <w:rPr>
          <w:sz w:val="44"/>
          <w:szCs w:val="44"/>
        </w:rPr>
      </w:pPr>
      <w:r>
        <w:br w:type="page"/>
      </w:r>
    </w:p>
    <w:p w14:paraId="1A2E0C93" w14:textId="77777777" w:rsidR="001751A1" w:rsidRDefault="00000000">
      <w:pPr>
        <w:pStyle w:val="Heading1"/>
      </w:pPr>
      <w:bookmarkStart w:id="0" w:name="_wevx9x4lup80" w:colFirst="0" w:colLast="0"/>
      <w:bookmarkEnd w:id="0"/>
      <w:r>
        <w:lastRenderedPageBreak/>
        <w:t>Task 1 - Concept Map</w:t>
      </w:r>
    </w:p>
    <w:p w14:paraId="73A52855" w14:textId="77777777" w:rsidR="001751A1" w:rsidRDefault="00000000">
      <w:pPr>
        <w:jc w:val="center"/>
      </w:pPr>
      <w:r>
        <w:rPr>
          <w:noProof/>
        </w:rPr>
        <w:drawing>
          <wp:inline distT="0" distB="0" distL="0" distR="0" wp14:anchorId="09ACACFB" wp14:editId="4074DB1F">
            <wp:extent cx="4656196" cy="2974792"/>
            <wp:effectExtent l="0" t="0" r="0" b="0"/>
            <wp:docPr id="3" name="image3.png" descr="A diagram of a company's process&#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3.png" descr="A diagram of a company's process&#10;&#10;AI-generated content may be incorrect."/>
                    <pic:cNvPicPr preferRelativeResize="0"/>
                  </pic:nvPicPr>
                  <pic:blipFill>
                    <a:blip r:embed="rId7"/>
                    <a:srcRect/>
                    <a:stretch>
                      <a:fillRect/>
                    </a:stretch>
                  </pic:blipFill>
                  <pic:spPr>
                    <a:xfrm>
                      <a:off x="0" y="0"/>
                      <a:ext cx="4656196" cy="2974792"/>
                    </a:xfrm>
                    <a:prstGeom prst="rect">
                      <a:avLst/>
                    </a:prstGeom>
                    <a:ln/>
                  </pic:spPr>
                </pic:pic>
              </a:graphicData>
            </a:graphic>
          </wp:inline>
        </w:drawing>
      </w:r>
    </w:p>
    <w:p w14:paraId="22094948" w14:textId="77777777" w:rsidR="001751A1" w:rsidRDefault="00000000">
      <w:pPr>
        <w:jc w:val="center"/>
        <w:rPr>
          <w:b/>
        </w:rPr>
      </w:pPr>
      <w:r>
        <w:rPr>
          <w:b/>
        </w:rPr>
        <w:t>Figure 1: Concept Map</w:t>
      </w:r>
    </w:p>
    <w:p w14:paraId="594D0122" w14:textId="77777777" w:rsidR="001751A1" w:rsidRDefault="00000000">
      <w:pPr>
        <w:jc w:val="center"/>
      </w:pPr>
      <w:r>
        <w:t>Source: Author’s creation</w:t>
      </w:r>
    </w:p>
    <w:p w14:paraId="7A31551B" w14:textId="77777777" w:rsidR="001751A1" w:rsidRDefault="00000000">
      <w:r w:rsidRPr="726BE64A">
        <w:rPr>
          <w:lang w:val="en-US"/>
        </w:rPr>
        <w:t>Creativity, value creation, and health and social care improvement are the two concepts that are closely intertwined and complement each other to ensure positive change (Mahajan, 2021). The creative power is the ability to think outside the box, discover other solutions, and see beyond the box. Creativity in the health and social care industry can assist healthcare professionals to address some of the complex problems in the industry, like staff shortages, long queues, and patient dissatisfaction. It promotes such innovative strategies as digital health apps, flexible work models, or patient-directed health plans (Mahajan, 2021).</w:t>
      </w:r>
    </w:p>
    <w:p w14:paraId="519AF241" w14:textId="77777777" w:rsidR="001751A1" w:rsidRDefault="00000000">
      <w:r w:rsidRPr="726BE64A">
        <w:rPr>
          <w:lang w:val="en-US"/>
        </w:rPr>
        <w:t>The value creation occurs when a creative idea is converted into actual realities that add value to the people and organisations. This would enhance the quality of the care, efficiency of services in health and social care and provide patients with better experiences. As an example, telemedicine is a creative tool that saves time on the part of the staff and patients, and it is a value-added tool because of convenience, safety, and accessibility (Haleem et al., 2021).</w:t>
      </w:r>
    </w:p>
    <w:p w14:paraId="404C94C9" w14:textId="77777777" w:rsidR="001751A1" w:rsidRDefault="00000000">
      <w:r w:rsidRPr="726BE64A">
        <w:rPr>
          <w:lang w:val="en-US"/>
        </w:rPr>
        <w:t>The general outcome of the use of creativity and value creation in combination is health and social care improvement. In a scenario where new solutions are designed by creative thinking and these solutions generate real value, the entire system will be more effective and patient-centred. As an example, more holistic care and improved patient outcomes are achieved through the application of multidisciplinary teams, in which doctors, nurses, and social workers exchange innovative ideas (Mahajan, 2021).</w:t>
      </w:r>
    </w:p>
    <w:p w14:paraId="54F4AF72" w14:textId="77777777" w:rsidR="001751A1" w:rsidRDefault="00000000">
      <w:pPr>
        <w:sectPr w:rsidR="001751A1">
          <w:pgSz w:w="12240" w:h="15840"/>
          <w:pgMar w:top="1820" w:right="1440" w:bottom="280" w:left="1440" w:header="720" w:footer="720" w:gutter="0"/>
          <w:cols w:space="720"/>
        </w:sectPr>
      </w:pPr>
      <w:r w:rsidRPr="726BE64A">
        <w:rPr>
          <w:lang w:val="en-US"/>
        </w:rPr>
        <w:t xml:space="preserve">To recap it all, innovation is motivated by creativity, innovation is transformed into significant </w:t>
      </w:r>
      <w:r w:rsidRPr="726BE64A">
        <w:rPr>
          <w:lang w:val="en-US"/>
        </w:rPr>
        <w:lastRenderedPageBreak/>
        <w:t>outcomes by value creation, and the two are used to bring positive change in health and social care. In the absence of creativity, there would be slow improvement, and the absence of value creation would render the creativity irrelevant. They are both required to develop sustainable and caring care (Mahajan, 2021).</w:t>
      </w:r>
    </w:p>
    <w:p w14:paraId="49FB8CBE" w14:textId="77777777" w:rsidR="001751A1" w:rsidRDefault="00000000">
      <w:pPr>
        <w:pStyle w:val="Heading1"/>
      </w:pPr>
      <w:bookmarkStart w:id="1" w:name="_eznkbbnh1k7e" w:colFirst="0" w:colLast="0"/>
      <w:bookmarkEnd w:id="1"/>
      <w:r>
        <w:lastRenderedPageBreak/>
        <w:t>Task 2 - Self-Reflection of Group Activity</w:t>
      </w:r>
    </w:p>
    <w:p w14:paraId="5253372E" w14:textId="77777777" w:rsidR="001751A1" w:rsidRDefault="00000000">
      <w:r w:rsidRPr="726BE64A">
        <w:rPr>
          <w:lang w:val="en-US"/>
        </w:rPr>
        <w:t>In the Convergent and Divergent Thinking group exercise, I received an opportunity to learn how creative ideas are generated and then developed in association with others. Applying the Reflective Cycle (1988) by Gibbs, I would be able to look back on what I have learned and how it transformed my attitude toward collaboration and creativity (McLeod, 2025).</w:t>
      </w:r>
    </w:p>
    <w:p w14:paraId="5D78B79A" w14:textId="77777777" w:rsidR="001751A1" w:rsidRDefault="00000000">
      <w:r w:rsidRPr="726BE64A">
        <w:rPr>
          <w:lang w:val="en-US"/>
        </w:rPr>
        <w:t>During the description phase, we were to brainstorm on how to make our living environment, which is a health and social care establishment, better in patient experience. Our initial thinking was divergent thinking, whereby we were allowed to share various ideas. This phase was very thrilling as there was no restriction or evaluation. Then convergent thinking was applied to the ideas to choose the realistic and the most valuable ones (McLeod, 2025).</w:t>
      </w:r>
    </w:p>
    <w:p w14:paraId="7B286B41" w14:textId="77777777" w:rsidR="001751A1" w:rsidRDefault="00000000">
      <w:r w:rsidRPr="726BE64A">
        <w:rPr>
          <w:lang w:val="en-US"/>
        </w:rPr>
        <w:t>During the feelings stage, I started as a nervous person to share my thoughts since I believed that it was likely that people would not agree with me. Nonetheless, once the group allowed free discourse, I felt increasingly confident. I observed that being an active listener to others could tend to trigger new ideas in my mind (McLeod, 2025).</w:t>
      </w:r>
    </w:p>
    <w:p w14:paraId="58A7946C" w14:textId="77777777" w:rsidR="001751A1" w:rsidRDefault="00000000">
      <w:r w:rsidRPr="726BE64A">
        <w:rPr>
          <w:lang w:val="en-US"/>
        </w:rPr>
        <w:t>At the stage of evaluation, I realised that both thoughts are significant. Divergent thinking aids in coming up with as many creative alternatives as possible, whereas convergent thinking aids in prioritising the practical and useful ones (McLeod, 2025).</w:t>
      </w:r>
    </w:p>
    <w:p w14:paraId="2FF5DE29" w14:textId="77777777" w:rsidR="001751A1" w:rsidRDefault="00000000">
      <w:r w:rsidRPr="726BE64A">
        <w:rPr>
          <w:lang w:val="en-US"/>
        </w:rPr>
        <w:t>During the analysis phase, I understood that trust, respect and open communication are the key factors in a team that enhance effective teamwork. The individual histories of each person brought different sides of the idea that made our idea better (McLeod, 2025).</w:t>
      </w:r>
    </w:p>
    <w:p w14:paraId="06588617" w14:textId="77777777" w:rsidR="001751A1" w:rsidRDefault="00000000">
      <w:pPr>
        <w:sectPr w:rsidR="001751A1">
          <w:pgSz w:w="12240" w:h="15840"/>
          <w:pgMar w:top="1360" w:right="1440" w:bottom="280" w:left="1440" w:header="720" w:footer="720" w:gutter="0"/>
          <w:cols w:space="720"/>
        </w:sectPr>
      </w:pPr>
      <w:r>
        <w:t>Last, in conclusion and course of action, I learned that creativity increases when the ideas are shared and discussed. I will also advocate sooner and offer my support to the ideas of others, and in future group projects, I will also be able to balance imaginative thinking and realistic decision-making. The activity also taught me the importance of creative thinking as an individual, but as a team, by enhancing innovation in health and social care (McLeod, 2025).</w:t>
      </w:r>
    </w:p>
    <w:p w14:paraId="0D1CE6DE" w14:textId="77777777" w:rsidR="001751A1" w:rsidRDefault="00000000">
      <w:pPr>
        <w:pStyle w:val="Heading1"/>
      </w:pPr>
      <w:bookmarkStart w:id="2" w:name="_c4qulwzhk609" w:colFirst="0" w:colLast="0"/>
      <w:bookmarkEnd w:id="2"/>
      <w:r>
        <w:lastRenderedPageBreak/>
        <w:t>Task 3 - Case Study of a UK innovation</w:t>
      </w:r>
    </w:p>
    <w:p w14:paraId="28D18334" w14:textId="77777777" w:rsidR="001751A1" w:rsidRDefault="00000000">
      <w:pPr>
        <w:rPr>
          <w:b/>
        </w:rPr>
      </w:pPr>
      <w:r>
        <w:rPr>
          <w:b/>
        </w:rPr>
        <w:t>Introduction</w:t>
      </w:r>
    </w:p>
    <w:p w14:paraId="08A33058" w14:textId="77777777" w:rsidR="001751A1" w:rsidRDefault="00000000">
      <w:r w:rsidRPr="726BE64A">
        <w:rPr>
          <w:lang w:val="en-US"/>
        </w:rPr>
        <w:t>The NHS Virtual Ward Programme is an innovative healthcare project that aims to offer hospital-quality care to patients at home. It was implemented during the COVID-19 pandemic to decrease the overcrowding of hospitals and decrease the chances of contracting the virus. The programme is based on remote monitoring technology and clinical support in order to treat the patients in a safe environment, outside hospitals. The most important stakeholders are patients, doctors, nurses, community care teams, and NHS administrators whose work is to plan and manage the services and their resources (Norman, Bennett and Vardy, 2023).</w:t>
      </w:r>
    </w:p>
    <w:p w14:paraId="77825A43" w14:textId="77777777" w:rsidR="001751A1" w:rsidRDefault="00000000">
      <w:pPr>
        <w:rPr>
          <w:b/>
        </w:rPr>
      </w:pPr>
      <w:r>
        <w:rPr>
          <w:b/>
        </w:rPr>
        <w:t>Main Body</w:t>
      </w:r>
    </w:p>
    <w:p w14:paraId="5ECDA251" w14:textId="77777777" w:rsidR="001751A1" w:rsidRDefault="00000000">
      <w:r w:rsidRPr="726BE64A">
        <w:rPr>
          <w:lang w:val="en-US"/>
        </w:rPr>
        <w:t>The NHS Virtual Ward Programme was developed around creativity because the program needed to reconsider the way that hospital care could be safely provided not only within the traditional setting but also beyond it (Norman, Bennett and Vardy, 2023). The problem was to sustain clinical quality and decrease the number of hospital beds in the situation of a national health crisis. Health workers, in collaboration with the technological specialists and system administrators, came up with novel methods of attending to the patients away (Norman, Bennett and Vardy, 2023).</w:t>
      </w:r>
    </w:p>
    <w:p w14:paraId="11D8DF83" w14:textId="77777777" w:rsidR="001751A1" w:rsidRDefault="00000000">
      <w:r w:rsidRPr="726BE64A">
        <w:rPr>
          <w:lang w:val="en-US"/>
        </w:rPr>
        <w:t>Digital monitoring technologies have become one of the most innovative methods. Devices like pulse oximeters and mobile applications that relay real-time health information to medical staff were delivered to patients. This enabled clinicians to track the vital signs remotely and promptly act in case the patient developed a different condition (Norman, Bennett and Vardy, 2023). Redesign of service delivery was one more innovative concept. Nurses and community health workers turned out to be an intermediary between hospital specialists and patients at home. This electronic and non-electronic care catalysed a difference in the collaboration of care teams (Norman, Bennett and Vardy, 2023).</w:t>
      </w:r>
    </w:p>
    <w:p w14:paraId="48034F26" w14:textId="77777777" w:rsidR="001751A1" w:rsidRDefault="00000000">
      <w:r w:rsidRPr="726BE64A">
        <w:rPr>
          <w:lang w:val="en-US"/>
        </w:rPr>
        <w:t>The initiative also promoted shared relationships between various NHS Trusts, local authorities and commercial technology suppliers (Vaidya, 2024). Shared learning helped teams to overcome such obstacles as digital inequality and training gaps. Innovative thinking contributed to single-user digital tools and simplified communication to patients, and even older patients can participate without fear (Vaidya, 2024).</w:t>
      </w:r>
    </w:p>
    <w:p w14:paraId="4200453D" w14:textId="77777777" w:rsidR="001751A1" w:rsidRDefault="00000000">
      <w:r w:rsidRPr="726BE64A">
        <w:rPr>
          <w:lang w:val="en-US"/>
        </w:rPr>
        <w:t>In general, this innovativeness transformed a high health emergency into a long-term transformation. The Virtual Ward Programme transformed the traditional care model by integrating technology, collaboration, and problem-solving to make it flexible, patient-centred, and remains effective, safer, and more satisfying throughout the NHS (Norman, Bennett and Vardy, 2023).</w:t>
      </w:r>
    </w:p>
    <w:p w14:paraId="1F6D063C" w14:textId="77777777" w:rsidR="001751A1" w:rsidRDefault="001751A1"/>
    <w:p w14:paraId="3494F3CE" w14:textId="77777777" w:rsidR="001751A1" w:rsidRDefault="00000000">
      <w:pPr>
        <w:rPr>
          <w:b/>
        </w:rPr>
      </w:pPr>
      <w:r>
        <w:rPr>
          <w:b/>
        </w:rPr>
        <w:t>Impact</w:t>
      </w:r>
    </w:p>
    <w:p w14:paraId="5159EEAA" w14:textId="77777777" w:rsidR="001751A1" w:rsidRDefault="00000000" w:rsidP="726BE64A">
      <w:pPr>
        <w:rPr>
          <w:lang w:val="en-US"/>
        </w:rPr>
      </w:pPr>
      <w:r w:rsidRPr="726BE64A">
        <w:rPr>
          <w:lang w:val="en-US"/>
        </w:rPr>
        <w:lastRenderedPageBreak/>
        <w:t>The NHS Virtual Ward Programme generated well-realised value both to the patients and the health sector. Physically, it lowered the number of hospital admissions, provided more bed space, and reduced inpatient care expenditures. Digital monitoring allowed the patients to be discharged faster and safely and have a more comfortable recovery at home. Ineffably, the programme enhanced patient confidence, comfort and trust in the healthcare system (Norman, Bennett and Vardy, 2023). Families were more involved in the care process, and communication was enhanced, as well as emotional support. In general, the innovation made access, efficacy, and satisfaction more inclusive and still maintained a high standard of clinical care- demonstrating that innovative digital solutions may actually change patient outcomes (Norman, Bennett and Vardy, 2023).</w:t>
      </w:r>
    </w:p>
    <w:p w14:paraId="0225DEE1" w14:textId="77777777" w:rsidR="001751A1" w:rsidRDefault="00000000">
      <w:pPr>
        <w:jc w:val="center"/>
      </w:pPr>
      <w:r>
        <w:rPr>
          <w:noProof/>
        </w:rPr>
        <w:drawing>
          <wp:inline distT="0" distB="0" distL="0" distR="0" wp14:anchorId="5E07081B" wp14:editId="4ECED776">
            <wp:extent cx="4120433" cy="3620463"/>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l="1350" t="5867" r="1890" b="6130"/>
                    <a:stretch>
                      <a:fillRect/>
                    </a:stretch>
                  </pic:blipFill>
                  <pic:spPr>
                    <a:xfrm>
                      <a:off x="0" y="0"/>
                      <a:ext cx="4120433" cy="3620463"/>
                    </a:xfrm>
                    <a:prstGeom prst="rect">
                      <a:avLst/>
                    </a:prstGeom>
                    <a:ln/>
                  </pic:spPr>
                </pic:pic>
              </a:graphicData>
            </a:graphic>
          </wp:inline>
        </w:drawing>
      </w:r>
    </w:p>
    <w:p w14:paraId="01E41F88" w14:textId="77777777" w:rsidR="001751A1" w:rsidRDefault="00000000" w:rsidP="726BE64A">
      <w:pPr>
        <w:jc w:val="center"/>
        <w:rPr>
          <w:b/>
          <w:bCs/>
          <w:lang w:val="en-US"/>
        </w:rPr>
      </w:pPr>
      <w:r w:rsidRPr="726BE64A">
        <w:rPr>
          <w:b/>
          <w:bCs/>
          <w:lang w:val="en-US"/>
        </w:rPr>
        <w:t>Figure 2: NHS Virtual Ward Programme</w:t>
      </w:r>
    </w:p>
    <w:p w14:paraId="279A43F5" w14:textId="77777777" w:rsidR="001751A1" w:rsidRDefault="00000000">
      <w:pPr>
        <w:jc w:val="center"/>
      </w:pPr>
      <w:r>
        <w:t>Source: Author’s creation</w:t>
      </w:r>
    </w:p>
    <w:p w14:paraId="642DC42C" w14:textId="77777777" w:rsidR="001751A1" w:rsidRDefault="001751A1">
      <w:pPr>
        <w:sectPr w:rsidR="001751A1">
          <w:pgSz w:w="12240" w:h="15840"/>
          <w:pgMar w:top="1360" w:right="1440" w:bottom="280" w:left="1440" w:header="720" w:footer="720" w:gutter="0"/>
          <w:cols w:space="720"/>
        </w:sectPr>
      </w:pPr>
    </w:p>
    <w:p w14:paraId="4ACBAAB2" w14:textId="77777777" w:rsidR="001751A1" w:rsidRDefault="00000000">
      <w:pPr>
        <w:pStyle w:val="Heading1"/>
      </w:pPr>
      <w:bookmarkStart w:id="3" w:name="_y0wii2xgoia9" w:colFirst="0" w:colLast="0"/>
      <w:bookmarkEnd w:id="3"/>
      <w:r>
        <w:lastRenderedPageBreak/>
        <w:t>Task 4 - Research Task</w:t>
      </w:r>
    </w:p>
    <w:p w14:paraId="026038EC" w14:textId="77777777" w:rsidR="001751A1" w:rsidRDefault="00000000">
      <w:pPr>
        <w:rPr>
          <w:b/>
        </w:rPr>
      </w:pPr>
      <w:r>
        <w:rPr>
          <w:b/>
        </w:rPr>
        <w:t>Article 1 - Summary of Findings:</w:t>
      </w:r>
    </w:p>
    <w:p w14:paraId="4074696F" w14:textId="77777777" w:rsidR="001751A1" w:rsidRDefault="00000000">
      <w:r w:rsidRPr="726BE64A">
        <w:rPr>
          <w:lang w:val="en-US"/>
        </w:rPr>
        <w:t>Research conducted by Bharadwaj, Pai and Suziedelyte (2017) revealed that mental health stigma remains one of the significant obstacles to treatment and recovery. The researchers pointed out that stigma is usually a result of negative media depictions and a lack of knowledge concerning mental illness. A lot of individuals continue to view mental health issues as signifiers of frailty or instability, thus deterring any individual from seeking assistance. The researchers established that these stereotypes result in discrimination against individuals with mental illnesses in the workplace and in social circles. To modify the attitudes of people, Bharadwaj, Pai and Suziedelyte suggest education programmes and publicity campaigns. They claim that it is possible to eliminate fear and misinformation by promoting open discussions at schools and communities. The research has concluded that it is necessary to reduce the stigma to make care more accessible and enable a person to feel free enough to discuss his/her mental health issues without any judgment or shame.</w:t>
      </w:r>
    </w:p>
    <w:p w14:paraId="4CFDADE7" w14:textId="77777777" w:rsidR="001751A1" w:rsidRDefault="00000000">
      <w:pPr>
        <w:rPr>
          <w:b/>
        </w:rPr>
      </w:pPr>
      <w:r>
        <w:rPr>
          <w:b/>
        </w:rPr>
        <w:t>Article 2 - Summary of Findings:</w:t>
      </w:r>
    </w:p>
    <w:p w14:paraId="3B055AF3" w14:textId="77777777" w:rsidR="001751A1" w:rsidRDefault="00000000">
      <w:pPr>
        <w:sectPr w:rsidR="001751A1">
          <w:pgSz w:w="12240" w:h="15840"/>
          <w:pgMar w:top="1360" w:right="1440" w:bottom="280" w:left="1440" w:header="720" w:footer="720" w:gutter="0"/>
          <w:cols w:space="720"/>
        </w:sectPr>
      </w:pPr>
      <w:r w:rsidRPr="726BE64A">
        <w:rPr>
          <w:lang w:val="en-US"/>
        </w:rPr>
        <w:t>Smith and Applegate (2018) analysed the impact of stigma on service users in health and social care facilities. Their study revealed that even practitioners might be guilty of implicit prejudices that determine the way they handle patients with mental illnesses. Other employees were caught believing that mentally ill individuals are hard or untrustworthy, and this poses an obstacle to quality care. These stances will cause patients to feel rejected or unwelcome, and they will not seek assistance in future. According to Smith and colleagues, such prejudice can be resolved with the help of frequent staff training, reflection, and supervision. Promoting compassion and caring assistance makes professionals see patients, but not their diagnosis. The research paper has indicated that a decrease in stigma in the health and social care workforce enhances trust, engagement, and treatment outcomes. Addressing stigma is thus a moral duty besides being a primary measure towards creating an inclusive and efficient care setting.</w:t>
      </w:r>
    </w:p>
    <w:p w14:paraId="577EE28F" w14:textId="77777777" w:rsidR="001751A1" w:rsidRDefault="00000000">
      <w:pPr>
        <w:pStyle w:val="Heading1"/>
      </w:pPr>
      <w:bookmarkStart w:id="4" w:name="_eznv1a9ed0rm" w:colFirst="0" w:colLast="0"/>
      <w:bookmarkEnd w:id="4"/>
      <w:r>
        <w:lastRenderedPageBreak/>
        <w:t>Task 5 – Podcast</w:t>
      </w:r>
    </w:p>
    <w:p w14:paraId="39C67053" w14:textId="77777777" w:rsidR="001751A1" w:rsidRDefault="001751A1">
      <w:hyperlink r:id="rId9">
        <w:r>
          <w:rPr>
            <w:color w:val="0000FF"/>
            <w:u w:val="single"/>
          </w:rPr>
          <w:t>https://1drv.ms/w/c/9263eef6bd1bccef/EXE_8JZSc6dMsdSGLJLBmj0BdqaEcLcvrChbXpMNPALfxg</w:t>
        </w:r>
      </w:hyperlink>
    </w:p>
    <w:p w14:paraId="304BEE8D" w14:textId="77777777" w:rsidR="001751A1" w:rsidRDefault="001751A1">
      <w:pPr>
        <w:pStyle w:val="Heading1"/>
      </w:pPr>
    </w:p>
    <w:p w14:paraId="0CCFFAF8" w14:textId="3E10846F" w:rsidR="00EA6347" w:rsidRPr="00EA6347" w:rsidRDefault="00F477CB" w:rsidP="00EA6347">
      <w:pPr>
        <w:sectPr w:rsidR="00EA6347" w:rsidRPr="00EA6347">
          <w:pgSz w:w="12240" w:h="15840"/>
          <w:pgMar w:top="1360" w:right="1440" w:bottom="280" w:left="1440" w:header="720" w:footer="720" w:gutter="0"/>
          <w:cols w:space="720"/>
        </w:sectPr>
      </w:pPr>
      <w:r>
        <w:object w:dxaOrig="1456" w:dyaOrig="811" w14:anchorId="1AB55DC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2.75pt;height:40.5pt" o:ole="">
            <v:imagedata r:id="rId10" o:title=""/>
          </v:shape>
          <o:OLEObject Type="Embed" ProgID="Package" ShapeID="_x0000_i1025" DrawAspect="Content" ObjectID="_1824625527" r:id="rId11"/>
        </w:object>
      </w:r>
    </w:p>
    <w:p w14:paraId="21DBB544" w14:textId="77777777" w:rsidR="001751A1" w:rsidRDefault="00000000">
      <w:pPr>
        <w:pStyle w:val="Heading1"/>
      </w:pPr>
      <w:bookmarkStart w:id="5" w:name="_7ssw8wbuwicr" w:colFirst="0" w:colLast="0"/>
      <w:bookmarkEnd w:id="5"/>
      <w:r>
        <w:lastRenderedPageBreak/>
        <w:t>Task 6 - NHS Leadership Framework Analysis</w:t>
      </w:r>
    </w:p>
    <w:p w14:paraId="04C5BBE3" w14:textId="77777777" w:rsidR="001751A1" w:rsidRDefault="00000000">
      <w:pPr>
        <w:rPr>
          <w:b/>
        </w:rPr>
      </w:pPr>
      <w:r>
        <w:rPr>
          <w:b/>
        </w:rPr>
        <w:t>Summary of the framework</w:t>
      </w:r>
    </w:p>
    <w:p w14:paraId="30C5A033" w14:textId="77777777" w:rsidR="001751A1" w:rsidRDefault="00000000">
      <w:r>
        <w:t>The NHS Leadership Framework has stipulated the major behaviours and qualities of an effective leader at any level of health and social care. It is grounded on seven major areas, namely: Demonstrating Personal Qualities, Working with others, Managing Services, Improving Services, Setting direction, Creating the Vision and Delivering the Strategy. These two areas combined encourage caring, inclusive, and creative leadership (De Brún, O’Donovan and McAuliffe, 2019).</w:t>
      </w:r>
    </w:p>
    <w:p w14:paraId="289F88DD" w14:textId="77777777" w:rsidR="001751A1" w:rsidRDefault="00000000">
      <w:r>
        <w:t>Personal Qualities: The emphasis of the area is on emotional intelligence, integrity, and self-awareness. Working with others lays stress on teamwork, cooperation, and effective communication. Managing Services has to do with getting people and resources into a useful management, whereas Improving Services promotes evidence-based practice and visionary innovation. Setting Direction is about making strategic decisions, and developing the Vision assists leaders in motivating and uniting teams on the same path. Last, there is the strategy of implementing plans successfully by means of Delivering the Strategy (De Brún, O’Donovan and McAuliffe, 2019).</w:t>
      </w:r>
    </w:p>
    <w:p w14:paraId="0B5252F1" w14:textId="77777777" w:rsidR="001751A1" w:rsidRDefault="00000000">
      <w:r>
        <w:t>In general, the framework helps leaders to be compassionate and accountable, motivate employees, and promote creativity. It assists in developing cultures in which innovation, teamwork, and learning contribute to the enhanced outcomes of patients and service users (De Brún, O’Donovan and McAuliffe, 2019).</w:t>
      </w:r>
    </w:p>
    <w:p w14:paraId="7044940E" w14:textId="77777777" w:rsidR="001751A1" w:rsidRDefault="00000000">
      <w:pPr>
        <w:rPr>
          <w:b/>
        </w:rPr>
      </w:pPr>
      <w:r>
        <w:rPr>
          <w:b/>
        </w:rPr>
        <w:t>Applying one component</w:t>
      </w:r>
    </w:p>
    <w:p w14:paraId="11F0D93F" w14:textId="77777777" w:rsidR="001751A1" w:rsidRDefault="00000000">
      <w:r>
        <w:t>The sphere of Working with Others is particularly strong in ensuring creativity and enhanced care. The leader who is engaging and enabling teamwork has the potential to establish psychological safety such that personnel are not afraid of introducing new ideas, questioning the status quo and working across disciplines. It has been found that the use of inclusive leadership practices drastically enhances the creativity of employees within healthcare organisations (Fu et al., 2022). As an example, a ward manager may organise frequent innovation huddles in which nurses, allied health workers, and support staff may each submit their ideas on how to enhance a care process, e.g. by making wait times shorter, discharge planning, etc (Fu et al., 2022). The leader will not eliminate any idea, assist in shared ownership, appreciate efforts and promote a trial and error approach. In the long run, this creates a culture of innovation in problem-solving and joint service production. With the involvement of staff and the execution of ideas, patients' experience is enhanced, efficiency and the quality of care are improved (Fu et al., 2022).</w:t>
      </w:r>
    </w:p>
    <w:p w14:paraId="5FCAF89D" w14:textId="77777777" w:rsidR="001751A1" w:rsidRDefault="001751A1"/>
    <w:p w14:paraId="08B077C1" w14:textId="77777777" w:rsidR="001751A1" w:rsidRDefault="00000000">
      <w:pPr>
        <w:jc w:val="center"/>
      </w:pPr>
      <w:r>
        <w:rPr>
          <w:noProof/>
        </w:rPr>
        <w:lastRenderedPageBreak/>
        <w:drawing>
          <wp:inline distT="0" distB="0" distL="0" distR="0" wp14:anchorId="702CBA08" wp14:editId="7EE9C1E2">
            <wp:extent cx="4659284" cy="3042970"/>
            <wp:effectExtent l="0" t="0" r="0" b="0"/>
            <wp:docPr id="4" name="image4.png" descr="The Leadership Framework (LF) (NHS Leadership Academy 2014). Accessed... |  Download Scientific Diagram"/>
            <wp:cNvGraphicFramePr/>
            <a:graphic xmlns:a="http://schemas.openxmlformats.org/drawingml/2006/main">
              <a:graphicData uri="http://schemas.openxmlformats.org/drawingml/2006/picture">
                <pic:pic xmlns:pic="http://schemas.openxmlformats.org/drawingml/2006/picture">
                  <pic:nvPicPr>
                    <pic:cNvPr id="0" name="image4.png" descr="The Leadership Framework (LF) (NHS Leadership Academy 2014). Accessed... |  Download Scientific Diagram"/>
                    <pic:cNvPicPr preferRelativeResize="0"/>
                  </pic:nvPicPr>
                  <pic:blipFill>
                    <a:blip r:embed="rId12"/>
                    <a:srcRect/>
                    <a:stretch>
                      <a:fillRect/>
                    </a:stretch>
                  </pic:blipFill>
                  <pic:spPr>
                    <a:xfrm>
                      <a:off x="0" y="0"/>
                      <a:ext cx="4659284" cy="3042970"/>
                    </a:xfrm>
                    <a:prstGeom prst="rect">
                      <a:avLst/>
                    </a:prstGeom>
                    <a:ln/>
                  </pic:spPr>
                </pic:pic>
              </a:graphicData>
            </a:graphic>
          </wp:inline>
        </w:drawing>
      </w:r>
    </w:p>
    <w:p w14:paraId="74EEDCFC" w14:textId="77777777" w:rsidR="001751A1" w:rsidRDefault="001751A1"/>
    <w:p w14:paraId="0AA0A064" w14:textId="77777777" w:rsidR="001751A1" w:rsidRDefault="00000000">
      <w:pPr>
        <w:jc w:val="center"/>
        <w:rPr>
          <w:b/>
        </w:rPr>
      </w:pPr>
      <w:r>
        <w:rPr>
          <w:b/>
        </w:rPr>
        <w:t>Figure 3:  NHS Leadership Framework</w:t>
      </w:r>
    </w:p>
    <w:p w14:paraId="4F35E515" w14:textId="77777777" w:rsidR="001751A1" w:rsidRDefault="001751A1">
      <w:pPr>
        <w:jc w:val="center"/>
        <w:rPr>
          <w:b/>
        </w:rPr>
      </w:pPr>
    </w:p>
    <w:p w14:paraId="61A23EC7" w14:textId="77777777" w:rsidR="001751A1" w:rsidRDefault="00000000">
      <w:pPr>
        <w:jc w:val="center"/>
        <w:rPr>
          <w:b/>
        </w:rPr>
        <w:sectPr w:rsidR="001751A1">
          <w:pgSz w:w="12240" w:h="15840"/>
          <w:pgMar w:top="1360" w:right="1440" w:bottom="280" w:left="1440" w:header="720" w:footer="720" w:gutter="0"/>
          <w:cols w:space="720"/>
        </w:sectPr>
      </w:pPr>
      <w:r>
        <w:rPr>
          <w:b/>
        </w:rPr>
        <w:t xml:space="preserve">Source: </w:t>
      </w:r>
      <w:r>
        <w:t>(De Brún, O’Donovan and McAuliffe, 2019)</w:t>
      </w:r>
    </w:p>
    <w:p w14:paraId="284F4491" w14:textId="77777777" w:rsidR="001751A1" w:rsidRDefault="00000000">
      <w:pPr>
        <w:pStyle w:val="Heading1"/>
      </w:pPr>
      <w:bookmarkStart w:id="6" w:name="_h5utjp1u3fse" w:colFirst="0" w:colLast="0"/>
      <w:bookmarkEnd w:id="6"/>
      <w:r>
        <w:lastRenderedPageBreak/>
        <w:t>Task 7 - Self-Reflection Journal Entry</w:t>
      </w:r>
    </w:p>
    <w:p w14:paraId="04063437" w14:textId="77777777" w:rsidR="001751A1" w:rsidRDefault="00000000">
      <w:r>
        <w:t>In this module, my knowledge of creativity and value creation concerning health and social care increased considerably. Initially, I believed that creativity was just the ability to develop new things in terms of tools or technology. Today, I understand that creativity can also be viewed as a way of solving problems, collaboration, and adjustment to the challenges in everyday practice. As basic as identifying alternative methods of contact with patients or as complicated as redesigning a care service to enhance access and outcomes (Mahajan, 2021).</w:t>
      </w:r>
    </w:p>
    <w:p w14:paraId="7D0DC4AB" w14:textId="77777777" w:rsidR="001751A1" w:rsidRDefault="00000000">
      <w:r>
        <w:t>I was able to understand that value creation occurs when creative thoughts result in actual improvements like improved patient experiences, safer care, or more efficient services. Such activities as group exercises, case studies were able to make me realise how innovation grows out of collaboration and reflection. I also understood that leadership is a crucial factor in promoting creative thought in personnel (Mahajan, 2021).</w:t>
      </w:r>
    </w:p>
    <w:p w14:paraId="143ED826" w14:textId="77777777" w:rsidR="001751A1" w:rsidRDefault="00000000">
      <w:r>
        <w:t>This education has transformed my perception towards my professional role. I am now aware that the tiniest of creative actions can lead to value creation for both patients and colleagues. I intend to use creative thinking in the future in order to spot the gaps in service provision, propose changes, and facilitate others to do the same. The current module has strengthened my belief and made me more open-minded and motivated to make a positive contribution to the ongoing improvement of health and social care practice (Team, 2021).</w:t>
      </w:r>
    </w:p>
    <w:p w14:paraId="49F6DF61" w14:textId="77777777" w:rsidR="001751A1" w:rsidRDefault="001751A1">
      <w:pPr>
        <w:sectPr w:rsidR="001751A1">
          <w:pgSz w:w="12240" w:h="15840"/>
          <w:pgMar w:top="1360" w:right="1440" w:bottom="280" w:left="1440" w:header="720" w:footer="720" w:gutter="0"/>
          <w:cols w:space="720"/>
        </w:sectPr>
      </w:pPr>
    </w:p>
    <w:p w14:paraId="1EE46136" w14:textId="77777777" w:rsidR="001751A1" w:rsidRDefault="00000000">
      <w:pPr>
        <w:pStyle w:val="Heading1"/>
      </w:pPr>
      <w:bookmarkStart w:id="7" w:name="_tduz3dbn9lqx" w:colFirst="0" w:colLast="0"/>
      <w:bookmarkEnd w:id="7"/>
      <w:r>
        <w:lastRenderedPageBreak/>
        <w:t>References</w:t>
      </w:r>
    </w:p>
    <w:p w14:paraId="3A720758" w14:textId="77777777" w:rsidR="001751A1" w:rsidRDefault="00000000">
      <w:r>
        <w:t>Bharadwaj, P., Pai, M.M. and Suziedelyte, A. (2017). Mental health stigma. </w:t>
      </w:r>
      <w:r>
        <w:rPr>
          <w:i/>
        </w:rPr>
        <w:t>Economics Letters</w:t>
      </w:r>
      <w:r>
        <w:t>, [online] 159(1), pp.57–60. doi:https://doi.org/10.1016/j.econlet.2017.06.028.</w:t>
      </w:r>
    </w:p>
    <w:p w14:paraId="439093AF" w14:textId="77777777" w:rsidR="001751A1" w:rsidRDefault="00000000">
      <w:r>
        <w:t>De Brún, A., O’Donovan, R. and McAuliffe, E. (2019). Interventions to Develop Collectivistic Leadership in Healthcare settings: a Systematic Review. </w:t>
      </w:r>
      <w:r>
        <w:rPr>
          <w:i/>
        </w:rPr>
        <w:t>BMC Health Services Research</w:t>
      </w:r>
      <w:r>
        <w:t>, [online] 19(1), pp.1–22. doi:https://doi.org/10.1186/s12913-019-3883-x.</w:t>
      </w:r>
    </w:p>
    <w:p w14:paraId="1C7E7CD0" w14:textId="77777777" w:rsidR="001751A1" w:rsidRDefault="00000000">
      <w:r>
        <w:t>Fu, Q., Cherian, J., Ahmad, N., Scholz, M., Samad, S. and Comite, U. (2022). An Inclusive Leadership Framework to Foster Employee Creativity in the Healthcare Sector: The Role of Psychological Safety and Polychronicity. </w:t>
      </w:r>
      <w:r>
        <w:rPr>
          <w:i/>
        </w:rPr>
        <w:t>International Journal of Environmental Research and Public Health</w:t>
      </w:r>
      <w:r>
        <w:t>, 19(8), p.4519. doi:https://doi.org/10.3390/ijerph19084519.</w:t>
      </w:r>
    </w:p>
    <w:p w14:paraId="3B87020B" w14:textId="77777777" w:rsidR="001751A1" w:rsidRDefault="00000000">
      <w:r>
        <w:t>Haleem, A., Javaid, M., Singh, R. and Suman, R. (2021). Telemedicine for healthcare: Capabilities, features, barriers, and Applications. </w:t>
      </w:r>
      <w:r>
        <w:rPr>
          <w:i/>
        </w:rPr>
        <w:t>Sensors International</w:t>
      </w:r>
      <w:r>
        <w:t>, 2(2), pp.100–117.</w:t>
      </w:r>
    </w:p>
    <w:p w14:paraId="4566289A" w14:textId="77777777" w:rsidR="001751A1" w:rsidRDefault="00000000">
      <w:r>
        <w:t>Mahajan, G. (2021). </w:t>
      </w:r>
      <w:r>
        <w:rPr>
          <w:i/>
        </w:rPr>
        <w:t>Will Customer Value Creation improve healthcare? | CustomerThink</w:t>
      </w:r>
      <w:r>
        <w:t>. [online] Customerthink.com. Available at: https://customerthink.com/will-customer-value-creation-improve-healthcare/ [Accessed 14 Oct. 2025].</w:t>
      </w:r>
    </w:p>
    <w:p w14:paraId="7B307628" w14:textId="77777777" w:rsidR="001751A1" w:rsidRDefault="00000000">
      <w:r>
        <w:t>McLeod, S. (2025). </w:t>
      </w:r>
      <w:r>
        <w:rPr>
          <w:i/>
        </w:rPr>
        <w:t>Gibbs Reflective Cycle</w:t>
      </w:r>
      <w:r>
        <w:t>. [online] Simply Psychology. Available at: https://www.simplypsychology.org/gibbs-reflective-cycle.html.</w:t>
      </w:r>
    </w:p>
    <w:p w14:paraId="0D31D10C" w14:textId="77777777" w:rsidR="001751A1" w:rsidRDefault="00000000">
      <w:r>
        <w:t>Norman, G., Bennett, P. and Vardy, E.R.L.C. (2023). Virtual wards: a rapid evidence synthesis and implications for the care of older people. </w:t>
      </w:r>
      <w:r>
        <w:rPr>
          <w:i/>
        </w:rPr>
        <w:t>Age and Ageing</w:t>
      </w:r>
      <w:r>
        <w:t>, 52(1). doi:https://doi.org/10.1093/ageing/afac319.</w:t>
      </w:r>
    </w:p>
    <w:p w14:paraId="4B2D7E38" w14:textId="77777777" w:rsidR="001751A1" w:rsidRDefault="00000000">
      <w:r>
        <w:t>Smith, R.A. and Applegate, A. (2018). Mental health stigma and communication, and their intersections with education. </w:t>
      </w:r>
      <w:r>
        <w:rPr>
          <w:i/>
        </w:rPr>
        <w:t>Communication Education</w:t>
      </w:r>
      <w:r>
        <w:t>, [online] 67(3), pp.382–393. doi:https://doi.org/10.1080/03634523.2018.1465988.</w:t>
      </w:r>
    </w:p>
    <w:p w14:paraId="2B500169" w14:textId="77777777" w:rsidR="001751A1" w:rsidRDefault="00000000">
      <w:r>
        <w:t>Team, S. (2021). </w:t>
      </w:r>
      <w:r>
        <w:rPr>
          <w:i/>
        </w:rPr>
        <w:t>Continuous Improvement In Healthcare</w:t>
      </w:r>
      <w:r>
        <w:t>. [online] TWI Institute. Available at: https://www.twi-institute.com/continuous-improvement-healthcare/.</w:t>
      </w:r>
    </w:p>
    <w:p w14:paraId="3752F588" w14:textId="77777777" w:rsidR="001751A1" w:rsidRDefault="00000000">
      <w:r>
        <w:t>Vaidya, A. (2024). </w:t>
      </w:r>
      <w:r>
        <w:rPr>
          <w:i/>
        </w:rPr>
        <w:t>Collaboration in digital health is a rising trend</w:t>
      </w:r>
      <w:r>
        <w:t>. [online] Virtual Healthcare. Available at: https://www.techtarget.com/virtualhealthcare/feature/Collaboration-in-digital-health-a-rising-trend.</w:t>
      </w:r>
    </w:p>
    <w:p w14:paraId="04A23AD3" w14:textId="77777777" w:rsidR="001751A1" w:rsidRDefault="001751A1"/>
    <w:sectPr w:rsidR="001751A1">
      <w:pgSz w:w="12240" w:h="15840"/>
      <w:pgMar w:top="1360" w:right="1440" w:bottom="28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D8AA9A" w14:textId="77777777" w:rsidR="006E147B" w:rsidRDefault="006E147B" w:rsidP="00F477CB">
      <w:pPr>
        <w:spacing w:line="240" w:lineRule="auto"/>
      </w:pPr>
      <w:r>
        <w:separator/>
      </w:r>
    </w:p>
  </w:endnote>
  <w:endnote w:type="continuationSeparator" w:id="0">
    <w:p w14:paraId="6EB68B1A" w14:textId="77777777" w:rsidR="006E147B" w:rsidRDefault="006E147B" w:rsidP="00F477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4258B5" w14:textId="77777777" w:rsidR="006E147B" w:rsidRDefault="006E147B" w:rsidP="00F477CB">
      <w:pPr>
        <w:spacing w:line="240" w:lineRule="auto"/>
      </w:pPr>
      <w:r>
        <w:separator/>
      </w:r>
    </w:p>
  </w:footnote>
  <w:footnote w:type="continuationSeparator" w:id="0">
    <w:p w14:paraId="56E5B0E0" w14:textId="77777777" w:rsidR="006E147B" w:rsidRDefault="006E147B" w:rsidP="00F477C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51A1"/>
    <w:rsid w:val="00122B04"/>
    <w:rsid w:val="001751A1"/>
    <w:rsid w:val="006E147B"/>
    <w:rsid w:val="00D64D0D"/>
    <w:rsid w:val="00EA6347"/>
    <w:rsid w:val="00F477CB"/>
    <w:rsid w:val="00FD22D6"/>
    <w:rsid w:val="726BE6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015C4D"/>
  <w15:docId w15:val="{FA3AB414-7DF1-43C7-A93E-B2885E971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widowControl w:val="0"/>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before="103"/>
      <w:outlineLvl w:val="0"/>
    </w:pPr>
    <w:rPr>
      <w:sz w:val="44"/>
      <w:szCs w:val="44"/>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ind w:left="2"/>
      <w:jc w:val="center"/>
    </w:pPr>
    <w:rPr>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F477CB"/>
    <w:pPr>
      <w:tabs>
        <w:tab w:val="center" w:pos="4513"/>
        <w:tab w:val="right" w:pos="9026"/>
      </w:tabs>
      <w:spacing w:line="240" w:lineRule="auto"/>
    </w:pPr>
  </w:style>
  <w:style w:type="character" w:customStyle="1" w:styleId="HeaderChar">
    <w:name w:val="Header Char"/>
    <w:basedOn w:val="DefaultParagraphFont"/>
    <w:link w:val="Header"/>
    <w:uiPriority w:val="99"/>
    <w:rsid w:val="00F477CB"/>
  </w:style>
  <w:style w:type="paragraph" w:styleId="Footer">
    <w:name w:val="footer"/>
    <w:basedOn w:val="Normal"/>
    <w:link w:val="FooterChar"/>
    <w:uiPriority w:val="99"/>
    <w:unhideWhenUsed/>
    <w:rsid w:val="00F477CB"/>
    <w:pPr>
      <w:tabs>
        <w:tab w:val="center" w:pos="4513"/>
        <w:tab w:val="right" w:pos="9026"/>
      </w:tabs>
      <w:spacing w:line="240" w:lineRule="auto"/>
    </w:pPr>
  </w:style>
  <w:style w:type="character" w:customStyle="1" w:styleId="FooterChar">
    <w:name w:val="Footer Char"/>
    <w:basedOn w:val="DefaultParagraphFont"/>
    <w:link w:val="Footer"/>
    <w:uiPriority w:val="99"/>
    <w:rsid w:val="00F477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5.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oleObject" Target="embeddings/oleObject1.bin"/><Relationship Id="rId5" Type="http://schemas.openxmlformats.org/officeDocument/2006/relationships/endnotes" Target="endnotes.xml"/><Relationship Id="rId10" Type="http://schemas.openxmlformats.org/officeDocument/2006/relationships/image" Target="media/image4.emf"/><Relationship Id="rId4" Type="http://schemas.openxmlformats.org/officeDocument/2006/relationships/footnotes" Target="footnotes.xml"/><Relationship Id="rId9" Type="http://schemas.openxmlformats.org/officeDocument/2006/relationships/hyperlink" Target="https://1drv.ms/w/c/9263eef6bd1bccef/EXE_8JZSc6dMsdSGLJLBmj0BdqaEcLcvrChbXpMNPALfx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13</Pages>
  <Words>2640</Words>
  <Characters>15053</Characters>
  <Application>Microsoft Office Word</Application>
  <DocSecurity>0</DocSecurity>
  <Lines>125</Lines>
  <Paragraphs>35</Paragraphs>
  <ScaleCrop>false</ScaleCrop>
  <Company/>
  <LinksUpToDate>false</LinksUpToDate>
  <CharactersWithSpaces>17658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Samina Shahzad (2328504)</cp:lastModifiedBy>
  <cp:revision>6</cp:revision>
  <dcterms:created xsi:type="dcterms:W3CDTF">2025-11-14T10:50:00Z</dcterms:created>
  <dcterms:modified xsi:type="dcterms:W3CDTF">2025-11-14T11:39:00Z</dcterms:modified>
</cp:coreProperties>
</file>