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FC4" w:rsidRPr="001A78AD" w:rsidRDefault="00504FC4" w:rsidP="00C62674">
      <w:pPr>
        <w:jc w:val="center"/>
        <w:rPr>
          <w:sz w:val="28"/>
        </w:rPr>
      </w:pPr>
      <w:r w:rsidRPr="001A78AD">
        <w:rPr>
          <w:rStyle w:val="Strong"/>
          <w:sz w:val="28"/>
        </w:rPr>
        <w:t>CASE STUDY REPORT: TYPE 2 DIABETES</w:t>
      </w:r>
    </w:p>
    <w:p w:rsidR="00504FC4" w:rsidRPr="001A78AD" w:rsidRDefault="00504FC4" w:rsidP="00C62674">
      <w:pPr>
        <w:jc w:val="center"/>
        <w:rPr>
          <w:rStyle w:val="Strong"/>
          <w:sz w:val="28"/>
        </w:rPr>
      </w:pPr>
      <w:r w:rsidRPr="001A78AD">
        <w:rPr>
          <w:rStyle w:val="Strong"/>
          <w:sz w:val="28"/>
        </w:rPr>
        <w:t>Summiyah kousar</w:t>
      </w:r>
    </w:p>
    <w:p w:rsidR="00504FC4" w:rsidRPr="001A78AD" w:rsidRDefault="00504FC4" w:rsidP="00C62674">
      <w:pPr>
        <w:jc w:val="center"/>
        <w:rPr>
          <w:sz w:val="28"/>
        </w:rPr>
      </w:pPr>
      <w:r w:rsidRPr="001A78AD">
        <w:rPr>
          <w:rStyle w:val="Strong"/>
          <w:sz w:val="28"/>
        </w:rPr>
        <w:t>2330601</w:t>
      </w:r>
    </w:p>
    <w:p w:rsidR="00504FC4" w:rsidRPr="001A78AD" w:rsidRDefault="00504FC4" w:rsidP="00C62674">
      <w:pPr>
        <w:jc w:val="center"/>
        <w:rPr>
          <w:sz w:val="28"/>
        </w:rPr>
      </w:pPr>
      <w:r w:rsidRPr="001A78AD">
        <w:rPr>
          <w:rStyle w:val="Strong"/>
          <w:sz w:val="28"/>
        </w:rPr>
        <w:t>BMHP5023</w:t>
      </w:r>
    </w:p>
    <w:p w:rsidR="00E86FF1" w:rsidRPr="001A78AD" w:rsidRDefault="00504FC4" w:rsidP="00C62674">
      <w:pPr>
        <w:jc w:val="center"/>
        <w:rPr>
          <w:rStyle w:val="Strong"/>
          <w:sz w:val="28"/>
        </w:rPr>
      </w:pPr>
      <w:r w:rsidRPr="001A78AD">
        <w:rPr>
          <w:rStyle w:val="Strong"/>
          <w:sz w:val="28"/>
        </w:rPr>
        <w:t>Word Count: ~2000 words</w:t>
      </w:r>
    </w:p>
    <w:p w:rsidR="00504FC4" w:rsidRPr="001A78AD" w:rsidRDefault="00504FC4" w:rsidP="00C62674">
      <w:pPr>
        <w:jc w:val="center"/>
        <w:rPr>
          <w:b/>
          <w:bCs/>
          <w:color w:val="323232"/>
          <w:sz w:val="32"/>
          <w:szCs w:val="14"/>
        </w:rPr>
      </w:pPr>
      <w:r w:rsidRPr="001A78AD">
        <w:rPr>
          <w:rStyle w:val="Strong"/>
          <w:sz w:val="28"/>
        </w:rPr>
        <w:t>Lecturer name-</w:t>
      </w:r>
      <w:r w:rsidRPr="001A78AD">
        <w:rPr>
          <w:b/>
          <w:bCs/>
          <w:color w:val="323232"/>
          <w:sz w:val="32"/>
          <w:szCs w:val="14"/>
        </w:rPr>
        <w:t xml:space="preserve"> Parese Ahmed</w:t>
      </w:r>
    </w:p>
    <w:p w:rsidR="00504FC4" w:rsidRDefault="001676E2" w:rsidP="00504FC4">
      <w:pPr>
        <w:rPr>
          <w:b/>
          <w:bCs/>
          <w:color w:val="323232"/>
          <w:sz w:val="28"/>
          <w:szCs w:val="14"/>
          <w:u w:val="single"/>
        </w:rPr>
      </w:pPr>
      <w:r w:rsidRPr="00504FC4">
        <w:rPr>
          <w:b/>
          <w:bCs/>
          <w:color w:val="323232"/>
          <w:sz w:val="28"/>
          <w:szCs w:val="14"/>
          <w:u w:val="single"/>
        </w:rPr>
        <w:t>Resubmission</w:t>
      </w:r>
      <w:r>
        <w:rPr>
          <w:b/>
          <w:bCs/>
          <w:color w:val="323232"/>
          <w:sz w:val="28"/>
          <w:szCs w:val="14"/>
          <w:u w:val="single"/>
        </w:rPr>
        <w:t xml:space="preserve"> </w:t>
      </w:r>
      <w:r w:rsidR="00504FC4" w:rsidRPr="00504FC4">
        <w:rPr>
          <w:b/>
          <w:bCs/>
          <w:color w:val="323232"/>
          <w:sz w:val="28"/>
          <w:szCs w:val="14"/>
          <w:u w:val="single"/>
        </w:rPr>
        <w:t xml:space="preserve"> </w:t>
      </w:r>
    </w:p>
    <w:p w:rsidR="00504FC4" w:rsidRDefault="00504FC4" w:rsidP="00504FC4">
      <w:pPr>
        <w:spacing w:before="100" w:beforeAutospacing="1" w:after="100" w:afterAutospacing="1" w:line="240" w:lineRule="auto"/>
        <w:outlineLvl w:val="1"/>
        <w:rPr>
          <w:rFonts w:ascii="Times New Roman" w:eastAsia="Times New Roman" w:hAnsi="Times New Roman" w:cs="Times New Roman"/>
          <w:b/>
          <w:bCs/>
          <w:kern w:val="0"/>
          <w:sz w:val="36"/>
          <w:szCs w:val="36"/>
          <w:u w:val="single"/>
          <w:lang w:eastAsia="en-GB"/>
          <w14:ligatures w14:val="none"/>
        </w:rPr>
      </w:pPr>
      <w:r w:rsidRPr="00504FC4">
        <w:rPr>
          <w:rFonts w:ascii="Times New Roman" w:eastAsia="Times New Roman" w:hAnsi="Times New Roman" w:cs="Times New Roman"/>
          <w:b/>
          <w:bCs/>
          <w:kern w:val="0"/>
          <w:sz w:val="36"/>
          <w:szCs w:val="36"/>
          <w:u w:val="single"/>
          <w:lang w:eastAsia="en-GB"/>
          <w14:ligatures w14:val="none"/>
        </w:rPr>
        <w:t>Contents</w:t>
      </w:r>
    </w:p>
    <w:p w:rsidR="001A78AD" w:rsidRDefault="001A78AD" w:rsidP="001A78AD">
      <w:pPr>
        <w:pStyle w:val="NormalWeb"/>
      </w:pPr>
      <w:r>
        <w:rPr>
          <w:rFonts w:hAnsi="Symbol"/>
        </w:rPr>
        <w:t>1-</w:t>
      </w:r>
      <w:r>
        <w:t xml:space="preserve"> Introduction</w:t>
      </w:r>
    </w:p>
    <w:p w:rsidR="001A78AD" w:rsidRDefault="001A78AD" w:rsidP="001A78AD">
      <w:pPr>
        <w:pStyle w:val="NormalWeb"/>
      </w:pPr>
      <w:r>
        <w:rPr>
          <w:rFonts w:hAnsi="Symbol"/>
        </w:rPr>
        <w:t>2-</w:t>
      </w:r>
      <w:r>
        <w:t xml:space="preserve"> Anatomy and Physiology</w:t>
      </w:r>
    </w:p>
    <w:p w:rsidR="001A78AD" w:rsidRDefault="001A78AD" w:rsidP="001A78AD">
      <w:pPr>
        <w:pStyle w:val="NormalWeb"/>
      </w:pPr>
      <w:r>
        <w:rPr>
          <w:rFonts w:hAnsi="Symbol"/>
        </w:rPr>
        <w:t>3-</w:t>
      </w:r>
      <w:r>
        <w:t xml:space="preserve"> Pathophysiology</w:t>
      </w:r>
    </w:p>
    <w:p w:rsidR="001A78AD" w:rsidRDefault="001A78AD" w:rsidP="001A78AD">
      <w:pPr>
        <w:pStyle w:val="NormalWeb"/>
      </w:pPr>
      <w:r>
        <w:rPr>
          <w:rFonts w:hAnsi="Symbol"/>
        </w:rPr>
        <w:t>4-</w:t>
      </w:r>
      <w:r>
        <w:t xml:space="preserve"> Monitoring</w:t>
      </w:r>
    </w:p>
    <w:p w:rsidR="001A78AD" w:rsidRDefault="001A78AD" w:rsidP="001A78AD">
      <w:pPr>
        <w:pStyle w:val="NormalWeb"/>
      </w:pPr>
      <w:r>
        <w:rPr>
          <w:rFonts w:hAnsi="Symbol"/>
        </w:rPr>
        <w:t>5-</w:t>
      </w:r>
      <w:r>
        <w:t xml:space="preserve"> Lifestyle Recommendations</w:t>
      </w:r>
    </w:p>
    <w:p w:rsidR="001A78AD" w:rsidRDefault="001A78AD" w:rsidP="001A78AD">
      <w:pPr>
        <w:pStyle w:val="NormalWeb"/>
      </w:pPr>
      <w:r>
        <w:rPr>
          <w:rFonts w:hAnsi="Symbol"/>
        </w:rPr>
        <w:t>6-</w:t>
      </w:r>
      <w:r>
        <w:t>Conclusion</w:t>
      </w:r>
    </w:p>
    <w:p w:rsidR="001A78AD" w:rsidRDefault="001A78AD" w:rsidP="001A78AD">
      <w:pPr>
        <w:pStyle w:val="NormalWeb"/>
      </w:pPr>
      <w:r>
        <w:rPr>
          <w:rFonts w:hAnsi="Symbol"/>
        </w:rPr>
        <w:t>7-</w:t>
      </w:r>
      <w:r>
        <w:t xml:space="preserve"> References</w:t>
      </w:r>
    </w:p>
    <w:p w:rsidR="001A78AD" w:rsidRDefault="001A78AD" w:rsidP="001A78AD">
      <w:pPr>
        <w:pStyle w:val="NormalWeb"/>
      </w:pPr>
    </w:p>
    <w:p w:rsidR="00504FC4" w:rsidRPr="00504FC4" w:rsidRDefault="00504FC4" w:rsidP="00504FC4">
      <w:pPr>
        <w:spacing w:before="100" w:beforeAutospacing="1" w:after="100" w:afterAutospacing="1" w:line="240" w:lineRule="auto"/>
        <w:outlineLvl w:val="1"/>
        <w:rPr>
          <w:rFonts w:ascii="Times New Roman" w:eastAsia="Times New Roman" w:hAnsi="Times New Roman" w:cs="Times New Roman"/>
          <w:b/>
          <w:bCs/>
          <w:kern w:val="0"/>
          <w:sz w:val="36"/>
          <w:szCs w:val="36"/>
          <w:u w:val="single"/>
          <w:lang w:eastAsia="en-GB"/>
          <w14:ligatures w14:val="none"/>
        </w:rPr>
      </w:pPr>
    </w:p>
    <w:p w:rsidR="00504FC4" w:rsidRDefault="00504FC4" w:rsidP="00504FC4">
      <w:pPr>
        <w:pStyle w:val="Default"/>
      </w:pPr>
    </w:p>
    <w:p w:rsidR="00504FC4" w:rsidRDefault="00504FC4" w:rsidP="00504FC4">
      <w:pPr>
        <w:pStyle w:val="Default"/>
      </w:pPr>
    </w:p>
    <w:p w:rsidR="00504FC4" w:rsidRDefault="00504FC4">
      <w:pPr>
        <w:rPr>
          <w:sz w:val="40"/>
        </w:rPr>
      </w:pPr>
    </w:p>
    <w:p w:rsidR="00B90A9A" w:rsidRDefault="00B90A9A">
      <w:pPr>
        <w:rPr>
          <w:sz w:val="40"/>
        </w:rPr>
      </w:pPr>
    </w:p>
    <w:p w:rsidR="00B90A9A" w:rsidRDefault="00B90A9A">
      <w:pPr>
        <w:rPr>
          <w:sz w:val="40"/>
        </w:rPr>
      </w:pPr>
    </w:p>
    <w:p w:rsidR="001A78AD" w:rsidRDefault="001A78AD" w:rsidP="00B90A9A">
      <w:pPr>
        <w:spacing w:before="100" w:beforeAutospacing="1" w:after="100" w:afterAutospacing="1" w:line="240" w:lineRule="auto"/>
        <w:outlineLvl w:val="0"/>
        <w:rPr>
          <w:sz w:val="40"/>
        </w:rPr>
      </w:pPr>
    </w:p>
    <w:p w:rsidR="00B90A9A" w:rsidRPr="00B90A9A" w:rsidRDefault="00B90A9A" w:rsidP="00B90A9A">
      <w:pPr>
        <w:spacing w:before="100" w:beforeAutospacing="1" w:after="100" w:afterAutospacing="1" w:line="240" w:lineRule="auto"/>
        <w:outlineLvl w:val="0"/>
        <w:rPr>
          <w:rFonts w:ascii="Times New Roman" w:eastAsia="Times New Roman" w:hAnsi="Times New Roman" w:cs="Times New Roman"/>
          <w:b/>
          <w:bCs/>
          <w:kern w:val="36"/>
          <w:sz w:val="48"/>
          <w:szCs w:val="48"/>
          <w:u w:val="single"/>
          <w:lang w:eastAsia="en-GB"/>
          <w14:ligatures w14:val="none"/>
        </w:rPr>
      </w:pPr>
      <w:r w:rsidRPr="001A78AD">
        <w:rPr>
          <w:rFonts w:ascii="Times New Roman" w:eastAsia="Times New Roman" w:hAnsi="Times New Roman" w:cs="Times New Roman"/>
          <w:b/>
          <w:bCs/>
          <w:kern w:val="36"/>
          <w:sz w:val="48"/>
          <w:szCs w:val="48"/>
          <w:u w:val="single"/>
          <w:lang w:eastAsia="en-GB"/>
          <w14:ligatures w14:val="none"/>
        </w:rPr>
        <w:lastRenderedPageBreak/>
        <w:t>Introduction</w:t>
      </w:r>
    </w:p>
    <w:p w:rsidR="00B90A9A" w:rsidRPr="00B90A9A" w:rsidRDefault="00B90A9A" w:rsidP="00B90A9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Type 2 diabetes mellitus </w:t>
      </w:r>
      <w:r w:rsidRPr="00B90A9A">
        <w:rPr>
          <w:rFonts w:ascii="Times New Roman" w:eastAsia="Times New Roman" w:hAnsi="Times New Roman" w:cs="Times New Roman"/>
          <w:kern w:val="0"/>
          <w:sz w:val="24"/>
          <w:szCs w:val="24"/>
          <w:lang w:eastAsia="en-GB"/>
          <w14:ligatures w14:val="none"/>
        </w:rPr>
        <w:t xml:space="preserve"> is a chronic metabolic condition characterised by persistently elevated blood glucose levels due to impaired insulin action and reduced insulin production. It is one of the most common long</w:t>
      </w:r>
      <w:r w:rsidRPr="00B90A9A">
        <w:rPr>
          <w:rFonts w:ascii="Times New Roman" w:eastAsia="Times New Roman" w:hAnsi="Times New Roman" w:cs="Times New Roman"/>
          <w:kern w:val="0"/>
          <w:sz w:val="24"/>
          <w:szCs w:val="24"/>
          <w:lang w:eastAsia="en-GB"/>
          <w14:ligatures w14:val="none"/>
        </w:rPr>
        <w:noBreakHyphen/>
        <w:t>term conditions globally and is strongly associated with modifiable lifestyle factors such as physical inactivity, poor diet, and excess body weight, alongside non</w:t>
      </w:r>
      <w:r w:rsidRPr="00B90A9A">
        <w:rPr>
          <w:rFonts w:ascii="Times New Roman" w:eastAsia="Times New Roman" w:hAnsi="Times New Roman" w:cs="Times New Roman"/>
          <w:kern w:val="0"/>
          <w:sz w:val="24"/>
          <w:szCs w:val="24"/>
          <w:lang w:eastAsia="en-GB"/>
          <w14:ligatures w14:val="none"/>
        </w:rPr>
        <w:noBreakHyphen/>
        <w:t>modifiable risks including age, ethnicity, and genetic predisposition (Diabetes UK, 2023). Symptoms often develop gradually and may include increased thirst, frequent urination, tiredness, and blurred vision.</w:t>
      </w:r>
    </w:p>
    <w:p w:rsidR="001A78AD" w:rsidRDefault="00B90A9A"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90A9A">
        <w:rPr>
          <w:rFonts w:ascii="Times New Roman" w:eastAsia="Times New Roman" w:hAnsi="Times New Roman" w:cs="Times New Roman"/>
          <w:kern w:val="0"/>
          <w:sz w:val="24"/>
          <w:szCs w:val="24"/>
          <w:lang w:eastAsia="en-GB"/>
          <w14:ligatures w14:val="none"/>
        </w:rPr>
        <w:t>T2DM is a major public health concern because prolonged high blood glucose can damage blood vessels and nerves, increasing the risk of cardiovascular disease, kidney failure, sight loss, and neuropathy (NICE, 2023). Effective management requires an understanding of how the pancreas regulates blood sugar, how insulin resistance develops, and how monitoring and lifestyle changes can prevent complications. This report provides an evidence</w:t>
      </w:r>
      <w:r w:rsidRPr="00B90A9A">
        <w:rPr>
          <w:rFonts w:ascii="Times New Roman" w:eastAsia="Times New Roman" w:hAnsi="Times New Roman" w:cs="Times New Roman"/>
          <w:kern w:val="0"/>
          <w:sz w:val="24"/>
          <w:szCs w:val="24"/>
          <w:lang w:eastAsia="en-GB"/>
          <w14:ligatures w14:val="none"/>
        </w:rPr>
        <w:noBreakHyphen/>
        <w:t>based overview of the anatomy and physiology of glucose regulation, the pathophysiology of T2DM, modern monitoring approaches, and lifestyle strategies recommended in clinical guidelines.</w:t>
      </w:r>
    </w:p>
    <w:p w:rsidR="00B07F18" w:rsidRPr="00B07F18" w:rsidRDefault="00B07F18" w:rsidP="001A78AD">
      <w:pPr>
        <w:spacing w:before="100" w:beforeAutospacing="1" w:after="100" w:afterAutospacing="1" w:line="240" w:lineRule="auto"/>
        <w:rPr>
          <w:rFonts w:ascii="Times New Roman" w:eastAsia="Times New Roman" w:hAnsi="Times New Roman" w:cs="Times New Roman"/>
          <w:kern w:val="0"/>
          <w:sz w:val="24"/>
          <w:szCs w:val="24"/>
          <w:u w:val="single"/>
          <w:lang w:eastAsia="en-GB"/>
          <w14:ligatures w14:val="none"/>
        </w:rPr>
      </w:pPr>
      <w:r w:rsidRPr="001A78AD">
        <w:rPr>
          <w:rFonts w:ascii="Times New Roman" w:eastAsia="Times New Roman" w:hAnsi="Times New Roman" w:cs="Times New Roman"/>
          <w:b/>
          <w:bCs/>
          <w:kern w:val="36"/>
          <w:sz w:val="48"/>
          <w:szCs w:val="48"/>
          <w:u w:val="single"/>
          <w:lang w:eastAsia="en-GB"/>
          <w14:ligatures w14:val="none"/>
        </w:rPr>
        <w:t>Anatomy and Physiology</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 xml:space="preserve"> Structure of the Pancreas</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The pancreas is a gland located behind the stomach that performs both digestive and hormonal functions. Its endocrine role is carried out by clusters of specialised cells known as the islets of Langerhans. These contain:</w:t>
      </w:r>
    </w:p>
    <w:p w:rsidR="00B07F18" w:rsidRPr="00B07F18" w:rsidRDefault="00B07F18" w:rsidP="00B07F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24"/>
          <w:szCs w:val="24"/>
          <w:lang w:eastAsia="en-GB"/>
          <w14:ligatures w14:val="none"/>
        </w:rPr>
        <w:t>Beta cells</w:t>
      </w:r>
      <w:r w:rsidRPr="00B07F18">
        <w:rPr>
          <w:rFonts w:ascii="Times New Roman" w:eastAsia="Times New Roman" w:hAnsi="Times New Roman" w:cs="Times New Roman"/>
          <w:kern w:val="0"/>
          <w:sz w:val="24"/>
          <w:szCs w:val="24"/>
          <w:lang w:eastAsia="en-GB"/>
          <w14:ligatures w14:val="none"/>
        </w:rPr>
        <w:t>, which release insulin</w:t>
      </w:r>
    </w:p>
    <w:p w:rsidR="00B07F18" w:rsidRPr="00B07F18" w:rsidRDefault="00B07F18" w:rsidP="00B07F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24"/>
          <w:szCs w:val="24"/>
          <w:lang w:eastAsia="en-GB"/>
          <w14:ligatures w14:val="none"/>
        </w:rPr>
        <w:t>Alpha cells</w:t>
      </w:r>
      <w:r w:rsidRPr="00B07F18">
        <w:rPr>
          <w:rFonts w:ascii="Times New Roman" w:eastAsia="Times New Roman" w:hAnsi="Times New Roman" w:cs="Times New Roman"/>
          <w:kern w:val="0"/>
          <w:sz w:val="24"/>
          <w:szCs w:val="24"/>
          <w:lang w:eastAsia="en-GB"/>
          <w14:ligatures w14:val="none"/>
        </w:rPr>
        <w:t>, which release glucagon</w:t>
      </w:r>
    </w:p>
    <w:p w:rsidR="00B07F18" w:rsidRPr="00B07F18" w:rsidRDefault="00B07F18" w:rsidP="00B07F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24"/>
          <w:szCs w:val="24"/>
          <w:lang w:eastAsia="en-GB"/>
          <w14:ligatures w14:val="none"/>
        </w:rPr>
        <w:t>Delta cells</w:t>
      </w:r>
      <w:r w:rsidRPr="00B07F18">
        <w:rPr>
          <w:rFonts w:ascii="Times New Roman" w:eastAsia="Times New Roman" w:hAnsi="Times New Roman" w:cs="Times New Roman"/>
          <w:kern w:val="0"/>
          <w:sz w:val="24"/>
          <w:szCs w:val="24"/>
          <w:lang w:eastAsia="en-GB"/>
          <w14:ligatures w14:val="none"/>
        </w:rPr>
        <w:t>, which produce somatostatin</w:t>
      </w:r>
    </w:p>
    <w:p w:rsidR="00B07F18" w:rsidRPr="00B07F18" w:rsidRDefault="00B07F18" w:rsidP="00B07F1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24"/>
          <w:szCs w:val="24"/>
          <w:lang w:eastAsia="en-GB"/>
          <w14:ligatures w14:val="none"/>
        </w:rPr>
        <w:t>PP cells</w:t>
      </w:r>
      <w:r w:rsidRPr="00B07F18">
        <w:rPr>
          <w:rFonts w:ascii="Times New Roman" w:eastAsia="Times New Roman" w:hAnsi="Times New Roman" w:cs="Times New Roman"/>
          <w:kern w:val="0"/>
          <w:sz w:val="24"/>
          <w:szCs w:val="24"/>
          <w:lang w:eastAsia="en-GB"/>
          <w14:ligatures w14:val="none"/>
        </w:rPr>
        <w:t>, which produce pancreatic polypeptide</w:t>
      </w:r>
    </w:p>
    <w:p w:rsidR="001A78AD" w:rsidRDefault="00B07F18"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Insulin and glucagon are the main hormones responsible for maintaining stable blood glucose levels.</w:t>
      </w:r>
    </w:p>
    <w:p w:rsidR="00B07F18" w:rsidRPr="00B07F18" w:rsidRDefault="00B07F18"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0" w:name="_GoBack"/>
      <w:bookmarkEnd w:id="0"/>
      <w:r w:rsidRPr="00B07F18">
        <w:rPr>
          <w:rFonts w:ascii="Times New Roman" w:eastAsia="Times New Roman" w:hAnsi="Times New Roman" w:cs="Times New Roman"/>
          <w:b/>
          <w:bCs/>
          <w:kern w:val="0"/>
          <w:sz w:val="36"/>
          <w:szCs w:val="36"/>
          <w:lang w:eastAsia="en-GB"/>
          <w14:ligatures w14:val="none"/>
        </w:rPr>
        <w:t>Insulin and Glucagon Regulation</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After eating, carbohydrates are broken down into glucose, causing blood sugar levels to rise. Beta cells respond by releasing insulin, which enables glucose to enter muscle and fat cells and encourages the liver to store excess glucose as glycogen. When blood sugar falls, insulin levels drop.</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Glucagon works in the opposite way. During fasting or between meals, glucagon signals the liver to break down glycogen and release glucose, preventing blood sugar from dropping too low (American Diabetes Association, 2022).</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Cell Metabolism</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Glucose is the body’s main energy source. Once inside the cell, glucose is converted into ATP through glycolysis and the citric acid cycle. ATP fuels essential functions including movement, repair, and growth. When insulin cannot work properly, cells struggle to take in glucose, reducing ATP production and contributing to tiredness and metabolic imbalance.</w:t>
      </w:r>
    </w:p>
    <w:p w:rsidR="00B07F18" w:rsidRPr="00B07F18" w:rsidRDefault="00B07F18" w:rsidP="00B07F18">
      <w:pPr>
        <w:spacing w:before="100" w:beforeAutospacing="1" w:after="100" w:afterAutospacing="1" w:line="240" w:lineRule="auto"/>
        <w:outlineLvl w:val="0"/>
        <w:rPr>
          <w:rFonts w:ascii="Times New Roman" w:eastAsia="Times New Roman" w:hAnsi="Times New Roman" w:cs="Times New Roman"/>
          <w:b/>
          <w:bCs/>
          <w:kern w:val="36"/>
          <w:sz w:val="48"/>
          <w:szCs w:val="48"/>
          <w:u w:val="single"/>
          <w:lang w:eastAsia="en-GB"/>
          <w14:ligatures w14:val="none"/>
        </w:rPr>
      </w:pPr>
      <w:r w:rsidRPr="001A78AD">
        <w:rPr>
          <w:rFonts w:ascii="Times New Roman" w:eastAsia="Times New Roman" w:hAnsi="Times New Roman" w:cs="Times New Roman"/>
          <w:b/>
          <w:bCs/>
          <w:kern w:val="36"/>
          <w:sz w:val="48"/>
          <w:szCs w:val="48"/>
          <w:u w:val="single"/>
          <w:lang w:eastAsia="en-GB"/>
          <w14:ligatures w14:val="none"/>
        </w:rPr>
        <w:t>Pathophysiology of Type 2 Diabetes</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 xml:space="preserve"> Insulin Resistance</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The earliest stage of T2DM is insulin resistance. This occurs when muscle, liver, and fat cells stop responding effectively to insulin. Factors such as excess body fat, chronic inflammation, and reduced physical activity contribute to this resistance. When cells resist insulin, glucose remains in the bloodstream instead of being absorbed.</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Progressive Beta</w:t>
      </w:r>
      <w:r w:rsidRPr="00B07F18">
        <w:rPr>
          <w:rFonts w:ascii="Times New Roman" w:eastAsia="Times New Roman" w:hAnsi="Times New Roman" w:cs="Times New Roman"/>
          <w:b/>
          <w:bCs/>
          <w:kern w:val="0"/>
          <w:sz w:val="36"/>
          <w:szCs w:val="36"/>
          <w:lang w:eastAsia="en-GB"/>
          <w14:ligatures w14:val="none"/>
        </w:rPr>
        <w:noBreakHyphen/>
        <w:t>Cell Decline</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To compensate for insulin resistance, the pancreas initially produces more insulin. Over time, the beta cells become overworked and begin to fail. Their ability to produce insulin gradually decreases, leading to persistent high blood glucose (NICE, 2023).</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Impact on Cellular Energy</w:t>
      </w:r>
    </w:p>
    <w:p w:rsidR="001A78AD" w:rsidRDefault="00B07F18"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When insulin cannot transport glucose into cells, the body’s energy production becomes impaired. Cells receive less glucose, reducing ATP generation. Mitochondria may also become less efficient, further limiting energy availability. High blood glucose also increases oxidative stress and inflammation, contributing to complications such as neuropathy and cardiovascular disease (Irwin, 2015).</w:t>
      </w:r>
    </w:p>
    <w:p w:rsidR="00B07F18" w:rsidRPr="00B07F18" w:rsidRDefault="00B07F18"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36"/>
          <w:szCs w:val="36"/>
          <w:lang w:eastAsia="en-GB"/>
          <w14:ligatures w14:val="none"/>
        </w:rPr>
        <w:t>Long</w:t>
      </w:r>
      <w:r w:rsidRPr="00B07F18">
        <w:rPr>
          <w:rFonts w:ascii="Times New Roman" w:eastAsia="Times New Roman" w:hAnsi="Times New Roman" w:cs="Times New Roman"/>
          <w:b/>
          <w:bCs/>
          <w:kern w:val="0"/>
          <w:sz w:val="36"/>
          <w:szCs w:val="36"/>
          <w:lang w:eastAsia="en-GB"/>
          <w14:ligatures w14:val="none"/>
        </w:rPr>
        <w:noBreakHyphen/>
        <w:t>Term Complications</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Long</w:t>
      </w:r>
      <w:r w:rsidRPr="00B07F18">
        <w:rPr>
          <w:rFonts w:ascii="Times New Roman" w:eastAsia="Times New Roman" w:hAnsi="Times New Roman" w:cs="Times New Roman"/>
          <w:kern w:val="0"/>
          <w:sz w:val="24"/>
          <w:szCs w:val="24"/>
          <w:lang w:eastAsia="en-GB"/>
          <w14:ligatures w14:val="none"/>
        </w:rPr>
        <w:noBreakHyphen/>
        <w:t>term hyperglycaemia can lead to:</w:t>
      </w:r>
    </w:p>
    <w:p w:rsidR="00B07F18" w:rsidRPr="00B07F18" w:rsidRDefault="00B07F18" w:rsidP="00B07F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Cardiovascular disease</w:t>
      </w:r>
    </w:p>
    <w:p w:rsidR="00B07F18" w:rsidRPr="00B07F18" w:rsidRDefault="00B07F18" w:rsidP="00B07F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Kidney damage</w:t>
      </w:r>
    </w:p>
    <w:p w:rsidR="00B07F18" w:rsidRPr="00B07F18" w:rsidRDefault="00B07F18" w:rsidP="00B07F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Sight loss</w:t>
      </w:r>
    </w:p>
    <w:p w:rsidR="00B07F18" w:rsidRPr="00B07F18" w:rsidRDefault="00B07F18" w:rsidP="00B07F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Nerve damage</w:t>
      </w:r>
    </w:p>
    <w:p w:rsidR="00B07F18" w:rsidRPr="00B07F18" w:rsidRDefault="00B07F18" w:rsidP="00B07F1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Increased infection risk</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These complications highlight the importance of early diagnosis, regular monitoring, and lifestyle modification.</w:t>
      </w:r>
    </w:p>
    <w:p w:rsidR="001A78AD" w:rsidRDefault="00B07F18"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B07F18">
        <w:rPr>
          <w:rFonts w:ascii="Times New Roman" w:eastAsia="Times New Roman" w:hAnsi="Times New Roman" w:cs="Times New Roman"/>
          <w:b/>
          <w:bCs/>
          <w:kern w:val="36"/>
          <w:sz w:val="48"/>
          <w:szCs w:val="48"/>
          <w:lang w:eastAsia="en-GB"/>
          <w14:ligatures w14:val="none"/>
        </w:rPr>
        <w:t xml:space="preserve"> </w:t>
      </w:r>
    </w:p>
    <w:p w:rsidR="00B07F18" w:rsidRPr="00B07F18" w:rsidRDefault="00B07F18" w:rsidP="00B07F18">
      <w:pPr>
        <w:spacing w:before="100" w:beforeAutospacing="1" w:after="100" w:afterAutospacing="1" w:line="240" w:lineRule="auto"/>
        <w:outlineLvl w:val="0"/>
        <w:rPr>
          <w:rFonts w:ascii="Times New Roman" w:eastAsia="Times New Roman" w:hAnsi="Times New Roman" w:cs="Times New Roman"/>
          <w:b/>
          <w:bCs/>
          <w:kern w:val="36"/>
          <w:sz w:val="48"/>
          <w:szCs w:val="48"/>
          <w:u w:val="single"/>
          <w:lang w:eastAsia="en-GB"/>
          <w14:ligatures w14:val="none"/>
        </w:rPr>
      </w:pPr>
      <w:r w:rsidRPr="001A78AD">
        <w:rPr>
          <w:rFonts w:ascii="Times New Roman" w:eastAsia="Times New Roman" w:hAnsi="Times New Roman" w:cs="Times New Roman"/>
          <w:b/>
          <w:bCs/>
          <w:kern w:val="36"/>
          <w:sz w:val="48"/>
          <w:szCs w:val="48"/>
          <w:u w:val="single"/>
          <w:lang w:eastAsia="en-GB"/>
          <w14:ligatures w14:val="none"/>
        </w:rPr>
        <w:t>Monitoring and Data Tracking</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Finger</w:t>
      </w:r>
      <w:r w:rsidRPr="00B07F18">
        <w:rPr>
          <w:rFonts w:ascii="Times New Roman" w:eastAsia="Times New Roman" w:hAnsi="Times New Roman" w:cs="Times New Roman"/>
          <w:b/>
          <w:bCs/>
          <w:kern w:val="0"/>
          <w:sz w:val="36"/>
          <w:szCs w:val="36"/>
          <w:lang w:eastAsia="en-GB"/>
          <w14:ligatures w14:val="none"/>
        </w:rPr>
        <w:noBreakHyphen/>
        <w:t>Prick Testing</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Finger</w:t>
      </w:r>
      <w:r w:rsidRPr="00B07F18">
        <w:rPr>
          <w:rFonts w:ascii="Times New Roman" w:eastAsia="Times New Roman" w:hAnsi="Times New Roman" w:cs="Times New Roman"/>
          <w:kern w:val="0"/>
          <w:sz w:val="24"/>
          <w:szCs w:val="24"/>
          <w:lang w:eastAsia="en-GB"/>
          <w14:ligatures w14:val="none"/>
        </w:rPr>
        <w:noBreakHyphen/>
        <w:t>prick blood glucose testing provides immediate readings and helps individuals understand how food, activity, and medication affect their glucose levels.</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 xml:space="preserve"> Continuous Glucose Monitoring (CGM)</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CGM systems, such as Freestyle Libre and Dexcom, use a small sensor placed under the skin to measure glucose every few minutes. CGM provides trends, alerts, and detailed data that support better decision</w:t>
      </w:r>
      <w:r w:rsidRPr="00B07F18">
        <w:rPr>
          <w:rFonts w:ascii="Times New Roman" w:eastAsia="Times New Roman" w:hAnsi="Times New Roman" w:cs="Times New Roman"/>
          <w:kern w:val="0"/>
          <w:sz w:val="24"/>
          <w:szCs w:val="24"/>
          <w:lang w:eastAsia="en-GB"/>
          <w14:ligatures w14:val="none"/>
        </w:rPr>
        <w:noBreakHyphen/>
        <w:t>making. NICE (2023) recommends CGM for many adults with diabetes.</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 xml:space="preserve"> HbA1c Testing</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HbA1c reflects average glucose levels over the previous two to three months. It is used for diagnosis and long</w:t>
      </w:r>
      <w:r w:rsidRPr="00B07F18">
        <w:rPr>
          <w:rFonts w:ascii="Times New Roman" w:eastAsia="Times New Roman" w:hAnsi="Times New Roman" w:cs="Times New Roman"/>
          <w:kern w:val="0"/>
          <w:sz w:val="24"/>
          <w:szCs w:val="24"/>
          <w:lang w:eastAsia="en-GB"/>
          <w14:ligatures w14:val="none"/>
        </w:rPr>
        <w:noBreakHyphen/>
        <w:t>term monitoring. Most adults with T2DM aim for an HbA1c target between 48 and 53 mmol/mol.</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Digital Tools</w:t>
      </w:r>
    </w:p>
    <w:p w:rsidR="001A78AD" w:rsidRDefault="00B07F18"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Apps such as MySugr, LibreLink, and NHS</w:t>
      </w:r>
      <w:r w:rsidRPr="00B07F18">
        <w:rPr>
          <w:rFonts w:ascii="Times New Roman" w:eastAsia="Times New Roman" w:hAnsi="Times New Roman" w:cs="Times New Roman"/>
          <w:kern w:val="0"/>
          <w:sz w:val="24"/>
          <w:szCs w:val="24"/>
          <w:lang w:eastAsia="en-GB"/>
          <w14:ligatures w14:val="none"/>
        </w:rPr>
        <w:noBreakHyphen/>
        <w:t>approved platforms allow individuals to track glucose readings, food intake, physical activity, and medication. These tools help identify patterns and improve communication with healthcare professionals (Public Health England, 2021).</w:t>
      </w:r>
    </w:p>
    <w:p w:rsidR="00B07F18" w:rsidRPr="00B07F18" w:rsidRDefault="00B07F18" w:rsidP="001A78A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36"/>
          <w:szCs w:val="36"/>
          <w:lang w:eastAsia="en-GB"/>
          <w14:ligatures w14:val="none"/>
        </w:rPr>
        <w:t>Additional Monitoring</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Other important checks include:</w:t>
      </w:r>
    </w:p>
    <w:p w:rsidR="00B07F18" w:rsidRPr="00B07F18" w:rsidRDefault="00B07F18" w:rsidP="00B07F18">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Blood pressure</w:t>
      </w:r>
    </w:p>
    <w:p w:rsidR="00B07F18" w:rsidRPr="00B07F18" w:rsidRDefault="00B07F18" w:rsidP="00B07F18">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Cholesterol and lipid profile</w:t>
      </w:r>
    </w:p>
    <w:p w:rsidR="00B07F18" w:rsidRPr="00B07F18" w:rsidRDefault="00B07F18" w:rsidP="00B07F18">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Kidney function tests</w:t>
      </w:r>
    </w:p>
    <w:p w:rsidR="00B07F18" w:rsidRPr="00B07F18" w:rsidRDefault="00B07F18" w:rsidP="00B07F18">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Weight and waist circumference</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Regular monitoring supports early intervention and prevents complications.</w:t>
      </w:r>
    </w:p>
    <w:p w:rsidR="00B07F18" w:rsidRPr="00B07F18" w:rsidRDefault="00B07F18" w:rsidP="00B07F18">
      <w:pPr>
        <w:spacing w:before="100" w:beforeAutospacing="1" w:after="100" w:afterAutospacing="1" w:line="240" w:lineRule="auto"/>
        <w:outlineLvl w:val="0"/>
        <w:rPr>
          <w:rFonts w:ascii="Times New Roman" w:eastAsia="Times New Roman" w:hAnsi="Times New Roman" w:cs="Times New Roman"/>
          <w:b/>
          <w:bCs/>
          <w:kern w:val="36"/>
          <w:sz w:val="48"/>
          <w:szCs w:val="48"/>
          <w:u w:val="single"/>
          <w:lang w:eastAsia="en-GB"/>
          <w14:ligatures w14:val="none"/>
        </w:rPr>
      </w:pPr>
      <w:r w:rsidRPr="001A78AD">
        <w:rPr>
          <w:rFonts w:ascii="Times New Roman" w:eastAsia="Times New Roman" w:hAnsi="Times New Roman" w:cs="Times New Roman"/>
          <w:b/>
          <w:bCs/>
          <w:kern w:val="36"/>
          <w:sz w:val="48"/>
          <w:szCs w:val="48"/>
          <w:u w:val="single"/>
          <w:lang w:eastAsia="en-GB"/>
          <w14:ligatures w14:val="none"/>
        </w:rPr>
        <w:t>Evidence</w:t>
      </w:r>
      <w:r w:rsidRPr="001A78AD">
        <w:rPr>
          <w:rFonts w:ascii="Times New Roman" w:eastAsia="Times New Roman" w:hAnsi="Times New Roman" w:cs="Times New Roman"/>
          <w:b/>
          <w:bCs/>
          <w:kern w:val="36"/>
          <w:sz w:val="48"/>
          <w:szCs w:val="48"/>
          <w:u w:val="single"/>
          <w:lang w:eastAsia="en-GB"/>
          <w14:ligatures w14:val="none"/>
        </w:rPr>
        <w:noBreakHyphen/>
        <w:t>Based Lifestyle Recommendations</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 xml:space="preserve"> Diet</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A balanced diet is essential for managing blood glucose. Recommendations include:</w:t>
      </w:r>
    </w:p>
    <w:p w:rsidR="00B07F18" w:rsidRPr="00B07F18" w:rsidRDefault="00B07F18" w:rsidP="00B07F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Eating vegetables, fruits, whole grains, and lean protein</w:t>
      </w:r>
    </w:p>
    <w:p w:rsidR="00B07F18" w:rsidRPr="00B07F18" w:rsidRDefault="00B07F18" w:rsidP="00B07F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Choosing high</w:t>
      </w:r>
      <w:r w:rsidRPr="00B07F18">
        <w:rPr>
          <w:rFonts w:ascii="Times New Roman" w:eastAsia="Times New Roman" w:hAnsi="Times New Roman" w:cs="Times New Roman"/>
          <w:kern w:val="0"/>
          <w:sz w:val="24"/>
          <w:szCs w:val="24"/>
          <w:lang w:eastAsia="en-GB"/>
          <w14:ligatures w14:val="none"/>
        </w:rPr>
        <w:noBreakHyphen/>
        <w:t>fibre foods</w:t>
      </w:r>
    </w:p>
    <w:p w:rsidR="00B07F18" w:rsidRPr="00B07F18" w:rsidRDefault="00B07F18" w:rsidP="00B07F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Reducing sugary drinks and processed foods</w:t>
      </w:r>
    </w:p>
    <w:p w:rsidR="00B07F18" w:rsidRPr="00B07F18" w:rsidRDefault="00B07F18" w:rsidP="00B07F18">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Eating regular meals</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(NICE, 2023; Diabetes UK, 2023)</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Physical Activity</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Physical activity increases insulin sensitivity and helps glucose enter muscle cells. Guidelines recommend:</w:t>
      </w:r>
    </w:p>
    <w:p w:rsidR="00B07F18" w:rsidRPr="00B07F18" w:rsidRDefault="00B07F18" w:rsidP="00B07F18">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At least 150 minutes of moderate activity per week</w:t>
      </w:r>
    </w:p>
    <w:p w:rsidR="00B07F18" w:rsidRPr="00B07F18" w:rsidRDefault="00B07F18" w:rsidP="00B07F18">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Strength training twice weekly</w:t>
      </w:r>
    </w:p>
    <w:p w:rsidR="00B07F18" w:rsidRPr="00B07F18" w:rsidRDefault="00B07F18" w:rsidP="00B07F18">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Reducing long periods of sitting</w:t>
      </w:r>
    </w:p>
    <w:p w:rsidR="000B5711" w:rsidRDefault="00B07F18" w:rsidP="000B57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(Public Health England, 2021)</w:t>
      </w:r>
    </w:p>
    <w:p w:rsidR="00B07F18" w:rsidRPr="00B07F18" w:rsidRDefault="00B07F18" w:rsidP="000B571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b/>
          <w:bCs/>
          <w:kern w:val="0"/>
          <w:sz w:val="36"/>
          <w:szCs w:val="36"/>
          <w:lang w:eastAsia="en-GB"/>
          <w14:ligatures w14:val="none"/>
        </w:rPr>
        <w:t>Weight Management</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Losing 5–10% of body weight can significantly improve insulin sensitivity and reduce the risk of complications (NICE, 2023).</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Sleep</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Poor sleep increases insulin resistance. Improving sleep duration enhances fasting insulin sensitivity (Leproult et al., 2015).</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 xml:space="preserve"> Stress</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Chronic stress raises cortisol, which increases blood glucose. Mindfulness and relaxation strategies can help reduce stress (Irwin, 2015).</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Hydration</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Adequate hydration supports kidney function and helps regulate blood glucose.</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Alcohol and Smoking</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Excess alcohol destabilises blood glucose, while smoking increases insulin resistance and cardiovascular risk (Cappuccio et al., 2011).</w:t>
      </w:r>
    </w:p>
    <w:p w:rsidR="00B07F18" w:rsidRPr="00B07F18" w:rsidRDefault="00B07F18" w:rsidP="00B07F1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07F18">
        <w:rPr>
          <w:rFonts w:ascii="Times New Roman" w:eastAsia="Times New Roman" w:hAnsi="Times New Roman" w:cs="Times New Roman"/>
          <w:b/>
          <w:bCs/>
          <w:kern w:val="0"/>
          <w:sz w:val="36"/>
          <w:szCs w:val="36"/>
          <w:lang w:eastAsia="en-GB"/>
          <w14:ligatures w14:val="none"/>
        </w:rPr>
        <w:t>Support Systems</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Structured education programmes and support groups improve motivation and adherence (Public Health England, 2021).</w:t>
      </w:r>
    </w:p>
    <w:p w:rsidR="00B07F18" w:rsidRPr="00B07F18" w:rsidRDefault="00B07F18" w:rsidP="00B07F18">
      <w:pPr>
        <w:spacing w:before="100" w:beforeAutospacing="1" w:after="100" w:afterAutospacing="1" w:line="240" w:lineRule="auto"/>
        <w:outlineLvl w:val="0"/>
        <w:rPr>
          <w:rFonts w:ascii="Times New Roman" w:eastAsia="Times New Roman" w:hAnsi="Times New Roman" w:cs="Times New Roman"/>
          <w:b/>
          <w:bCs/>
          <w:kern w:val="36"/>
          <w:sz w:val="48"/>
          <w:szCs w:val="48"/>
          <w:u w:val="single"/>
          <w:lang w:eastAsia="en-GB"/>
          <w14:ligatures w14:val="none"/>
        </w:rPr>
      </w:pPr>
      <w:r w:rsidRPr="001A78AD">
        <w:rPr>
          <w:rFonts w:ascii="Times New Roman" w:eastAsia="Times New Roman" w:hAnsi="Times New Roman" w:cs="Times New Roman"/>
          <w:b/>
          <w:bCs/>
          <w:kern w:val="36"/>
          <w:sz w:val="48"/>
          <w:szCs w:val="48"/>
          <w:u w:val="single"/>
          <w:lang w:eastAsia="en-GB"/>
          <w14:ligatures w14:val="none"/>
        </w:rPr>
        <w:t>Conclusion</w:t>
      </w:r>
    </w:p>
    <w:p w:rsidR="00B07F18" w:rsidRPr="00B07F18" w:rsidRDefault="00B07F18" w:rsidP="00B07F1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07F18">
        <w:rPr>
          <w:rFonts w:ascii="Times New Roman" w:eastAsia="Times New Roman" w:hAnsi="Times New Roman" w:cs="Times New Roman"/>
          <w:kern w:val="0"/>
          <w:sz w:val="24"/>
          <w:szCs w:val="24"/>
          <w:lang w:eastAsia="en-GB"/>
          <w14:ligatures w14:val="none"/>
        </w:rPr>
        <w:t>Type 2 diabetes is a complex condition that requires a thorough understanding of glucose regulation, insulin resistance, and long</w:t>
      </w:r>
      <w:r w:rsidRPr="00B07F18">
        <w:rPr>
          <w:rFonts w:ascii="Times New Roman" w:eastAsia="Times New Roman" w:hAnsi="Times New Roman" w:cs="Times New Roman"/>
          <w:kern w:val="0"/>
          <w:sz w:val="24"/>
          <w:szCs w:val="24"/>
          <w:lang w:eastAsia="en-GB"/>
          <w14:ligatures w14:val="none"/>
        </w:rPr>
        <w:noBreakHyphen/>
        <w:t>term complications. Effective management relies on regular monitoring, including CGM, HbA1c testing, and digital tools, which help individuals track their progress. Evidence</w:t>
      </w:r>
      <w:r w:rsidRPr="00B07F18">
        <w:rPr>
          <w:rFonts w:ascii="Times New Roman" w:eastAsia="Times New Roman" w:hAnsi="Times New Roman" w:cs="Times New Roman"/>
          <w:kern w:val="0"/>
          <w:sz w:val="24"/>
          <w:szCs w:val="24"/>
          <w:lang w:eastAsia="en-GB"/>
          <w14:ligatures w14:val="none"/>
        </w:rPr>
        <w:noBreakHyphen/>
        <w:t>based lifestyle changes—such as healthy eating, physical activity, weight management, good sleep, stress reduction, and smoking cessation—play a vital role in improving glucose control and preventing complications. Healthcare professionals support individuals by providing education, guidance, and personalised care. When monitoring and lifestyle changes are sustained, they significantly reduce the burden of T2DM and improve long</w:t>
      </w:r>
      <w:r w:rsidRPr="00B07F18">
        <w:rPr>
          <w:rFonts w:ascii="Times New Roman" w:eastAsia="Times New Roman" w:hAnsi="Times New Roman" w:cs="Times New Roman"/>
          <w:kern w:val="0"/>
          <w:sz w:val="24"/>
          <w:szCs w:val="24"/>
          <w:lang w:eastAsia="en-GB"/>
          <w14:ligatures w14:val="none"/>
        </w:rPr>
        <w:noBreakHyphen/>
        <w:t>term health and quality of life.</w:t>
      </w: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1A78AD" w:rsidRDefault="001A78AD"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B07F18" w:rsidRDefault="00B07F18" w:rsidP="00B07F1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B07F18">
        <w:rPr>
          <w:rFonts w:ascii="Times New Roman" w:eastAsia="Times New Roman" w:hAnsi="Times New Roman" w:cs="Times New Roman"/>
          <w:b/>
          <w:bCs/>
          <w:kern w:val="36"/>
          <w:sz w:val="48"/>
          <w:szCs w:val="48"/>
          <w:lang w:eastAsia="en-GB"/>
          <w14:ligatures w14:val="none"/>
        </w:rPr>
        <w:t>Reference List</w:t>
      </w:r>
    </w:p>
    <w:p w:rsidR="00ED380F" w:rsidRDefault="00ED380F" w:rsidP="00ED380F">
      <w:pPr>
        <w:pStyle w:val="NormalWeb"/>
      </w:pPr>
      <w:proofErr w:type="gramStart"/>
      <w:r>
        <w:t xml:space="preserve">American Diabetes Association (2022) </w:t>
      </w:r>
      <w:r>
        <w:rPr>
          <w:rStyle w:val="Emphasis"/>
        </w:rPr>
        <w:t>Standards of Medical Care in Diabetes 2022</w:t>
      </w:r>
      <w:r>
        <w:t>.</w:t>
      </w:r>
      <w:proofErr w:type="gramEnd"/>
      <w:r>
        <w:t xml:space="preserve"> Available at: </w:t>
      </w:r>
      <w:hyperlink r:id="rId6" w:tgtFrame="_blank" w:tooltip="www.diabetes.org.uk" w:history="1">
        <w:r>
          <w:rPr>
            <w:rStyle w:val="Hyperlink"/>
          </w:rPr>
          <w:t>https://www.diabetes.org.uk/</w:t>
        </w:r>
      </w:hyperlink>
      <w:r>
        <w:t xml:space="preserve"> (Accessed: 9 November 2025).</w:t>
      </w:r>
    </w:p>
    <w:p w:rsidR="00ED380F" w:rsidRDefault="00ED380F" w:rsidP="00ED380F">
      <w:pPr>
        <w:pStyle w:val="NormalWeb"/>
      </w:pPr>
      <w:r>
        <w:t>Ackermann, S. &amp; Rasch, B. (2014) ‘Sleep</w:t>
      </w:r>
      <w:r>
        <w:noBreakHyphen/>
        <w:t>to</w:t>
      </w:r>
      <w:r>
        <w:noBreakHyphen/>
        <w:t xml:space="preserve">remember: the role of sleep in memory consolidation’, </w:t>
      </w:r>
      <w:r>
        <w:rPr>
          <w:rStyle w:val="Emphasis"/>
        </w:rPr>
        <w:t>Journal of Neuroscience</w:t>
      </w:r>
      <w:r>
        <w:t>, 34(42), pp. 13977–13984.</w:t>
      </w:r>
    </w:p>
    <w:p w:rsidR="00ED380F" w:rsidRDefault="00ED380F" w:rsidP="00ED380F">
      <w:pPr>
        <w:pStyle w:val="NormalWeb"/>
      </w:pPr>
      <w:r>
        <w:t xml:space="preserve">Besedovsky, L., Lange, T. &amp; Born, J. (2012) ‘Sleep and immune function’, </w:t>
      </w:r>
      <w:r>
        <w:rPr>
          <w:rStyle w:val="Emphasis"/>
        </w:rPr>
        <w:t>Pflugers Archiv</w:t>
      </w:r>
      <w:r>
        <w:rPr>
          <w:rStyle w:val="Emphasis"/>
        </w:rPr>
        <w:noBreakHyphen/>
        <w:t>European Journal of Physiology</w:t>
      </w:r>
      <w:r>
        <w:t>, 463(1), pp. 121–137.</w:t>
      </w:r>
    </w:p>
    <w:p w:rsidR="00ED380F" w:rsidRDefault="00ED380F" w:rsidP="00ED380F">
      <w:pPr>
        <w:pStyle w:val="NormalWeb"/>
      </w:pPr>
      <w:r>
        <w:t xml:space="preserve">Cappuccio, F.P. et al. (2011) ‘Sleep duration predicts cardiovascular outcomes’, </w:t>
      </w:r>
      <w:r>
        <w:rPr>
          <w:rStyle w:val="Emphasis"/>
        </w:rPr>
        <w:t>European Heart Journal</w:t>
      </w:r>
      <w:r>
        <w:t>, 32(12), pp. 1484–1492.</w:t>
      </w:r>
    </w:p>
    <w:p w:rsidR="00ED380F" w:rsidRDefault="00ED380F" w:rsidP="00ED380F">
      <w:pPr>
        <w:pStyle w:val="NormalWeb"/>
      </w:pPr>
      <w:r>
        <w:t xml:space="preserve">Diabetes UK (2023) </w:t>
      </w:r>
      <w:r>
        <w:rPr>
          <w:rStyle w:val="Emphasis"/>
        </w:rPr>
        <w:t>Type 2 diabetes facts and statistics</w:t>
      </w:r>
      <w:r>
        <w:t xml:space="preserve">. Available at: </w:t>
      </w:r>
      <w:hyperlink r:id="rId7" w:tgtFrame="_blank" w:tooltip="www.diabetes.org.uk" w:history="1">
        <w:r>
          <w:rPr>
            <w:rStyle w:val="Hyperlink"/>
          </w:rPr>
          <w:t>https://www.diabetes.org.uk/</w:t>
        </w:r>
      </w:hyperlink>
      <w:r>
        <w:t xml:space="preserve"> (Accessed: 9 November 2025).</w:t>
      </w:r>
    </w:p>
    <w:p w:rsidR="00ED380F" w:rsidRDefault="00ED380F" w:rsidP="00ED380F">
      <w:pPr>
        <w:pStyle w:val="NormalWeb"/>
      </w:pPr>
      <w:r>
        <w:t xml:space="preserve">Irwin, M.R. (2015) ‘Sleep disturbance, sleep duration, and inflammation’, </w:t>
      </w:r>
      <w:r>
        <w:rPr>
          <w:rStyle w:val="Emphasis"/>
        </w:rPr>
        <w:t>Biological Psychiatry</w:t>
      </w:r>
      <w:r>
        <w:t>, 79(6), pp. 531–541.</w:t>
      </w:r>
    </w:p>
    <w:p w:rsidR="00ED380F" w:rsidRDefault="00ED380F" w:rsidP="00ED380F">
      <w:pPr>
        <w:pStyle w:val="NormalWeb"/>
      </w:pPr>
      <w:proofErr w:type="gramStart"/>
      <w:r>
        <w:t xml:space="preserve">Leproult, R. et al. (2015) ‘Beneficial impact of sleep extension on fasting insulin sensitivity’, </w:t>
      </w:r>
      <w:r>
        <w:rPr>
          <w:rStyle w:val="Emphasis"/>
        </w:rPr>
        <w:t>Sleep</w:t>
      </w:r>
      <w:r>
        <w:t>, 38(5), pp. 707–715.</w:t>
      </w:r>
      <w:proofErr w:type="gramEnd"/>
    </w:p>
    <w:p w:rsidR="00ED380F" w:rsidRDefault="00ED380F" w:rsidP="00ED380F">
      <w:pPr>
        <w:pStyle w:val="NormalWeb"/>
      </w:pPr>
      <w:r>
        <w:t xml:space="preserve">NICE (2023) </w:t>
      </w:r>
      <w:r>
        <w:rPr>
          <w:rStyle w:val="Emphasis"/>
        </w:rPr>
        <w:t xml:space="preserve">Type </w:t>
      </w:r>
      <w:proofErr w:type="gramStart"/>
      <w:r>
        <w:rPr>
          <w:rStyle w:val="Emphasis"/>
        </w:rPr>
        <w:t>2 Diabetes in Adults</w:t>
      </w:r>
      <w:proofErr w:type="gramEnd"/>
      <w:r>
        <w:rPr>
          <w:rStyle w:val="Emphasis"/>
        </w:rPr>
        <w:t>: Management (NG28)</w:t>
      </w:r>
      <w:r>
        <w:t xml:space="preserve">. Available at: </w:t>
      </w:r>
      <w:hyperlink r:id="rId8" w:tgtFrame="_blank" w:tooltip="www.nice.org.uk" w:history="1">
        <w:r>
          <w:rPr>
            <w:rStyle w:val="Hyperlink"/>
          </w:rPr>
          <w:t>https://www.nice.org.uk/</w:t>
        </w:r>
      </w:hyperlink>
      <w:r>
        <w:t xml:space="preserve"> (Accessed: 9 November 2025).</w:t>
      </w:r>
    </w:p>
    <w:p w:rsidR="00ED380F" w:rsidRDefault="00ED380F" w:rsidP="00ED380F">
      <w:pPr>
        <w:pStyle w:val="NormalWeb"/>
      </w:pPr>
      <w:r>
        <w:t xml:space="preserve">NHS (2024) </w:t>
      </w:r>
      <w:r>
        <w:rPr>
          <w:rStyle w:val="Emphasis"/>
        </w:rPr>
        <w:t xml:space="preserve">Type </w:t>
      </w:r>
      <w:proofErr w:type="gramStart"/>
      <w:r>
        <w:rPr>
          <w:rStyle w:val="Emphasis"/>
        </w:rPr>
        <w:t>2 diabetes</w:t>
      </w:r>
      <w:proofErr w:type="gramEnd"/>
      <w:r>
        <w:rPr>
          <w:rStyle w:val="Emphasis"/>
        </w:rPr>
        <w:t>: overview</w:t>
      </w:r>
      <w:r>
        <w:t xml:space="preserve">. Available at: </w:t>
      </w:r>
      <w:hyperlink r:id="rId9" w:tgtFrame="_blank" w:tooltip="www.nhs.uk" w:history="1">
        <w:r>
          <w:rPr>
            <w:rStyle w:val="Hyperlink"/>
          </w:rPr>
          <w:t>https://www.nhs.uk/</w:t>
        </w:r>
      </w:hyperlink>
      <w:r>
        <w:t xml:space="preserve"> (Accessed: 9 November 2025).</w:t>
      </w:r>
    </w:p>
    <w:p w:rsidR="00ED380F" w:rsidRDefault="00ED380F" w:rsidP="00ED380F">
      <w:pPr>
        <w:pStyle w:val="NormalWeb"/>
      </w:pPr>
      <w:proofErr w:type="gramStart"/>
      <w:r>
        <w:t xml:space="preserve">Public Health England (2021) </w:t>
      </w:r>
      <w:r>
        <w:rPr>
          <w:rStyle w:val="Emphasis"/>
        </w:rPr>
        <w:t>Diabetes Prevention Programme evaluation report</w:t>
      </w:r>
      <w:r>
        <w:t>.</w:t>
      </w:r>
      <w:proofErr w:type="gramEnd"/>
      <w:r>
        <w:t xml:space="preserve"> Available at: </w:t>
      </w:r>
      <w:hyperlink r:id="rId10" w:tgtFrame="_blank" w:tooltip="www.gov.uk" w:history="1">
        <w:r>
          <w:rPr>
            <w:rStyle w:val="Hyperlink"/>
          </w:rPr>
          <w:t>https://www.gov.uk/</w:t>
        </w:r>
      </w:hyperlink>
      <w:r>
        <w:t xml:space="preserve"> (Accessed: 9 November 2025).</w:t>
      </w:r>
    </w:p>
    <w:p w:rsidR="00B90A9A" w:rsidRPr="001A78AD" w:rsidRDefault="00B90A9A" w:rsidP="001A78AD">
      <w:pPr>
        <w:tabs>
          <w:tab w:val="left" w:pos="1850"/>
        </w:tabs>
        <w:rPr>
          <w:sz w:val="40"/>
        </w:rPr>
      </w:pPr>
    </w:p>
    <w:sectPr w:rsidR="00B90A9A" w:rsidRPr="001A7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641EB7"/>
    <w:multiLevelType w:val="multilevel"/>
    <w:tmpl w:val="0BEC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9B74A4"/>
    <w:multiLevelType w:val="multilevel"/>
    <w:tmpl w:val="33465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C3D30FF"/>
    <w:multiLevelType w:val="multilevel"/>
    <w:tmpl w:val="EBB0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7B54FB1"/>
    <w:multiLevelType w:val="multilevel"/>
    <w:tmpl w:val="63E82A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70DE5503"/>
    <w:multiLevelType w:val="multilevel"/>
    <w:tmpl w:val="194CD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46B0975"/>
    <w:multiLevelType w:val="multilevel"/>
    <w:tmpl w:val="18A6D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4FC4"/>
    <w:rsid w:val="000B5711"/>
    <w:rsid w:val="000C6425"/>
    <w:rsid w:val="001676E2"/>
    <w:rsid w:val="001A78AD"/>
    <w:rsid w:val="00504FC4"/>
    <w:rsid w:val="00AD714A"/>
    <w:rsid w:val="00B07F18"/>
    <w:rsid w:val="00B90A9A"/>
    <w:rsid w:val="00C62674"/>
    <w:rsid w:val="00E86FF1"/>
    <w:rsid w:val="00ED3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04FC4"/>
    <w:rPr>
      <w:b/>
      <w:bCs/>
    </w:rPr>
  </w:style>
  <w:style w:type="paragraph" w:customStyle="1" w:styleId="Default">
    <w:name w:val="Default"/>
    <w:rsid w:val="00504FC4"/>
    <w:pPr>
      <w:autoSpaceDE w:val="0"/>
      <w:autoSpaceDN w:val="0"/>
      <w:adjustRightInd w:val="0"/>
      <w:spacing w:after="0" w:line="240" w:lineRule="auto"/>
    </w:pPr>
    <w:rPr>
      <w:rFonts w:ascii="Open Sans" w:hAnsi="Open Sans" w:cs="Open Sans"/>
      <w:color w:val="000000"/>
      <w:kern w:val="0"/>
      <w:sz w:val="24"/>
      <w:szCs w:val="24"/>
    </w:rPr>
  </w:style>
  <w:style w:type="paragraph" w:styleId="ListParagraph">
    <w:name w:val="List Paragraph"/>
    <w:basedOn w:val="Normal"/>
    <w:uiPriority w:val="34"/>
    <w:qFormat/>
    <w:rsid w:val="00504FC4"/>
    <w:pPr>
      <w:ind w:left="720"/>
      <w:contextualSpacing/>
    </w:pPr>
  </w:style>
  <w:style w:type="paragraph" w:styleId="NormalWeb">
    <w:name w:val="Normal (Web)"/>
    <w:basedOn w:val="Normal"/>
    <w:uiPriority w:val="99"/>
    <w:semiHidden/>
    <w:unhideWhenUsed/>
    <w:rsid w:val="00ED38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D380F"/>
    <w:rPr>
      <w:i/>
      <w:iCs/>
    </w:rPr>
  </w:style>
  <w:style w:type="character" w:styleId="Hyperlink">
    <w:name w:val="Hyperlink"/>
    <w:basedOn w:val="DefaultParagraphFont"/>
    <w:uiPriority w:val="99"/>
    <w:semiHidden/>
    <w:unhideWhenUsed/>
    <w:rsid w:val="00ED380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04FC4"/>
    <w:rPr>
      <w:b/>
      <w:bCs/>
    </w:rPr>
  </w:style>
  <w:style w:type="paragraph" w:customStyle="1" w:styleId="Default">
    <w:name w:val="Default"/>
    <w:rsid w:val="00504FC4"/>
    <w:pPr>
      <w:autoSpaceDE w:val="0"/>
      <w:autoSpaceDN w:val="0"/>
      <w:adjustRightInd w:val="0"/>
      <w:spacing w:after="0" w:line="240" w:lineRule="auto"/>
    </w:pPr>
    <w:rPr>
      <w:rFonts w:ascii="Open Sans" w:hAnsi="Open Sans" w:cs="Open Sans"/>
      <w:color w:val="000000"/>
      <w:kern w:val="0"/>
      <w:sz w:val="24"/>
      <w:szCs w:val="24"/>
    </w:rPr>
  </w:style>
  <w:style w:type="paragraph" w:styleId="ListParagraph">
    <w:name w:val="List Paragraph"/>
    <w:basedOn w:val="Normal"/>
    <w:uiPriority w:val="34"/>
    <w:qFormat/>
    <w:rsid w:val="00504FC4"/>
    <w:pPr>
      <w:ind w:left="720"/>
      <w:contextualSpacing/>
    </w:pPr>
  </w:style>
  <w:style w:type="paragraph" w:styleId="NormalWeb">
    <w:name w:val="Normal (Web)"/>
    <w:basedOn w:val="Normal"/>
    <w:uiPriority w:val="99"/>
    <w:semiHidden/>
    <w:unhideWhenUsed/>
    <w:rsid w:val="00ED38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D380F"/>
    <w:rPr>
      <w:i/>
      <w:iCs/>
    </w:rPr>
  </w:style>
  <w:style w:type="character" w:styleId="Hyperlink">
    <w:name w:val="Hyperlink"/>
    <w:basedOn w:val="DefaultParagraphFont"/>
    <w:uiPriority w:val="99"/>
    <w:semiHidden/>
    <w:unhideWhenUsed/>
    <w:rsid w:val="00ED38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790170">
      <w:bodyDiv w:val="1"/>
      <w:marLeft w:val="0"/>
      <w:marRight w:val="0"/>
      <w:marTop w:val="0"/>
      <w:marBottom w:val="0"/>
      <w:divBdr>
        <w:top w:val="none" w:sz="0" w:space="0" w:color="auto"/>
        <w:left w:val="none" w:sz="0" w:space="0" w:color="auto"/>
        <w:bottom w:val="none" w:sz="0" w:space="0" w:color="auto"/>
        <w:right w:val="none" w:sz="0" w:space="0" w:color="auto"/>
      </w:divBdr>
    </w:div>
    <w:div w:id="380710883">
      <w:bodyDiv w:val="1"/>
      <w:marLeft w:val="0"/>
      <w:marRight w:val="0"/>
      <w:marTop w:val="0"/>
      <w:marBottom w:val="0"/>
      <w:divBdr>
        <w:top w:val="none" w:sz="0" w:space="0" w:color="auto"/>
        <w:left w:val="none" w:sz="0" w:space="0" w:color="auto"/>
        <w:bottom w:val="none" w:sz="0" w:space="0" w:color="auto"/>
        <w:right w:val="none" w:sz="0" w:space="0" w:color="auto"/>
      </w:divBdr>
    </w:div>
    <w:div w:id="1421682282">
      <w:bodyDiv w:val="1"/>
      <w:marLeft w:val="0"/>
      <w:marRight w:val="0"/>
      <w:marTop w:val="0"/>
      <w:marBottom w:val="0"/>
      <w:divBdr>
        <w:top w:val="none" w:sz="0" w:space="0" w:color="auto"/>
        <w:left w:val="none" w:sz="0" w:space="0" w:color="auto"/>
        <w:bottom w:val="none" w:sz="0" w:space="0" w:color="auto"/>
        <w:right w:val="none" w:sz="0" w:space="0" w:color="auto"/>
      </w:divBdr>
    </w:div>
    <w:div w:id="1656687892">
      <w:bodyDiv w:val="1"/>
      <w:marLeft w:val="0"/>
      <w:marRight w:val="0"/>
      <w:marTop w:val="0"/>
      <w:marBottom w:val="0"/>
      <w:divBdr>
        <w:top w:val="none" w:sz="0" w:space="0" w:color="auto"/>
        <w:left w:val="none" w:sz="0" w:space="0" w:color="auto"/>
        <w:bottom w:val="none" w:sz="0" w:space="0" w:color="auto"/>
        <w:right w:val="none" w:sz="0" w:space="0" w:color="auto"/>
      </w:divBdr>
    </w:div>
    <w:div w:id="182350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utm_source=copilot.com" TargetMode="External"/><Relationship Id="rId3" Type="http://schemas.microsoft.com/office/2007/relationships/stylesWithEffects" Target="stylesWithEffects.xml"/><Relationship Id="rId7" Type="http://schemas.openxmlformats.org/officeDocument/2006/relationships/hyperlink" Target="https://www.diabetes.org.uk/?utm_source=copilo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abetes.org.uk/?utm_source=copilot.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utm_source=copilot.com" TargetMode="External"/><Relationship Id="rId4" Type="http://schemas.openxmlformats.org/officeDocument/2006/relationships/settings" Target="settings.xml"/><Relationship Id="rId9" Type="http://schemas.openxmlformats.org/officeDocument/2006/relationships/hyperlink" Target="https://www.nhs.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7463</TotalTime>
  <Pages>7</Pages>
  <Words>1426</Words>
  <Characters>8130</Characters>
  <Application>Microsoft Office Word</Application>
  <DocSecurity>0</DocSecurity>
  <Lines>67</Lines>
  <Paragraphs>19</Paragraphs>
  <ScaleCrop>false</ScaleCrop>
  <HeadingPairs>
    <vt:vector size="4" baseType="variant">
      <vt:variant>
        <vt:lpstr>Title</vt:lpstr>
      </vt:variant>
      <vt:variant>
        <vt:i4>1</vt:i4>
      </vt:variant>
      <vt:variant>
        <vt:lpstr>Headings</vt:lpstr>
      </vt:variant>
      <vt:variant>
        <vt:i4>38</vt:i4>
      </vt:variant>
    </vt:vector>
  </HeadingPairs>
  <TitlesOfParts>
    <vt:vector size="39" baseType="lpstr">
      <vt:lpstr/>
      <vt:lpstr>    Contents</vt:lpstr>
      <vt:lpstr>    </vt:lpstr>
      <vt:lpstr/>
      <vt:lpstr>Introduction</vt:lpstr>
      <vt:lpstr>    Structure of the Pancreas</vt:lpstr>
      <vt:lpstr>    Cell Metabolism</vt:lpstr>
      <vt:lpstr>Pathophysiology of Type 2 Diabetes</vt:lpstr>
      <vt:lpstr>    Insulin Resistance</vt:lpstr>
      <vt:lpstr>    Progressive Beta-Cell Decline</vt:lpstr>
      <vt:lpstr>    Impact on Cellular Energy</vt:lpstr>
      <vt:lpstr/>
      <vt:lpstr>Monitoring and Data Tracking</vt:lpstr>
      <vt:lpstr>    Finger-Prick Testing</vt:lpstr>
      <vt:lpstr>    Continuous Glucose Monitoring (CGM)</vt:lpstr>
      <vt:lpstr>    HbA1c Testing</vt:lpstr>
      <vt:lpstr>    Digital Tools</vt:lpstr>
      <vt:lpstr>Evidence-Based Lifestyle Recommendations</vt:lpstr>
      <vt:lpstr>    Diet</vt:lpstr>
      <vt:lpstr>    Physical Activity</vt:lpstr>
      <vt:lpstr>    Sleep</vt:lpstr>
      <vt:lpstr>    Stress</vt:lpstr>
      <vt:lpstr>    Hydration</vt:lpstr>
      <vt:lpstr>    Alcohol and Smoking</vt:lpstr>
      <vt:lpstr>    Support Systems</vt:lpstr>
      <vt:lpstr>Conclusion</vt:lpstr>
      <vt:lpstr/>
      <vt:lpstr/>
      <vt:lpstr/>
      <vt:lpstr/>
      <vt:lpstr/>
      <vt:lpstr/>
      <vt:lpstr/>
      <vt:lpstr/>
      <vt:lpstr/>
      <vt:lpstr/>
      <vt:lpstr/>
      <vt:lpstr/>
      <vt:lpstr>Reference List</vt:lpstr>
    </vt:vector>
  </TitlesOfParts>
  <Company/>
  <LinksUpToDate>false</LinksUpToDate>
  <CharactersWithSpaces>9537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2026-07-21T11:55:00Z</dcterms:created>
  <dcterms:modified xsi:type="dcterms:W3CDTF">2026-07-26T16:18:00Z</dcterms:modified>
</cp:coreProperties>
</file>