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A3A8B" w:rsidRDefault="00A06DB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Principles of Marketing</w:t>
      </w:r>
    </w:p>
    <w:p w14:paraId="00000002" w14:textId="77777777" w:rsidR="009A3A8B" w:rsidRDefault="00A06DB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Component 1: Coursework </w:t>
      </w:r>
    </w:p>
    <w:p w14:paraId="00000003" w14:textId="77777777" w:rsidR="009A3A8B" w:rsidRDefault="00A06DB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Individual Report </w:t>
      </w:r>
    </w:p>
    <w:p w14:paraId="00000004" w14:textId="438BDEE4" w:rsidR="009A3A8B" w:rsidRDefault="00A06DB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154F19">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Lipovanu</w:t>
      </w:r>
      <w:r w:rsidR="00154F19">
        <w:rPr>
          <w:rFonts w:ascii="Times New Roman" w:eastAsia="Times New Roman" w:hAnsi="Times New Roman" w:cs="Times New Roman"/>
          <w:b/>
          <w:sz w:val="32"/>
          <w:szCs w:val="32"/>
        </w:rPr>
        <w:t xml:space="preserve"> </w:t>
      </w:r>
      <w:r w:rsidR="00154F19">
        <w:rPr>
          <w:rFonts w:ascii="Times New Roman" w:eastAsia="Times New Roman" w:hAnsi="Times New Roman" w:cs="Times New Roman"/>
          <w:b/>
          <w:sz w:val="32"/>
          <w:szCs w:val="32"/>
        </w:rPr>
        <w:t>Simona Diana</w:t>
      </w:r>
    </w:p>
    <w:p w14:paraId="00000005" w14:textId="3DE5E2DF" w:rsidR="009A3A8B" w:rsidRDefault="00154F19" w:rsidP="00154F1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A06DBC">
        <w:rPr>
          <w:rFonts w:ascii="Times New Roman" w:eastAsia="Times New Roman" w:hAnsi="Times New Roman" w:cs="Times New Roman"/>
          <w:b/>
          <w:sz w:val="32"/>
          <w:szCs w:val="32"/>
        </w:rPr>
        <w:t xml:space="preserve">       </w:t>
      </w:r>
      <w:r w:rsidR="00A06DBC">
        <w:rPr>
          <w:rFonts w:ascii="Times New Roman" w:eastAsia="Times New Roman" w:hAnsi="Times New Roman" w:cs="Times New Roman"/>
          <w:b/>
          <w:sz w:val="32"/>
          <w:szCs w:val="32"/>
        </w:rPr>
        <w:t xml:space="preserve">Student ID: </w:t>
      </w:r>
      <w:r>
        <w:rPr>
          <w:rFonts w:ascii="Times New Roman" w:eastAsia="Times New Roman" w:hAnsi="Times New Roman" w:cs="Times New Roman"/>
          <w:b/>
          <w:sz w:val="32"/>
          <w:szCs w:val="32"/>
        </w:rPr>
        <w:t>2312374</w:t>
      </w:r>
      <w:r w:rsidR="00A06DBC">
        <w:br w:type="page"/>
      </w:r>
    </w:p>
    <w:p w14:paraId="00000006" w14:textId="77777777" w:rsidR="009A3A8B" w:rsidRDefault="00A06DBC">
      <w:pPr>
        <w:keepNext/>
        <w:keepLines/>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382574064"/>
        <w:docPartObj>
          <w:docPartGallery w:val="Table of Contents"/>
          <w:docPartUnique/>
        </w:docPartObj>
      </w:sdtPr>
      <w:sdtEndPr/>
      <w:sdtContent>
        <w:p w14:paraId="00000007" w14:textId="77777777" w:rsidR="009A3A8B" w:rsidRDefault="00A06DBC">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hyperlink w:anchor="_heading=h.xah6twvcirun">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t>3</w:t>
            </w:r>
          </w:hyperlink>
        </w:p>
        <w:p w14:paraId="00000008" w14:textId="77777777" w:rsidR="009A3A8B" w:rsidRDefault="00A06DBC">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sz w:val="24"/>
              <w:szCs w:val="24"/>
            </w:rPr>
          </w:pPr>
          <w:hyperlink w:anchor="_heading=h.nte3hi594s4d">
            <w:r>
              <w:rPr>
                <w:rFonts w:ascii="Times New Roman" w:eastAsia="Times New Roman" w:hAnsi="Times New Roman" w:cs="Times New Roman"/>
                <w:sz w:val="24"/>
                <w:szCs w:val="24"/>
              </w:rPr>
              <w:t>Pestle analysis</w:t>
            </w:r>
            <w:r>
              <w:rPr>
                <w:rFonts w:ascii="Times New Roman" w:eastAsia="Times New Roman" w:hAnsi="Times New Roman" w:cs="Times New Roman"/>
                <w:sz w:val="24"/>
                <w:szCs w:val="24"/>
              </w:rPr>
              <w:tab/>
              <w:t>4</w:t>
            </w:r>
          </w:hyperlink>
        </w:p>
        <w:p w14:paraId="00000009" w14:textId="77777777" w:rsidR="009A3A8B" w:rsidRDefault="00A06DBC">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sz w:val="24"/>
              <w:szCs w:val="24"/>
            </w:rPr>
          </w:pPr>
          <w:hyperlink w:anchor="_heading=h.8t5pllq831aq">
            <w:r>
              <w:rPr>
                <w:rFonts w:ascii="Times New Roman" w:eastAsia="Times New Roman" w:hAnsi="Times New Roman" w:cs="Times New Roman"/>
                <w:sz w:val="24"/>
                <w:szCs w:val="24"/>
              </w:rPr>
              <w:t>Critical analysis and evaluation</w:t>
            </w:r>
            <w:r>
              <w:rPr>
                <w:rFonts w:ascii="Times New Roman" w:eastAsia="Times New Roman" w:hAnsi="Times New Roman" w:cs="Times New Roman"/>
                <w:sz w:val="24"/>
                <w:szCs w:val="24"/>
              </w:rPr>
              <w:tab/>
              <w:t>5</w:t>
            </w:r>
          </w:hyperlink>
        </w:p>
        <w:p w14:paraId="0000000A" w14:textId="77777777" w:rsidR="009A3A8B" w:rsidRDefault="00A06DBC">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sz w:val="24"/>
              <w:szCs w:val="24"/>
            </w:rPr>
          </w:pPr>
          <w:hyperlink w:anchor="_heading=h.gjl0g2i9fdya">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6</w:t>
            </w:r>
          </w:hyperlink>
        </w:p>
        <w:p w14:paraId="0000000B" w14:textId="77777777" w:rsidR="009A3A8B" w:rsidRDefault="00A06DBC">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sz w:val="24"/>
              <w:szCs w:val="24"/>
            </w:rPr>
          </w:pPr>
          <w:hyperlink w:anchor="_heading=h.9cchv2infvio">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7</w:t>
            </w:r>
          </w:hyperlink>
        </w:p>
        <w:p w14:paraId="0000000C" w14:textId="77777777" w:rsidR="009A3A8B" w:rsidRDefault="00A06DBC">
          <w:pPr>
            <w:spacing w:line="360" w:lineRule="auto"/>
            <w:jc w:val="both"/>
            <w:rPr>
              <w:rFonts w:ascii="Times New Roman" w:eastAsia="Times New Roman" w:hAnsi="Times New Roman" w:cs="Times New Roman"/>
              <w:sz w:val="24"/>
              <w:szCs w:val="24"/>
            </w:rPr>
          </w:pPr>
          <w:r>
            <w:fldChar w:fldCharType="end"/>
          </w:r>
        </w:p>
      </w:sdtContent>
    </w:sdt>
    <w:p w14:paraId="0000000D" w14:textId="77777777" w:rsidR="009A3A8B" w:rsidRDefault="00A06DBC">
      <w:pPr>
        <w:spacing w:line="360" w:lineRule="auto"/>
        <w:jc w:val="both"/>
        <w:rPr>
          <w:rFonts w:ascii="Times New Roman" w:eastAsia="Times New Roman" w:hAnsi="Times New Roman" w:cs="Times New Roman"/>
          <w:b/>
          <w:sz w:val="24"/>
          <w:szCs w:val="24"/>
        </w:rPr>
      </w:pPr>
      <w:r>
        <w:br w:type="page"/>
      </w:r>
    </w:p>
    <w:p w14:paraId="0000000E" w14:textId="77777777" w:rsidR="009A3A8B" w:rsidRDefault="00A06DBC">
      <w:pPr>
        <w:pStyle w:val="Heading1"/>
      </w:pPr>
      <w:bookmarkStart w:id="0" w:name="_heading=h.xah6twvcirun" w:colFirst="0" w:colLast="0"/>
      <w:bookmarkEnd w:id="0"/>
      <w:r>
        <w:lastRenderedPageBreak/>
        <w:t xml:space="preserve">Introduction </w:t>
      </w:r>
    </w:p>
    <w:p w14:paraId="0000000F"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Situation analysis refers to the systematic process of examining both the internal and external environment of the organisation (Clarke, Washburn and Friese, 2022). As a part of a principle of marketing, it is important for understanding the internal and external analysis of information. Tesco Plc is the chosen organisation for this report; it is one of leading grocery and general merchandise retail businesses in the UK. This report will be applying a PESTLE framework for assessing the external environment </w:t>
      </w:r>
      <w:r>
        <w:rPr>
          <w:rFonts w:ascii="Times New Roman" w:eastAsia="Times New Roman" w:hAnsi="Times New Roman" w:cs="Times New Roman"/>
          <w:sz w:val="24"/>
          <w:szCs w:val="24"/>
        </w:rPr>
        <w:t xml:space="preserve">and highlighting the key opportunities and challenges. By applying this analysis to this report aims to understand the challenges in opportunities and also recognise how these factors are shaping the decision making of the organisation in the long-term competitiveness. </w:t>
      </w:r>
    </w:p>
    <w:p w14:paraId="00000010" w14:textId="77777777" w:rsidR="009A3A8B" w:rsidRDefault="00A06DBC">
      <w:pPr>
        <w:spacing w:line="360" w:lineRule="auto"/>
        <w:jc w:val="both"/>
        <w:rPr>
          <w:rFonts w:ascii="Times New Roman" w:eastAsia="Times New Roman" w:hAnsi="Times New Roman" w:cs="Times New Roman"/>
          <w:b/>
          <w:sz w:val="24"/>
          <w:szCs w:val="24"/>
        </w:rPr>
      </w:pPr>
      <w:r>
        <w:br w:type="page"/>
      </w:r>
    </w:p>
    <w:p w14:paraId="00000011" w14:textId="77777777" w:rsidR="009A3A8B" w:rsidRDefault="00A06DBC">
      <w:pPr>
        <w:pStyle w:val="Heading1"/>
      </w:pPr>
      <w:bookmarkStart w:id="1" w:name="_heading=h.nte3hi594s4d" w:colFirst="0" w:colLast="0"/>
      <w:bookmarkEnd w:id="1"/>
      <w:r>
        <w:lastRenderedPageBreak/>
        <w:t xml:space="preserve">Pestle analysis </w:t>
      </w:r>
    </w:p>
    <w:p w14:paraId="00000012"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Political factor: </w:t>
      </w:r>
      <w:r>
        <w:rPr>
          <w:rFonts w:ascii="Times New Roman" w:eastAsia="Times New Roman" w:hAnsi="Times New Roman" w:cs="Times New Roman"/>
          <w:sz w:val="24"/>
          <w:szCs w:val="24"/>
        </w:rPr>
        <w:t xml:space="preserve">The post Brexit trade setting and label policy shift have increased the operating cost across the grocery sector. At the industrial level this has increased the cost of supplier and distribution and which lead to the compress in margins (Bakker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For the business like Tesco has translated into more explicit cost pressure public appeal to the additional cost reduction program in order to protect the low margin and prices. </w:t>
      </w:r>
      <w:r>
        <w:rPr>
          <w:rFonts w:ascii="Times New Roman" w:eastAsia="Times New Roman" w:hAnsi="Times New Roman" w:cs="Times New Roman"/>
          <w:b/>
          <w:i/>
          <w:sz w:val="24"/>
          <w:szCs w:val="24"/>
        </w:rPr>
        <w:t xml:space="preserve">  </w:t>
      </w:r>
    </w:p>
    <w:p w14:paraId="00000013"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Economical factor: </w:t>
      </w:r>
      <w:r>
        <w:rPr>
          <w:rFonts w:ascii="Times New Roman" w:eastAsia="Times New Roman" w:hAnsi="Times New Roman" w:cs="Times New Roman"/>
          <w:sz w:val="24"/>
          <w:szCs w:val="24"/>
        </w:rPr>
        <w:t>The current inflation rate in the UK is around 3.8% which means people have good purchasing power. This has helped the retail sector generate a good amount of revenue from the market (Arestis and Karagiannis, 2025). Though the inflation is low, customers are still getting attracted to discounted offers. Tesco has benefited from the scale because the faces margins quiz and also requirement for investing into the club card promotions in order to retain the volume, while also monitoring the cash flow in the or</w:t>
      </w:r>
      <w:r>
        <w:rPr>
          <w:rFonts w:ascii="Times New Roman" w:eastAsia="Times New Roman" w:hAnsi="Times New Roman" w:cs="Times New Roman"/>
          <w:sz w:val="24"/>
          <w:szCs w:val="24"/>
        </w:rPr>
        <w:t xml:space="preserve">ganisation. </w:t>
      </w:r>
    </w:p>
    <w:p w14:paraId="00000014"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Social factor: </w:t>
      </w:r>
      <w:r>
        <w:rPr>
          <w:rFonts w:ascii="Times New Roman" w:eastAsia="Times New Roman" w:hAnsi="Times New Roman" w:cs="Times New Roman"/>
          <w:sz w:val="24"/>
          <w:szCs w:val="24"/>
        </w:rPr>
        <w:t>In the UK people are highly conscious about the product and services and they are not willing to compromise with them, especially grocery items. It is estimated more than 3% of the total consumer has shifted to vegan products, such as shift towards home cooking, value and convenience (Vegconomist, 2025). Different brands in their industry are balancing the private level value lines with the health lead and premium product and services. Tesco has been to expand their premium ranges and values, leveraging Clu</w:t>
      </w:r>
      <w:r>
        <w:rPr>
          <w:rFonts w:ascii="Times New Roman" w:eastAsia="Times New Roman" w:hAnsi="Times New Roman" w:cs="Times New Roman"/>
          <w:sz w:val="24"/>
          <w:szCs w:val="24"/>
        </w:rPr>
        <w:t xml:space="preserve">bcard information to the tailoring offers and focusing on the convenience formats, which has been supported by the market share gains but also required for the much tighter category (Davies, 2025). </w:t>
      </w:r>
    </w:p>
    <w:p w14:paraId="00000015"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Technical factor: </w:t>
      </w:r>
      <w:r>
        <w:rPr>
          <w:rFonts w:ascii="Times New Roman" w:eastAsia="Times New Roman" w:hAnsi="Times New Roman" w:cs="Times New Roman"/>
          <w:sz w:val="24"/>
          <w:szCs w:val="24"/>
        </w:rPr>
        <w:t xml:space="preserve">This factor has been one of the important and most influential factors because the increasing technology has shifted the habits of daily shoppers. It is estimated that there are around 60 million E-Commerce users in the UK. The retail sector has adopted these online factors for reaching a large number of customers (Statista, 2025). Tesco has been making some valuable investment on the technology, such as Tesco media platform, Clubcard ecosystem for generating differentiated targeting. It also required some </w:t>
      </w:r>
      <w:r>
        <w:rPr>
          <w:rFonts w:ascii="Times New Roman" w:eastAsia="Times New Roman" w:hAnsi="Times New Roman" w:cs="Times New Roman"/>
          <w:sz w:val="24"/>
          <w:szCs w:val="24"/>
        </w:rPr>
        <w:t xml:space="preserve">proper capital spending and cyber security compliance with the different riles and regulation, such as Data Protection Act 2018. </w:t>
      </w:r>
    </w:p>
    <w:p w14:paraId="00000016"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Legal factor: </w:t>
      </w:r>
      <w:r>
        <w:rPr>
          <w:rFonts w:ascii="Times New Roman" w:eastAsia="Times New Roman" w:hAnsi="Times New Roman" w:cs="Times New Roman"/>
          <w:sz w:val="24"/>
          <w:szCs w:val="24"/>
        </w:rPr>
        <w:t xml:space="preserve">There are different rules and regulations, which are required to be followed by retail business in the industry. The sector wide regulatory levies and also potential business rates reforms raise the concern regarding the non-commodity cost of operating. Tesco must pass or observe through the cost selectively, they are using a publicly modelled, this influences the business for pursuing a cost saving strategy for protecting the price positioning (Boyle, Dye and Seal, 2025). The organisation is also strictly </w:t>
      </w:r>
      <w:r>
        <w:rPr>
          <w:rFonts w:ascii="Times New Roman" w:eastAsia="Times New Roman" w:hAnsi="Times New Roman" w:cs="Times New Roman"/>
          <w:sz w:val="24"/>
          <w:szCs w:val="24"/>
        </w:rPr>
        <w:t xml:space="preserve">following Price Marketing Order 2004 for ensuring proper pricing on the product and services provided by the brand (Lever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2025).  </w:t>
      </w:r>
    </w:p>
    <w:p w14:paraId="00000017"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Environmental factor: </w:t>
      </w:r>
      <w:r>
        <w:rPr>
          <w:rFonts w:ascii="Times New Roman" w:eastAsia="Times New Roman" w:hAnsi="Times New Roman" w:cs="Times New Roman"/>
          <w:sz w:val="24"/>
          <w:szCs w:val="24"/>
        </w:rPr>
        <w:t xml:space="preserve">People in the UK are highly consistent about their environment and they are preferring those organisations that are adopting sustainable practices. Tesco organisation has published their sustainability commitment and also investment into renewables help in brand resilience and also cost control on the long-term. They are also aiming for carbon neutrality by the end of 2035 (Jones, 2025). </w:t>
      </w:r>
    </w:p>
    <w:p w14:paraId="00000018" w14:textId="77777777" w:rsidR="009A3A8B" w:rsidRDefault="009A3A8B">
      <w:pPr>
        <w:pStyle w:val="Heading1"/>
      </w:pPr>
      <w:bookmarkStart w:id="2" w:name="_heading=h.l5077kczpjac" w:colFirst="0" w:colLast="0"/>
      <w:bookmarkEnd w:id="2"/>
    </w:p>
    <w:p w14:paraId="00000019" w14:textId="77777777" w:rsidR="009A3A8B" w:rsidRDefault="00A06DBC">
      <w:pPr>
        <w:pStyle w:val="Heading1"/>
      </w:pPr>
      <w:bookmarkStart w:id="3" w:name="_heading=h.8t5pllq831aq" w:colFirst="0" w:colLast="0"/>
      <w:bookmarkEnd w:id="3"/>
      <w:r>
        <w:t xml:space="preserve">Critical analysis and evaluation </w:t>
      </w:r>
    </w:p>
    <w:p w14:paraId="0000001A"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PESTLE analysis, it has highlighted that Tesco operates in a highly dynamic external environment where the different factors significantly shaped the strategic direction and decision of the business. As per the </w:t>
      </w:r>
      <w:r>
        <w:rPr>
          <w:rFonts w:ascii="Times New Roman" w:eastAsia="Times New Roman" w:hAnsi="Times New Roman" w:cs="Times New Roman"/>
          <w:b/>
          <w:i/>
          <w:sz w:val="24"/>
          <w:szCs w:val="24"/>
        </w:rPr>
        <w:t>Resource-based view (RBV)</w:t>
      </w:r>
      <w:r>
        <w:rPr>
          <w:rFonts w:ascii="Times New Roman" w:eastAsia="Times New Roman" w:hAnsi="Times New Roman" w:cs="Times New Roman"/>
          <w:sz w:val="24"/>
          <w:szCs w:val="24"/>
        </w:rPr>
        <w:t>, Tesco’s scale and a customer data ecosystem, it provides for competitive advantages, but these resources are under the constant pressure from the external shocks (Dzandu, Hatsu and De Cesare, 2025). For example, post-Brexit trade complexities and the labour policy reforms have raised costs across the supply chain and compressed the sector margin. Tesco have mitigated these issues by cost reduction programmes and a price competitiveness demonstrating the cost leadership strategy, y</w:t>
      </w:r>
      <w:r>
        <w:rPr>
          <w:rFonts w:ascii="Times New Roman" w:eastAsia="Times New Roman" w:hAnsi="Times New Roman" w:cs="Times New Roman"/>
          <w:sz w:val="24"/>
          <w:szCs w:val="24"/>
        </w:rPr>
        <w:t xml:space="preserve">et this has also risked the profitability of the business. Further, economic factors also have some major influence, customer behaviour reflects increasing price sensitivity with much more value driven choices dominating. </w:t>
      </w:r>
    </w:p>
    <w:p w14:paraId="0000001B"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also compels Tesco for increased promotional intensity, which has improved loyalty but eroded the profit margins. As per the point of view of </w:t>
      </w:r>
      <w:r>
        <w:rPr>
          <w:rFonts w:ascii="Times New Roman" w:eastAsia="Times New Roman" w:hAnsi="Times New Roman" w:cs="Times New Roman"/>
          <w:b/>
          <w:i/>
          <w:sz w:val="24"/>
          <w:szCs w:val="24"/>
        </w:rPr>
        <w:t>Customer Behaviour Theory</w:t>
      </w:r>
      <w:r>
        <w:rPr>
          <w:rFonts w:ascii="Times New Roman" w:eastAsia="Times New Roman" w:hAnsi="Times New Roman" w:cs="Times New Roman"/>
          <w:sz w:val="24"/>
          <w:szCs w:val="24"/>
        </w:rPr>
        <w:t xml:space="preserve">, the value of a conscious shopper’s phenomenon indicating Tesco must need to properly balance value with the quality for avoiding decrease in shares (Bücker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2025). Customers in the UK are also highly health conscious, which properly align with Tesco expansion on the health-focused product range. They have been using differentiating strategies which have a positive influence on the satisfaction level of customers.  Further, technological advancement has also enabled business</w:t>
      </w:r>
      <w:r>
        <w:rPr>
          <w:rFonts w:ascii="Times New Roman" w:eastAsia="Times New Roman" w:hAnsi="Times New Roman" w:cs="Times New Roman"/>
          <w:sz w:val="24"/>
          <w:szCs w:val="24"/>
        </w:rPr>
        <w:t>es to expand more and reach to the larger customer base. Similarly, the legal and environmental factors require proactive governance. Tesco has made some sustainable commitments, such as achieving carbon neutrality by the end of 2035 (Jones, 2025).</w:t>
      </w:r>
    </w:p>
    <w:p w14:paraId="0000001C" w14:textId="77777777" w:rsidR="009A3A8B" w:rsidRDefault="009A3A8B">
      <w:pPr>
        <w:spacing w:line="360" w:lineRule="auto"/>
        <w:jc w:val="both"/>
        <w:rPr>
          <w:rFonts w:ascii="Times New Roman" w:eastAsia="Times New Roman" w:hAnsi="Times New Roman" w:cs="Times New Roman"/>
          <w:b/>
          <w:sz w:val="24"/>
          <w:szCs w:val="24"/>
        </w:rPr>
      </w:pPr>
    </w:p>
    <w:p w14:paraId="0000001D" w14:textId="77777777" w:rsidR="009A3A8B" w:rsidRDefault="00A06DBC">
      <w:pPr>
        <w:spacing w:line="360" w:lineRule="auto"/>
        <w:jc w:val="both"/>
        <w:rPr>
          <w:rFonts w:ascii="Times New Roman" w:eastAsia="Times New Roman" w:hAnsi="Times New Roman" w:cs="Times New Roman"/>
          <w:b/>
          <w:sz w:val="24"/>
          <w:szCs w:val="24"/>
        </w:rPr>
      </w:pPr>
      <w:r>
        <w:br w:type="page"/>
      </w:r>
    </w:p>
    <w:p w14:paraId="0000001E" w14:textId="77777777" w:rsidR="009A3A8B" w:rsidRDefault="00A06DBC">
      <w:pPr>
        <w:pStyle w:val="Heading1"/>
      </w:pPr>
      <w:bookmarkStart w:id="4" w:name="_heading=h.gjl0g2i9fdya" w:colFirst="0" w:colLast="0"/>
      <w:bookmarkEnd w:id="4"/>
      <w:r>
        <w:lastRenderedPageBreak/>
        <w:t xml:space="preserve">Conclusion </w:t>
      </w:r>
    </w:p>
    <w:p w14:paraId="0000001F"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above analysis has revealed that there are different factors which influence the Tesco decision making. This organisation operates in the significant cost pressure from the different factors such as Brexit policies, regulatory compliance, infection in the dynamics and also sustainability commitment. To remain competitive in the market, reconnect to improve their digital capabilities and increase their value ranges, which can help in attracting more customers to the organisation. The strength of the org</w:t>
      </w:r>
      <w:r>
        <w:rPr>
          <w:rFonts w:ascii="Times New Roman" w:eastAsia="Times New Roman" w:hAnsi="Times New Roman" w:cs="Times New Roman"/>
          <w:sz w:val="24"/>
          <w:szCs w:val="24"/>
        </w:rPr>
        <w:t xml:space="preserve">anisation lies on their data driven information and their growth opportunities. Overall, it has been found that situational analysis is significant for the strategic planning because it enables businesses like the Tesco organisation to anticipate the external shifts and exploit the market opportunities. </w:t>
      </w:r>
    </w:p>
    <w:p w14:paraId="00000020" w14:textId="77777777" w:rsidR="009A3A8B" w:rsidRDefault="00A06DBC">
      <w:pPr>
        <w:spacing w:line="360" w:lineRule="auto"/>
        <w:jc w:val="both"/>
        <w:rPr>
          <w:rFonts w:ascii="Times New Roman" w:eastAsia="Times New Roman" w:hAnsi="Times New Roman" w:cs="Times New Roman"/>
          <w:b/>
          <w:sz w:val="24"/>
          <w:szCs w:val="24"/>
        </w:rPr>
      </w:pPr>
      <w:r>
        <w:br w:type="page"/>
      </w:r>
    </w:p>
    <w:p w14:paraId="00000021" w14:textId="77777777" w:rsidR="009A3A8B" w:rsidRDefault="00A06DBC">
      <w:pPr>
        <w:pStyle w:val="Heading1"/>
      </w:pPr>
      <w:bookmarkStart w:id="5" w:name="_heading=h.9cchv2infvio" w:colFirst="0" w:colLast="0"/>
      <w:bookmarkEnd w:id="5"/>
      <w:r>
        <w:lastRenderedPageBreak/>
        <w:t>References</w:t>
      </w:r>
    </w:p>
    <w:p w14:paraId="00000022"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Arestis, P. and Karagiannis, N., (2025). The UK State and the Problem of Inflation. In Proper Economic Policies Under the Post-Pandemic Era: Economic Growth and Stability (pp. 79-133). Cham: Springer Nature Switzerland.</w:t>
      </w:r>
    </w:p>
    <w:p w14:paraId="00000023"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Bakker, J.D., Datta, N., De Lyon, J., Opitz, L. and Yang, D., (2022). </w:t>
      </w:r>
      <w:r>
        <w:rPr>
          <w:rFonts w:ascii="Times New Roman" w:eastAsia="Times New Roman" w:hAnsi="Times New Roman" w:cs="Times New Roman"/>
          <w:i/>
          <w:sz w:val="24"/>
          <w:szCs w:val="24"/>
          <w:highlight w:val="white"/>
        </w:rPr>
        <w:t>Post-Brexit imports, supply chains, and the effect on consumer prices</w:t>
      </w:r>
      <w:r>
        <w:rPr>
          <w:rFonts w:ascii="Times New Roman" w:eastAsia="Times New Roman" w:hAnsi="Times New Roman" w:cs="Times New Roman"/>
          <w:sz w:val="24"/>
          <w:szCs w:val="24"/>
          <w:highlight w:val="white"/>
        </w:rPr>
        <w:t>. UK in a Changing Europe.</w:t>
      </w:r>
    </w:p>
    <w:p w14:paraId="00000024"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Boyle, N.B., Dye, L. and Seal, C.J., (2025). The need and strategies for increasing whole-grain intake: a narrative review focused on the UK and Ireland. </w:t>
      </w:r>
      <w:r>
        <w:rPr>
          <w:rFonts w:ascii="Times New Roman" w:eastAsia="Times New Roman" w:hAnsi="Times New Roman" w:cs="Times New Roman"/>
          <w:i/>
          <w:sz w:val="24"/>
          <w:szCs w:val="24"/>
          <w:highlight w:val="white"/>
        </w:rPr>
        <w:t>British Journal of Nutrition</w:t>
      </w:r>
      <w:r>
        <w:rPr>
          <w:rFonts w:ascii="Times New Roman" w:eastAsia="Times New Roman" w:hAnsi="Times New Roman" w:cs="Times New Roman"/>
          <w:sz w:val="24"/>
          <w:szCs w:val="24"/>
          <w:highlight w:val="white"/>
        </w:rPr>
        <w:t>, pp.1-17.</w:t>
      </w:r>
    </w:p>
    <w:p w14:paraId="00000025"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Bücker, C., Pantel, J., Geissdoerfer, M., Bhattacharjya, J. and Kumar, M., (2025). Digital technologies as enablers of the circular economy: an empirical perspective on the role of companies in driving customer behaviour change. </w:t>
      </w:r>
      <w:r>
        <w:rPr>
          <w:rFonts w:ascii="Times New Roman" w:eastAsia="Times New Roman" w:hAnsi="Times New Roman" w:cs="Times New Roman"/>
          <w:i/>
          <w:sz w:val="24"/>
          <w:szCs w:val="24"/>
          <w:highlight w:val="white"/>
        </w:rPr>
        <w:t>R&amp;D Management</w:t>
      </w:r>
      <w:r>
        <w:rPr>
          <w:rFonts w:ascii="Times New Roman" w:eastAsia="Times New Roman" w:hAnsi="Times New Roman" w:cs="Times New Roman"/>
          <w:sz w:val="24"/>
          <w:szCs w:val="24"/>
          <w:highlight w:val="white"/>
        </w:rPr>
        <w:t>.</w:t>
      </w:r>
    </w:p>
    <w:p w14:paraId="00000026"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Clarke, A.E., Washburn, R. and Friese, C., (2022). Introducing situational analysis. In </w:t>
      </w:r>
      <w:r>
        <w:rPr>
          <w:rFonts w:ascii="Times New Roman" w:eastAsia="Times New Roman" w:hAnsi="Times New Roman" w:cs="Times New Roman"/>
          <w:i/>
          <w:sz w:val="24"/>
          <w:szCs w:val="24"/>
          <w:highlight w:val="white"/>
        </w:rPr>
        <w:t>Situational analysis in practice</w:t>
      </w:r>
      <w:r>
        <w:rPr>
          <w:rFonts w:ascii="Times New Roman" w:eastAsia="Times New Roman" w:hAnsi="Times New Roman" w:cs="Times New Roman"/>
          <w:sz w:val="24"/>
          <w:szCs w:val="24"/>
          <w:highlight w:val="white"/>
        </w:rPr>
        <w:t xml:space="preserve"> (pp. 5-36). Routledge.</w:t>
      </w:r>
      <w:r>
        <w:rPr>
          <w:rFonts w:ascii="Times New Roman" w:eastAsia="Times New Roman" w:hAnsi="Times New Roman" w:cs="Times New Roman"/>
          <w:sz w:val="24"/>
          <w:szCs w:val="24"/>
        </w:rPr>
        <w:t xml:space="preserve"> </w:t>
      </w:r>
    </w:p>
    <w:p w14:paraId="00000027"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Davies, G., (2025). 5Did Machiavelli Advise Tesco?. </w:t>
      </w:r>
      <w:r>
        <w:rPr>
          <w:rFonts w:ascii="Times New Roman" w:eastAsia="Times New Roman" w:hAnsi="Times New Roman" w:cs="Times New Roman"/>
          <w:i/>
          <w:sz w:val="24"/>
          <w:szCs w:val="24"/>
          <w:highlight w:val="white"/>
        </w:rPr>
        <w:t>Machiavelli, Marketing and Management: Revisited</w:t>
      </w:r>
      <w:r>
        <w:rPr>
          <w:rFonts w:ascii="Times New Roman" w:eastAsia="Times New Roman" w:hAnsi="Times New Roman" w:cs="Times New Roman"/>
          <w:sz w:val="24"/>
          <w:szCs w:val="24"/>
          <w:highlight w:val="white"/>
        </w:rPr>
        <w:t>.</w:t>
      </w:r>
    </w:p>
    <w:p w14:paraId="00000028"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Dzandu, M.D., Hatsu, S. and De Cesare, S., (2025). Remote working and task innovativeness–an integrated resource based view and antecedent-behaviour-consequence perspective. </w:t>
      </w:r>
      <w:r>
        <w:rPr>
          <w:rFonts w:ascii="Times New Roman" w:eastAsia="Times New Roman" w:hAnsi="Times New Roman" w:cs="Times New Roman"/>
          <w:i/>
          <w:sz w:val="24"/>
          <w:szCs w:val="24"/>
          <w:highlight w:val="white"/>
        </w:rPr>
        <w:t>Information Systems Frontiers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(2), pp.539-562.</w:t>
      </w:r>
    </w:p>
    <w:p w14:paraId="00000029"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Jones, P., (2025). Sustainability and the UK’s Leading Clothing Retailers. </w:t>
      </w:r>
      <w:r>
        <w:rPr>
          <w:rFonts w:ascii="Times New Roman" w:eastAsia="Times New Roman" w:hAnsi="Times New Roman" w:cs="Times New Roman"/>
          <w:i/>
          <w:sz w:val="24"/>
          <w:szCs w:val="24"/>
          <w:highlight w:val="white"/>
        </w:rPr>
        <w:t>Athens Journal of Business and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(1), pp.9-24.</w:t>
      </w:r>
    </w:p>
    <w:p w14:paraId="0000002A" w14:textId="77777777" w:rsidR="009A3A8B" w:rsidRDefault="00A06D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Lever, J., Miele, M., Dastgir, S. and Fuseini, A., (2025). Niche market making in the UK sheep sector; performing the halal market in uncertain times. </w:t>
      </w:r>
      <w:r>
        <w:rPr>
          <w:rFonts w:ascii="Times New Roman" w:eastAsia="Times New Roman" w:hAnsi="Times New Roman" w:cs="Times New Roman"/>
          <w:i/>
          <w:sz w:val="24"/>
          <w:szCs w:val="24"/>
          <w:highlight w:val="white"/>
        </w:rPr>
        <w:t>Journal of Rural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119</w:t>
      </w:r>
      <w:r>
        <w:rPr>
          <w:rFonts w:ascii="Times New Roman" w:eastAsia="Times New Roman" w:hAnsi="Times New Roman" w:cs="Times New Roman"/>
          <w:sz w:val="24"/>
          <w:szCs w:val="24"/>
          <w:highlight w:val="white"/>
        </w:rPr>
        <w:t>, p.103728.</w:t>
      </w:r>
    </w:p>
    <w:p w14:paraId="0000002B"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S., (2025). </w:t>
      </w:r>
      <w:r>
        <w:rPr>
          <w:rFonts w:ascii="Times New Roman" w:eastAsia="Times New Roman" w:hAnsi="Times New Roman" w:cs="Times New Roman"/>
          <w:i/>
          <w:sz w:val="24"/>
          <w:szCs w:val="24"/>
        </w:rPr>
        <w:t>Topic: E-commerce in the United Kingdom (UK)</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Available at: https://www.statista.com/topics/2333/e-commerce-in-the-united-kingdom/ (Accessed: 4 October 2025).</w:t>
      </w:r>
    </w:p>
    <w:p w14:paraId="0000002C" w14:textId="77777777" w:rsidR="009A3A8B" w:rsidRDefault="00A06D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Vegconomist, V., (2025). Available at: https://vegconomist.com/studies-and-numbers/survey-two-million-brits-identify-vegan-or-plant-based/#:~:text=%E2%80%9CRemarkable%20transformation%E2%80%9D,the%20environment%20to%20animal%20welfare.%E2%80%9D (Accessed: 4 October 2025).</w:t>
      </w:r>
    </w:p>
    <w:p w14:paraId="0000002D" w14:textId="77777777" w:rsidR="009A3A8B" w:rsidRDefault="009A3A8B">
      <w:pPr>
        <w:spacing w:line="360" w:lineRule="auto"/>
        <w:rPr>
          <w:rFonts w:ascii="Times New Roman" w:eastAsia="Times New Roman" w:hAnsi="Times New Roman" w:cs="Times New Roman"/>
          <w:b/>
          <w:sz w:val="32"/>
          <w:szCs w:val="32"/>
        </w:rPr>
      </w:pPr>
    </w:p>
    <w:sectPr w:rsidR="009A3A8B">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B5128" w14:textId="77777777" w:rsidR="00A06DBC" w:rsidRDefault="00A06DBC">
      <w:pPr>
        <w:spacing w:line="240" w:lineRule="auto"/>
      </w:pPr>
      <w:r>
        <w:separator/>
      </w:r>
    </w:p>
  </w:endnote>
  <w:endnote w:type="continuationSeparator" w:id="0">
    <w:p w14:paraId="38D1F29F" w14:textId="77777777" w:rsidR="00A06DBC" w:rsidRDefault="00A06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E" w14:textId="4A4FD778" w:rsidR="009A3A8B" w:rsidRDefault="00A06DBC">
    <w:pPr>
      <w:jc w:val="right"/>
    </w:pPr>
    <w:r>
      <w:fldChar w:fldCharType="begin"/>
    </w:r>
    <w:r>
      <w:instrText>PAGE</w:instrText>
    </w:r>
    <w:r>
      <w:fldChar w:fldCharType="separate"/>
    </w:r>
    <w:r w:rsidR="00154F1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70EA8" w14:textId="77777777" w:rsidR="00A06DBC" w:rsidRDefault="00A06DBC">
      <w:pPr>
        <w:spacing w:line="240" w:lineRule="auto"/>
      </w:pPr>
      <w:r>
        <w:separator/>
      </w:r>
    </w:p>
  </w:footnote>
  <w:footnote w:type="continuationSeparator" w:id="0">
    <w:p w14:paraId="70098B3C" w14:textId="77777777" w:rsidR="00A06DBC" w:rsidRDefault="00A06D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A8B"/>
    <w:rsid w:val="00154F19"/>
    <w:rsid w:val="008B1F22"/>
    <w:rsid w:val="009A3A8B"/>
    <w:rsid w:val="00A0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9F8F9"/>
  <w15:docId w15:val="{50CA3DB7-3722-455E-AA1C-804871AB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D35F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35FC"/>
    <w:pPr>
      <w:spacing w:after="100"/>
    </w:pPr>
  </w:style>
  <w:style w:type="character" w:styleId="Hyperlink">
    <w:name w:val="Hyperlink"/>
    <w:basedOn w:val="DefaultParagraphFont"/>
    <w:uiPriority w:val="99"/>
    <w:unhideWhenUsed/>
    <w:rsid w:val="000D35FC"/>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pKe9Bbzveq6/jaCrx3mQr66jiA==">CgMxLjAyDmgueGFoNnR3dmNpcnVuMg5oLm50ZTNoaTU5NHM0ZDIOaC5sNTA3N2tjenBqYWMyDmguOHQ1cGxscTgzMWFxMg5oLmdqbDBnMmk5ZmR5YTIOaC45Y2NodjJpbmZ2aW84AHIhMU1tbVpfTEsxT0xzWnBZYndyanZqZ053Q091Snpkd2JZ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1443</Words>
  <Characters>8228</Characters>
  <Application>Microsoft Office Word</Application>
  <DocSecurity>0</DocSecurity>
  <Lines>68</Lines>
  <Paragraphs>19</Paragraphs>
  <ScaleCrop>false</ScaleCrop>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 Elena Lipovanu</dc:creator>
  <cp:lastModifiedBy>Anastasia Elena Lipovanu</cp:lastModifiedBy>
  <cp:revision>3</cp:revision>
  <dcterms:created xsi:type="dcterms:W3CDTF">2025-10-07T19:38:00Z</dcterms:created>
  <dcterms:modified xsi:type="dcterms:W3CDTF">2025-10-07T19:38:00Z</dcterms:modified>
</cp:coreProperties>
</file>