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F93782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E5CED">
              <w:rPr>
                <w:rFonts w:ascii="Times New Roman" w:hAnsi="Times New Roman" w:cs="Times New Roman"/>
                <w:b/>
                <w:color w:val="auto"/>
                <w:sz w:val="48"/>
              </w:rPr>
              <w:t xml:space="preserve">Rachel Morgan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8273BA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E5CED">
              <w:rPr>
                <w:rFonts w:ascii="Times New Roman" w:hAnsi="Times New Roman" w:cs="Times New Roman"/>
                <w:b/>
                <w:color w:val="auto"/>
                <w:sz w:val="48"/>
              </w:rPr>
              <w:t xml:space="preserve"> </w:t>
            </w:r>
            <w:r w:rsidR="002E5CED" w:rsidRPr="002E5CED">
              <w:rPr>
                <w:rFonts w:ascii="Times New Roman" w:hAnsi="Times New Roman" w:cs="Times New Roman"/>
                <w:b/>
                <w:color w:val="auto"/>
                <w:sz w:val="48"/>
              </w:rPr>
              <w:t>  </w:t>
            </w:r>
            <w:hyperlink r:id="rId11" w:tooltip="mailto:2421534@student.uwtsd.ac.uk" w:history="1">
              <w:r w:rsidR="002E5CED" w:rsidRPr="002E5CED">
                <w:rPr>
                  <w:rStyle w:val="Hyperlink"/>
                  <w:rFonts w:ascii="Times New Roman" w:hAnsi="Times New Roman" w:cs="Times New Roman"/>
                  <w:b/>
                  <w:sz w:val="48"/>
                </w:rPr>
                <w:t>2421534@student.uwtsd.ac.uk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FF876CE" w14:textId="4BC12620" w:rsidR="002E5CED" w:rsidRPr="005D3F07" w:rsidRDefault="002E5CE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2421534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944BB05" w14:textId="77777777" w:rsidR="00A76E36" w:rsidRPr="00A76E36" w:rsidRDefault="00A76E36" w:rsidP="00A76E36">
            <w:pPr>
              <w:spacing w:line="276" w:lineRule="auto"/>
              <w:rPr>
                <w:rFonts w:ascii="Calibri" w:hAnsi="Calibri" w:cs="Calibri"/>
                <w:b/>
                <w:bCs/>
                <w:sz w:val="24"/>
                <w:szCs w:val="24"/>
              </w:rPr>
            </w:pPr>
            <w:r w:rsidRPr="00A76E36">
              <w:rPr>
                <w:rFonts w:ascii="Calibri" w:hAnsi="Calibri" w:cs="Calibri"/>
                <w:b/>
                <w:bCs/>
                <w:sz w:val="24"/>
                <w:szCs w:val="24"/>
              </w:rPr>
              <w:t>Task 3 – Safeguarding and Working in Complex Situations</w:t>
            </w:r>
          </w:p>
          <w:p w14:paraId="7CC769DB" w14:textId="77777777" w:rsidR="00A76E36" w:rsidRPr="00A76E36" w:rsidRDefault="00A76E36" w:rsidP="00A76E36">
            <w:pPr>
              <w:spacing w:line="276" w:lineRule="auto"/>
              <w:rPr>
                <w:rFonts w:ascii="Calibri" w:hAnsi="Calibri" w:cs="Calibri"/>
                <w:sz w:val="24"/>
                <w:szCs w:val="24"/>
              </w:rPr>
            </w:pPr>
            <w:r w:rsidRPr="00A76E36">
              <w:rPr>
                <w:rFonts w:ascii="Calibri" w:hAnsi="Calibri" w:cs="Calibri"/>
                <w:b/>
                <w:bCs/>
                <w:sz w:val="24"/>
                <w:szCs w:val="24"/>
              </w:rPr>
              <w:t>Case Study: Safeguarding an Older Adolescent in Wales</w:t>
            </w:r>
          </w:p>
          <w:p w14:paraId="0934FBDC" w14:textId="77777777" w:rsidR="00A76E36" w:rsidRPr="00A76E36" w:rsidRDefault="00A76E36" w:rsidP="00A76E36">
            <w:pPr>
              <w:spacing w:line="276" w:lineRule="auto"/>
              <w:rPr>
                <w:rFonts w:ascii="Calibri" w:hAnsi="Calibri" w:cs="Calibri"/>
                <w:b/>
                <w:bCs/>
                <w:sz w:val="24"/>
                <w:szCs w:val="24"/>
              </w:rPr>
            </w:pPr>
            <w:r w:rsidRPr="00A76E36">
              <w:rPr>
                <w:rFonts w:ascii="Calibri" w:hAnsi="Calibri" w:cs="Calibri"/>
                <w:b/>
                <w:bCs/>
                <w:sz w:val="24"/>
                <w:szCs w:val="24"/>
              </w:rPr>
              <w:t>Introduction</w:t>
            </w:r>
          </w:p>
          <w:p w14:paraId="50AEDFCB" w14:textId="48FB0D88" w:rsidR="00A76E36" w:rsidRDefault="00A76E36" w:rsidP="00A76E36">
            <w:pPr>
              <w:spacing w:line="276" w:lineRule="auto"/>
              <w:rPr>
                <w:rFonts w:ascii="Calibri" w:hAnsi="Calibri" w:cs="Calibri"/>
                <w:sz w:val="24"/>
                <w:szCs w:val="24"/>
              </w:rPr>
            </w:pPr>
            <w:r w:rsidRPr="00A76E36">
              <w:rPr>
                <w:rFonts w:ascii="Calibri" w:hAnsi="Calibri" w:cs="Calibri"/>
                <w:sz w:val="24"/>
                <w:szCs w:val="24"/>
              </w:rPr>
              <w:t xml:space="preserve">This critically reflective case study explores safeguarding practice with </w:t>
            </w:r>
            <w:r w:rsidRPr="00A76E36">
              <w:rPr>
                <w:rFonts w:ascii="Calibri" w:hAnsi="Calibri" w:cs="Calibri"/>
                <w:b/>
                <w:bCs/>
                <w:sz w:val="24"/>
                <w:szCs w:val="24"/>
              </w:rPr>
              <w:t>3</w:t>
            </w:r>
            <w:r w:rsidRPr="00A76E36">
              <w:rPr>
                <w:rFonts w:ascii="Calibri" w:hAnsi="Calibri" w:cs="Calibri"/>
                <w:sz w:val="24"/>
                <w:szCs w:val="24"/>
              </w:rPr>
              <w:t xml:space="preserve">, a 16-year-old young person in Wales whose younger </w:t>
            </w:r>
            <w:r w:rsidR="009B33A1">
              <w:rPr>
                <w:rFonts w:ascii="Calibri" w:hAnsi="Calibri" w:cs="Calibri"/>
                <w:sz w:val="24"/>
                <w:szCs w:val="24"/>
              </w:rPr>
              <w:t>siblings</w:t>
            </w:r>
            <w:r w:rsidRPr="00A76E36">
              <w:rPr>
                <w:rFonts w:ascii="Calibri" w:hAnsi="Calibri" w:cs="Calibri"/>
                <w:sz w:val="24"/>
                <w:szCs w:val="24"/>
              </w:rPr>
              <w:t xml:space="preserve"> were removed into local authority care due to neglect and unsafe home conditions. Following police involvement, both parents became subject to bail conditions and 3 began </w:t>
            </w:r>
            <w:r w:rsidR="000C18BC">
              <w:rPr>
                <w:rFonts w:ascii="Calibri" w:hAnsi="Calibri" w:cs="Calibri"/>
                <w:sz w:val="24"/>
                <w:szCs w:val="24"/>
              </w:rPr>
              <w:t>sleeping on the sofa</w:t>
            </w:r>
            <w:r w:rsidRPr="00A76E36">
              <w:rPr>
                <w:rFonts w:ascii="Calibri" w:hAnsi="Calibri" w:cs="Calibri"/>
                <w:sz w:val="24"/>
                <w:szCs w:val="24"/>
              </w:rPr>
              <w:t xml:space="preserve"> at her </w:t>
            </w:r>
            <w:r w:rsidR="0041401A">
              <w:rPr>
                <w:rFonts w:ascii="Calibri" w:hAnsi="Calibri" w:cs="Calibri"/>
                <w:sz w:val="24"/>
                <w:szCs w:val="24"/>
              </w:rPr>
              <w:t>grandparents’</w:t>
            </w:r>
            <w:r w:rsidRPr="00A76E36">
              <w:rPr>
                <w:rFonts w:ascii="Calibri" w:hAnsi="Calibri" w:cs="Calibri"/>
                <w:sz w:val="24"/>
                <w:szCs w:val="24"/>
              </w:rPr>
              <w:t xml:space="preserve"> home in a rural community. 3 is White Welsh and bilingual, frequently choosing to use Welsh for sensitive conversations. This preference required a rights-affirming bilingual approach consistent with the Welsh Language (Wales) Measure 2011 and the “Active Offer” principle embedded in Welsh health and social care. The presenting circumstances raised the classic tensions of late-adolescent safeguarding: how to balance a young person’s voice, developing autonomy and dislike of statutory involvement with the professional duty to prevent harm, promote well-being, and plan for a safe transition to adulthood.</w:t>
            </w:r>
          </w:p>
          <w:p w14:paraId="400037AC" w14:textId="77777777" w:rsidR="00C1154F" w:rsidRPr="00A76E36" w:rsidRDefault="00C1154F" w:rsidP="00A76E36">
            <w:pPr>
              <w:spacing w:line="276" w:lineRule="auto"/>
              <w:rPr>
                <w:rFonts w:ascii="Calibri" w:hAnsi="Calibri" w:cs="Calibri"/>
                <w:sz w:val="24"/>
                <w:szCs w:val="24"/>
              </w:rPr>
            </w:pPr>
          </w:p>
          <w:p w14:paraId="5FCC436A"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 xml:space="preserve">The practice questions were immediate and uncomfortable. Was the sofa-surfing arrangement tolerable as a short-term, kin-based solution, or did it amount to neglect because it denied her privacy, stability and rest essential for educational participation and emotional regulation? Would </w:t>
            </w:r>
            <w:r w:rsidRPr="00A76E36">
              <w:rPr>
                <w:rFonts w:ascii="Calibri" w:hAnsi="Calibri" w:cs="Calibri"/>
                <w:sz w:val="24"/>
                <w:szCs w:val="24"/>
              </w:rPr>
              <w:lastRenderedPageBreak/>
              <w:t>offering voluntary accommodation under the Social Services and Well-being (Wales) Act 2016 (SSW(W)A) be proportionate protection or an overreach that silenced 3’s preferences and undermined trust? How could I hold boundaries and apply thresholds when my human response was to go the extra mile for 3 in the narrowing window before she turned 18?</w:t>
            </w:r>
          </w:p>
          <w:p w14:paraId="21BDEEC3" w14:textId="77777777" w:rsidR="00C1154F" w:rsidRPr="00A76E36" w:rsidRDefault="00C1154F" w:rsidP="00A76E36">
            <w:pPr>
              <w:spacing w:line="276" w:lineRule="auto"/>
              <w:rPr>
                <w:rFonts w:ascii="Calibri" w:hAnsi="Calibri" w:cs="Calibri"/>
                <w:sz w:val="24"/>
                <w:szCs w:val="24"/>
              </w:rPr>
            </w:pPr>
          </w:p>
          <w:p w14:paraId="7D36F7D1" w14:textId="77777777" w:rsidR="00C1154F" w:rsidRDefault="00A76E36" w:rsidP="00A76E36">
            <w:pPr>
              <w:spacing w:line="276" w:lineRule="auto"/>
              <w:rPr>
                <w:rFonts w:ascii="Calibri" w:hAnsi="Calibri" w:cs="Calibri"/>
                <w:sz w:val="24"/>
                <w:szCs w:val="24"/>
              </w:rPr>
            </w:pPr>
            <w:r w:rsidRPr="00A76E36">
              <w:rPr>
                <w:rFonts w:ascii="Calibri" w:hAnsi="Calibri" w:cs="Calibri"/>
                <w:sz w:val="24"/>
                <w:szCs w:val="24"/>
              </w:rPr>
              <w:t xml:space="preserve">These dilemmas were not abstract; they were shaped by the devolved legal landscape and the realities of rural Wales. At Welsh level, the SSW(W)A (particularly Parts 6 and 7), Working Together to Safeguard People (Wales), and the Wales Safeguarding Procedures (2019) framed duties around well-being, prevention, voice and control, and co-production. At UK level, the Children Act 1989 continues to underpin Section 17 children-in-need and Section 47 child protection enquiries in Wales, while the Human Rights Act 1998 is embedded in the European Convention on Human Rights (ECHR) standards of proportionality and least-restrictive interference (Articles 3 and 8). </w:t>
            </w:r>
          </w:p>
          <w:p w14:paraId="39DAD3C1" w14:textId="77777777" w:rsidR="00C1154F" w:rsidRDefault="00C1154F" w:rsidP="00A76E36">
            <w:pPr>
              <w:spacing w:line="276" w:lineRule="auto"/>
              <w:rPr>
                <w:rFonts w:ascii="Calibri" w:hAnsi="Calibri" w:cs="Calibri"/>
                <w:sz w:val="24"/>
                <w:szCs w:val="24"/>
              </w:rPr>
            </w:pPr>
          </w:p>
          <w:p w14:paraId="3A431D17" w14:textId="40CDFFCB" w:rsidR="00A76E36" w:rsidRDefault="00A76E36" w:rsidP="00A76E36">
            <w:pPr>
              <w:spacing w:line="276" w:lineRule="auto"/>
              <w:rPr>
                <w:rFonts w:ascii="Calibri" w:hAnsi="Calibri" w:cs="Calibri"/>
                <w:sz w:val="24"/>
                <w:szCs w:val="24"/>
              </w:rPr>
            </w:pPr>
            <w:r w:rsidRPr="00A76E36">
              <w:rPr>
                <w:rFonts w:ascii="Calibri" w:hAnsi="Calibri" w:cs="Calibri"/>
                <w:sz w:val="24"/>
                <w:szCs w:val="24"/>
              </w:rPr>
              <w:t>Internationally, the United Nations Convention on the Rights of the Child (UNCRC, 1989) to which Wales gives due regard, through the Rights of Children and Young Persons (Wales) Measure 2011, required that 3’s views be heard and given due weight (Article 12), while recognising the right to an adequate standard of living and special protection when family life is compromised (Articles 27 and 20).</w:t>
            </w:r>
          </w:p>
          <w:p w14:paraId="15DEEB0C" w14:textId="77777777" w:rsidR="00C1154F" w:rsidRPr="00A76E36" w:rsidRDefault="00C1154F" w:rsidP="00A76E36">
            <w:pPr>
              <w:spacing w:line="276" w:lineRule="auto"/>
              <w:rPr>
                <w:rFonts w:ascii="Calibri" w:hAnsi="Calibri" w:cs="Calibri"/>
                <w:sz w:val="24"/>
                <w:szCs w:val="24"/>
              </w:rPr>
            </w:pPr>
          </w:p>
          <w:p w14:paraId="3BBFBE31"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In exploring my own decision-making, I draw on Attachment Theory (Bowlby), the Strengths-Based Approach (Saleebey), the Crisis Intervention Model (Roberts), and Systems Theory (Bronfenbrenner), augmented by contextual safeguarding and trauma-informed practice</w:t>
            </w:r>
            <w:r w:rsidRPr="00A76E36">
              <w:rPr>
                <w:rFonts w:ascii="Calibri" w:hAnsi="Calibri" w:cs="Calibri"/>
                <w:color w:val="000000" w:themeColor="text1"/>
                <w:sz w:val="24"/>
                <w:szCs w:val="24"/>
              </w:rPr>
              <w:t xml:space="preserve">. I show how these frames illustrate, but can also distort, professional judgement unless held critically. </w:t>
            </w:r>
            <w:r w:rsidRPr="00A76E36">
              <w:rPr>
                <w:rFonts w:ascii="Calibri" w:hAnsi="Calibri" w:cs="Calibri"/>
                <w:sz w:val="24"/>
                <w:szCs w:val="24"/>
              </w:rPr>
              <w:t>Throughout, I demonstrate Social Care Wales outcomes: collaborative working, analysis within assessment, and professional judgement in complex situations, while referring explicitly to Welsh geography, language, institutions and culture as shaping variables in practice.</w:t>
            </w:r>
          </w:p>
          <w:p w14:paraId="0C216662" w14:textId="77777777" w:rsidR="00A76E36" w:rsidRPr="00A76E36" w:rsidRDefault="00A76E36" w:rsidP="00A76E36">
            <w:pPr>
              <w:spacing w:line="276" w:lineRule="auto"/>
              <w:rPr>
                <w:rFonts w:ascii="Calibri" w:hAnsi="Calibri" w:cs="Calibri"/>
                <w:sz w:val="24"/>
                <w:szCs w:val="24"/>
              </w:rPr>
            </w:pPr>
          </w:p>
          <w:p w14:paraId="45F0388A" w14:textId="77777777" w:rsidR="00A76E36" w:rsidRPr="00A76E36" w:rsidRDefault="00A76E36" w:rsidP="00A76E36">
            <w:pPr>
              <w:spacing w:line="276" w:lineRule="auto"/>
              <w:rPr>
                <w:rFonts w:ascii="Calibri" w:hAnsi="Calibri" w:cs="Calibri"/>
                <w:b/>
                <w:bCs/>
                <w:sz w:val="24"/>
                <w:szCs w:val="24"/>
              </w:rPr>
            </w:pPr>
            <w:r w:rsidRPr="00A76E36">
              <w:rPr>
                <w:rFonts w:ascii="Calibri" w:hAnsi="Calibri" w:cs="Calibri"/>
                <w:b/>
                <w:bCs/>
                <w:sz w:val="24"/>
                <w:szCs w:val="24"/>
              </w:rPr>
              <w:t>Case Study Description</w:t>
            </w:r>
          </w:p>
          <w:p w14:paraId="2BB5DEB3" w14:textId="41F14D0C" w:rsidR="00A76E36" w:rsidRPr="00A76E36" w:rsidRDefault="00A76E36" w:rsidP="00A76E36">
            <w:pPr>
              <w:spacing w:line="276" w:lineRule="auto"/>
              <w:rPr>
                <w:rFonts w:ascii="Calibri" w:hAnsi="Calibri" w:cs="Calibri"/>
                <w:sz w:val="24"/>
                <w:szCs w:val="24"/>
              </w:rPr>
            </w:pPr>
            <w:r w:rsidRPr="00A76E36">
              <w:rPr>
                <w:rFonts w:ascii="Calibri" w:hAnsi="Calibri" w:cs="Calibri"/>
                <w:sz w:val="24"/>
                <w:szCs w:val="24"/>
              </w:rPr>
              <w:t xml:space="preserve">3 lived with both parents and younger </w:t>
            </w:r>
            <w:r w:rsidR="009E599B">
              <w:rPr>
                <w:rFonts w:ascii="Calibri" w:hAnsi="Calibri" w:cs="Calibri"/>
                <w:sz w:val="24"/>
                <w:szCs w:val="24"/>
              </w:rPr>
              <w:t>siblings</w:t>
            </w:r>
            <w:r w:rsidRPr="00A76E36">
              <w:rPr>
                <w:rFonts w:ascii="Calibri" w:hAnsi="Calibri" w:cs="Calibri"/>
                <w:sz w:val="24"/>
                <w:szCs w:val="24"/>
              </w:rPr>
              <w:t xml:space="preserve"> until escalating concerns about their home conditions, supervision and parental capacity triggered statutory intervention. Section 47 enquiries (Children Act 1989), substantiated risk of significant harm for the siblings, who were subsequently made subject to care orders and placed in foster care. 3, however, refused to be accommodated and moved into her grand</w:t>
            </w:r>
            <w:r w:rsidR="009E599B">
              <w:rPr>
                <w:rFonts w:ascii="Calibri" w:hAnsi="Calibri" w:cs="Calibri"/>
                <w:sz w:val="24"/>
                <w:szCs w:val="24"/>
              </w:rPr>
              <w:t>parent</w:t>
            </w:r>
            <w:r w:rsidRPr="00A76E36">
              <w:rPr>
                <w:rFonts w:ascii="Calibri" w:hAnsi="Calibri" w:cs="Calibri"/>
                <w:sz w:val="24"/>
                <w:szCs w:val="24"/>
              </w:rPr>
              <w:t>’s living room. The grand</w:t>
            </w:r>
            <w:r w:rsidR="00A52A18">
              <w:rPr>
                <w:rFonts w:ascii="Calibri" w:hAnsi="Calibri" w:cs="Calibri"/>
                <w:sz w:val="24"/>
                <w:szCs w:val="24"/>
              </w:rPr>
              <w:t>parent</w:t>
            </w:r>
            <w:r w:rsidRPr="00A76E36">
              <w:rPr>
                <w:rFonts w:ascii="Calibri" w:hAnsi="Calibri" w:cs="Calibri"/>
                <w:sz w:val="24"/>
                <w:szCs w:val="24"/>
              </w:rPr>
              <w:t xml:space="preserve"> was affectionate and protective but elderly, with health needs and no spare bedroom. 3 slept on a sofa without privacy; the arrangement was intended to be short-term but drifted without a firm end point. The rural location meant sparse public transport, long distances to school and services, and limited youth provision. The school safeguarding lead reported fatigue, variable attendance and periods of anxiety. There </w:t>
            </w:r>
            <w:r w:rsidRPr="00A76E36">
              <w:rPr>
                <w:rFonts w:ascii="Calibri" w:hAnsi="Calibri" w:cs="Calibri"/>
                <w:sz w:val="24"/>
                <w:szCs w:val="24"/>
              </w:rPr>
              <w:lastRenderedPageBreak/>
              <w:t>were no current indicators of self-harm, substance misuse or offending; 3’s stated goals were: to complete qualifications, maintain contact with siblings, and avoid being “put into the system.”</w:t>
            </w:r>
          </w:p>
          <w:p w14:paraId="7B2D4753"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3’s voice was not a token; it was the organising force of each meeting. She spoke with conviction about wanting to remain with her grandmother and about the indignity she associated with institutional care. She valued relationships with specific teachers and a small circle of friends and was sensitive to stigma. She articulated a realistic appraisal of her parents’ difficulties and the reasons her brothers had been removed, yet she wanted to preserve family loyalty and identity. These positions resonated with UNCRC Article 12 and with the SSW(W)A’s voice-and-control ethos. They also raised the question of how to weigh a 16-year-old’s well-reasoned preferences against the professional analysis that sofa-surfing carries safeguarding risks, particularly for adolescent girls with limited transport and fluctuating adult supervision (Shelter, 2022).</w:t>
            </w:r>
          </w:p>
          <w:p w14:paraId="4C4D48AC" w14:textId="77777777" w:rsidR="00A76E36" w:rsidRPr="00A76E36" w:rsidRDefault="00A76E36" w:rsidP="00A76E36">
            <w:pPr>
              <w:spacing w:line="276" w:lineRule="auto"/>
              <w:rPr>
                <w:rFonts w:ascii="Calibri" w:hAnsi="Calibri" w:cs="Calibri"/>
                <w:sz w:val="24"/>
                <w:szCs w:val="24"/>
              </w:rPr>
            </w:pPr>
          </w:p>
          <w:p w14:paraId="1316343D"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My assessment approach combined the Welsh policy emphasis on co-production with the structure of the Assessment Framework’s three domains: the child’s developmental needs, parenting capacity, and family/environment. I constructed a chronology to map patterns of instability, school attendance, contact with siblings, and health appointments. I used a genogram to map kin relationships, strains and supports; an ecomap to visualise service connections and gaps; and a risk matrix to calibrate likelihood and impact for neglect and exploitation indicators. I offered bilingual meetings and ensured written summaries were provided in plain Welsh and English. I triangulated information with school, GP, children’s health, housing, and police (regarding bail conditions and any restrictions that might affect contact or address). The emerging picture was of a young person with insight, ambition and voice, held within a precarious accommodation arrangement that placed a subtle but persistent drag on well-being and educational engagement.</w:t>
            </w:r>
          </w:p>
          <w:p w14:paraId="5858F37D" w14:textId="77777777" w:rsidR="00A76E36" w:rsidRPr="00A76E36" w:rsidRDefault="00A76E36" w:rsidP="00A76E36">
            <w:pPr>
              <w:spacing w:line="276" w:lineRule="auto"/>
              <w:rPr>
                <w:rFonts w:ascii="Calibri" w:hAnsi="Calibri" w:cs="Calibri"/>
                <w:sz w:val="24"/>
                <w:szCs w:val="24"/>
              </w:rPr>
            </w:pPr>
          </w:p>
          <w:p w14:paraId="55DED004"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 xml:space="preserve">The central dilemmas emerged as follows: independence versus dependence (3’s near-adulthood self-definition against her legal status as a child); authority versus partnership (state powers to accommodate versus co-producing a plan that honours her choices); protection versus rights (intervening decisively versus respecting Article 8 family life and Article 12 participation); and professional versus personal (holding boundaries and threshold consistency while responding humanely to a specific young person’s circumstances). The breadth of these opposing points exaggerated by </w:t>
            </w:r>
            <w:r w:rsidRPr="00A76E36">
              <w:rPr>
                <w:rFonts w:ascii="Calibri" w:hAnsi="Calibri" w:cs="Calibri"/>
                <w:color w:val="auto"/>
                <w:sz w:val="24"/>
                <w:szCs w:val="24"/>
              </w:rPr>
              <w:t xml:space="preserve">rural surroundings, </w:t>
            </w:r>
            <w:r w:rsidRPr="00A76E36">
              <w:rPr>
                <w:rFonts w:ascii="Calibri" w:hAnsi="Calibri" w:cs="Calibri"/>
                <w:sz w:val="24"/>
                <w:szCs w:val="24"/>
              </w:rPr>
              <w:t>limited supported housing in commuting range, and the grandmother’s mixed capacity: high emotional warmth, variable physical stamina.</w:t>
            </w:r>
          </w:p>
          <w:p w14:paraId="622CF008" w14:textId="77777777" w:rsidR="00A76E36" w:rsidRPr="00A76E36" w:rsidRDefault="00A76E36" w:rsidP="00A76E36">
            <w:pPr>
              <w:spacing w:line="276" w:lineRule="auto"/>
              <w:rPr>
                <w:rFonts w:ascii="Calibri" w:hAnsi="Calibri" w:cs="Calibri"/>
                <w:sz w:val="24"/>
                <w:szCs w:val="24"/>
              </w:rPr>
            </w:pPr>
          </w:p>
          <w:p w14:paraId="5FDF0AB5" w14:textId="77777777" w:rsidR="00A76E36" w:rsidRPr="00A76E36" w:rsidRDefault="00A76E36" w:rsidP="00A76E36">
            <w:pPr>
              <w:spacing w:line="276" w:lineRule="auto"/>
              <w:rPr>
                <w:rFonts w:ascii="Calibri" w:hAnsi="Calibri" w:cs="Calibri"/>
                <w:b/>
                <w:bCs/>
                <w:sz w:val="24"/>
                <w:szCs w:val="24"/>
              </w:rPr>
            </w:pPr>
            <w:r w:rsidRPr="00A76E36">
              <w:rPr>
                <w:rFonts w:ascii="Calibri" w:hAnsi="Calibri" w:cs="Calibri"/>
                <w:b/>
                <w:bCs/>
                <w:sz w:val="24"/>
                <w:szCs w:val="24"/>
              </w:rPr>
              <w:t>Legislative and Policy Framework (Wales, UK, EU/International) and Practice Interface</w:t>
            </w:r>
          </w:p>
          <w:p w14:paraId="0AAAB91E" w14:textId="5600EBD0" w:rsidR="00A76E36" w:rsidRDefault="00A76E36" w:rsidP="00A76E36">
            <w:pPr>
              <w:spacing w:line="276" w:lineRule="auto"/>
              <w:rPr>
                <w:rFonts w:ascii="Calibri" w:hAnsi="Calibri" w:cs="Calibri"/>
                <w:sz w:val="24"/>
                <w:szCs w:val="24"/>
              </w:rPr>
            </w:pPr>
            <w:r w:rsidRPr="00A76E36">
              <w:rPr>
                <w:rFonts w:ascii="Calibri" w:hAnsi="Calibri" w:cs="Calibri"/>
                <w:sz w:val="24"/>
                <w:szCs w:val="24"/>
              </w:rPr>
              <w:t xml:space="preserve">The SSW(W)A 2016 is more than a statute; it frames a philosophy. It requires public bodies in Wales to promote well-being, practice prevention, and centre the person’s voice and control. For 3, Part 7 (safeguarding) created partner duties to report, inquire and act on children at risk; Working Together to Safeguard People (the statutory guidance suite under the Act) described roles, </w:t>
            </w:r>
            <w:r w:rsidRPr="00A76E36">
              <w:rPr>
                <w:rFonts w:ascii="Calibri" w:hAnsi="Calibri" w:cs="Calibri"/>
                <w:sz w:val="24"/>
                <w:szCs w:val="24"/>
              </w:rPr>
              <w:lastRenderedPageBreak/>
              <w:t>thresholds and multi-agency responsibilities; the Wales Safeguarding Procedures translated these duties into practice pathways. Crucially, Part 6 (looked-after and leaving care) gave a clear legal route - voluntary accommodation under Sectio</w:t>
            </w:r>
            <w:r w:rsidR="005F6423">
              <w:rPr>
                <w:rFonts w:ascii="Calibri" w:hAnsi="Calibri" w:cs="Calibri"/>
                <w:sz w:val="24"/>
                <w:szCs w:val="24"/>
              </w:rPr>
              <w:t xml:space="preserve">n </w:t>
            </w:r>
            <w:r w:rsidRPr="00A76E36">
              <w:rPr>
                <w:rFonts w:ascii="Calibri" w:hAnsi="Calibri" w:cs="Calibri"/>
                <w:sz w:val="24"/>
                <w:szCs w:val="24"/>
              </w:rPr>
              <w:t>76, the Welsh equivalent of Section 20 in England. Had 3 agreed to s.76, she would have become looked-after, unlocking care-leaver entitlements up to age 25. It was important to make the offer of this route available to her but also respect her wishes in declining.</w:t>
            </w:r>
          </w:p>
          <w:p w14:paraId="5DB3C641" w14:textId="77777777" w:rsidR="00C85214" w:rsidRPr="00A76E36" w:rsidRDefault="00C85214" w:rsidP="00A76E36">
            <w:pPr>
              <w:spacing w:line="276" w:lineRule="auto"/>
              <w:rPr>
                <w:rFonts w:ascii="Calibri" w:hAnsi="Calibri" w:cs="Calibri"/>
                <w:sz w:val="24"/>
                <w:szCs w:val="24"/>
              </w:rPr>
            </w:pPr>
          </w:p>
          <w:p w14:paraId="528C74EF"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The Children Act 1989 remained operative in Wales for s.17 (children in need) and s.47 (enquiries where significant harm is suspected). Sofa-surfing can constitute neglect because it compromises basic developmental needs for sleep, safety and dignity; the decision turns on a holistic analysis rather than a single indicator. Where risk is credible and persistent, professionals are under a duty to make enquiries and intervene. That duty does not dissolve because a young person is articulate or prefers alternative arrangements; instead, participation duties require that we involve the young person in designing proportionate responses.</w:t>
            </w:r>
          </w:p>
          <w:p w14:paraId="5558DF0C" w14:textId="77777777" w:rsidR="00C85214" w:rsidRPr="00A76E36" w:rsidRDefault="00C85214" w:rsidP="00A76E36">
            <w:pPr>
              <w:spacing w:line="276" w:lineRule="auto"/>
              <w:rPr>
                <w:rFonts w:ascii="Calibri" w:hAnsi="Calibri" w:cs="Calibri"/>
                <w:sz w:val="24"/>
                <w:szCs w:val="24"/>
              </w:rPr>
            </w:pPr>
          </w:p>
          <w:p w14:paraId="716EE823"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The Human Rights Act 1998 embedded the ECHR and its proportionality discipline. Interference with Article 8 (family/private life) must pursue a legitimate aim, be prescribed by law, necessary and proportionate. This lens is practically useful: it pushes practitioners to articulate the least restrictive plan that can reasonably protect the child. It also helps weigh claims under Article 3, which prohibits inhuman or degrading treatment; chronic sofa-surfing in conditions that deny dignity can press towards that threshold. Case law illustrates that a child’s best interests are a primary consideration and must be reasoned through explicitly, not assumed. In that spirit, my records set out how each option met or failed proportionality, and why the chosen path least intruded on 3’s rights while addressing risk.</w:t>
            </w:r>
          </w:p>
          <w:p w14:paraId="2006F213" w14:textId="77777777" w:rsidR="00C85214" w:rsidRPr="00A76E36" w:rsidRDefault="00C85214" w:rsidP="00A76E36">
            <w:pPr>
              <w:spacing w:line="276" w:lineRule="auto"/>
              <w:rPr>
                <w:rFonts w:ascii="Calibri" w:hAnsi="Calibri" w:cs="Calibri"/>
                <w:sz w:val="24"/>
                <w:szCs w:val="24"/>
              </w:rPr>
            </w:pPr>
          </w:p>
          <w:p w14:paraId="46CC7575" w14:textId="77777777" w:rsidR="00A76E36" w:rsidRPr="00A76E36" w:rsidRDefault="00A76E36" w:rsidP="00A76E36">
            <w:pPr>
              <w:spacing w:line="276" w:lineRule="auto"/>
              <w:rPr>
                <w:rFonts w:ascii="Calibri" w:hAnsi="Calibri" w:cs="Calibri"/>
                <w:sz w:val="24"/>
                <w:szCs w:val="24"/>
              </w:rPr>
            </w:pPr>
            <w:r w:rsidRPr="00A76E36">
              <w:rPr>
                <w:rFonts w:ascii="Calibri" w:hAnsi="Calibri" w:cs="Calibri"/>
                <w:sz w:val="24"/>
                <w:szCs w:val="24"/>
              </w:rPr>
              <w:t>The Housing (Wales) Act 2014 intersects directly with adolescent safeguarding. Sixteen- and seventeen-year-olds are usually treated as priority need; local authorities owe prevention and relief duties and must avoid organisational “buck-passing.” Practice in Wales reflects UK jurisprudence that children’s services have primary responsibility for homeless 16/17-year-olds, with housing as a key partner. For 3, this meant that children’s services led the assessment and plan while housing co-produced a realistic map of supported lodgings, foyer schemes and hostels within commuting range. The practical obstacles were familiar: few placements near schools, waiting lists, transport costs.</w:t>
            </w:r>
          </w:p>
          <w:p w14:paraId="2CC2F554"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Data protection considerations were not a barrier but a compass. The Data Protection Act 2018 and UK GDPR, interpreted through the Wales Accord on the Sharing of Personal Information (WASPI), required that we share information that is necessary and proportionate for safeguarding, and only that. Caldicott principles encouraged clarity about purpose and minimisation. Rather than retreating into defensive non-sharing, the team made explicit, case-by-case decisions with 3’s knowledge wherever safe to do so.</w:t>
            </w:r>
          </w:p>
          <w:p w14:paraId="176A0214" w14:textId="77777777" w:rsidR="00C85214" w:rsidRPr="00A76E36" w:rsidRDefault="00C85214" w:rsidP="00A76E36">
            <w:pPr>
              <w:spacing w:line="276" w:lineRule="auto"/>
              <w:rPr>
                <w:rFonts w:ascii="Calibri" w:hAnsi="Calibri" w:cs="Calibri"/>
                <w:sz w:val="24"/>
                <w:szCs w:val="24"/>
              </w:rPr>
            </w:pPr>
          </w:p>
          <w:p w14:paraId="4E4A599A" w14:textId="77777777" w:rsidR="00A76E36" w:rsidRPr="00A76E36" w:rsidRDefault="00A76E36" w:rsidP="00A76E36">
            <w:pPr>
              <w:spacing w:line="276" w:lineRule="auto"/>
              <w:rPr>
                <w:rFonts w:ascii="Calibri" w:hAnsi="Calibri" w:cs="Calibri"/>
                <w:sz w:val="24"/>
                <w:szCs w:val="24"/>
              </w:rPr>
            </w:pPr>
            <w:r w:rsidRPr="00A76E36">
              <w:rPr>
                <w:rFonts w:ascii="Calibri" w:hAnsi="Calibri" w:cs="Calibri"/>
                <w:sz w:val="24"/>
                <w:szCs w:val="24"/>
              </w:rPr>
              <w:t>At international level, the UNCRC has special significance in Wales, where public bodies must give “due regard” to children’s rights. Article 12 shaped my practice: I did not solicit 3’s views merely to record them; I gave them weight and value, taking them as the starting point for planning. Article 27 (adequate standard of living) and Article 20 (special protection when family life cannot be provided) kept material conditions in view. The Istanbul Convention’s focus on protecting girls and women from violence and exploitation supported a gender-aware analysis of extra-familial risk in sofa-surfing scenarios. The ECHR continued through the HRA despite Brexit, and while the UK is outside the EU, UK GDPR retained the essence of European data protection in domestic law.</w:t>
            </w:r>
          </w:p>
          <w:p w14:paraId="155C4ABB" w14:textId="561E3832" w:rsidR="00A76E36" w:rsidRDefault="00A76E36" w:rsidP="00A76E36">
            <w:pPr>
              <w:spacing w:line="276" w:lineRule="auto"/>
              <w:rPr>
                <w:rFonts w:ascii="Calibri" w:hAnsi="Calibri" w:cs="Calibri"/>
                <w:sz w:val="24"/>
                <w:szCs w:val="24"/>
              </w:rPr>
            </w:pPr>
            <w:r w:rsidRPr="00A76E36">
              <w:rPr>
                <w:rFonts w:ascii="Calibri" w:hAnsi="Calibri" w:cs="Calibri"/>
                <w:sz w:val="24"/>
                <w:szCs w:val="24"/>
              </w:rPr>
              <w:t>In practice, these frameworks did not produce a single correct answer. They generated a set of non-negotiable: participation, prevention, proportionality, a</w:t>
            </w:r>
            <w:r w:rsidR="000721CA">
              <w:rPr>
                <w:rFonts w:ascii="Calibri" w:hAnsi="Calibri" w:cs="Calibri"/>
                <w:sz w:val="24"/>
                <w:szCs w:val="24"/>
              </w:rPr>
              <w:t>nd</w:t>
            </w:r>
            <w:r w:rsidRPr="00A76E36">
              <w:rPr>
                <w:rFonts w:ascii="Calibri" w:hAnsi="Calibri" w:cs="Calibri"/>
                <w:sz w:val="24"/>
                <w:szCs w:val="24"/>
              </w:rPr>
              <w:t xml:space="preserve"> requirement to evidence careful balancing. The Law framed the ethical questions that practice had to answer in the context of limited resources, family dynamics, and 3’s preferences, using professional judgement to explore each of these.</w:t>
            </w:r>
          </w:p>
          <w:p w14:paraId="6A882977" w14:textId="77777777" w:rsidR="00C85214" w:rsidRPr="00A76E36" w:rsidRDefault="00C85214" w:rsidP="00A76E36">
            <w:pPr>
              <w:spacing w:line="276" w:lineRule="auto"/>
              <w:rPr>
                <w:rFonts w:ascii="Calibri" w:hAnsi="Calibri" w:cs="Calibri"/>
                <w:sz w:val="24"/>
                <w:szCs w:val="24"/>
              </w:rPr>
            </w:pPr>
          </w:p>
          <w:p w14:paraId="10AB9CFC" w14:textId="77777777" w:rsidR="00A76E36" w:rsidRPr="00A76E36" w:rsidRDefault="00A76E36" w:rsidP="00A76E36">
            <w:pPr>
              <w:spacing w:line="276" w:lineRule="auto"/>
              <w:rPr>
                <w:rFonts w:ascii="Calibri" w:hAnsi="Calibri" w:cs="Calibri"/>
                <w:b/>
                <w:bCs/>
                <w:sz w:val="24"/>
                <w:szCs w:val="24"/>
              </w:rPr>
            </w:pPr>
            <w:r w:rsidRPr="00A76E36">
              <w:rPr>
                <w:rFonts w:ascii="Calibri" w:hAnsi="Calibri" w:cs="Calibri"/>
                <w:b/>
                <w:bCs/>
                <w:sz w:val="24"/>
                <w:szCs w:val="24"/>
              </w:rPr>
              <w:t>Theoretical Frameworks, Application and Critical Reflection</w:t>
            </w:r>
          </w:p>
          <w:p w14:paraId="22B23A1A"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Attachment theory clarified the emotional landscape of the case. 3 had endured inconsistent care and sibling separation; such experiences are associated with anxious or avoidant strategies that can look like defiance or hyper-independence. The grand-daughter - grandmother relationship offered security of affection but not of space and routine. Attachment theory pointed towards providing a secure base: predictable contact, a private area for belongings, reliable routines around sleep and study, and consistent adult availability. Yet the theory risks pathologising resilience if uncritically applied. 3’s refusal to be accommodated could be read as resistance born of insecure attachment; it could equally be understood as a rational assertion of dignity and agency in a rural community where stigma carries consequences. Rutter’s critique reminds practitioners not to treat attachment concepts as destiny; strengths and context matter.</w:t>
            </w:r>
          </w:p>
          <w:p w14:paraId="49729923" w14:textId="77777777" w:rsidR="00C85214" w:rsidRPr="00A76E36" w:rsidRDefault="00C85214" w:rsidP="00A76E36">
            <w:pPr>
              <w:spacing w:line="276" w:lineRule="auto"/>
              <w:rPr>
                <w:rFonts w:ascii="Calibri" w:hAnsi="Calibri" w:cs="Calibri"/>
                <w:sz w:val="24"/>
                <w:szCs w:val="24"/>
              </w:rPr>
            </w:pPr>
          </w:p>
          <w:p w14:paraId="2A6BC705"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The strengths-based approach aligned naturally with Welsh policy. 3’s articulate self-advocacy, relationships with trusted teachers, and concrete goals were strengths to build on. In practical terms, this meant collaborative planning, transparent options, and services that scaffolded her goals rather than substituting for them. But strengths-based practice also has blind spots. Without attention to structural factors, it can slide into “resilience talk” that implies the young person should cope better. Ungar’s work is a corrective: resilience is not a trait an adolescent either has or lacks; it is a function of access to resources, relationships and opportunities. For 3, access to supported lodgings, affordable transport, and bilingual counselling were the materials of resilience; praising her agency without delivering these would be hollow.</w:t>
            </w:r>
          </w:p>
          <w:p w14:paraId="0C8D39C3" w14:textId="77777777" w:rsidR="00C85214" w:rsidRPr="00A76E36" w:rsidRDefault="00C85214" w:rsidP="00A76E36">
            <w:pPr>
              <w:spacing w:line="276" w:lineRule="auto"/>
              <w:rPr>
                <w:rFonts w:ascii="Calibri" w:hAnsi="Calibri" w:cs="Calibri"/>
                <w:sz w:val="24"/>
                <w:szCs w:val="24"/>
              </w:rPr>
            </w:pPr>
          </w:p>
          <w:p w14:paraId="03BEE0EA"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lastRenderedPageBreak/>
              <w:t>Crisis intervention offered a disciplined way to stabilise immediate risks: clarify a short-term plan, establish routines, ensure safety contacts, and reduce burdens on the grandmother. The model assumes crises are time-limited windows where constructive change is possible. It was helpful to get traction quickly, but the risk was to treat a chronic situation, poverty, rural service gaps, fragile family care, as a series of discreet “events.” Without medium-term housing solutions and reliable educational support, crisis work risks revolving endlessly. I therefore combined crisis steps with parallel planning: lining up supported lodgings as a contingency while strengthening the kin arrangement on 3’s terms.</w:t>
            </w:r>
          </w:p>
          <w:p w14:paraId="5894639D" w14:textId="77777777" w:rsidR="00C85214" w:rsidRPr="00A76E36" w:rsidRDefault="00C85214" w:rsidP="00A76E36">
            <w:pPr>
              <w:spacing w:line="276" w:lineRule="auto"/>
              <w:rPr>
                <w:rFonts w:ascii="Calibri" w:hAnsi="Calibri" w:cs="Calibri"/>
                <w:sz w:val="24"/>
                <w:szCs w:val="24"/>
              </w:rPr>
            </w:pPr>
          </w:p>
          <w:p w14:paraId="4CC7192B" w14:textId="77777777" w:rsidR="00A76E36" w:rsidRPr="00A76E36" w:rsidRDefault="00A76E36" w:rsidP="00A76E36">
            <w:pPr>
              <w:spacing w:line="276" w:lineRule="auto"/>
              <w:rPr>
                <w:rFonts w:ascii="Calibri" w:hAnsi="Calibri" w:cs="Calibri"/>
                <w:sz w:val="24"/>
                <w:szCs w:val="24"/>
              </w:rPr>
            </w:pPr>
            <w:r w:rsidRPr="00A76E36">
              <w:rPr>
                <w:rFonts w:ascii="Calibri" w:hAnsi="Calibri" w:cs="Calibri"/>
                <w:sz w:val="24"/>
                <w:szCs w:val="24"/>
              </w:rPr>
              <w:t>Systems theory prevented an individualising drift. Mapping the microsystem (3–grandmother relationship), mesosystem (home–school–health links), exosystem (transport, housing stock, policing of bail conditions) and macrosystem (devolved Welsh policy, linguistic rights) made plain that risk was not solely a function of parenting but also of place and policy. This insight encouraged advocacy at organisational interfaces: negotiating with housing about realistic placements in a commuting radius; securing a bus pass; agreeing bilingual counselling access; and using the Regional Safeguarding Board’s guidance on contextual risks in rural settings.</w:t>
            </w:r>
          </w:p>
          <w:p w14:paraId="0D1D6E40"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Contextual safeguarding and trauma-informed principles filled further gaps. Adolescents face extra-familial risk; from peers, online spaces, and locations, such as transport hubs. Sofa-surfing can increase dependency on informal lifts and adults outside the family, creating new vulnerabilities. A contextual approach therefore included mapping safe routes, agreeing code-words with trusted adults, setting expectations with peers and school, and ensuring digital safety practices. Trauma-informed practice framed engagement: predictability, collaboration, transparency about decisions, avoiding punitive responses to school fatigue, and building choice wherever possible (including language choice) to restore a sense of control. These choices were not soft add-ons; they were central to securing engagement and truthful risk disclosure.</w:t>
            </w:r>
          </w:p>
          <w:p w14:paraId="53FEC0E4" w14:textId="77777777" w:rsidR="00C85214" w:rsidRPr="00A76E36" w:rsidRDefault="00C85214" w:rsidP="00A76E36">
            <w:pPr>
              <w:spacing w:line="276" w:lineRule="auto"/>
              <w:rPr>
                <w:rFonts w:ascii="Calibri" w:hAnsi="Calibri" w:cs="Calibri"/>
                <w:sz w:val="24"/>
                <w:szCs w:val="24"/>
              </w:rPr>
            </w:pPr>
          </w:p>
          <w:p w14:paraId="3D1B48BE"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 xml:space="preserve">No theory delivered a complete solution. Attachment urged protection; strengths-based practice urged empowerment; crisis intervention urged immediate action; systems theory urged structural remedies; contextual safeguarding shifted focus beyond the family; trauma-informed practice urged caution around coercion. Professional judgement consisted in </w:t>
            </w:r>
            <w:r w:rsidRPr="00A76E36">
              <w:rPr>
                <w:rFonts w:ascii="Calibri" w:hAnsi="Calibri" w:cs="Calibri"/>
                <w:color w:val="auto"/>
                <w:sz w:val="24"/>
                <w:szCs w:val="24"/>
              </w:rPr>
              <w:t>holding these lenses in productive tension</w:t>
            </w:r>
            <w:r w:rsidRPr="00A76E36">
              <w:rPr>
                <w:rFonts w:ascii="Calibri" w:hAnsi="Calibri" w:cs="Calibri"/>
                <w:sz w:val="24"/>
                <w:szCs w:val="24"/>
              </w:rPr>
              <w:t>, rather than allowing any one of them to dominate the frame.</w:t>
            </w:r>
          </w:p>
          <w:p w14:paraId="3E9D0E84" w14:textId="77777777" w:rsidR="00C85214" w:rsidRPr="00A76E36" w:rsidRDefault="00C85214" w:rsidP="00A76E36">
            <w:pPr>
              <w:spacing w:line="276" w:lineRule="auto"/>
              <w:rPr>
                <w:rFonts w:ascii="Calibri" w:hAnsi="Calibri" w:cs="Calibri"/>
                <w:sz w:val="24"/>
                <w:szCs w:val="24"/>
              </w:rPr>
            </w:pPr>
          </w:p>
          <w:p w14:paraId="5AC28367" w14:textId="77777777" w:rsidR="00A76E36" w:rsidRPr="00A76E36" w:rsidRDefault="00A76E36" w:rsidP="00A76E36">
            <w:pPr>
              <w:spacing w:line="276" w:lineRule="auto"/>
              <w:rPr>
                <w:rFonts w:ascii="Calibri" w:hAnsi="Calibri" w:cs="Calibri"/>
                <w:b/>
                <w:bCs/>
                <w:sz w:val="24"/>
                <w:szCs w:val="24"/>
              </w:rPr>
            </w:pPr>
            <w:r w:rsidRPr="00A76E36">
              <w:rPr>
                <w:rFonts w:ascii="Calibri" w:hAnsi="Calibri" w:cs="Calibri"/>
                <w:b/>
                <w:bCs/>
                <w:sz w:val="24"/>
                <w:szCs w:val="24"/>
              </w:rPr>
              <w:t>Assessment, Analysis and Planning: Method and Reasoning</w:t>
            </w:r>
          </w:p>
          <w:p w14:paraId="7337F336"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 xml:space="preserve">The assessment process was methodical but not mechanical. Chronology exposed the slow creep of instability: missed appointments clustered around exam periods, nights of disrupted sleep before school, and escalating anxiety ahead of court dates for the parents. The genogram surfaced kin assets and stress points; the ecomap made visible the thinness of local youth provision and the over-reliance on a single bus route. The risk matrix disciplined my analysis: it required me to rate </w:t>
            </w:r>
            <w:r w:rsidRPr="00A76E36">
              <w:rPr>
                <w:rFonts w:ascii="Calibri" w:hAnsi="Calibri" w:cs="Calibri"/>
                <w:sz w:val="24"/>
                <w:szCs w:val="24"/>
              </w:rPr>
              <w:lastRenderedPageBreak/>
              <w:t>likelihood and impact for specific harm categories, justify ratings with evidence, and note protective factors that could be strengthened.</w:t>
            </w:r>
          </w:p>
          <w:p w14:paraId="5A97CF2E" w14:textId="77777777" w:rsidR="00C85214" w:rsidRPr="00A76E36" w:rsidRDefault="00C85214" w:rsidP="00A76E36">
            <w:pPr>
              <w:spacing w:line="276" w:lineRule="auto"/>
              <w:rPr>
                <w:rFonts w:ascii="Calibri" w:hAnsi="Calibri" w:cs="Calibri"/>
                <w:sz w:val="24"/>
                <w:szCs w:val="24"/>
              </w:rPr>
            </w:pPr>
          </w:p>
          <w:p w14:paraId="447A54EE"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Analysis yielded three central propositions. First, accommodation instability was persistent and materially harmful, not merely inconvenient, because it undermined sleep, privacy, and study, each of which has a downstream effect on well-being and attainment. Second, education was a pivot: if we could defend attendance and engagement, other outcomes would improve. Third, the grandmother was both asset and limit: she offered emotional continuity and oversight but could not be the entire plan. The logical implication was a plan that preserved kin connection, added practical scaffolding, and created a credible contingency for accommodation.</w:t>
            </w:r>
          </w:p>
          <w:p w14:paraId="04EB46E2" w14:textId="77777777" w:rsidR="00C85214" w:rsidRPr="00A76E36" w:rsidRDefault="00C85214" w:rsidP="00A76E36">
            <w:pPr>
              <w:spacing w:line="276" w:lineRule="auto"/>
              <w:rPr>
                <w:rFonts w:ascii="Calibri" w:hAnsi="Calibri" w:cs="Calibri"/>
                <w:sz w:val="24"/>
                <w:szCs w:val="24"/>
              </w:rPr>
            </w:pPr>
          </w:p>
          <w:p w14:paraId="2419011C"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The plan that emerged was co-produced and explicitly bilingual. It included agreed routines in the home (quiet hours, a lockable cabinet for 3’s belongings, and clear boundaries that protected the grandmother’s health), concrete education supports (transport funding, flexible start when clinically indicated, and weekly check-ins with a trusted staff member), a health component (GP review, counselling referral, and sleep hygiene guidance), and a contextual safety element (safe routes, code-word system, online safety refreshers, and clear rules about uninvited adults in the home). Crucially, it also included a parallel path: a pre-approved supported lodgings place within a commutable distance, kept warm as a contingency should the arrangement falter. Finally, an open offer of SSW(W)A s.76 accommodation remained on the table, explained carefully with advocacy support so that 3 understood the entitlements and implications without feeling coerced.</w:t>
            </w:r>
          </w:p>
          <w:p w14:paraId="2CC53068" w14:textId="77777777" w:rsidR="00C85214" w:rsidRPr="00A76E36" w:rsidRDefault="00C85214" w:rsidP="00A76E36">
            <w:pPr>
              <w:spacing w:line="276" w:lineRule="auto"/>
              <w:rPr>
                <w:rFonts w:ascii="Calibri" w:hAnsi="Calibri" w:cs="Calibri"/>
                <w:sz w:val="24"/>
                <w:szCs w:val="24"/>
              </w:rPr>
            </w:pPr>
          </w:p>
          <w:p w14:paraId="6E4C500F" w14:textId="77777777" w:rsidR="00A76E36" w:rsidRPr="00A76E36" w:rsidRDefault="00A76E36" w:rsidP="00A76E36">
            <w:pPr>
              <w:spacing w:line="276" w:lineRule="auto"/>
              <w:rPr>
                <w:rFonts w:ascii="Calibri" w:hAnsi="Calibri" w:cs="Calibri"/>
                <w:b/>
                <w:bCs/>
                <w:sz w:val="24"/>
                <w:szCs w:val="24"/>
              </w:rPr>
            </w:pPr>
            <w:r w:rsidRPr="00A76E36">
              <w:rPr>
                <w:rFonts w:ascii="Calibri" w:hAnsi="Calibri" w:cs="Calibri"/>
                <w:b/>
                <w:bCs/>
                <w:sz w:val="24"/>
                <w:szCs w:val="24"/>
              </w:rPr>
              <w:t>Collaboration and the Realities of Welsh Multi-Agency Working</w:t>
            </w:r>
          </w:p>
          <w:p w14:paraId="00A834D5"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Multi-agency practice was the engine of the plan and the area of its tensions. The school safeguarding lead and pastoral team were consistent allies; they translated educational worries into actionable supports and were willing to flex timetables when evidence justified it. Housing colleagues were practical and frank about stock constraints and waiting lists; they nevertheless helped identify supported lodgings in a neighbouring town with acceptable transport links. Health practitioners offered both a review of the grandmother’s capacity and a route to timely counselling for 3; they also advised on sleep hygiene and stress management. Police input was limited but important: clarifying bail conditions reduced uncertainty about who could attend the grandmother’s address and when.</w:t>
            </w:r>
          </w:p>
          <w:p w14:paraId="35DA0398" w14:textId="77777777" w:rsidR="00C85214" w:rsidRPr="00A76E36" w:rsidRDefault="00C85214" w:rsidP="00A76E36">
            <w:pPr>
              <w:spacing w:line="276" w:lineRule="auto"/>
              <w:rPr>
                <w:rFonts w:ascii="Calibri" w:hAnsi="Calibri" w:cs="Calibri"/>
                <w:sz w:val="24"/>
                <w:szCs w:val="24"/>
              </w:rPr>
            </w:pPr>
          </w:p>
          <w:p w14:paraId="4FFF79B6"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 xml:space="preserve">The difficulties were familiar but instructive. Scheduling meetings across distances with limited public transport was a recurring challenge, especially when 3’s priority was minimising absences from lessons. Differences in professional culture surfaced. The school’s risk approach, understandably shaped by exam timetables and duty of care, inclined towards recommending foster care. Housing tended to press children’s services to exercise s.76 more quickly, given pressures on </w:t>
            </w:r>
            <w:r w:rsidRPr="00A76E36">
              <w:rPr>
                <w:rFonts w:ascii="Calibri" w:hAnsi="Calibri" w:cs="Calibri"/>
                <w:sz w:val="24"/>
                <w:szCs w:val="24"/>
              </w:rPr>
              <w:lastRenderedPageBreak/>
              <w:t>temporary accommodation. The grandmother feared that any formal move would mean losing day-to-day contact. These differences required patient explanation of the proportionality test and the ethical commitment to least-restrictive practice under the HRA and the SSW(W)A. Rather than arguing values abstractly, we focused on the specific safeguards being built: demonstrable improvements in attendance, the existence of a contingency bedspace, and clear review points that would trigger escalation if indicators deteriorated.</w:t>
            </w:r>
          </w:p>
          <w:p w14:paraId="37AF0720" w14:textId="77777777" w:rsidR="00C85214" w:rsidRPr="00A76E36" w:rsidRDefault="00C85214" w:rsidP="00A76E36">
            <w:pPr>
              <w:spacing w:line="276" w:lineRule="auto"/>
              <w:rPr>
                <w:rFonts w:ascii="Calibri" w:hAnsi="Calibri" w:cs="Calibri"/>
                <w:sz w:val="24"/>
                <w:szCs w:val="24"/>
              </w:rPr>
            </w:pPr>
          </w:p>
          <w:p w14:paraId="16ED2D03"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Information sharing, often a point of friction, was facilitated by WASPI (Wales Accord on Sharing Personal Information)-compliant protocols and by being explicit with 3 about what would be shared and why. Far from undermining trust, this clarity usually increased it; when adolescents understand the rules of the game, their engagement often strengthens. Providing bilingual summaries after meetings reduced misunderstanding and allowed 3 to correct the record where needed.</w:t>
            </w:r>
          </w:p>
          <w:p w14:paraId="3818DCDA" w14:textId="77777777" w:rsidR="00C85214" w:rsidRPr="00A76E36" w:rsidRDefault="00C85214" w:rsidP="00A76E36">
            <w:pPr>
              <w:spacing w:line="276" w:lineRule="auto"/>
              <w:rPr>
                <w:rFonts w:ascii="Calibri" w:hAnsi="Calibri" w:cs="Calibri"/>
                <w:sz w:val="24"/>
                <w:szCs w:val="24"/>
              </w:rPr>
            </w:pPr>
          </w:p>
          <w:p w14:paraId="23E48EA1" w14:textId="77777777" w:rsidR="00A76E36" w:rsidRPr="00A76E36" w:rsidRDefault="00A76E36" w:rsidP="00A76E36">
            <w:pPr>
              <w:spacing w:line="276" w:lineRule="auto"/>
              <w:rPr>
                <w:rFonts w:ascii="Calibri" w:hAnsi="Calibri" w:cs="Calibri"/>
                <w:b/>
                <w:bCs/>
                <w:sz w:val="24"/>
                <w:szCs w:val="24"/>
              </w:rPr>
            </w:pPr>
            <w:r w:rsidRPr="00A76E36">
              <w:rPr>
                <w:rFonts w:ascii="Calibri" w:hAnsi="Calibri" w:cs="Calibri"/>
                <w:b/>
                <w:bCs/>
                <w:sz w:val="24"/>
                <w:szCs w:val="24"/>
              </w:rPr>
              <w:t>Professional Judgement, Ethics and Reflective Supervision</w:t>
            </w:r>
          </w:p>
          <w:p w14:paraId="1240755B"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The most demanding part of the work was not collecting information or arranging services; it was deciding where, on the range between non-intervention and full accommodation, a proportionate, rights-respecting response lay, and then holding that line consistently over time. Ethical concept: proportionality, necessity, and least restriction, were not legal jargon but daily tools. Supervision was the setting where my intuitive responses could be examined. I noticed a strong pull to rescue, fuelled by 3’s clarity and the narrowing time before she turned 18. My supervisor helped me surface this counter-transference and test my tolerance of uncertainty against the evidence. Gibbs’ reflective cycle provided structure: description, feelings, evaluation, analysis, conclusion, and action. In that space I could weigh the possible harms of over-riding 3’s wishes (loss of trust, disengagement, damage to identity) against the harms of non-intervention (fatigue, educational drop-off, exploitation). The discipline of recording the proportionality reasoning: the legitimate aims pursued, why less intrusive alternatives would not suffice, and what would trigger a change of plan, made the judgement more defensible and, importantly, more reviewable.</w:t>
            </w:r>
          </w:p>
          <w:p w14:paraId="567F317A" w14:textId="77777777" w:rsidR="00C85214" w:rsidRPr="00A76E36" w:rsidRDefault="00C85214" w:rsidP="00A76E36">
            <w:pPr>
              <w:spacing w:line="276" w:lineRule="auto"/>
              <w:rPr>
                <w:rFonts w:ascii="Calibri" w:hAnsi="Calibri" w:cs="Calibri"/>
                <w:sz w:val="24"/>
                <w:szCs w:val="24"/>
              </w:rPr>
            </w:pPr>
          </w:p>
          <w:p w14:paraId="4DE2E6BF"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Holding professional boundaries was part of the ethical landscape. Going the extra mile must not harden into a private arrangement that cannot be replicated or reviewed. Fairness across caseloads, transparency with 3, and respect for the grandmother’s limits required that supports be systemic, not improvised. Where there was disagreement within the multiagency team or between the team and family: respectful challenge (grounded in evidence and law) replaced the temptation to escalate out of anxiety. In short, judgement was a practice of disciplined humility: firm enough to act, modest enough to review and change.</w:t>
            </w:r>
          </w:p>
          <w:p w14:paraId="45DEBC99" w14:textId="77777777" w:rsidR="00C85214" w:rsidRPr="00A76E36" w:rsidRDefault="00C85214" w:rsidP="00A76E36">
            <w:pPr>
              <w:spacing w:line="276" w:lineRule="auto"/>
              <w:rPr>
                <w:rFonts w:ascii="Calibri" w:hAnsi="Calibri" w:cs="Calibri"/>
                <w:sz w:val="24"/>
                <w:szCs w:val="24"/>
              </w:rPr>
            </w:pPr>
          </w:p>
          <w:p w14:paraId="14BAFA31" w14:textId="77777777" w:rsidR="00A76E36" w:rsidRPr="00A76E36" w:rsidRDefault="00A76E36" w:rsidP="00A76E36">
            <w:pPr>
              <w:spacing w:line="276" w:lineRule="auto"/>
              <w:rPr>
                <w:rFonts w:ascii="Calibri" w:hAnsi="Calibri" w:cs="Calibri"/>
                <w:b/>
                <w:bCs/>
                <w:sz w:val="24"/>
                <w:szCs w:val="24"/>
              </w:rPr>
            </w:pPr>
            <w:r w:rsidRPr="00A76E36">
              <w:rPr>
                <w:rFonts w:ascii="Calibri" w:hAnsi="Calibri" w:cs="Calibri"/>
                <w:b/>
                <w:bCs/>
                <w:sz w:val="24"/>
                <w:szCs w:val="24"/>
              </w:rPr>
              <w:t>The Distinctive Welsh Context: Language, Place, Institutions and Culture</w:t>
            </w:r>
          </w:p>
          <w:p w14:paraId="641CE43E"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lastRenderedPageBreak/>
              <w:t>The Welsh context was not merely background to this case but integral to inform both the challenges and solution. Geographically, the rural setting shaped risk and opportunity: thin public transport lengthened every journey; the scarcity of supported lodgings within a reasonable commute narrowed options; and the anonymity of urban services was absent, increasing both community surveillance and the potential for stigma. Linguistically, the Active Offer mattered. Allowing 3 to use Welsh for sensitive discussions improved precision and reduced the cognitive load of disclosure. It also signalled respect, which translated into cooperation on matters she would otherwise resist. Institutionally, we navigated a devolved architecture: Regional Safeguarding Board guidance, Working Together to Safeguard People chapters relevant to information sharing and children at risk, and the entitlements under SSW(W)A Part 6 that differ from England’s system. Culturally, kinship solidarity is highly valued in many Welsh communities; solutions that preserve kin while mitigating risk are more acceptable and durable. The final plan reflected those realities.</w:t>
            </w:r>
          </w:p>
          <w:p w14:paraId="741CCDB4" w14:textId="77777777" w:rsidR="00C85214" w:rsidRPr="00A76E36" w:rsidRDefault="00C85214" w:rsidP="00A76E36">
            <w:pPr>
              <w:spacing w:line="276" w:lineRule="auto"/>
              <w:rPr>
                <w:rFonts w:ascii="Calibri" w:hAnsi="Calibri" w:cs="Calibri"/>
                <w:sz w:val="24"/>
                <w:szCs w:val="24"/>
              </w:rPr>
            </w:pPr>
          </w:p>
          <w:p w14:paraId="436D1270" w14:textId="77777777" w:rsidR="00A76E36" w:rsidRPr="00A76E36" w:rsidRDefault="00A76E36" w:rsidP="00A76E36">
            <w:pPr>
              <w:spacing w:line="276" w:lineRule="auto"/>
              <w:rPr>
                <w:rFonts w:ascii="Calibri" w:hAnsi="Calibri" w:cs="Calibri"/>
                <w:b/>
                <w:bCs/>
                <w:sz w:val="24"/>
                <w:szCs w:val="24"/>
              </w:rPr>
            </w:pPr>
            <w:r w:rsidRPr="00A76E36">
              <w:rPr>
                <w:rFonts w:ascii="Calibri" w:hAnsi="Calibri" w:cs="Calibri"/>
                <w:b/>
                <w:bCs/>
                <w:sz w:val="24"/>
                <w:szCs w:val="24"/>
              </w:rPr>
              <w:t>Outcomes and Review</w:t>
            </w:r>
          </w:p>
          <w:p w14:paraId="4A692C74"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In the short-to-medium term, the co-produced plan delivered measurable benefits. Attendance improved, helped by transport support and, where clinically justified, modest timetable flexibility. Sleep and concentration improved as routines stabilised. Anxiety reduced with predictable meetings, counselling, and clarity about bail conditions. The grandmother reported less strain once quiet-time boundaries and respite options were agreed. Importantly, 3 remained engaged: she did not experience the plan as something done to her but as something designed with her. The supported lodgings contingency remained live, which meant that the arrangement was not brittle; if the grandmother’s health dipped, a path existed that would not require emergency hotel placements. The open offer of s.76 accommodation remained on the table, explained with advocacy support so that if 3 changed her mind she could step into looked-after status with clear entitlements into adulthood.</w:t>
            </w:r>
          </w:p>
          <w:p w14:paraId="4547E8FD" w14:textId="77777777" w:rsidR="00C85214" w:rsidRPr="00A76E36" w:rsidRDefault="00C85214" w:rsidP="00A76E36">
            <w:pPr>
              <w:spacing w:line="276" w:lineRule="auto"/>
              <w:rPr>
                <w:rFonts w:ascii="Calibri" w:hAnsi="Calibri" w:cs="Calibri"/>
                <w:sz w:val="24"/>
                <w:szCs w:val="24"/>
              </w:rPr>
            </w:pPr>
          </w:p>
          <w:p w14:paraId="3FDB28D8"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The review schedule was purposeful. Rather than waiting for crisis, we agreed indicators that would trigger reassessment: repeated missed school days without clinical reason, evidence of exploitation attempts, deterioration in the grandmother’s health, or a sustained increase in conflict at home. In each review, we revisited the proportionality analysis: was the least-restrictive plan still sufficient, or had the balance shifted?</w:t>
            </w:r>
          </w:p>
          <w:p w14:paraId="17DC86D9" w14:textId="77777777" w:rsidR="00C85214" w:rsidRPr="00A76E36" w:rsidRDefault="00C85214" w:rsidP="00A76E36">
            <w:pPr>
              <w:spacing w:line="276" w:lineRule="auto"/>
              <w:rPr>
                <w:rFonts w:ascii="Calibri" w:hAnsi="Calibri" w:cs="Calibri"/>
                <w:sz w:val="24"/>
                <w:szCs w:val="24"/>
              </w:rPr>
            </w:pPr>
          </w:p>
          <w:p w14:paraId="55BAC3FA" w14:textId="77777777" w:rsidR="00A76E36" w:rsidRPr="00A76E36" w:rsidRDefault="00A76E36" w:rsidP="00A76E36">
            <w:pPr>
              <w:spacing w:line="276" w:lineRule="auto"/>
              <w:rPr>
                <w:rFonts w:ascii="Calibri" w:hAnsi="Calibri" w:cs="Calibri"/>
                <w:b/>
                <w:bCs/>
                <w:sz w:val="24"/>
                <w:szCs w:val="24"/>
              </w:rPr>
            </w:pPr>
            <w:r w:rsidRPr="00A76E36">
              <w:rPr>
                <w:rFonts w:ascii="Calibri" w:hAnsi="Calibri" w:cs="Calibri"/>
                <w:b/>
                <w:bCs/>
                <w:sz w:val="24"/>
                <w:szCs w:val="24"/>
              </w:rPr>
              <w:t>Learning, Development and Social Care Wales Outcomes</w:t>
            </w:r>
          </w:p>
          <w:p w14:paraId="78FD4208" w14:textId="77777777" w:rsidR="00A76E36" w:rsidRDefault="00A76E36" w:rsidP="00A76E36">
            <w:pPr>
              <w:spacing w:line="276" w:lineRule="auto"/>
              <w:rPr>
                <w:rFonts w:ascii="Calibri" w:hAnsi="Calibri" w:cs="Calibri"/>
                <w:sz w:val="24"/>
                <w:szCs w:val="24"/>
              </w:rPr>
            </w:pPr>
            <w:r w:rsidRPr="00A76E36">
              <w:rPr>
                <w:rFonts w:ascii="Calibri" w:hAnsi="Calibri" w:cs="Calibri"/>
                <w:sz w:val="24"/>
                <w:szCs w:val="24"/>
              </w:rPr>
              <w:t xml:space="preserve">This case evidenced collaborative working through joint visits, structured information sharing and negotiated roles. It demonstrated analysis in assessment by using the assessment triangle, chronology, ecomap, risk matrices and contextual mapping to synthesise evidence rather than stack it. It required professional judgement in a complex situation, where legal levers, rights claims, and practical constraints pulled in different directions. It also highlighted that which is at the forefront of </w:t>
            </w:r>
            <w:r w:rsidRPr="00A76E36">
              <w:rPr>
                <w:rFonts w:ascii="Calibri" w:hAnsi="Calibri" w:cs="Calibri"/>
                <w:sz w:val="24"/>
                <w:szCs w:val="24"/>
              </w:rPr>
              <w:lastRenderedPageBreak/>
              <w:t>my approach: anti-oppressive practice in relation to age and class; trauma-informed engagement; and a bilingual rights approach.</w:t>
            </w:r>
          </w:p>
          <w:p w14:paraId="398C8C78" w14:textId="77777777" w:rsidR="00C85214" w:rsidRPr="00A76E36" w:rsidRDefault="00C85214" w:rsidP="00A76E36">
            <w:pPr>
              <w:spacing w:line="276" w:lineRule="auto"/>
              <w:rPr>
                <w:rFonts w:ascii="Calibri" w:hAnsi="Calibri" w:cs="Calibri"/>
                <w:sz w:val="24"/>
                <w:szCs w:val="24"/>
              </w:rPr>
            </w:pPr>
          </w:p>
          <w:p w14:paraId="26DB228C" w14:textId="77777777" w:rsidR="00A76E36" w:rsidRPr="00A76E36" w:rsidRDefault="00A76E36" w:rsidP="00A76E36">
            <w:pPr>
              <w:spacing w:line="276" w:lineRule="auto"/>
              <w:rPr>
                <w:rFonts w:ascii="Calibri" w:hAnsi="Calibri" w:cs="Calibri"/>
                <w:sz w:val="24"/>
                <w:szCs w:val="24"/>
              </w:rPr>
            </w:pPr>
            <w:r w:rsidRPr="00A76E36">
              <w:rPr>
                <w:rFonts w:ascii="Calibri" w:hAnsi="Calibri" w:cs="Calibri"/>
                <w:sz w:val="24"/>
                <w:szCs w:val="24"/>
              </w:rPr>
              <w:t>The personal learning is equally important. I learned to hold risk and rights together without collapsing one into the other. I deepened my understanding of the interface between the SSW(W)A s.76 route and housing duties under the Housing (Wales) Act 2014, and I refined my practice in documenting proportionality reasoning in plain language. I recognised the indispensability of reflective supervision for surfacing my own anxieties and honouring the limits of what a single professional can and should do. Finally, I saw again that adolescent safeguarding is not  just a ‘big child’ version of child protection; it is its own field, with different risk ecologies and ethical weights.</w:t>
            </w:r>
          </w:p>
          <w:p w14:paraId="70B30BD7" w14:textId="77777777" w:rsidR="00C85214" w:rsidRDefault="00C85214" w:rsidP="00A76E36">
            <w:pPr>
              <w:spacing w:line="276" w:lineRule="auto"/>
              <w:rPr>
                <w:rFonts w:ascii="Calibri" w:hAnsi="Calibri" w:cs="Calibri"/>
                <w:b/>
                <w:bCs/>
                <w:sz w:val="24"/>
                <w:szCs w:val="24"/>
              </w:rPr>
            </w:pPr>
          </w:p>
          <w:p w14:paraId="3FC90F3B" w14:textId="5FF5B87A" w:rsidR="00A76E36" w:rsidRPr="00A76E36" w:rsidRDefault="00A76E36" w:rsidP="00A76E36">
            <w:pPr>
              <w:spacing w:line="276" w:lineRule="auto"/>
              <w:rPr>
                <w:rFonts w:ascii="Calibri" w:hAnsi="Calibri" w:cs="Calibri"/>
                <w:b/>
                <w:bCs/>
                <w:sz w:val="24"/>
                <w:szCs w:val="24"/>
              </w:rPr>
            </w:pPr>
            <w:r w:rsidRPr="00A76E36">
              <w:rPr>
                <w:rFonts w:ascii="Calibri" w:hAnsi="Calibri" w:cs="Calibri"/>
                <w:b/>
                <w:bCs/>
                <w:sz w:val="24"/>
                <w:szCs w:val="24"/>
              </w:rPr>
              <w:t>Conclusion</w:t>
            </w:r>
          </w:p>
          <w:p w14:paraId="1F5A1105" w14:textId="77777777" w:rsidR="00A76E36" w:rsidRPr="00A76E36" w:rsidRDefault="00A76E36" w:rsidP="00A76E36">
            <w:pPr>
              <w:spacing w:line="276" w:lineRule="auto"/>
              <w:rPr>
                <w:rFonts w:ascii="Calibri" w:hAnsi="Calibri" w:cs="Calibri"/>
                <w:sz w:val="24"/>
                <w:szCs w:val="24"/>
              </w:rPr>
            </w:pPr>
            <w:r w:rsidRPr="00A76E36">
              <w:rPr>
                <w:rFonts w:ascii="Calibri" w:hAnsi="Calibri" w:cs="Calibri"/>
                <w:sz w:val="24"/>
                <w:szCs w:val="24"/>
              </w:rPr>
              <w:t>Safeguarding older adolescents in Wales requires a nuanced mixture of legal duties, ethical principles, theoretical lenses and practical constraints. In 3’s case, the Welsh statutory framework, SSW(W)A Parts 6 and 7, Working Together to Safeguard People, and the Wales Safeguarding Procedures, mandated participation, prevention and co-production while enabling proportionate protective action. The interface with the Children Act 1989, the Human Rights Act 1998, UK GDPR/Data Protection Act 2018, and the UNCRC demanded explicit balancing of rights and risks. Attachment, strengths, crisis and systems theories, with contextual safeguarding and trauma-informed practice, each illuminated dimensions of the case but none provided the answer. Collaboration produced a fuller picture yet could not erase dilemmas; ultimately professional judgement, disciplined by proportionality, least restriction, and reflective supervision, was decisive.</w:t>
            </w:r>
          </w:p>
          <w:p w14:paraId="5D4BA456" w14:textId="77777777" w:rsidR="00A76E36" w:rsidRPr="00A76E36" w:rsidRDefault="00A76E36" w:rsidP="00A76E36">
            <w:pPr>
              <w:spacing w:line="276" w:lineRule="auto"/>
              <w:rPr>
                <w:rFonts w:ascii="Calibri" w:hAnsi="Calibri" w:cs="Calibri"/>
                <w:sz w:val="24"/>
                <w:szCs w:val="24"/>
              </w:rPr>
            </w:pPr>
            <w:r w:rsidRPr="00A76E36">
              <w:rPr>
                <w:rFonts w:ascii="Calibri" w:hAnsi="Calibri" w:cs="Calibri"/>
                <w:sz w:val="24"/>
                <w:szCs w:val="24"/>
              </w:rPr>
              <w:t>The plan that emerged honoured 3’s autonomy, stabilised immediate risks, and kept open a rights-entitling route into adulthood should circumstances change. It worked precisely because it was bilingual, place-aware, and kin-affirming, and because it was transparent about thresholds, contingencies and review triggers. The wider lesson is clear: adolescent safeguarding in Wales must be designed with, not for, young people; it must protect without silencing and partner without abdicating responsibility. My future practice will continue to focus on strengthening housing pathways for 16/17-year-olds, embedding structured ethical reasoning in recording and supervision, and sustaining the habits of bilingual, trauma-informed, context-sensitive engagement that make collaboration real and rights meaningful.</w:t>
            </w:r>
          </w:p>
          <w:p w14:paraId="12DC2F24" w14:textId="71AF789B" w:rsidR="00D3203C" w:rsidRPr="00A76E36" w:rsidRDefault="00A76E36" w:rsidP="00A76E36">
            <w:pPr>
              <w:spacing w:line="276" w:lineRule="auto"/>
              <w:rPr>
                <w:rFonts w:ascii="Calibri" w:hAnsi="Calibri" w:cs="Calibri"/>
                <w:sz w:val="24"/>
                <w:szCs w:val="24"/>
              </w:rPr>
            </w:pPr>
            <w:r w:rsidRPr="00A76E36">
              <w:rPr>
                <w:rFonts w:ascii="Calibri" w:hAnsi="Calibri" w:cs="Calibri"/>
                <w:sz w:val="24"/>
                <w:szCs w:val="24"/>
              </w:rPr>
              <w:t xml:space="preserve"> </w:t>
            </w:r>
          </w:p>
          <w:p w14:paraId="2B3AA042" w14:textId="77777777" w:rsidR="00A76E36" w:rsidRPr="00A76E36" w:rsidRDefault="00A76E36" w:rsidP="00A76E36">
            <w:pPr>
              <w:spacing w:line="276" w:lineRule="auto"/>
              <w:rPr>
                <w:rFonts w:ascii="Calibri" w:hAnsi="Calibri" w:cs="Calibri"/>
                <w:sz w:val="24"/>
                <w:szCs w:val="24"/>
              </w:rPr>
            </w:pPr>
          </w:p>
          <w:p w14:paraId="66E7632C" w14:textId="76BE1909" w:rsidR="00A76E36" w:rsidRPr="00C85214" w:rsidRDefault="00C85214" w:rsidP="00A76E36">
            <w:pPr>
              <w:spacing w:line="276" w:lineRule="auto"/>
              <w:rPr>
                <w:rFonts w:ascii="Calibri" w:hAnsi="Calibri" w:cs="Calibri"/>
                <w:b/>
                <w:bCs/>
                <w:sz w:val="24"/>
                <w:szCs w:val="24"/>
              </w:rPr>
            </w:pPr>
            <w:r w:rsidRPr="00C85214">
              <w:rPr>
                <w:rFonts w:ascii="Calibri" w:hAnsi="Calibri" w:cs="Calibri"/>
                <w:b/>
                <w:bCs/>
                <w:sz w:val="24"/>
                <w:szCs w:val="24"/>
              </w:rPr>
              <w:t xml:space="preserve">WORD COUNT: </w:t>
            </w:r>
            <w:r w:rsidR="00A76E36" w:rsidRPr="00C85214">
              <w:rPr>
                <w:rFonts w:ascii="Calibri" w:hAnsi="Calibri" w:cs="Calibri"/>
                <w:b/>
                <w:bCs/>
                <w:sz w:val="24"/>
                <w:szCs w:val="24"/>
              </w:rPr>
              <w:t>405</w:t>
            </w:r>
            <w:r w:rsidR="00B07631">
              <w:rPr>
                <w:rFonts w:ascii="Calibri" w:hAnsi="Calibri" w:cs="Calibri"/>
                <w:b/>
                <w:bCs/>
                <w:sz w:val="24"/>
                <w:szCs w:val="24"/>
              </w:rPr>
              <w:t>6</w:t>
            </w: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636A80" w14:textId="77777777" w:rsidR="00702410" w:rsidRDefault="00702410">
      <w:r>
        <w:separator/>
      </w:r>
    </w:p>
  </w:endnote>
  <w:endnote w:type="continuationSeparator" w:id="0">
    <w:p w14:paraId="766BA93F" w14:textId="77777777" w:rsidR="00702410" w:rsidRDefault="007024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C82C80" w14:textId="77777777" w:rsidR="00702410" w:rsidRDefault="00702410">
      <w:r>
        <w:separator/>
      </w:r>
    </w:p>
  </w:footnote>
  <w:footnote w:type="continuationSeparator" w:id="0">
    <w:p w14:paraId="55C178B8" w14:textId="77777777" w:rsidR="00702410" w:rsidRDefault="007024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21C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5CFE"/>
    <w:rsid w:val="000C18BC"/>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768D"/>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A7996"/>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5CED"/>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401A"/>
    <w:rsid w:val="00421048"/>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23"/>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4F0"/>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9A0"/>
    <w:rsid w:val="006F2A9E"/>
    <w:rsid w:val="006F5ED3"/>
    <w:rsid w:val="00700249"/>
    <w:rsid w:val="00702410"/>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3092"/>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3A1"/>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599B"/>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1F6F"/>
    <w:rsid w:val="00A52A18"/>
    <w:rsid w:val="00A54D67"/>
    <w:rsid w:val="00A55A3F"/>
    <w:rsid w:val="00A5656A"/>
    <w:rsid w:val="00A60103"/>
    <w:rsid w:val="00A652F6"/>
    <w:rsid w:val="00A65419"/>
    <w:rsid w:val="00A65861"/>
    <w:rsid w:val="00A732EA"/>
    <w:rsid w:val="00A7489E"/>
    <w:rsid w:val="00A76E36"/>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631"/>
    <w:rsid w:val="00B07E79"/>
    <w:rsid w:val="00B10B44"/>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154F"/>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14"/>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2E5C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421534@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4280</Words>
  <Characters>26028</Characters>
  <Application>Microsoft Office Word</Application>
  <DocSecurity>0</DocSecurity>
  <Lines>419</Lines>
  <Paragraphs>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Rachel Morgan</cp:lastModifiedBy>
  <cp:revision>19</cp:revision>
  <cp:lastPrinted>2020-02-11T19:20:00Z</cp:lastPrinted>
  <dcterms:created xsi:type="dcterms:W3CDTF">2024-11-05T12:32:00Z</dcterms:created>
  <dcterms:modified xsi:type="dcterms:W3CDTF">2025-10-07T19:15:00Z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