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B7D66" w:rsidP="00BB7D66" w:rsidRDefault="00BB7D66" w14:paraId="5FDCBF1C" w14:textId="13CFFA4C">
      <w:pPr>
        <w:spacing w:line="360" w:lineRule="auto"/>
      </w:pPr>
      <w:r>
        <w:t>The following essay aims to</w:t>
      </w:r>
      <w:r w:rsidR="00D60C8F">
        <w:t xml:space="preserve"> critically </w:t>
      </w:r>
      <w:r w:rsidR="4F0E8BED">
        <w:t>analyse</w:t>
      </w:r>
      <w:r w:rsidR="00D60C8F">
        <w:t xml:space="preserve"> community consent and government control and establish which of these methods of policing are more effective in attaining social control. </w:t>
      </w:r>
    </w:p>
    <w:p w:rsidR="004502E7" w:rsidP="008E5951" w:rsidRDefault="004502E7" w14:paraId="23A296AC" w14:textId="2CDC00B4">
      <w:pPr>
        <w:spacing w:line="360" w:lineRule="auto"/>
      </w:pPr>
      <w:r>
        <w:t>Community consent or ‘policing by consent’, is the idea that the authority of the police comes from the cooperation and consent of the public they serve</w:t>
      </w:r>
      <w:r w:rsidR="008E5951">
        <w:t xml:space="preserve">. </w:t>
      </w:r>
      <w:r w:rsidRPr="008E5951" w:rsidR="008E5951">
        <w:t>British policing operates on the pr</w:t>
      </w:r>
      <w:r w:rsidR="008E5951">
        <w:t>emise</w:t>
      </w:r>
      <w:r w:rsidRPr="008E5951" w:rsidR="008E5951">
        <w:t xml:space="preserve"> of consent, meaning that the police’s ability to </w:t>
      </w:r>
      <w:r w:rsidR="008E5951">
        <w:t xml:space="preserve">carry out </w:t>
      </w:r>
      <w:r w:rsidRPr="008E5951" w:rsidR="008E5951">
        <w:t>their duties depends on the "public’s approval of their presence, actions, and behaviour"</w:t>
      </w:r>
      <w:r w:rsidR="008E5951">
        <w:t xml:space="preserve"> </w:t>
      </w:r>
      <w:r>
        <w:t>(Watts, 2024</w:t>
      </w:r>
      <w:r w:rsidR="008E5951">
        <w:t>, para, 3</w:t>
      </w:r>
      <w:r>
        <w:t>).</w:t>
      </w:r>
      <w:r w:rsidR="008E5951">
        <w:t xml:space="preserve"> </w:t>
      </w:r>
    </w:p>
    <w:p w:rsidRPr="00D60C8F" w:rsidR="00D60C8F" w:rsidP="00D60C8F" w:rsidRDefault="00BB7D66" w14:paraId="71C57A74" w14:textId="3239A30B">
      <w:pPr>
        <w:spacing w:line="360" w:lineRule="auto"/>
      </w:pPr>
      <w:r>
        <w:t xml:space="preserve">The origins of community </w:t>
      </w:r>
      <w:r w:rsidR="008E5951">
        <w:t xml:space="preserve">consent </w:t>
      </w:r>
      <w:r>
        <w:t xml:space="preserve">can be traced back to Sir Robert Peel in the 19th century. Peel, often regarded as the father of modern policing, introduced the Metropolitan Police Act in 1829, establishing the Metropolitan Police Service in London. </w:t>
      </w:r>
      <w:r w:rsidR="70A9D2E9">
        <w:t xml:space="preserve">This established a list of policing </w:t>
      </w:r>
      <w:r w:rsidR="064C293D">
        <w:t>principles</w:t>
      </w:r>
      <w:r w:rsidR="70A9D2E9">
        <w:t xml:space="preserve"> that still remain important till this day</w:t>
      </w:r>
      <w:r w:rsidR="00D60C8F">
        <w:t xml:space="preserve">. These principles </w:t>
      </w:r>
      <w:r w:rsidR="2837BBA6">
        <w:t>centre</w:t>
      </w:r>
      <w:r w:rsidR="00D60C8F">
        <w:t xml:space="preserve"> around three core ideas and include nine specific </w:t>
      </w:r>
      <w:r w:rsidR="36EB090D">
        <w:t>guidelines Two</w:t>
      </w:r>
      <w:r w:rsidR="00D60C8F">
        <w:t xml:space="preserve"> of these guidelines state:</w:t>
      </w:r>
    </w:p>
    <w:p w:rsidRPr="00D60C8F" w:rsidR="00D60C8F" w:rsidP="05B4C06A" w:rsidRDefault="00D60C8F" w14:paraId="3FF79A0B" w14:textId="348D5A79">
      <w:pPr>
        <w:ind w:firstLine="720"/>
      </w:pPr>
      <w:r>
        <w:t>"To prevent crime and disorder as an alternative to their repression by military force and 'severity of legal punishment'” (para. 1) and "To recognize always that securing and maintaining the respect and approval of the public requires the willing cooperation of the public in upholding laws" (para. 2) (Law Enforcement Action Partnership, 2024).</w:t>
      </w:r>
    </w:p>
    <w:p w:rsidR="4256D754" w:rsidP="05B4C06A" w:rsidRDefault="4256D754" w14:paraId="7D97E603" w14:textId="75746D82"/>
    <w:p w:rsidRPr="00D60C8F" w:rsidR="00D60C8F" w:rsidP="00D60C8F" w:rsidRDefault="00D60C8F" w14:paraId="18DD7309" w14:textId="433C2F25">
      <w:pPr>
        <w:spacing w:line="360" w:lineRule="auto"/>
      </w:pPr>
      <w:r>
        <w:t xml:space="preserve">Peel believed that preventing crime depends on gaining public support. Each member of the community should feel responsible for crime prevention, as if they were volunteer members of the force. </w:t>
      </w:r>
      <w:bookmarkStart w:name="_Int_wBWi4CMZ" w:id="0"/>
      <w:r>
        <w:t>This sense of responsibility, however, happens only when the community trusts and supports the police.</w:t>
      </w:r>
      <w:bookmarkEnd w:id="0"/>
      <w:r>
        <w:t xml:space="preserve"> Public trust is </w:t>
      </w:r>
      <w:r w:rsidR="004502E7">
        <w:t>promoted</w:t>
      </w:r>
      <w:r>
        <w:t xml:space="preserve"> by a police force that respects community values, builds a positive reputation, enforces laws fairly, hires officers who represent and understand the community, and resorts to force only when absolutely necessary</w:t>
      </w:r>
      <w:r w:rsidR="004502E7">
        <w:t xml:space="preserve"> (Law Enforcement Action Partnership, 2024).</w:t>
      </w:r>
    </w:p>
    <w:p w:rsidR="00D60C8F" w:rsidP="009A4813" w:rsidRDefault="008E5951" w14:paraId="27A8C31B" w14:textId="0EC750A7">
      <w:pPr>
        <w:spacing w:line="360" w:lineRule="auto"/>
      </w:pPr>
      <w:r w:rsidRPr="00BB7D66">
        <w:t xml:space="preserve">Community policing, or neighbourhood policing, was introduced to promote crime prevention by building relationships between </w:t>
      </w:r>
      <w:r>
        <w:t>the police</w:t>
      </w:r>
      <w:r w:rsidRPr="00BB7D66">
        <w:t xml:space="preserve"> and the public</w:t>
      </w:r>
      <w:r>
        <w:t xml:space="preserve"> and</w:t>
      </w:r>
      <w:r w:rsidRPr="00BB7D66">
        <w:t xml:space="preserve"> emphasi</w:t>
      </w:r>
      <w:r>
        <w:t>s</w:t>
      </w:r>
      <w:r w:rsidRPr="00BB7D66">
        <w:t xml:space="preserve">es regular, personal interaction with residents. Officers patrol their local areas, identify local problems, and collaborate with residents to solve those problems. Community police officers develop tailored solutions for their neighbourhoods, adjusting their </w:t>
      </w:r>
      <w:r w:rsidRPr="00BB7D66">
        <w:lastRenderedPageBreak/>
        <w:t>strategies as new information or challenges arise</w:t>
      </w:r>
      <w:r>
        <w:t xml:space="preserve"> </w:t>
      </w:r>
      <w:r w:rsidRPr="00DA5166">
        <w:t>(</w:t>
      </w:r>
      <w:r w:rsidRPr="00DA5166" w:rsidR="009A4813">
        <w:t xml:space="preserve">The </w:t>
      </w:r>
      <w:proofErr w:type="spellStart"/>
      <w:r w:rsidRPr="00DA5166" w:rsidR="009A4813">
        <w:t>Center</w:t>
      </w:r>
      <w:proofErr w:type="spellEnd"/>
      <w:r w:rsidRPr="00DA5166" w:rsidR="009A4813">
        <w:t xml:space="preserve"> for Community-Based Policing and Post-Conflict Police Reform</w:t>
      </w:r>
      <w:r w:rsidRPr="00DA5166" w:rsidR="00DA5166">
        <w:t>, 2020</w:t>
      </w:r>
      <w:r w:rsidRPr="00DA5166" w:rsidR="009A4813">
        <w:t>)</w:t>
      </w:r>
      <w:r w:rsidR="00451B43">
        <w:t>.</w:t>
      </w:r>
    </w:p>
    <w:p w:rsidRPr="001173EF" w:rsidR="00BB7D66" w:rsidP="009D49D7" w:rsidRDefault="00BB7D66" w14:paraId="7EFFC2F0" w14:textId="793B3F23">
      <w:pPr>
        <w:spacing w:line="360" w:lineRule="auto"/>
        <w:rPr>
          <w:rFonts w:ascii="Aptos" w:hAnsi="Aptos" w:eastAsia="Aptos" w:cs="Aptos"/>
          <w:color w:val="000000" w:themeColor="text1"/>
        </w:rPr>
      </w:pPr>
      <w:r w:rsidRPr="00BB7D66">
        <w:t xml:space="preserve">Research shows that community policing can lead to a reduction in crime by fostering trust between police officers and residents. Engaging with the public encourages individuals to cooperate with </w:t>
      </w:r>
      <w:r>
        <w:t>the police,</w:t>
      </w:r>
      <w:r w:rsidRPr="00BB7D66">
        <w:t xml:space="preserve"> provide valuable information, and feel safer in their communities. Additionally, the presence of Police Community Support Officers (</w:t>
      </w:r>
      <w:r w:rsidRPr="00CA47C0">
        <w:t>PCSOs) plays a key role in gathering local intelligence, reducing anti-social behaviour, and improving the overall perception of safety in neighbourhoods (College of Policing, 2013).</w:t>
      </w:r>
      <w:r w:rsidR="00451B43">
        <w:t xml:space="preserve"> </w:t>
      </w:r>
      <w:r w:rsidRPr="001E3F22" w:rsidR="00312756">
        <w:rPr>
          <w:rFonts w:ascii="Aptos" w:hAnsi="Aptos" w:eastAsia="Aptos" w:cs="Aptos"/>
          <w:color w:val="000000" w:themeColor="text1"/>
        </w:rPr>
        <w:t xml:space="preserve">Moreover, much academic work on police trust has examined how this trust is built, with a particular focus on procedural justice theory. This theory </w:t>
      </w:r>
      <w:r w:rsidR="001173EF">
        <w:rPr>
          <w:rFonts w:ascii="Aptos" w:hAnsi="Aptos" w:eastAsia="Aptos" w:cs="Aptos"/>
          <w:color w:val="000000" w:themeColor="text1"/>
        </w:rPr>
        <w:t>suggests</w:t>
      </w:r>
      <w:r w:rsidRPr="001E3F22" w:rsidR="00312756">
        <w:rPr>
          <w:rFonts w:ascii="Aptos" w:hAnsi="Aptos" w:eastAsia="Aptos" w:cs="Aptos"/>
          <w:color w:val="000000" w:themeColor="text1"/>
        </w:rPr>
        <w:t xml:space="preserve"> that people are more likely to accept police interventions if they perceive they are being treated with respect and fairness. Research has shown that when individuals feel dignified in their interactions with the police, they are more likely to view themselves as valued members of society. This creates a balance between individual values and authority, leading to compliance not out of fear but because people believe it is the right thing to do </w:t>
      </w:r>
      <w:r w:rsidRPr="7E3F976E" w:rsidR="00312756">
        <w:rPr>
          <w:rFonts w:ascii="Aptos" w:hAnsi="Aptos" w:eastAsia="Aptos" w:cs="Aptos"/>
          <w:color w:val="000000" w:themeColor="text1"/>
        </w:rPr>
        <w:t>(Jackson et al., 2012).</w:t>
      </w:r>
      <w:r w:rsidR="00FB610E">
        <w:rPr>
          <w:rFonts w:ascii="Aptos" w:hAnsi="Aptos" w:eastAsia="Aptos" w:cs="Aptos"/>
          <w:color w:val="000000" w:themeColor="text1"/>
        </w:rPr>
        <w:t xml:space="preserve"> Having said that, critics argue that </w:t>
      </w:r>
      <w:r w:rsidRPr="001E3F22" w:rsidR="00FB610E">
        <w:rPr>
          <w:rFonts w:ascii="Aptos" w:hAnsi="Aptos" w:eastAsia="Aptos" w:cs="Aptos"/>
          <w:color w:val="000000" w:themeColor="text1"/>
        </w:rPr>
        <w:t>while individuals may feel they have been treated fairly by officers, this does not necessarily mean that the criminal justice system is safeguarding their interests</w:t>
      </w:r>
      <w:r w:rsidR="00FB610E">
        <w:rPr>
          <w:rFonts w:ascii="Aptos" w:hAnsi="Aptos" w:eastAsia="Aptos" w:cs="Aptos"/>
          <w:color w:val="000000" w:themeColor="text1"/>
        </w:rPr>
        <w:t xml:space="preserve"> </w:t>
      </w:r>
      <w:r w:rsidR="002A444E">
        <w:rPr>
          <w:rFonts w:ascii="Aptos" w:hAnsi="Aptos" w:eastAsia="Aptos" w:cs="Aptos"/>
          <w:color w:val="000000" w:themeColor="text1"/>
        </w:rPr>
        <w:t>(Smith, 2024).</w:t>
      </w:r>
      <w:r w:rsidRPr="001E3F22" w:rsidR="00FB610E">
        <w:rPr>
          <w:rFonts w:ascii="Aptos" w:hAnsi="Aptos" w:eastAsia="Aptos" w:cs="Aptos"/>
          <w:color w:val="000000" w:themeColor="text1"/>
        </w:rPr>
        <w:t xml:space="preserve"> </w:t>
      </w:r>
      <w:r w:rsidRPr="0091467F" w:rsidR="00FB610E">
        <w:rPr>
          <w:rFonts w:ascii="Aptos" w:hAnsi="Aptos" w:eastAsia="Aptos" w:cs="Aptos"/>
          <w:color w:val="000000" w:themeColor="text1"/>
        </w:rPr>
        <w:t>As Smith (2024)</w:t>
      </w:r>
      <w:r w:rsidRPr="001E3F22" w:rsidR="00FB610E">
        <w:rPr>
          <w:rFonts w:ascii="Aptos" w:hAnsi="Aptos" w:eastAsia="Aptos" w:cs="Aptos"/>
          <w:color w:val="000000" w:themeColor="text1"/>
        </w:rPr>
        <w:t xml:space="preserve"> notes, procedural justice may improve perceptions of fairness but does not directly address the deeper structural issues within the system.</w:t>
      </w:r>
      <w:r w:rsidR="00FB610E">
        <w:rPr>
          <w:rFonts w:ascii="Aptos" w:hAnsi="Aptos" w:eastAsia="Aptos" w:cs="Aptos"/>
          <w:color w:val="000000" w:themeColor="text1"/>
        </w:rPr>
        <w:t xml:space="preserve"> </w:t>
      </w:r>
    </w:p>
    <w:p w:rsidR="004502E7" w:rsidP="00DB1D69" w:rsidRDefault="00611191" w14:paraId="19FBAF45" w14:textId="0D4805E4">
      <w:pPr>
        <w:spacing w:line="360" w:lineRule="auto"/>
      </w:pPr>
      <w:r>
        <w:t>To</w:t>
      </w:r>
      <w:r w:rsidR="00DB1D69">
        <w:t>day, policing by consent is often referenced when significant legal changes occur, placing new demands and responsibilities on the police. The laws introduced by the government in response to the Covid-19 pandemic are a prime example of such a change (Desai, 2020)</w:t>
      </w:r>
      <w:r w:rsidR="5D7A61DE">
        <w:t>.</w:t>
      </w:r>
      <w:r w:rsidR="00DB1D69">
        <w:t xml:space="preserve"> In light of the public health crisis, Londoners largely consented to the new regulations and the police’s role in enforcing them to prevent the virus’s spread. A poll conducted in April found that 68% of Londoners at least partially supported the police’s enforcement of the Coronavirus lockdown (Crest, 2020). Compliance with these measures was also notably high. During the period of the strictest movement restrictions, use of London’s transport system dropped by over 90%, while the Metropolitan Police issued fewer than 1,000 Fixed Penalty Notices for lockdown violations over the two months of the emergency law being enacted (Metropolitan </w:t>
      </w:r>
      <w:r w:rsidR="00DB1D69">
        <w:lastRenderedPageBreak/>
        <w:t>Police Service, 2020). Research from the Nuffield Foundation also indicates that during the early stages of the lockdown, most UK citizens adhered to the restrictions and did not report issues or disputes regarding police enforcement of the Covid-19 measures</w:t>
      </w:r>
      <w:r w:rsidR="005E7E8C">
        <w:t xml:space="preserve"> (Halliday, Meers and Tomlinson, 2020). </w:t>
      </w:r>
    </w:p>
    <w:p w:rsidR="00611191" w:rsidP="00611191" w:rsidRDefault="00611191" w14:paraId="16291F8E" w14:textId="31B0E061">
      <w:pPr>
        <w:spacing w:line="360" w:lineRule="auto"/>
        <w:rPr>
          <w:highlight w:val="yellow"/>
        </w:rPr>
      </w:pPr>
      <w:r w:rsidRPr="00BB7D66">
        <w:t xml:space="preserve">While community policing has several advantages, there are some critiques. One common issue is the allocation of resources. Community policing requires more personnel to maintain constant interaction with neighbourhoods, which may not always be </w:t>
      </w:r>
      <w:r>
        <w:t>possible</w:t>
      </w:r>
      <w:r w:rsidRPr="00BB7D66">
        <w:t xml:space="preserve"> in cities with limited funding or higher crime rates. Additionally, cr</w:t>
      </w:r>
      <w:r>
        <w:t xml:space="preserve">itics argued </w:t>
      </w:r>
      <w:r w:rsidRPr="00BB7D66">
        <w:t>that community policing alone may not be effective in addressing more serious, organi</w:t>
      </w:r>
      <w:r>
        <w:t>s</w:t>
      </w:r>
      <w:r w:rsidRPr="00BB7D66">
        <w:t>ed crime, which requires speciali</w:t>
      </w:r>
      <w:r>
        <w:t>s</w:t>
      </w:r>
      <w:r w:rsidRPr="00BB7D66">
        <w:t xml:space="preserve">ed intervention rather than neighbourhood-level engagement. Also, not all communities may respond positively to this type of policing, especially if there is historical distrust of </w:t>
      </w:r>
      <w:r>
        <w:t xml:space="preserve">the police </w:t>
      </w:r>
      <w:r w:rsidR="00F54C5F">
        <w:t>(C</w:t>
      </w:r>
      <w:r w:rsidR="7A102DA4">
        <w:t xml:space="preserve">ollage of </w:t>
      </w:r>
      <w:r w:rsidR="00F54C5F">
        <w:t>P</w:t>
      </w:r>
      <w:r w:rsidR="7A102DA4">
        <w:t>olicing,</w:t>
      </w:r>
      <w:r w:rsidR="00F54C5F">
        <w:t xml:space="preserve"> </w:t>
      </w:r>
      <w:r w:rsidR="7A102DA4">
        <w:t xml:space="preserve">2013). </w:t>
      </w:r>
    </w:p>
    <w:p w:rsidRPr="001E3F22" w:rsidR="001E3F22" w:rsidP="00A5700E" w:rsidRDefault="00487E6F" w14:paraId="5C3A15FA" w14:textId="74B8B0D0">
      <w:pPr>
        <w:spacing w:line="360" w:lineRule="auto"/>
        <w:rPr>
          <w:rFonts w:ascii="Aptos" w:hAnsi="Aptos" w:eastAsia="Aptos" w:cs="Aptos"/>
          <w:color w:val="000000" w:themeColor="text1"/>
          <w:highlight w:val="yellow"/>
        </w:rPr>
      </w:pPr>
      <w:r>
        <w:t xml:space="preserve">Furthermore, </w:t>
      </w:r>
      <w:r w:rsidR="00DD53B2">
        <w:rPr>
          <w:rFonts w:ascii="Aptos" w:hAnsi="Aptos" w:eastAsia="Aptos" w:cs="Aptos"/>
          <w:color w:val="000000" w:themeColor="text1"/>
        </w:rPr>
        <w:t xml:space="preserve">it is argued that one of the </w:t>
      </w:r>
      <w:r w:rsidRPr="001E3F22" w:rsidR="001E3F22">
        <w:rPr>
          <w:rFonts w:ascii="Aptos" w:hAnsi="Aptos" w:eastAsia="Aptos" w:cs="Aptos"/>
          <w:color w:val="000000" w:themeColor="text1"/>
        </w:rPr>
        <w:t xml:space="preserve">key issue </w:t>
      </w:r>
      <w:r w:rsidR="00DD53B2">
        <w:rPr>
          <w:rFonts w:ascii="Aptos" w:hAnsi="Aptos" w:eastAsia="Aptos" w:cs="Aptos"/>
          <w:color w:val="000000" w:themeColor="text1"/>
        </w:rPr>
        <w:t xml:space="preserve">of policing by consent is </w:t>
      </w:r>
      <w:r w:rsidRPr="001E3F22" w:rsidR="001E3F22">
        <w:rPr>
          <w:rFonts w:ascii="Aptos" w:hAnsi="Aptos" w:eastAsia="Aptos" w:cs="Aptos"/>
          <w:color w:val="000000" w:themeColor="text1"/>
        </w:rPr>
        <w:t>the ambiguity surrounding what "policing by consent" actually means. For years, political analysts have debated how consent can be communicated</w:t>
      </w:r>
      <w:r w:rsidR="00B010D4">
        <w:rPr>
          <w:rFonts w:ascii="Aptos" w:hAnsi="Aptos" w:eastAsia="Aptos" w:cs="Aptos"/>
          <w:color w:val="000000" w:themeColor="text1"/>
        </w:rPr>
        <w:t xml:space="preserve">, </w:t>
      </w:r>
      <w:r w:rsidRPr="001E3F22" w:rsidR="001E3F22">
        <w:rPr>
          <w:rFonts w:ascii="Aptos" w:hAnsi="Aptos" w:eastAsia="Aptos" w:cs="Aptos"/>
          <w:color w:val="000000" w:themeColor="text1"/>
        </w:rPr>
        <w:t>whether it is implicit or explicit, voluntary or withdrawn. Even the police themselves are expected to secure public consent in order to carry out their duties. However, many citizens lack the confidence or knowledge to make informed decisions about consent in policing</w:t>
      </w:r>
      <w:r w:rsidR="007B342E">
        <w:rPr>
          <w:rFonts w:ascii="Aptos" w:hAnsi="Aptos" w:eastAsia="Aptos" w:cs="Aptos"/>
          <w:color w:val="000000" w:themeColor="text1"/>
        </w:rPr>
        <w:t xml:space="preserve"> </w:t>
      </w:r>
      <w:r w:rsidR="00DD4AA2">
        <w:rPr>
          <w:rFonts w:ascii="Aptos" w:hAnsi="Aptos" w:eastAsia="Aptos" w:cs="Aptos"/>
          <w:color w:val="000000" w:themeColor="text1"/>
        </w:rPr>
        <w:t>(S</w:t>
      </w:r>
      <w:r w:rsidRPr="4504797B" w:rsidR="21E895BA">
        <w:rPr>
          <w:rFonts w:ascii="Aptos" w:hAnsi="Aptos" w:eastAsia="Aptos" w:cs="Aptos"/>
          <w:color w:val="000000" w:themeColor="text1"/>
        </w:rPr>
        <w:t xml:space="preserve">mith, </w:t>
      </w:r>
      <w:r w:rsidRPr="00DD4AA2" w:rsidR="21E895BA">
        <w:rPr>
          <w:rFonts w:ascii="Aptos" w:hAnsi="Aptos" w:eastAsia="Aptos" w:cs="Aptos"/>
          <w:color w:val="000000" w:themeColor="text1"/>
        </w:rPr>
        <w:t>2024</w:t>
      </w:r>
      <w:r w:rsidRPr="001633BB" w:rsidR="007B342E">
        <w:rPr>
          <w:rFonts w:ascii="Aptos" w:hAnsi="Aptos" w:eastAsia="Aptos" w:cs="Aptos"/>
          <w:color w:val="000000" w:themeColor="text1"/>
        </w:rPr>
        <w:t xml:space="preserve">). </w:t>
      </w:r>
      <w:r w:rsidRPr="001633BB" w:rsidR="001E3F22">
        <w:rPr>
          <w:rFonts w:ascii="Aptos" w:hAnsi="Aptos" w:eastAsia="Aptos" w:cs="Aptos"/>
          <w:color w:val="000000" w:themeColor="text1"/>
        </w:rPr>
        <w:t xml:space="preserve">Additionally, years of social change have eroded the idea of a unified public that could be easily won over by the police. The diversity and division within society today make it difficult for the police to </w:t>
      </w:r>
      <w:r w:rsidRPr="001633BB" w:rsidR="00C461D8">
        <w:rPr>
          <w:rFonts w:ascii="Aptos" w:hAnsi="Aptos" w:eastAsia="Aptos" w:cs="Aptos"/>
          <w:color w:val="000000" w:themeColor="text1"/>
        </w:rPr>
        <w:t>gather</w:t>
      </w:r>
      <w:r w:rsidRPr="001633BB" w:rsidR="001E3F22">
        <w:rPr>
          <w:rFonts w:ascii="Aptos" w:hAnsi="Aptos" w:eastAsia="Aptos" w:cs="Aptos"/>
          <w:color w:val="000000" w:themeColor="text1"/>
        </w:rPr>
        <w:t xml:space="preserve"> broad support. In practice, this often leads to the police prioritizing the interests of certain dominant groups. For example, white men are frequently seen as the group that the police serve most effectively. </w:t>
      </w:r>
      <w:r w:rsidRPr="001633BB" w:rsidR="0028423F">
        <w:rPr>
          <w:rFonts w:ascii="Aptos" w:hAnsi="Aptos" w:eastAsia="Aptos" w:cs="Aptos"/>
          <w:color w:val="000000" w:themeColor="text1"/>
        </w:rPr>
        <w:t>Therefore,</w:t>
      </w:r>
      <w:r w:rsidRPr="001633BB" w:rsidR="001E3F22">
        <w:rPr>
          <w:rFonts w:ascii="Aptos" w:hAnsi="Aptos" w:eastAsia="Aptos" w:cs="Aptos"/>
          <w:color w:val="000000" w:themeColor="text1"/>
        </w:rPr>
        <w:t xml:space="preserve"> while public support for police might be sought, the UK’s policing system often focuses on particular groups, rather than broader, equ</w:t>
      </w:r>
      <w:r w:rsidRPr="001633BB" w:rsidR="0028423F">
        <w:rPr>
          <w:rFonts w:ascii="Aptos" w:hAnsi="Aptos" w:eastAsia="Aptos" w:cs="Aptos"/>
          <w:color w:val="000000" w:themeColor="text1"/>
        </w:rPr>
        <w:t>al</w:t>
      </w:r>
      <w:r w:rsidRPr="001633BB" w:rsidR="001E3F22">
        <w:rPr>
          <w:rFonts w:ascii="Aptos" w:hAnsi="Aptos" w:eastAsia="Aptos" w:cs="Aptos"/>
          <w:color w:val="000000" w:themeColor="text1"/>
        </w:rPr>
        <w:t xml:space="preserve"> engagement with all members of society</w:t>
      </w:r>
      <w:r w:rsidRPr="001633BB" w:rsidR="0028423F">
        <w:rPr>
          <w:rFonts w:ascii="Aptos" w:hAnsi="Aptos" w:eastAsia="Aptos" w:cs="Aptos"/>
          <w:color w:val="000000" w:themeColor="text1"/>
        </w:rPr>
        <w:t xml:space="preserve"> (</w:t>
      </w:r>
      <w:r w:rsidRPr="001633BB" w:rsidR="001633BB">
        <w:rPr>
          <w:rFonts w:ascii="Aptos" w:hAnsi="Aptos" w:eastAsia="Aptos" w:cs="Aptos"/>
          <w:color w:val="000000" w:themeColor="text1"/>
        </w:rPr>
        <w:t>Smith, 2024)</w:t>
      </w:r>
    </w:p>
    <w:p w:rsidRPr="008B6982" w:rsidR="000E3BCF" w:rsidP="0013400F" w:rsidRDefault="004E2F44" w14:paraId="6755D96F" w14:textId="1A3AFD22">
      <w:pPr>
        <w:spacing w:line="360" w:lineRule="auto"/>
      </w:pPr>
      <w:r>
        <w:t>In terms of government control, t</w:t>
      </w:r>
      <w:r w:rsidRPr="008F1567" w:rsidR="008F1567">
        <w:t>he government</w:t>
      </w:r>
      <w:r w:rsidR="009F31D7">
        <w:t xml:space="preserve"> </w:t>
      </w:r>
      <w:r w:rsidRPr="008F1567" w:rsidR="008F1567">
        <w:t>put</w:t>
      </w:r>
      <w:r w:rsidR="009F31D7">
        <w:t>’s</w:t>
      </w:r>
      <w:r w:rsidRPr="008F1567" w:rsidR="008F1567">
        <w:t xml:space="preserve"> mechanisms in place to protect people’s rights, ensure stability, and maintain security, all of which are important for both the police and the government. These functions include crime prevention, detection, and the maintenance of public order. To carry out these duties, the police are granted certain powers, such as the authority to arrest, detain, and use force when </w:t>
      </w:r>
      <w:r w:rsidRPr="008F1567" w:rsidR="008F1567">
        <w:lastRenderedPageBreak/>
        <w:t>necessary. The police are often seen as the enforcement arm of the government, which defines and implements the laws they uphold. However, this close relationship can sometimes lead to political interference, where government representatives may try to influence the police to act in their own interests rather than those of the public</w:t>
      </w:r>
      <w:r w:rsidR="004257E4">
        <w:t xml:space="preserve"> </w:t>
      </w:r>
      <w:r w:rsidRPr="0013400F" w:rsidR="004257E4">
        <w:rPr>
          <w:highlight w:val="yellow"/>
        </w:rPr>
        <w:t>(</w:t>
      </w:r>
      <w:r w:rsidRPr="0013400F" w:rsidR="0013400F">
        <w:rPr>
          <w:highlight w:val="yellow"/>
        </w:rPr>
        <w:t>ref)</w:t>
      </w:r>
      <w:r w:rsidR="0013400F">
        <w:t xml:space="preserve">. </w:t>
      </w:r>
      <w:r w:rsidR="00C64318">
        <w:t xml:space="preserve">Recently, </w:t>
      </w:r>
      <w:r w:rsidRPr="007C31F2" w:rsidR="007C31F2">
        <w:t xml:space="preserve">Chief Inspector of Constabulary Andy Cooke </w:t>
      </w:r>
      <w:r w:rsidR="006325F9">
        <w:t>expressed</w:t>
      </w:r>
      <w:r w:rsidRPr="007C31F2" w:rsidR="007C31F2">
        <w:t xml:space="preserve"> that senior officers in 12 police forces have faced "improper pressure or interference from influential political figures," either directly or through the media. These forces, located in England and Wales, were part of a review on police impartiality and activism, commissioned by former Home Secretary Suella Braverman, aimed at addressing concerns over "woke" policing. Cooke noted that a recurring theme in the evidence collected was the extent to which senior political figures, both directly and indirectly, influence or attempt to influence police operations</w:t>
      </w:r>
      <w:r w:rsidR="00F5345D">
        <w:t xml:space="preserve"> (Brown, 2024</w:t>
      </w:r>
      <w:r w:rsidR="00D535B1">
        <w:t>, para. 8</w:t>
      </w:r>
      <w:r w:rsidR="00F5345D">
        <w:t>).</w:t>
      </w:r>
      <w:r w:rsidR="00253630">
        <w:t xml:space="preserve"> </w:t>
      </w:r>
      <w:r w:rsidR="00253630">
        <w:t xml:space="preserve">Relevant to this is the Marxist theory, which suggests that </w:t>
      </w:r>
      <w:r w:rsidRPr="00C4778D" w:rsidR="00253630">
        <w:t>the way an economy is set up</w:t>
      </w:r>
      <w:r w:rsidR="00253630">
        <w:t xml:space="preserve">, </w:t>
      </w:r>
      <w:r w:rsidRPr="00C4778D" w:rsidR="00253630">
        <w:t xml:space="preserve">shapes the government, laws, and institutions in a society. </w:t>
      </w:r>
      <w:r w:rsidR="00253630">
        <w:t>Marx</w:t>
      </w:r>
      <w:r w:rsidRPr="00C4778D" w:rsidR="00253630">
        <w:t xml:space="preserve"> argued that </w:t>
      </w:r>
      <w:r w:rsidR="00253630">
        <w:t>wealthy</w:t>
      </w:r>
      <w:r w:rsidRPr="00C4778D" w:rsidR="00253630">
        <w:t xml:space="preserve"> people</w:t>
      </w:r>
      <w:r w:rsidR="00253630">
        <w:t xml:space="preserve"> who</w:t>
      </w:r>
      <w:r w:rsidRPr="00C4778D" w:rsidR="00253630">
        <w:t xml:space="preserve"> control the economy, also control the government. </w:t>
      </w:r>
      <w:r w:rsidR="00253630">
        <w:t>Therefore, the</w:t>
      </w:r>
      <w:r w:rsidRPr="00C4778D" w:rsidR="00253630">
        <w:t xml:space="preserve"> government </w:t>
      </w:r>
      <w:r w:rsidR="00253630">
        <w:t>is there</w:t>
      </w:r>
      <w:r w:rsidRPr="00C4778D" w:rsidR="00253630">
        <w:t xml:space="preserve"> to protect the interests of the wealthy</w:t>
      </w:r>
      <w:r w:rsidR="00253630">
        <w:t xml:space="preserve">, </w:t>
      </w:r>
      <w:r w:rsidRPr="00C4778D" w:rsidR="00253630">
        <w:t xml:space="preserve">which benefits them while keeping the working class in a lower position. The government helps keep this power imbalance in place by making and enforcing </w:t>
      </w:r>
      <w:r w:rsidRPr="005033F2" w:rsidR="005033F2">
        <w:t>laws that protect the rich and powerful</w:t>
      </w:r>
      <w:r w:rsidR="005033F2">
        <w:t xml:space="preserve">. </w:t>
      </w:r>
      <w:r w:rsidR="005535A9">
        <w:t xml:space="preserve">For example, </w:t>
      </w:r>
      <w:r w:rsidR="0070739B">
        <w:t>r</w:t>
      </w:r>
      <w:r w:rsidRPr="008B6982" w:rsidR="000E3BCF">
        <w:t>esearch suggests that the Public Order Act has been introduced, in part, to protect the interests of the government and maintain its control over public behaviour. The Act's ability to restrict protests and enforce law and order, are seen as tools to safeguard government interests and preserve stability</w:t>
      </w:r>
      <w:r w:rsidR="000E3BCF">
        <w:t xml:space="preserve">. </w:t>
      </w:r>
      <w:r w:rsidRPr="008B6982" w:rsidR="000E3BCF">
        <w:t xml:space="preserve">This has led to criticism, as some argue that it allows the government to curb democratic freedoms, such as the right to protest, in </w:t>
      </w:r>
      <w:r w:rsidRPr="008B6982" w:rsidR="009849E7">
        <w:t>favour</w:t>
      </w:r>
      <w:r w:rsidRPr="008B6982" w:rsidR="000E3BCF">
        <w:t xml:space="preserve"> of maintaining power and control over the population</w:t>
      </w:r>
      <w:r w:rsidR="000E3BCF">
        <w:t xml:space="preserve"> and </w:t>
      </w:r>
      <w:r w:rsidRPr="008B6982" w:rsidR="000E3BCF">
        <w:t>that these laws are not just about protecting public safety, but also about minimizing challenges to the government’s authority</w:t>
      </w:r>
      <w:r w:rsidR="000E3BCF">
        <w:t xml:space="preserve"> (</w:t>
      </w:r>
      <w:r w:rsidR="005D1B58">
        <w:t xml:space="preserve">Downs, 2024; </w:t>
      </w:r>
      <w:r w:rsidR="00FA484C">
        <w:t>Liberty, 202</w:t>
      </w:r>
      <w:r w:rsidR="00B81733">
        <w:t>3</w:t>
      </w:r>
      <w:r w:rsidR="00FA484C">
        <w:t>).</w:t>
      </w:r>
    </w:p>
    <w:p w:rsidR="000E3BCF" w:rsidP="005033F2" w:rsidRDefault="000E3BCF" w14:paraId="3091E047" w14:textId="77777777">
      <w:pPr>
        <w:spacing w:line="360" w:lineRule="auto"/>
      </w:pPr>
    </w:p>
    <w:p w:rsidR="000E3BCF" w:rsidP="005033F2" w:rsidRDefault="000E3BCF" w14:paraId="31FC45BC" w14:textId="0C56074A">
      <w:pPr>
        <w:spacing w:line="360" w:lineRule="auto"/>
      </w:pPr>
    </w:p>
    <w:p w:rsidR="00686EC8" w:rsidP="00686EC8" w:rsidRDefault="00686EC8" w14:paraId="040A7E85" w14:textId="77777777">
      <w:pPr>
        <w:spacing w:line="360" w:lineRule="auto"/>
      </w:pPr>
    </w:p>
    <w:p w:rsidR="002413B9" w:rsidP="00686EC8" w:rsidRDefault="002413B9" w14:paraId="3631B9D0" w14:textId="77777777">
      <w:pPr>
        <w:spacing w:line="360" w:lineRule="auto"/>
      </w:pPr>
    </w:p>
    <w:p w:rsidR="5B082FBE" w:rsidP="00AB5279" w:rsidRDefault="002413B9" w14:paraId="3F0C8A5F" w14:textId="276B8305">
      <w:pPr>
        <w:spacing w:line="360" w:lineRule="auto"/>
      </w:pPr>
      <w:r>
        <w:lastRenderedPageBreak/>
        <w:t xml:space="preserve">However, recent events have </w:t>
      </w:r>
      <w:r w:rsidR="0097499C">
        <w:t>shown the need for government contr</w:t>
      </w:r>
      <w:r w:rsidR="002B66E1">
        <w:t xml:space="preserve">ol and police powers in certain situations. For example, </w:t>
      </w:r>
      <w:r w:rsidR="004566B7">
        <w:t>t</w:t>
      </w:r>
      <w:r w:rsidRPr="004566B7" w:rsidR="004566B7">
        <w:t xml:space="preserve">he </w:t>
      </w:r>
      <w:r w:rsidR="004566B7">
        <w:t>fatal</w:t>
      </w:r>
      <w:r w:rsidRPr="004566B7" w:rsidR="004566B7">
        <w:t xml:space="preserve"> stabbings at a children's dance class on July 29</w:t>
      </w:r>
      <w:r w:rsidRPr="006B1B5D" w:rsidR="006B1B5D">
        <w:rPr>
          <w:vertAlign w:val="superscript"/>
        </w:rPr>
        <w:t>th</w:t>
      </w:r>
      <w:r w:rsidRPr="004566B7" w:rsidR="004566B7">
        <w:t xml:space="preserve">, 2024, triggered riots in England and Northern Ireland. The violence was </w:t>
      </w:r>
      <w:r w:rsidR="005A762D">
        <w:t>fuelled</w:t>
      </w:r>
      <w:r w:rsidRPr="004566B7" w:rsidR="004566B7">
        <w:t xml:space="preserve"> by false information circulating on </w:t>
      </w:r>
      <w:r w:rsidRPr="00791EF4" w:rsidR="004566B7">
        <w:t>social media, which incorrectly identified the suspect as an illegal migrant</w:t>
      </w:r>
      <w:r w:rsidRPr="00791EF4" w:rsidR="00460C32">
        <w:t xml:space="preserve"> (</w:t>
      </w:r>
      <w:r w:rsidRPr="00791EF4" w:rsidR="00871289">
        <w:t>Thomas and</w:t>
      </w:r>
      <w:r w:rsidRPr="00791EF4" w:rsidR="00791EF4">
        <w:t xml:space="preserve"> </w:t>
      </w:r>
      <w:proofErr w:type="spellStart"/>
      <w:r w:rsidRPr="00791EF4" w:rsidR="00791EF4">
        <w:t>Sardarizadeh</w:t>
      </w:r>
      <w:proofErr w:type="spellEnd"/>
      <w:r w:rsidRPr="00791EF4" w:rsidR="00791EF4">
        <w:t>, 2024)</w:t>
      </w:r>
      <w:r w:rsidR="005E3611">
        <w:t xml:space="preserve">. </w:t>
      </w:r>
      <w:r w:rsidR="00024E98">
        <w:t xml:space="preserve"> </w:t>
      </w:r>
      <w:r w:rsidRPr="005E3611" w:rsidR="005E3611">
        <w:t>In response, UK Prime Minister Keir Starmer</w:t>
      </w:r>
      <w:r w:rsidR="00E83CFF">
        <w:t xml:space="preserve"> </w:t>
      </w:r>
      <w:r w:rsidRPr="005E3611" w:rsidR="005E3611">
        <w:t>made it clear that anyone involved in the riots, either in person or online, would face the full force of the law. The government deployed thousands of police officers in key locations, particularly near mosques, to prevent further violence. Those arrested during the riots were held in custody until their trial</w:t>
      </w:r>
      <w:r w:rsidR="00AB5279">
        <w:t xml:space="preserve">. </w:t>
      </w:r>
      <w:r w:rsidR="004756C5">
        <w:t>A</w:t>
      </w:r>
      <w:r w:rsidRPr="00AB5279" w:rsidR="00AB5279">
        <w:t>dditional security measures were put in place to safeguard local communities, and there were even reports of emergency care packages being distributed to those affected by the unrest. This robust and coordinated response illustrated the role of government control and police powers in maintaining public order during times of crisis, especially when misinformation or inflammatory rhetoric amplifies tensions (UK Government, 2024).</w:t>
      </w:r>
      <w:r w:rsidR="00024E98">
        <w:t xml:space="preserve"> </w:t>
      </w:r>
      <w:r w:rsidR="59B79F49">
        <w:t>(</w:t>
      </w:r>
      <w:r w:rsidR="005E3611">
        <w:t>UK</w:t>
      </w:r>
      <w:r w:rsidR="00E83CFF">
        <w:t>,</w:t>
      </w:r>
      <w:r w:rsidR="005E3611">
        <w:t xml:space="preserve"> </w:t>
      </w:r>
      <w:r w:rsidR="6DE0BFA6">
        <w:t>Government</w:t>
      </w:r>
      <w:r w:rsidR="005E3611">
        <w:t xml:space="preserve">, </w:t>
      </w:r>
      <w:r w:rsidR="6DE0BFA6">
        <w:t>2024)</w:t>
      </w:r>
      <w:r w:rsidR="24B28349">
        <w:t xml:space="preserve">. </w:t>
      </w:r>
    </w:p>
    <w:p w:rsidRPr="00A645D8" w:rsidR="00A645D8" w:rsidP="00FD02A2" w:rsidRDefault="00A645D8" w14:paraId="49A7903B" w14:textId="51433613">
      <w:pPr>
        <w:pStyle w:val="NoSpacing"/>
        <w:spacing w:line="360" w:lineRule="auto"/>
      </w:pPr>
      <w:r w:rsidRPr="00A645D8">
        <w:t xml:space="preserve">In conclusion, the debate between community consent and government control in policing is </w:t>
      </w:r>
      <w:r w:rsidR="00D10CD8">
        <w:t xml:space="preserve">somewhat complex, </w:t>
      </w:r>
      <w:r w:rsidRPr="00A645D8">
        <w:t xml:space="preserve">with each approach offering different benefits and challenges. Community consent, </w:t>
      </w:r>
      <w:r w:rsidR="00D10CD8">
        <w:t xml:space="preserve">based on </w:t>
      </w:r>
      <w:r w:rsidRPr="00A645D8">
        <w:t>Sir Robert Peel’s principles, emphasi</w:t>
      </w:r>
      <w:r w:rsidR="00D10CD8">
        <w:t>s</w:t>
      </w:r>
      <w:r w:rsidRPr="00A645D8">
        <w:t>es the importance of public cooperation, trust, and the idea that policing should be responsive to the needs and values of the community. Evidence supports the idea that when police build relationships with local residents and act with respect and fairness, crime can be reduced, and public trust strengthened. However, the challenges of resource allocation, the diversity of community needs, and the ambiguities surrounding the concept of consent</w:t>
      </w:r>
      <w:r w:rsidR="00033ACB">
        <w:t>,</w:t>
      </w:r>
      <w:r w:rsidRPr="00A645D8">
        <w:t xml:space="preserve"> raise questions about the effectiveness and fairness of policing by consent</w:t>
      </w:r>
      <w:r w:rsidR="00FD02A2">
        <w:t xml:space="preserve">. </w:t>
      </w:r>
      <w:r w:rsidRPr="00A645D8">
        <w:t xml:space="preserve">On the other hand, government control, exemplified by responses to events like the 2024 riots, </w:t>
      </w:r>
      <w:r w:rsidR="00FD02A2">
        <w:t xml:space="preserve">shows </w:t>
      </w:r>
      <w:r w:rsidRPr="00A645D8">
        <w:t xml:space="preserve">the government's need to maintain social order and stability, especially during times of crisis or unrest. While this approach can quickly address disruptions and ensure the enforcement of law and order, it can also lead to concerns over political interference and the </w:t>
      </w:r>
      <w:r w:rsidRPr="00A645D8" w:rsidR="00FD02A2">
        <w:t>loss</w:t>
      </w:r>
      <w:r w:rsidRPr="00A645D8">
        <w:t xml:space="preserve"> of democratic freedoms. Critics argue that such laws may be used to protect the interests of those in power and limit public </w:t>
      </w:r>
      <w:r w:rsidR="00361C86">
        <w:t>opposition</w:t>
      </w:r>
      <w:r w:rsidRPr="00A645D8">
        <w:t xml:space="preserve"> as seen in the government's response to protests or riots that challenge its authority. </w:t>
      </w:r>
    </w:p>
    <w:p w:rsidR="00C56B75" w:rsidP="7D3480AB" w:rsidRDefault="00C56B75" w14:paraId="2C050947" w14:textId="05687066">
      <w:pPr>
        <w:pStyle w:val="NoSpacing"/>
        <w:spacing w:line="360" w:lineRule="auto"/>
      </w:pPr>
      <w:r w:rsidR="00582B28">
        <w:rPr/>
        <w:t>Therefore,</w:t>
      </w:r>
      <w:r w:rsidR="00A645D8">
        <w:rPr/>
        <w:t xml:space="preserve"> the most effective approach lies in finding a balance between community consent and government control, ensuring that the police serve the public's best interests while </w:t>
      </w:r>
      <w:r w:rsidR="00A645D8">
        <w:rPr/>
        <w:t>maintaining</w:t>
      </w:r>
      <w:r w:rsidR="00A645D8">
        <w:rPr/>
        <w:t xml:space="preserve"> order and addressing the complex realities of modern society. </w:t>
      </w:r>
    </w:p>
    <w:p w:rsidR="00547EE1" w:rsidRDefault="00547EE1" w14:paraId="3A45E5A7" w14:textId="77777777"/>
    <w:p w:rsidR="00547EE1" w:rsidRDefault="00547EE1" w14:paraId="3BD2CBD8" w14:textId="77777777"/>
    <w:p w:rsidR="00547EE1" w:rsidRDefault="00547EE1" w14:paraId="3ED47C42" w14:textId="448DD107"/>
    <w:p w:rsidR="004502E7" w:rsidRDefault="004502E7" w14:paraId="566BBBD1" w14:textId="77777777"/>
    <w:p w:rsidR="004502E7" w:rsidRDefault="004502E7" w14:paraId="74504AE7" w14:textId="77777777"/>
    <w:p w:rsidR="004502E7" w:rsidRDefault="004502E7" w14:paraId="58BDE234" w14:textId="77777777"/>
    <w:p w:rsidR="00F45F36" w:rsidRDefault="00F45F36" w14:paraId="157BA4C4" w14:textId="77777777"/>
    <w:p w:rsidR="00F45F36" w:rsidRDefault="00F45F36" w14:paraId="3AFB2A9B" w14:textId="77777777"/>
    <w:p w:rsidR="00F45F36" w:rsidRDefault="00F45F36" w14:paraId="660279F9" w14:textId="77777777"/>
    <w:p w:rsidR="00F45F36" w:rsidRDefault="00F45F36" w14:paraId="252EC61B" w14:textId="77777777"/>
    <w:p w:rsidR="00F45F36" w:rsidRDefault="00F45F36" w14:paraId="6234C6C2" w14:textId="77777777"/>
    <w:p w:rsidR="00F45F36" w:rsidRDefault="00F45F36" w14:paraId="7E10260F" w14:textId="77777777"/>
    <w:p w:rsidR="00F45F36" w:rsidRDefault="00F45F36" w14:paraId="748348E0" w14:textId="77777777"/>
    <w:p w:rsidR="00F45F36" w:rsidRDefault="00F45F36" w14:paraId="04450F24" w14:textId="77777777"/>
    <w:p w:rsidR="00F45F36" w:rsidRDefault="00F45F36" w14:paraId="252F33AD" w14:textId="77777777"/>
    <w:p w:rsidR="00F45F36" w:rsidRDefault="00F45F36" w14:paraId="4FF87A63" w14:textId="77777777"/>
    <w:p w:rsidRPr="00F45F36" w:rsidR="00F45F36" w:rsidP="00F45F36" w:rsidRDefault="00F45F36" w14:paraId="7C3A35ED" w14:textId="1A9DD33B">
      <w:pPr>
        <w:rPr>
          <w:b/>
          <w:bCs/>
        </w:rPr>
      </w:pPr>
      <w:r w:rsidRPr="004502E7">
        <w:rPr>
          <w:b/>
          <w:bCs/>
        </w:rPr>
        <w:t>References</w:t>
      </w:r>
    </w:p>
    <w:p w:rsidR="00F45F36" w:rsidP="007477CF" w:rsidRDefault="00F45F36" w14:paraId="6033CA78" w14:textId="77777777">
      <w:pPr>
        <w:spacing w:line="240" w:lineRule="auto"/>
        <w:ind w:left="720" w:hanging="720"/>
      </w:pPr>
      <w:r>
        <w:t xml:space="preserve">College of Policing (2013) </w:t>
      </w:r>
      <w:r w:rsidRPr="0017449B">
        <w:rPr>
          <w:i/>
          <w:iCs/>
        </w:rPr>
        <w:t>Engagement.</w:t>
      </w:r>
      <w:r>
        <w:t xml:space="preserve"> Available at: </w:t>
      </w:r>
      <w:hyperlink w:history="1" r:id="rId7">
        <w:r w:rsidRPr="007477CF">
          <w:rPr>
            <w:rStyle w:val="Hyperlink"/>
          </w:rPr>
          <w:t>Engagement | College of Policing</w:t>
        </w:r>
      </w:hyperlink>
      <w:r>
        <w:t xml:space="preserve"> (Accessed: 22 October 2024).</w:t>
      </w:r>
    </w:p>
    <w:p w:rsidR="00F45F36" w:rsidP="005E7E8C" w:rsidRDefault="00F45F36" w14:paraId="3DEB43B9" w14:textId="77777777">
      <w:pPr>
        <w:spacing w:line="240" w:lineRule="auto"/>
        <w:ind w:left="720" w:hanging="720"/>
      </w:pPr>
      <w:r w:rsidRPr="00DB1D69">
        <w:t xml:space="preserve">Crest (2020) </w:t>
      </w:r>
      <w:r w:rsidRPr="00DB1D69">
        <w:rPr>
          <w:i/>
          <w:iCs/>
        </w:rPr>
        <w:t>Policing the COVID-19 Lockdown: new poll.</w:t>
      </w:r>
      <w:r w:rsidRPr="00DB1D69">
        <w:t xml:space="preserve"> Available at: https://www.crestadvisory.com/post/ policing-the-covid-19-lockdown-new-poll</w:t>
      </w:r>
      <w:r>
        <w:t xml:space="preserve">. </w:t>
      </w:r>
      <w:r w:rsidRPr="004502E7">
        <w:t>(Accessed: 6 November 2024)</w:t>
      </w:r>
      <w:r>
        <w:t>.</w:t>
      </w:r>
    </w:p>
    <w:p w:rsidRPr="00C23111" w:rsidR="00F45F36" w:rsidP="00C23111" w:rsidRDefault="00F45F36" w14:paraId="0591D9CA" w14:textId="77777777">
      <w:pPr>
        <w:spacing w:line="240" w:lineRule="auto"/>
        <w:ind w:left="720" w:hanging="720"/>
      </w:pPr>
      <w:r>
        <w:lastRenderedPageBreak/>
        <w:t xml:space="preserve">Down. </w:t>
      </w:r>
      <w:r w:rsidRPr="00C23111">
        <w:t xml:space="preserve">W (2024) </w:t>
      </w:r>
      <w:r w:rsidRPr="00C23111">
        <w:rPr>
          <w:i/>
          <w:iCs/>
        </w:rPr>
        <w:t>Police powers: Protests</w:t>
      </w:r>
      <w:r w:rsidRPr="00C23111">
        <w:rPr>
          <w:i/>
          <w:iCs/>
        </w:rPr>
        <w:t>.</w:t>
      </w:r>
      <w:r>
        <w:t xml:space="preserve"> </w:t>
      </w:r>
      <w:r w:rsidRPr="00C23111">
        <w:t xml:space="preserve">Available at: </w:t>
      </w:r>
      <w:hyperlink w:history="1" r:id="rId8">
        <w:r w:rsidRPr="00C059DD">
          <w:rPr>
            <w:rStyle w:val="Hyperlink"/>
          </w:rPr>
          <w:t>https://commonslibrary.parliament.uk/research-briefings/sn05013/</w:t>
        </w:r>
      </w:hyperlink>
      <w:r>
        <w:t xml:space="preserve"> </w:t>
      </w:r>
      <w:r>
        <w:t>(Accessed: 22 October 2024).</w:t>
      </w:r>
    </w:p>
    <w:p w:rsidR="00F45F36" w:rsidP="005E7E8C" w:rsidRDefault="00F45F36" w14:paraId="475CDC18" w14:textId="77777777">
      <w:pPr>
        <w:spacing w:line="240" w:lineRule="auto"/>
        <w:ind w:left="720" w:hanging="720"/>
      </w:pPr>
      <w:r w:rsidRPr="005E7E8C">
        <w:t>Halliday</w:t>
      </w:r>
      <w:r>
        <w:t>. S.,</w:t>
      </w:r>
      <w:r w:rsidRPr="005E7E8C">
        <w:t xml:space="preserve"> Meers</w:t>
      </w:r>
      <w:r>
        <w:t>. J</w:t>
      </w:r>
      <w:r w:rsidRPr="005E7E8C">
        <w:t xml:space="preserve"> and Tomlinson</w:t>
      </w:r>
      <w:r>
        <w:t>. J (2020)</w:t>
      </w:r>
      <w:r w:rsidRPr="005E7E8C">
        <w:t xml:space="preserve"> </w:t>
      </w:r>
      <w:r w:rsidRPr="005E7E8C">
        <w:rPr>
          <w:i/>
          <w:iCs/>
        </w:rPr>
        <w:t>Public Attitudes on Compliance with COVID-19 Lockdown Restrictions</w:t>
      </w:r>
      <w:r>
        <w:t>. Available at:</w:t>
      </w:r>
      <w:r w:rsidRPr="005E7E8C">
        <w:t xml:space="preserve"> https://mk0nuffieldfounpg9ee.kinstacdn.com/wp-content/ uploads/2020/04/Public-Attitudes-on-Compliance-with-COVID19-Lockdown-Restrictions.pdf</w:t>
      </w:r>
      <w:r>
        <w:t xml:space="preserve"> </w:t>
      </w:r>
      <w:r w:rsidRPr="004502E7">
        <w:t>(Accessed: 6 November 2024)</w:t>
      </w:r>
      <w:r>
        <w:t xml:space="preserve">.  </w:t>
      </w:r>
    </w:p>
    <w:p w:rsidR="00F45F36" w:rsidP="005E7E8C" w:rsidRDefault="00F45F36" w14:paraId="50746A05" w14:textId="77777777">
      <w:pPr>
        <w:spacing w:line="240" w:lineRule="auto"/>
        <w:ind w:left="720" w:hanging="720"/>
      </w:pPr>
      <w:r w:rsidRPr="00D60C8F">
        <w:t>Law Enforcement Action Partnership</w:t>
      </w:r>
      <w:r>
        <w:t xml:space="preserve"> (</w:t>
      </w:r>
      <w:r w:rsidRPr="00D60C8F">
        <w:t>2024).</w:t>
      </w:r>
      <w:r>
        <w:t xml:space="preserve"> </w:t>
      </w:r>
      <w:r w:rsidRPr="00DB1D69">
        <w:rPr>
          <w:i/>
          <w:iCs/>
        </w:rPr>
        <w:t xml:space="preserve">Sir Robert Peel's Policing Principles. </w:t>
      </w:r>
      <w:r w:rsidRPr="00DB1D69">
        <w:t xml:space="preserve">Available at: </w:t>
      </w:r>
      <w:hyperlink w:history="1" r:id="rId9">
        <w:r w:rsidRPr="00DB1D69">
          <w:rPr>
            <w:rStyle w:val="Hyperlink"/>
          </w:rPr>
          <w:t>https://lawenforcementactionpartnership.org/peel-policing-principles/</w:t>
        </w:r>
      </w:hyperlink>
      <w:r w:rsidRPr="00DB1D69">
        <w:t xml:space="preserve"> (Accessed: 20 October 2024)</w:t>
      </w:r>
    </w:p>
    <w:p w:rsidRPr="00B81733" w:rsidR="00F45F36" w:rsidP="00B81733" w:rsidRDefault="00F45F36" w14:paraId="1D1431D6" w14:textId="77777777">
      <w:pPr>
        <w:spacing w:line="240" w:lineRule="auto"/>
        <w:ind w:left="720" w:hanging="720"/>
      </w:pPr>
      <w:r w:rsidRPr="00B81733">
        <w:t>Liberty, (2023),</w:t>
      </w:r>
      <w:r w:rsidRPr="001B0EE2">
        <w:rPr>
          <w:i/>
          <w:iCs/>
        </w:rPr>
        <w:t>Public Order Act: New Protest Offences and Serious Disruption</w:t>
      </w:r>
      <w:r>
        <w:t xml:space="preserve">. </w:t>
      </w:r>
      <w:r w:rsidRPr="00B81733">
        <w:t xml:space="preserve">Available at: https://www.libertyhumanrights.org.uk/advice_information/public-order-act-new-protest-offences/ (Accessed: </w:t>
      </w:r>
      <w:r>
        <w:t>4</w:t>
      </w:r>
      <w:r w:rsidRPr="00B81733">
        <w:t xml:space="preserve"> November 2024</w:t>
      </w:r>
      <w:r>
        <w:t>).</w:t>
      </w:r>
    </w:p>
    <w:p w:rsidR="00F45F36" w:rsidP="005E7E8C" w:rsidRDefault="00F45F36" w14:paraId="2AC8A76D" w14:textId="77777777">
      <w:pPr>
        <w:spacing w:line="240" w:lineRule="auto"/>
        <w:ind w:left="720" w:hanging="720"/>
      </w:pPr>
      <w:r w:rsidRPr="00DB1D69">
        <w:t>Metropolitan Police Service</w:t>
      </w:r>
      <w:r>
        <w:t xml:space="preserve"> (2020)</w:t>
      </w:r>
      <w:r w:rsidRPr="00DB1D69">
        <w:t xml:space="preserve"> </w:t>
      </w:r>
      <w:r w:rsidRPr="00DB1D69">
        <w:rPr>
          <w:i/>
          <w:iCs/>
        </w:rPr>
        <w:t>Stop and Search Dashboard</w:t>
      </w:r>
      <w:r>
        <w:rPr>
          <w:i/>
          <w:iCs/>
        </w:rPr>
        <w:t xml:space="preserve">. </w:t>
      </w:r>
      <w:r>
        <w:t xml:space="preserve">Available at: </w:t>
      </w:r>
      <w:r w:rsidRPr="00DB1D69">
        <w:t xml:space="preserve">https://www.met.police.uk/sd/ stats-and-data/met/stop-and-search-dashboard/ </w:t>
      </w:r>
      <w:r w:rsidRPr="004502E7">
        <w:t>(Accessed: 6 November 2024)</w:t>
      </w:r>
      <w:r>
        <w:t xml:space="preserve">. </w:t>
      </w:r>
    </w:p>
    <w:p w:rsidRPr="003A1898" w:rsidR="00F45F36" w:rsidP="00321B5A" w:rsidRDefault="00F45F36" w14:paraId="18E1C1E7" w14:textId="77777777">
      <w:pPr>
        <w:spacing w:line="240" w:lineRule="auto"/>
        <w:ind w:left="720" w:hanging="720"/>
      </w:pPr>
      <w:r>
        <w:t xml:space="preserve">Smith, W (2024). </w:t>
      </w:r>
      <w:r w:rsidRPr="003A1898">
        <w:t>Why the principle of ‘policing by consent’ will not address the ongoing crisis in policing</w:t>
      </w:r>
      <w:r>
        <w:t xml:space="preserve">. Available at: </w:t>
      </w:r>
      <w:hyperlink w:history="1" w:anchor=":~:text=Even%20when%20police%20are%20required,could%20be%20cultivated%20by%20police" r:id="rId10">
        <w:r w:rsidRPr="00321B5A">
          <w:rPr>
            <w:rStyle w:val="Hyperlink"/>
          </w:rPr>
          <w:t>Why the principle of 'policing by consent' will not address the ongoing crisis in policing | USAPP</w:t>
        </w:r>
      </w:hyperlink>
      <w:r>
        <w:t xml:space="preserve"> (Accessed: 10 November 2024).</w:t>
      </w:r>
    </w:p>
    <w:p w:rsidRPr="00DB1D69" w:rsidR="00F45F36" w:rsidP="00354DD6" w:rsidRDefault="00F45F36" w14:paraId="27D88014" w14:textId="77777777">
      <w:pPr>
        <w:spacing w:line="240" w:lineRule="auto"/>
        <w:ind w:left="720" w:hanging="720"/>
      </w:pPr>
      <w:r w:rsidRPr="00DA5166">
        <w:t xml:space="preserve">The </w:t>
      </w:r>
      <w:proofErr w:type="spellStart"/>
      <w:r w:rsidRPr="00DA5166">
        <w:t>Center</w:t>
      </w:r>
      <w:proofErr w:type="spellEnd"/>
      <w:r w:rsidRPr="00DA5166">
        <w:t xml:space="preserve"> for Community-Based Policing and Post-Conflict Police Reform</w:t>
      </w:r>
      <w:r>
        <w:t xml:space="preserve"> </w:t>
      </w:r>
      <w:r w:rsidRPr="00DA5166">
        <w:t xml:space="preserve"> </w:t>
      </w:r>
      <w:r>
        <w:t>(</w:t>
      </w:r>
      <w:r w:rsidRPr="00DA5166">
        <w:t>2020)</w:t>
      </w:r>
      <w:r>
        <w:t xml:space="preserve">. </w:t>
      </w:r>
      <w:r w:rsidRPr="00527F37">
        <w:rPr>
          <w:i/>
          <w:iCs/>
        </w:rPr>
        <w:t>The Origin Of The Concept Of COP.</w:t>
      </w:r>
      <w:r>
        <w:t xml:space="preserve"> Available at: </w:t>
      </w:r>
      <w:hyperlink w:history="1" r:id="rId11">
        <w:r w:rsidRPr="00CE01B8">
          <w:rPr>
            <w:rStyle w:val="Hyperlink"/>
          </w:rPr>
          <w:t>The Origin Of The Concept Of COP - ICT4COP | Community oriented policing</w:t>
        </w:r>
      </w:hyperlink>
      <w:r>
        <w:t xml:space="preserve"> (Accessed: 25 October 2024)</w:t>
      </w:r>
    </w:p>
    <w:p w:rsidR="00F45F36" w:rsidP="7D3480AB" w:rsidRDefault="00F45F36" w14:paraId="2736FEEE" w14:textId="30E96721">
      <w:pPr>
        <w:spacing w:line="240" w:lineRule="auto"/>
        <w:ind w:left="720" w:hanging="720"/>
      </w:pPr>
      <w:r w:rsidR="00F45F36">
        <w:rPr/>
        <w:t xml:space="preserve">Watts, D (2024). </w:t>
      </w:r>
      <w:r w:rsidRPr="7D3480AB" w:rsidR="00F45F36">
        <w:rPr>
          <w:i w:val="1"/>
          <w:iCs w:val="1"/>
        </w:rPr>
        <w:t>What is Policing by Consent?</w:t>
      </w:r>
      <w:r w:rsidR="00F45F36">
        <w:rPr/>
        <w:t xml:space="preserve"> Available at: </w:t>
      </w:r>
      <w:hyperlink w:anchor=":~:text=Policing%20by%20consent%20is%20a,the%20consent%20of%20an%20individual" r:id="Ra5a60c5b731a462d">
        <w:r w:rsidRPr="7D3480AB" w:rsidR="00F45F36">
          <w:rPr>
            <w:rStyle w:val="Hyperlink"/>
          </w:rPr>
          <w:t>https://ministryofinjustice.co.uk/what-is-policing-by-consent/#:~:text=Policing%20by%20consent%20is%20a,the%20consent%20of%20an%20individual</w:t>
        </w:r>
      </w:hyperlink>
      <w:r w:rsidR="00F45F36">
        <w:rPr/>
        <w:t>. (Accessed: 6 November 2024)</w:t>
      </w:r>
    </w:p>
    <w:p w:rsidR="0EC7F87D" w:rsidP="7D3480AB" w:rsidRDefault="0EC7F87D" w14:paraId="58780787" w14:textId="2C55CD95">
      <w:pPr>
        <w:pStyle w:val="Normal"/>
        <w:ind w:left="720" w:hanging="720"/>
        <w:rPr>
          <w:i w:val="0"/>
          <w:iCs w:val="0"/>
        </w:rPr>
      </w:pPr>
      <w:r w:rsidR="0EC7F87D">
        <w:rPr/>
        <w:t>Lunt,C</w:t>
      </w:r>
      <w:r w:rsidR="0EC7F87D">
        <w:rPr/>
        <w:t xml:space="preserve"> (2022). </w:t>
      </w:r>
      <w:r w:rsidRPr="7D3480AB" w:rsidR="0EC7F87D">
        <w:rPr>
          <w:i w:val="1"/>
          <w:iCs w:val="1"/>
        </w:rPr>
        <w:t>Why the time has come to withdraw consent to policing</w:t>
      </w:r>
      <w:r w:rsidRPr="7D3480AB" w:rsidR="7E567164">
        <w:rPr>
          <w:i w:val="1"/>
          <w:iCs w:val="1"/>
        </w:rPr>
        <w:t>.</w:t>
      </w:r>
      <w:r w:rsidRPr="7D3480AB" w:rsidR="7E567164">
        <w:rPr>
          <w:i w:val="0"/>
          <w:iCs w:val="0"/>
        </w:rPr>
        <w:t xml:space="preserve"> Available at:</w:t>
      </w:r>
      <w:hyperlink r:id="R9035573e92d5484f">
        <w:r w:rsidRPr="7D3480AB" w:rsidR="7E567164">
          <w:rPr>
            <w:rStyle w:val="Hyperlink"/>
            <w:rFonts w:ascii="Aptos" w:hAnsi="Aptos" w:eastAsia="Aptos" w:cs="Aptos"/>
          </w:rPr>
          <w:t>https://www.stop-watch.org/news-opinion/why-the-time-has-come-to-withdraw-consent-to-policing/</w:t>
        </w:r>
      </w:hyperlink>
      <w:r w:rsidRPr="7D3480AB" w:rsidR="7E567164">
        <w:rPr>
          <w:rFonts w:ascii="Aptos" w:hAnsi="Aptos" w:eastAsia="Aptos" w:cs="Aptos"/>
        </w:rPr>
        <w:t xml:space="preserve"> ( Accessed:10 November 2024</w:t>
      </w:r>
      <w:r w:rsidRPr="7D3480AB" w:rsidR="5F2A5CA4">
        <w:rPr>
          <w:rFonts w:ascii="Aptos" w:hAnsi="Aptos" w:eastAsia="Aptos" w:cs="Aptos"/>
        </w:rPr>
        <w:t xml:space="preserve">) </w:t>
      </w:r>
    </w:p>
    <w:p w:rsidR="480C54CB" w:rsidP="7D3480AB" w:rsidRDefault="480C54CB" w14:paraId="6D9515EC" w14:textId="68D9CA2B">
      <w:pPr>
        <w:pStyle w:val="Normal"/>
      </w:pPr>
      <w:r w:rsidRPr="7D3480AB" w:rsidR="480C54CB">
        <w:rPr>
          <w:rFonts w:ascii="Aptos" w:hAnsi="Aptos" w:eastAsia="Aptos" w:cs="Aptos"/>
        </w:rPr>
        <w:t>Criminal justice handbook (2011</w:t>
      </w:r>
      <w:r w:rsidRPr="7D3480AB" w:rsidR="0AF4B8D7">
        <w:rPr>
          <w:rFonts w:ascii="Aptos" w:hAnsi="Aptos" w:eastAsia="Aptos" w:cs="Aptos"/>
        </w:rPr>
        <w:t xml:space="preserve">). </w:t>
      </w:r>
      <w:r w:rsidRPr="7D3480AB" w:rsidR="0AF4B8D7">
        <w:rPr>
          <w:rFonts w:ascii="Aptos" w:hAnsi="Aptos" w:eastAsia="Aptos" w:cs="Aptos"/>
          <w:i w:val="1"/>
          <w:iCs w:val="1"/>
        </w:rPr>
        <w:t xml:space="preserve">Handbook on police accountability, </w:t>
      </w:r>
      <w:r w:rsidRPr="7D3480AB" w:rsidR="0AF4B8D7">
        <w:rPr>
          <w:rFonts w:ascii="Aptos" w:hAnsi="Aptos" w:eastAsia="Aptos" w:cs="Aptos"/>
          <w:i w:val="1"/>
          <w:iCs w:val="1"/>
        </w:rPr>
        <w:t>oversight</w:t>
      </w:r>
      <w:r w:rsidRPr="7D3480AB" w:rsidR="0AF4B8D7">
        <w:rPr>
          <w:rFonts w:ascii="Aptos" w:hAnsi="Aptos" w:eastAsia="Aptos" w:cs="Aptos"/>
          <w:i w:val="1"/>
          <w:iCs w:val="1"/>
        </w:rPr>
        <w:t xml:space="preserve"> and integrit</w:t>
      </w:r>
      <w:r w:rsidRPr="7D3480AB" w:rsidR="5AE3F114">
        <w:rPr>
          <w:rFonts w:ascii="Aptos" w:hAnsi="Aptos" w:eastAsia="Aptos" w:cs="Aptos"/>
          <w:i w:val="1"/>
          <w:iCs w:val="1"/>
        </w:rPr>
        <w:t>y</w:t>
      </w:r>
      <w:r w:rsidRPr="7D3480AB" w:rsidR="5AE3F114">
        <w:rPr>
          <w:rFonts w:ascii="Aptos" w:hAnsi="Aptos" w:eastAsia="Aptos" w:cs="Aptos"/>
          <w:i w:val="1"/>
          <w:iCs w:val="1"/>
        </w:rPr>
        <w:t xml:space="preserve">.  </w:t>
      </w:r>
      <w:r w:rsidRPr="7D3480AB" w:rsidR="5AE3F114">
        <w:rPr>
          <w:rFonts w:ascii="Aptos" w:hAnsi="Aptos" w:eastAsia="Aptos" w:cs="Aptos"/>
          <w:i w:val="0"/>
          <w:iCs w:val="0"/>
        </w:rPr>
        <w:t>available at:</w:t>
      </w:r>
      <w:hyperlink r:id="R0866df2d98fe4e74">
        <w:r w:rsidRPr="7D3480AB" w:rsidR="5AE3F114">
          <w:rPr>
            <w:rStyle w:val="Hyperlink"/>
          </w:rPr>
          <w:t>https://www.unodc.org/pdf/criminal_justice/Handbook_on_police_Accountability_Oversight_and_Integrity.pdf</w:t>
        </w:r>
      </w:hyperlink>
      <w:r w:rsidR="5AE3F114">
        <w:rPr/>
        <w:t xml:space="preserve"> ( Accessed 13 November 2024) </w:t>
      </w:r>
    </w:p>
    <w:p w:rsidR="0091467F" w:rsidP="7D3480AB" w:rsidRDefault="0091467F" w14:paraId="14DE4B02" w14:textId="44EBF47D">
      <w:pPr>
        <w:pStyle w:val="Normal"/>
        <w:spacing w:line="240" w:lineRule="auto"/>
        <w:ind/>
        <w:rPr>
          <w:rFonts w:ascii="Aptos" w:hAnsi="Aptos" w:eastAsia="Aptos" w:cs="Aptos"/>
        </w:rPr>
      </w:pPr>
      <w:r w:rsidR="26E0B642">
        <w:rPr/>
        <w:t>Government, home office (2024). immediate</w:t>
      </w:r>
      <w:r w:rsidRPr="7D3480AB" w:rsidR="26E0B642">
        <w:rPr>
          <w:i w:val="1"/>
          <w:iCs w:val="1"/>
        </w:rPr>
        <w:t xml:space="preserve"> action after Southport attacks:</w:t>
      </w:r>
      <w:r w:rsidRPr="7D3480AB" w:rsidR="26E0B642">
        <w:rPr>
          <w:i w:val="0"/>
          <w:iCs w:val="0"/>
        </w:rPr>
        <w:t xml:space="preserve"> </w:t>
      </w:r>
      <w:r w:rsidRPr="7D3480AB" w:rsidR="26E0B642">
        <w:rPr>
          <w:i w:val="0"/>
          <w:iCs w:val="0"/>
        </w:rPr>
        <w:t>avable</w:t>
      </w:r>
      <w:r w:rsidRPr="7D3480AB" w:rsidR="26E0B642">
        <w:rPr>
          <w:i w:val="0"/>
          <w:iCs w:val="0"/>
        </w:rPr>
        <w:t xml:space="preserve"> at</w:t>
      </w:r>
      <w:r w:rsidRPr="7D3480AB" w:rsidR="433B01F0">
        <w:rPr>
          <w:i w:val="0"/>
          <w:iCs w:val="0"/>
        </w:rPr>
        <w:t>:</w:t>
      </w:r>
      <w:hyperlink r:id="Rdcdc3b5b7b1142a1">
        <w:r w:rsidRPr="7D3480AB" w:rsidR="433B01F0">
          <w:rPr>
            <w:rStyle w:val="Hyperlink"/>
            <w:rFonts w:ascii="Aptos" w:hAnsi="Aptos" w:eastAsia="Aptos" w:cs="Aptos"/>
          </w:rPr>
          <w:t>Our immediate action after Southport attacks - GOV.UK</w:t>
        </w:r>
      </w:hyperlink>
      <w:r w:rsidRPr="7D3480AB" w:rsidR="433B01F0">
        <w:rPr>
          <w:rFonts w:ascii="Aptos" w:hAnsi="Aptos" w:eastAsia="Aptos" w:cs="Aptos"/>
        </w:rPr>
        <w:t xml:space="preserve">  ( Accessed 6 November 2024)</w:t>
      </w:r>
    </w:p>
    <w:p w:rsidR="0091467F" w:rsidP="7D3480AB" w:rsidRDefault="0091467F" w14:paraId="7335971A" w14:textId="33644A0B">
      <w:pPr>
        <w:pStyle w:val="Normal"/>
        <w:spacing w:line="240" w:lineRule="auto"/>
        <w:ind/>
        <w:rPr>
          <w:rFonts w:ascii="Aptos" w:hAnsi="Aptos" w:eastAsia="Aptos" w:cs="Aptos"/>
        </w:rPr>
      </w:pPr>
      <w:r w:rsidRPr="7D3480AB" w:rsidR="59898A63">
        <w:rPr>
          <w:i w:val="0"/>
          <w:iCs w:val="0"/>
        </w:rPr>
        <w:t xml:space="preserve">Thomas, A (2021). The heart of the problem </w:t>
      </w:r>
      <w:r w:rsidRPr="7D3480AB" w:rsidR="497CF6E9">
        <w:rPr>
          <w:i w:val="0"/>
          <w:iCs w:val="0"/>
        </w:rPr>
        <w:t xml:space="preserve">A weak centre is undermining the </w:t>
      </w:r>
      <w:r w:rsidRPr="7D3480AB" w:rsidR="497CF6E9">
        <w:rPr>
          <w:i w:val="0"/>
          <w:iCs w:val="0"/>
        </w:rPr>
        <w:t>uk</w:t>
      </w:r>
      <w:r w:rsidRPr="7D3480AB" w:rsidR="497CF6E9">
        <w:rPr>
          <w:i w:val="0"/>
          <w:iCs w:val="0"/>
        </w:rPr>
        <w:t xml:space="preserve"> government: available at: </w:t>
      </w:r>
      <w:r w:rsidRPr="7D3480AB" w:rsidR="497CF6E9">
        <w:rPr>
          <w:rFonts w:ascii="Aptos" w:hAnsi="Aptos" w:eastAsia="Aptos" w:cs="Aptos"/>
        </w:rPr>
        <w:t>weak-centre-government.pdf</w:t>
      </w:r>
    </w:p>
    <w:p w:rsidR="6D324C87" w:rsidP="6D324C87" w:rsidRDefault="6D324C87" w14:paraId="2C3AB6AC" w14:textId="00070D84">
      <w:pPr>
        <w:rPr>
          <w:rFonts w:ascii="Times New Roman" w:hAnsi="Times New Roman" w:eastAsia="Times New Roman" w:cs="Times New Roman"/>
        </w:rPr>
      </w:pPr>
    </w:p>
    <w:p w:rsidR="572A0ACA" w:rsidP="7D3480AB" w:rsidRDefault="572A0ACA" w14:paraId="54FD1313" w14:textId="6021FAEB">
      <w:pPr>
        <w:pStyle w:val="Normal"/>
        <w:rPr>
          <w:rFonts w:ascii="Times New Roman" w:hAnsi="Times New Roman" w:eastAsia="Times New Roman" w:cs="Times New Roman"/>
        </w:rPr>
      </w:pPr>
      <w:r w:rsidR="572A0ACA">
        <w:rPr/>
        <w:t>B</w:t>
      </w:r>
      <w:r w:rsidR="00E63985">
        <w:rPr/>
        <w:t>rown</w:t>
      </w:r>
      <w:r w:rsidR="572A0ACA">
        <w:rPr/>
        <w:t xml:space="preserve">, </w:t>
      </w:r>
      <w:r w:rsidR="572A0ACA">
        <w:rPr/>
        <w:t>F(</w:t>
      </w:r>
      <w:r w:rsidR="00E63985">
        <w:rPr/>
        <w:t xml:space="preserve"> </w:t>
      </w:r>
      <w:r w:rsidR="00E63985">
        <w:rPr/>
        <w:t>2024</w:t>
      </w:r>
      <w:r w:rsidR="6DFF9202">
        <w:rPr/>
        <w:t xml:space="preserve">), </w:t>
      </w:r>
      <w:r w:rsidRPr="7D3480AB" w:rsidR="6DFF9202">
        <w:rPr>
          <w:noProof w:val="0"/>
          <w:lang w:val="en-GB"/>
        </w:rPr>
        <w:t xml:space="preserve">Suella Braverman criticised by her own review into 'woke' </w:t>
      </w:r>
      <w:r w:rsidRPr="7D3480AB" w:rsidR="6DFF9202">
        <w:rPr>
          <w:noProof w:val="0"/>
          <w:lang w:val="en-GB"/>
        </w:rPr>
        <w:t>policing</w:t>
      </w:r>
      <w:r w:rsidRPr="7D3480AB" w:rsidR="6DFF9202">
        <w:rPr>
          <w:rStyle w:val="Hyperlink"/>
        </w:rPr>
        <w:t xml:space="preserve"> </w:t>
      </w:r>
      <w:r w:rsidRPr="7D3480AB" w:rsidR="0E56ACE8">
        <w:rPr>
          <w:rStyle w:val="Hyperlink"/>
        </w:rPr>
        <w:t>:</w:t>
      </w:r>
      <w:r w:rsidRPr="7D3480AB" w:rsidR="0E56ACE8">
        <w:rPr>
          <w:rStyle w:val="Hyperlink"/>
        </w:rPr>
        <w:t xml:space="preserve"> </w:t>
      </w:r>
      <w:r w:rsidRPr="7D3480AB" w:rsidR="0E56ACE8">
        <w:rPr>
          <w:rStyle w:val="Hyperlink"/>
          <w:u w:val="none"/>
        </w:rPr>
        <w:t xml:space="preserve">available at: </w:t>
      </w:r>
      <w:hyperlink r:id="R410012aa10b8472f">
        <w:r w:rsidRPr="7D3480AB" w:rsidR="0E56ACE8">
          <w:rPr>
            <w:rStyle w:val="Hyperlink"/>
            <w:rFonts w:ascii="Times New Roman" w:hAnsi="Times New Roman" w:eastAsia="Times New Roman" w:cs="Times New Roman"/>
          </w:rPr>
          <w:t>https://news.sky.com/story/police-chiefs-accuse-significant-political-figures-of-improper-interference-13045485</w:t>
        </w:r>
      </w:hyperlink>
      <w:r w:rsidRPr="7D3480AB" w:rsidR="0E56ACE8">
        <w:rPr>
          <w:rFonts w:ascii="Times New Roman" w:hAnsi="Times New Roman" w:eastAsia="Times New Roman" w:cs="Times New Roman"/>
        </w:rPr>
        <w:t xml:space="preserve">   ( Accessed 1</w:t>
      </w:r>
      <w:r w:rsidRPr="7D3480AB" w:rsidR="55189DEC">
        <w:rPr>
          <w:rFonts w:ascii="Times New Roman" w:hAnsi="Times New Roman" w:eastAsia="Times New Roman" w:cs="Times New Roman"/>
        </w:rPr>
        <w:t>5 November 2024).</w:t>
      </w:r>
    </w:p>
    <w:p w:rsidR="7D3480AB" w:rsidP="7D3480AB" w:rsidRDefault="7D3480AB" w14:paraId="072C33E4" w14:textId="74A7A41B">
      <w:pPr>
        <w:pStyle w:val="Normal"/>
        <w:rPr>
          <w:rStyle w:val="Hyperlink"/>
          <w:u w:val="none"/>
        </w:rPr>
      </w:pPr>
    </w:p>
    <w:p w:rsidR="00734358" w:rsidP="5D28E616" w:rsidRDefault="00734358" w14:paraId="6CDF5956" w14:textId="77777777">
      <w:pPr>
        <w:rPr>
          <w:rFonts w:ascii="Times New Roman" w:hAnsi="Times New Roman" w:eastAsia="Times New Roman" w:cs="Times New Roman"/>
          <w:color w:val="000000" w:themeColor="text1"/>
        </w:rPr>
      </w:pPr>
    </w:p>
    <w:p w:rsidR="00734358" w:rsidP="5D28E616" w:rsidRDefault="00734358" w14:paraId="12186170" w14:textId="77777777">
      <w:pPr>
        <w:rPr>
          <w:rFonts w:ascii="Times New Roman" w:hAnsi="Times New Roman" w:eastAsia="Times New Roman" w:cs="Times New Roman"/>
          <w:color w:val="000000" w:themeColor="text1"/>
        </w:rPr>
      </w:pPr>
    </w:p>
    <w:p w:rsidR="7110789F" w:rsidP="7E3F976E" w:rsidRDefault="7110789F" w14:paraId="0A884439" w14:textId="1E0C5165"/>
    <w:p w:rsidRPr="00C72591" w:rsidR="7110789F" w:rsidP="7110789F" w:rsidRDefault="7110789F" w14:paraId="50B30A59" w14:textId="3C2D7608">
      <w:pPr>
        <w:ind w:left="720" w:hanging="720"/>
        <w:rPr>
          <w:rFonts w:ascii="Aptos" w:hAnsi="Aptos" w:eastAsia="Aptos" w:cs="Aptos"/>
          <w:lang w:val="pt-PT"/>
        </w:rPr>
      </w:pPr>
    </w:p>
    <w:p w:rsidRPr="00C72591" w:rsidR="004502E7" w:rsidRDefault="004502E7" w14:paraId="3B41B025" w14:textId="30C123E0">
      <w:pPr>
        <w:rPr>
          <w:lang w:val="pt-PT"/>
        </w:rPr>
      </w:pPr>
    </w:p>
    <w:sectPr w:rsidRPr="00C72591" w:rsidR="004502E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9B5013" w:rsidRDefault="009B5013" w14:paraId="13EB199B" w14:textId="77777777">
      <w:pPr>
        <w:spacing w:after="0" w:line="240" w:lineRule="auto"/>
      </w:pPr>
    </w:p>
  </w:endnote>
  <w:endnote w:type="continuationSeparator" w:id="0">
    <w:p w:rsidR="009B5013" w:rsidRDefault="009B5013" w14:paraId="270D3ABB" w14:textId="77777777">
      <w:pPr>
        <w:spacing w:after="0" w:line="240" w:lineRule="auto"/>
      </w:pPr>
    </w:p>
  </w:endnote>
  <w:endnote w:type="continuationNotice" w:id="1">
    <w:p w:rsidR="009B5013" w:rsidRDefault="009B5013" w14:paraId="3958786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9B5013" w:rsidRDefault="009B5013" w14:paraId="07653E85" w14:textId="77777777">
      <w:pPr>
        <w:spacing w:after="0" w:line="240" w:lineRule="auto"/>
      </w:pPr>
    </w:p>
  </w:footnote>
  <w:footnote w:type="continuationSeparator" w:id="0">
    <w:p w:rsidR="009B5013" w:rsidRDefault="009B5013" w14:paraId="1F62CF13" w14:textId="77777777">
      <w:pPr>
        <w:spacing w:after="0" w:line="240" w:lineRule="auto"/>
      </w:pPr>
    </w:p>
  </w:footnote>
  <w:footnote w:type="continuationNotice" w:id="1">
    <w:p w:rsidR="009B5013" w:rsidRDefault="009B5013" w14:paraId="468F024F"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wBWi4CMZ" int2:invalidationBookmarkName="" int2:hashCode="TVJKgdPqIXzLYQ" int2:id="hmWJlYPs">
      <int2:state int2:value="Reviewed" int2:type="WordDesignerPullQuotes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31A715"/>
    <w:multiLevelType w:val="hybridMultilevel"/>
    <w:tmpl w:val="41827E64"/>
    <w:lvl w:ilvl="0" w:tplc="5E7AD3E8">
      <w:start w:val="1"/>
      <w:numFmt w:val="bullet"/>
      <w:lvlText w:val=""/>
      <w:lvlJc w:val="left"/>
      <w:pPr>
        <w:ind w:left="720" w:hanging="360"/>
      </w:pPr>
      <w:rPr>
        <w:rFonts w:hint="default" w:ascii="Symbol" w:hAnsi="Symbol"/>
      </w:rPr>
    </w:lvl>
    <w:lvl w:ilvl="1" w:tplc="087A6BBA">
      <w:start w:val="1"/>
      <w:numFmt w:val="bullet"/>
      <w:lvlText w:val="o"/>
      <w:lvlJc w:val="left"/>
      <w:pPr>
        <w:ind w:left="1440" w:hanging="360"/>
      </w:pPr>
      <w:rPr>
        <w:rFonts w:hint="default" w:ascii="Courier New" w:hAnsi="Courier New"/>
      </w:rPr>
    </w:lvl>
    <w:lvl w:ilvl="2" w:tplc="2EEC6E66">
      <w:start w:val="1"/>
      <w:numFmt w:val="bullet"/>
      <w:lvlText w:val=""/>
      <w:lvlJc w:val="left"/>
      <w:pPr>
        <w:ind w:left="2160" w:hanging="360"/>
      </w:pPr>
      <w:rPr>
        <w:rFonts w:hint="default" w:ascii="Wingdings" w:hAnsi="Wingdings"/>
      </w:rPr>
    </w:lvl>
    <w:lvl w:ilvl="3" w:tplc="C3588F38">
      <w:start w:val="1"/>
      <w:numFmt w:val="bullet"/>
      <w:lvlText w:val=""/>
      <w:lvlJc w:val="left"/>
      <w:pPr>
        <w:ind w:left="2880" w:hanging="360"/>
      </w:pPr>
      <w:rPr>
        <w:rFonts w:hint="default" w:ascii="Symbol" w:hAnsi="Symbol"/>
      </w:rPr>
    </w:lvl>
    <w:lvl w:ilvl="4" w:tplc="DA70B086">
      <w:start w:val="1"/>
      <w:numFmt w:val="bullet"/>
      <w:lvlText w:val="o"/>
      <w:lvlJc w:val="left"/>
      <w:pPr>
        <w:ind w:left="3600" w:hanging="360"/>
      </w:pPr>
      <w:rPr>
        <w:rFonts w:hint="default" w:ascii="Courier New" w:hAnsi="Courier New"/>
      </w:rPr>
    </w:lvl>
    <w:lvl w:ilvl="5" w:tplc="789427EC">
      <w:start w:val="1"/>
      <w:numFmt w:val="bullet"/>
      <w:lvlText w:val=""/>
      <w:lvlJc w:val="left"/>
      <w:pPr>
        <w:ind w:left="4320" w:hanging="360"/>
      </w:pPr>
      <w:rPr>
        <w:rFonts w:hint="default" w:ascii="Wingdings" w:hAnsi="Wingdings"/>
      </w:rPr>
    </w:lvl>
    <w:lvl w:ilvl="6" w:tplc="E51A9872">
      <w:start w:val="1"/>
      <w:numFmt w:val="bullet"/>
      <w:lvlText w:val=""/>
      <w:lvlJc w:val="left"/>
      <w:pPr>
        <w:ind w:left="5040" w:hanging="360"/>
      </w:pPr>
      <w:rPr>
        <w:rFonts w:hint="default" w:ascii="Symbol" w:hAnsi="Symbol"/>
      </w:rPr>
    </w:lvl>
    <w:lvl w:ilvl="7" w:tplc="E1E6CFEC">
      <w:start w:val="1"/>
      <w:numFmt w:val="bullet"/>
      <w:lvlText w:val="o"/>
      <w:lvlJc w:val="left"/>
      <w:pPr>
        <w:ind w:left="5760" w:hanging="360"/>
      </w:pPr>
      <w:rPr>
        <w:rFonts w:hint="default" w:ascii="Courier New" w:hAnsi="Courier New"/>
      </w:rPr>
    </w:lvl>
    <w:lvl w:ilvl="8" w:tplc="40743090">
      <w:start w:val="1"/>
      <w:numFmt w:val="bullet"/>
      <w:lvlText w:val=""/>
      <w:lvlJc w:val="left"/>
      <w:pPr>
        <w:ind w:left="6480" w:hanging="360"/>
      </w:pPr>
      <w:rPr>
        <w:rFonts w:hint="default" w:ascii="Wingdings" w:hAnsi="Wingdings"/>
      </w:rPr>
    </w:lvl>
  </w:abstractNum>
  <w:num w:numId="1" w16cid:durableId="2146698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EE1"/>
    <w:rsid w:val="000045D9"/>
    <w:rsid w:val="00013A1B"/>
    <w:rsid w:val="00024E98"/>
    <w:rsid w:val="00033ACB"/>
    <w:rsid w:val="00036E78"/>
    <w:rsid w:val="00050C5D"/>
    <w:rsid w:val="000510E5"/>
    <w:rsid w:val="00056B67"/>
    <w:rsid w:val="00056ECA"/>
    <w:rsid w:val="0006173C"/>
    <w:rsid w:val="00077019"/>
    <w:rsid w:val="00082668"/>
    <w:rsid w:val="000902B6"/>
    <w:rsid w:val="00090949"/>
    <w:rsid w:val="00093327"/>
    <w:rsid w:val="00094D7E"/>
    <w:rsid w:val="00095EDE"/>
    <w:rsid w:val="00097521"/>
    <w:rsid w:val="000A2985"/>
    <w:rsid w:val="000A7005"/>
    <w:rsid w:val="000B5767"/>
    <w:rsid w:val="000C1D0E"/>
    <w:rsid w:val="000C751E"/>
    <w:rsid w:val="000D7E42"/>
    <w:rsid w:val="000E0295"/>
    <w:rsid w:val="000E3BCF"/>
    <w:rsid w:val="0011683A"/>
    <w:rsid w:val="001171C6"/>
    <w:rsid w:val="001173EF"/>
    <w:rsid w:val="00132973"/>
    <w:rsid w:val="0013400F"/>
    <w:rsid w:val="00135C14"/>
    <w:rsid w:val="00145DF1"/>
    <w:rsid w:val="00146E84"/>
    <w:rsid w:val="0014AC00"/>
    <w:rsid w:val="00151BB7"/>
    <w:rsid w:val="001633BB"/>
    <w:rsid w:val="001638A9"/>
    <w:rsid w:val="0017449B"/>
    <w:rsid w:val="00192354"/>
    <w:rsid w:val="00196C2C"/>
    <w:rsid w:val="001B0EE2"/>
    <w:rsid w:val="001B2B5A"/>
    <w:rsid w:val="001B6185"/>
    <w:rsid w:val="001E21F4"/>
    <w:rsid w:val="001E3F22"/>
    <w:rsid w:val="001F1301"/>
    <w:rsid w:val="001F47B1"/>
    <w:rsid w:val="002119DA"/>
    <w:rsid w:val="00224271"/>
    <w:rsid w:val="002413B9"/>
    <w:rsid w:val="002418F4"/>
    <w:rsid w:val="00242EA3"/>
    <w:rsid w:val="002466E7"/>
    <w:rsid w:val="00252587"/>
    <w:rsid w:val="00253329"/>
    <w:rsid w:val="00253630"/>
    <w:rsid w:val="0028423F"/>
    <w:rsid w:val="002843F9"/>
    <w:rsid w:val="002A099B"/>
    <w:rsid w:val="002A1FA2"/>
    <w:rsid w:val="002A444E"/>
    <w:rsid w:val="002B66E1"/>
    <w:rsid w:val="002B7B7E"/>
    <w:rsid w:val="002C3E38"/>
    <w:rsid w:val="002D4E16"/>
    <w:rsid w:val="002D7FF3"/>
    <w:rsid w:val="003118AC"/>
    <w:rsid w:val="00312756"/>
    <w:rsid w:val="00312B4A"/>
    <w:rsid w:val="0031373D"/>
    <w:rsid w:val="0031607E"/>
    <w:rsid w:val="00316414"/>
    <w:rsid w:val="00321B5A"/>
    <w:rsid w:val="003223AB"/>
    <w:rsid w:val="00326F84"/>
    <w:rsid w:val="0035086B"/>
    <w:rsid w:val="0035359E"/>
    <w:rsid w:val="00354DD6"/>
    <w:rsid w:val="00360F15"/>
    <w:rsid w:val="00361C86"/>
    <w:rsid w:val="0037169B"/>
    <w:rsid w:val="00373699"/>
    <w:rsid w:val="00396EB4"/>
    <w:rsid w:val="003A1898"/>
    <w:rsid w:val="003E168B"/>
    <w:rsid w:val="003F5408"/>
    <w:rsid w:val="004014AA"/>
    <w:rsid w:val="004116E7"/>
    <w:rsid w:val="004138C0"/>
    <w:rsid w:val="00415274"/>
    <w:rsid w:val="00416958"/>
    <w:rsid w:val="004257E4"/>
    <w:rsid w:val="0043001B"/>
    <w:rsid w:val="004345A2"/>
    <w:rsid w:val="004502E7"/>
    <w:rsid w:val="00451B43"/>
    <w:rsid w:val="004566B7"/>
    <w:rsid w:val="00460C32"/>
    <w:rsid w:val="00466EE2"/>
    <w:rsid w:val="00467367"/>
    <w:rsid w:val="004750F5"/>
    <w:rsid w:val="004756C5"/>
    <w:rsid w:val="00477208"/>
    <w:rsid w:val="00483CBA"/>
    <w:rsid w:val="004845F0"/>
    <w:rsid w:val="00487E6F"/>
    <w:rsid w:val="00492CA1"/>
    <w:rsid w:val="004A0372"/>
    <w:rsid w:val="004B1F9A"/>
    <w:rsid w:val="004C00DD"/>
    <w:rsid w:val="004C58F6"/>
    <w:rsid w:val="004D01CF"/>
    <w:rsid w:val="004D7785"/>
    <w:rsid w:val="004E2F44"/>
    <w:rsid w:val="004E48D4"/>
    <w:rsid w:val="004E4A13"/>
    <w:rsid w:val="004E4EE6"/>
    <w:rsid w:val="004F0FE6"/>
    <w:rsid w:val="004F2637"/>
    <w:rsid w:val="004F7A30"/>
    <w:rsid w:val="005033F2"/>
    <w:rsid w:val="0050405C"/>
    <w:rsid w:val="00505A09"/>
    <w:rsid w:val="0051684F"/>
    <w:rsid w:val="00525791"/>
    <w:rsid w:val="00527F37"/>
    <w:rsid w:val="00530461"/>
    <w:rsid w:val="00531435"/>
    <w:rsid w:val="00536E38"/>
    <w:rsid w:val="00547EE1"/>
    <w:rsid w:val="005535A9"/>
    <w:rsid w:val="0056361C"/>
    <w:rsid w:val="00563D69"/>
    <w:rsid w:val="00572CD1"/>
    <w:rsid w:val="00577CB8"/>
    <w:rsid w:val="00580131"/>
    <w:rsid w:val="00582B28"/>
    <w:rsid w:val="0058446E"/>
    <w:rsid w:val="00586165"/>
    <w:rsid w:val="005A62F7"/>
    <w:rsid w:val="005A762D"/>
    <w:rsid w:val="005A7A01"/>
    <w:rsid w:val="005C17EE"/>
    <w:rsid w:val="005D1B58"/>
    <w:rsid w:val="005E3611"/>
    <w:rsid w:val="005E7E8C"/>
    <w:rsid w:val="005F72EA"/>
    <w:rsid w:val="00611191"/>
    <w:rsid w:val="0062067F"/>
    <w:rsid w:val="00621048"/>
    <w:rsid w:val="006325F9"/>
    <w:rsid w:val="00635268"/>
    <w:rsid w:val="00636DA3"/>
    <w:rsid w:val="0064207F"/>
    <w:rsid w:val="00643C25"/>
    <w:rsid w:val="0064499E"/>
    <w:rsid w:val="00662FFA"/>
    <w:rsid w:val="00686EC8"/>
    <w:rsid w:val="006A2AD8"/>
    <w:rsid w:val="006B11CF"/>
    <w:rsid w:val="006B1B5D"/>
    <w:rsid w:val="006C5251"/>
    <w:rsid w:val="0070204A"/>
    <w:rsid w:val="007028EE"/>
    <w:rsid w:val="0070739B"/>
    <w:rsid w:val="0071672B"/>
    <w:rsid w:val="00716FE3"/>
    <w:rsid w:val="00726813"/>
    <w:rsid w:val="00732BEB"/>
    <w:rsid w:val="00734358"/>
    <w:rsid w:val="00743E98"/>
    <w:rsid w:val="0074705C"/>
    <w:rsid w:val="007477CF"/>
    <w:rsid w:val="00751A6F"/>
    <w:rsid w:val="00767466"/>
    <w:rsid w:val="00771916"/>
    <w:rsid w:val="00773519"/>
    <w:rsid w:val="00776853"/>
    <w:rsid w:val="00780AA0"/>
    <w:rsid w:val="00780FF3"/>
    <w:rsid w:val="00783751"/>
    <w:rsid w:val="00791EF4"/>
    <w:rsid w:val="00797757"/>
    <w:rsid w:val="007B342E"/>
    <w:rsid w:val="007B43E0"/>
    <w:rsid w:val="007C31F2"/>
    <w:rsid w:val="007D44CB"/>
    <w:rsid w:val="007F1D30"/>
    <w:rsid w:val="007F5DB4"/>
    <w:rsid w:val="00800A7D"/>
    <w:rsid w:val="00801D24"/>
    <w:rsid w:val="0080666A"/>
    <w:rsid w:val="00820725"/>
    <w:rsid w:val="008240E9"/>
    <w:rsid w:val="00832753"/>
    <w:rsid w:val="00853587"/>
    <w:rsid w:val="008642E2"/>
    <w:rsid w:val="0086553E"/>
    <w:rsid w:val="00866CE7"/>
    <w:rsid w:val="00871289"/>
    <w:rsid w:val="00873471"/>
    <w:rsid w:val="008A04D7"/>
    <w:rsid w:val="008A1496"/>
    <w:rsid w:val="008B35BD"/>
    <w:rsid w:val="008E2835"/>
    <w:rsid w:val="008E4467"/>
    <w:rsid w:val="008E5951"/>
    <w:rsid w:val="008F1567"/>
    <w:rsid w:val="008F1E9A"/>
    <w:rsid w:val="008F34C0"/>
    <w:rsid w:val="00903B43"/>
    <w:rsid w:val="0091467F"/>
    <w:rsid w:val="00914DD3"/>
    <w:rsid w:val="00930F18"/>
    <w:rsid w:val="00942BD2"/>
    <w:rsid w:val="009433D4"/>
    <w:rsid w:val="009561ED"/>
    <w:rsid w:val="009644A5"/>
    <w:rsid w:val="00964EC2"/>
    <w:rsid w:val="00972358"/>
    <w:rsid w:val="0097499C"/>
    <w:rsid w:val="009755C2"/>
    <w:rsid w:val="00975C6E"/>
    <w:rsid w:val="00981791"/>
    <w:rsid w:val="009849E7"/>
    <w:rsid w:val="00990508"/>
    <w:rsid w:val="00997440"/>
    <w:rsid w:val="009A4813"/>
    <w:rsid w:val="009B420D"/>
    <w:rsid w:val="009B5013"/>
    <w:rsid w:val="009B662A"/>
    <w:rsid w:val="009C04A5"/>
    <w:rsid w:val="009C28CB"/>
    <w:rsid w:val="009D08EB"/>
    <w:rsid w:val="009D49D7"/>
    <w:rsid w:val="009D5815"/>
    <w:rsid w:val="009F07FD"/>
    <w:rsid w:val="009F31D7"/>
    <w:rsid w:val="009F4236"/>
    <w:rsid w:val="00A312E2"/>
    <w:rsid w:val="00A36E04"/>
    <w:rsid w:val="00A37954"/>
    <w:rsid w:val="00A536BD"/>
    <w:rsid w:val="00A53DE7"/>
    <w:rsid w:val="00A5700E"/>
    <w:rsid w:val="00A645D8"/>
    <w:rsid w:val="00A723EC"/>
    <w:rsid w:val="00A7441F"/>
    <w:rsid w:val="00A74C8F"/>
    <w:rsid w:val="00A93CCE"/>
    <w:rsid w:val="00AA556F"/>
    <w:rsid w:val="00AB406D"/>
    <w:rsid w:val="00AB5279"/>
    <w:rsid w:val="00AC33FA"/>
    <w:rsid w:val="00AE163D"/>
    <w:rsid w:val="00B010D4"/>
    <w:rsid w:val="00B01461"/>
    <w:rsid w:val="00B171AF"/>
    <w:rsid w:val="00B32DC7"/>
    <w:rsid w:val="00B3380D"/>
    <w:rsid w:val="00B4483C"/>
    <w:rsid w:val="00B46A99"/>
    <w:rsid w:val="00B66176"/>
    <w:rsid w:val="00B81733"/>
    <w:rsid w:val="00BA0F11"/>
    <w:rsid w:val="00BB2CEB"/>
    <w:rsid w:val="00BB7D66"/>
    <w:rsid w:val="00BD3949"/>
    <w:rsid w:val="00BD5EE5"/>
    <w:rsid w:val="00BE288D"/>
    <w:rsid w:val="00BF2839"/>
    <w:rsid w:val="00C14A8C"/>
    <w:rsid w:val="00C23111"/>
    <w:rsid w:val="00C232A0"/>
    <w:rsid w:val="00C2730D"/>
    <w:rsid w:val="00C30CE3"/>
    <w:rsid w:val="00C3546F"/>
    <w:rsid w:val="00C35E0E"/>
    <w:rsid w:val="00C41AA6"/>
    <w:rsid w:val="00C461D8"/>
    <w:rsid w:val="00C4778D"/>
    <w:rsid w:val="00C52AD8"/>
    <w:rsid w:val="00C53BC9"/>
    <w:rsid w:val="00C56B75"/>
    <w:rsid w:val="00C6183D"/>
    <w:rsid w:val="00C64318"/>
    <w:rsid w:val="00C72591"/>
    <w:rsid w:val="00C7289F"/>
    <w:rsid w:val="00C83B80"/>
    <w:rsid w:val="00C905C8"/>
    <w:rsid w:val="00CA47C0"/>
    <w:rsid w:val="00CB4973"/>
    <w:rsid w:val="00CC1DE3"/>
    <w:rsid w:val="00CC5F77"/>
    <w:rsid w:val="00CE01B8"/>
    <w:rsid w:val="00CE372D"/>
    <w:rsid w:val="00D10CD8"/>
    <w:rsid w:val="00D34C4B"/>
    <w:rsid w:val="00D4240C"/>
    <w:rsid w:val="00D53284"/>
    <w:rsid w:val="00D535B1"/>
    <w:rsid w:val="00D53858"/>
    <w:rsid w:val="00D60C8F"/>
    <w:rsid w:val="00D7325D"/>
    <w:rsid w:val="00D868F0"/>
    <w:rsid w:val="00D92785"/>
    <w:rsid w:val="00D96431"/>
    <w:rsid w:val="00D96B98"/>
    <w:rsid w:val="00D9710D"/>
    <w:rsid w:val="00DA5166"/>
    <w:rsid w:val="00DB1D69"/>
    <w:rsid w:val="00DC1FCF"/>
    <w:rsid w:val="00DD4AA2"/>
    <w:rsid w:val="00DD53B2"/>
    <w:rsid w:val="00DE3AC5"/>
    <w:rsid w:val="00E03EBF"/>
    <w:rsid w:val="00E04015"/>
    <w:rsid w:val="00E22A4A"/>
    <w:rsid w:val="00E23150"/>
    <w:rsid w:val="00E26533"/>
    <w:rsid w:val="00E26547"/>
    <w:rsid w:val="00E30C55"/>
    <w:rsid w:val="00E52EF1"/>
    <w:rsid w:val="00E61068"/>
    <w:rsid w:val="00E63985"/>
    <w:rsid w:val="00E67BBD"/>
    <w:rsid w:val="00E83CFF"/>
    <w:rsid w:val="00E86ECC"/>
    <w:rsid w:val="00EB04A5"/>
    <w:rsid w:val="00EC3D2B"/>
    <w:rsid w:val="00EC5D74"/>
    <w:rsid w:val="00ED2B09"/>
    <w:rsid w:val="00EF097D"/>
    <w:rsid w:val="00F00628"/>
    <w:rsid w:val="00F0520E"/>
    <w:rsid w:val="00F3537C"/>
    <w:rsid w:val="00F45162"/>
    <w:rsid w:val="00F45F36"/>
    <w:rsid w:val="00F5345D"/>
    <w:rsid w:val="00F54C5F"/>
    <w:rsid w:val="00F66082"/>
    <w:rsid w:val="00F71909"/>
    <w:rsid w:val="00F76A52"/>
    <w:rsid w:val="00F92A2D"/>
    <w:rsid w:val="00FA484C"/>
    <w:rsid w:val="00FA7675"/>
    <w:rsid w:val="00FB610E"/>
    <w:rsid w:val="00FD02A2"/>
    <w:rsid w:val="015F6B89"/>
    <w:rsid w:val="01EF3338"/>
    <w:rsid w:val="02100C02"/>
    <w:rsid w:val="02193158"/>
    <w:rsid w:val="022F0FDA"/>
    <w:rsid w:val="02674219"/>
    <w:rsid w:val="026B077C"/>
    <w:rsid w:val="029CE4FD"/>
    <w:rsid w:val="02BA68B9"/>
    <w:rsid w:val="02BF74A9"/>
    <w:rsid w:val="02C34396"/>
    <w:rsid w:val="02CE1C08"/>
    <w:rsid w:val="02DEB255"/>
    <w:rsid w:val="02E0D6BB"/>
    <w:rsid w:val="02EA0ADC"/>
    <w:rsid w:val="0344021D"/>
    <w:rsid w:val="03FEF3F0"/>
    <w:rsid w:val="04002D8B"/>
    <w:rsid w:val="0439856A"/>
    <w:rsid w:val="0449AB06"/>
    <w:rsid w:val="04B57BAF"/>
    <w:rsid w:val="04D774A0"/>
    <w:rsid w:val="04E599C1"/>
    <w:rsid w:val="04F07CD9"/>
    <w:rsid w:val="04F60468"/>
    <w:rsid w:val="05014607"/>
    <w:rsid w:val="050B7C05"/>
    <w:rsid w:val="05484FB7"/>
    <w:rsid w:val="055C0E5E"/>
    <w:rsid w:val="055DB66C"/>
    <w:rsid w:val="057D4699"/>
    <w:rsid w:val="05871D3B"/>
    <w:rsid w:val="05B4C06A"/>
    <w:rsid w:val="062F2617"/>
    <w:rsid w:val="063C053D"/>
    <w:rsid w:val="064C293D"/>
    <w:rsid w:val="065347E4"/>
    <w:rsid w:val="06EE3281"/>
    <w:rsid w:val="06FFF517"/>
    <w:rsid w:val="075E2EF7"/>
    <w:rsid w:val="0790BDC9"/>
    <w:rsid w:val="080000FB"/>
    <w:rsid w:val="081AB284"/>
    <w:rsid w:val="0845973E"/>
    <w:rsid w:val="08E5A631"/>
    <w:rsid w:val="08EA5862"/>
    <w:rsid w:val="08F761B5"/>
    <w:rsid w:val="0914112A"/>
    <w:rsid w:val="097C1684"/>
    <w:rsid w:val="099D33CF"/>
    <w:rsid w:val="0A73E107"/>
    <w:rsid w:val="0A7ABDC3"/>
    <w:rsid w:val="0AB77F83"/>
    <w:rsid w:val="0AD9CA7E"/>
    <w:rsid w:val="0AEF0686"/>
    <w:rsid w:val="0AF4B8D7"/>
    <w:rsid w:val="0B4A7943"/>
    <w:rsid w:val="0B528B84"/>
    <w:rsid w:val="0B61C860"/>
    <w:rsid w:val="0B95D0AB"/>
    <w:rsid w:val="0BDAE490"/>
    <w:rsid w:val="0BF15D37"/>
    <w:rsid w:val="0C0AE88B"/>
    <w:rsid w:val="0CCC9E8E"/>
    <w:rsid w:val="0D3E3897"/>
    <w:rsid w:val="0D5C37B7"/>
    <w:rsid w:val="0D5E22BE"/>
    <w:rsid w:val="0DA2E80A"/>
    <w:rsid w:val="0DB5E06D"/>
    <w:rsid w:val="0DB76711"/>
    <w:rsid w:val="0DD59F8E"/>
    <w:rsid w:val="0DF9E1AF"/>
    <w:rsid w:val="0E098B09"/>
    <w:rsid w:val="0E56ACE8"/>
    <w:rsid w:val="0EC7F87D"/>
    <w:rsid w:val="0ED3417E"/>
    <w:rsid w:val="0F089179"/>
    <w:rsid w:val="0F303FAE"/>
    <w:rsid w:val="0F9C8848"/>
    <w:rsid w:val="10336662"/>
    <w:rsid w:val="106FDFC1"/>
    <w:rsid w:val="10E54363"/>
    <w:rsid w:val="11296EEA"/>
    <w:rsid w:val="113E7356"/>
    <w:rsid w:val="113FA91F"/>
    <w:rsid w:val="11923F0C"/>
    <w:rsid w:val="11A122CA"/>
    <w:rsid w:val="11AC7A5D"/>
    <w:rsid w:val="11E77B52"/>
    <w:rsid w:val="11F0D891"/>
    <w:rsid w:val="11FC546E"/>
    <w:rsid w:val="122A2C89"/>
    <w:rsid w:val="12635C00"/>
    <w:rsid w:val="1265EE0E"/>
    <w:rsid w:val="1312AF59"/>
    <w:rsid w:val="1355DC2B"/>
    <w:rsid w:val="1384E0B0"/>
    <w:rsid w:val="13A281D3"/>
    <w:rsid w:val="13A96774"/>
    <w:rsid w:val="13B10CE7"/>
    <w:rsid w:val="13BE011C"/>
    <w:rsid w:val="13C00F1B"/>
    <w:rsid w:val="13F80664"/>
    <w:rsid w:val="14813F7D"/>
    <w:rsid w:val="14A02C00"/>
    <w:rsid w:val="1512DD40"/>
    <w:rsid w:val="1539D72F"/>
    <w:rsid w:val="1559788A"/>
    <w:rsid w:val="1569F614"/>
    <w:rsid w:val="1591BAD3"/>
    <w:rsid w:val="161E4DD1"/>
    <w:rsid w:val="162EB527"/>
    <w:rsid w:val="168AC4E1"/>
    <w:rsid w:val="16A7DEC2"/>
    <w:rsid w:val="16BC2539"/>
    <w:rsid w:val="16BDA82A"/>
    <w:rsid w:val="16CA3F19"/>
    <w:rsid w:val="17351506"/>
    <w:rsid w:val="173E2F16"/>
    <w:rsid w:val="175787B6"/>
    <w:rsid w:val="1779E6C9"/>
    <w:rsid w:val="178EED24"/>
    <w:rsid w:val="17F20438"/>
    <w:rsid w:val="18097E40"/>
    <w:rsid w:val="180D6C1A"/>
    <w:rsid w:val="189CB355"/>
    <w:rsid w:val="18D7BE2D"/>
    <w:rsid w:val="193182F4"/>
    <w:rsid w:val="19581557"/>
    <w:rsid w:val="195B0E03"/>
    <w:rsid w:val="19B022E4"/>
    <w:rsid w:val="19D39AF6"/>
    <w:rsid w:val="1A0CD2EA"/>
    <w:rsid w:val="1A68F595"/>
    <w:rsid w:val="1B198D7A"/>
    <w:rsid w:val="1B5305BC"/>
    <w:rsid w:val="1B57A5A8"/>
    <w:rsid w:val="1BFDE371"/>
    <w:rsid w:val="1C0AEB6F"/>
    <w:rsid w:val="1C29FF0C"/>
    <w:rsid w:val="1C6271E4"/>
    <w:rsid w:val="1C70E0B9"/>
    <w:rsid w:val="1CCE782F"/>
    <w:rsid w:val="1CD57468"/>
    <w:rsid w:val="1CF6F4EF"/>
    <w:rsid w:val="1D0A77FE"/>
    <w:rsid w:val="1D104B40"/>
    <w:rsid w:val="1D1CEDF2"/>
    <w:rsid w:val="1D35ADB0"/>
    <w:rsid w:val="1D4C8D18"/>
    <w:rsid w:val="1D80A91D"/>
    <w:rsid w:val="1DE95683"/>
    <w:rsid w:val="1DF1F3D2"/>
    <w:rsid w:val="1E547839"/>
    <w:rsid w:val="1E9E608E"/>
    <w:rsid w:val="1EE596BD"/>
    <w:rsid w:val="1EE7E305"/>
    <w:rsid w:val="1F085573"/>
    <w:rsid w:val="1F1A6605"/>
    <w:rsid w:val="2051EA8E"/>
    <w:rsid w:val="20974220"/>
    <w:rsid w:val="20A2F03A"/>
    <w:rsid w:val="20A53FC7"/>
    <w:rsid w:val="20D52643"/>
    <w:rsid w:val="20EFD213"/>
    <w:rsid w:val="2187FD3A"/>
    <w:rsid w:val="21B420ED"/>
    <w:rsid w:val="21BC000E"/>
    <w:rsid w:val="21E895BA"/>
    <w:rsid w:val="22141828"/>
    <w:rsid w:val="2250C028"/>
    <w:rsid w:val="226AEB55"/>
    <w:rsid w:val="227527D3"/>
    <w:rsid w:val="229A02BB"/>
    <w:rsid w:val="22BD7A42"/>
    <w:rsid w:val="22DB2791"/>
    <w:rsid w:val="23224DDB"/>
    <w:rsid w:val="23326314"/>
    <w:rsid w:val="23482DF1"/>
    <w:rsid w:val="237C40F0"/>
    <w:rsid w:val="2397328B"/>
    <w:rsid w:val="23AB7FBB"/>
    <w:rsid w:val="23CCFC4D"/>
    <w:rsid w:val="2463821B"/>
    <w:rsid w:val="24B28349"/>
    <w:rsid w:val="24D00F7B"/>
    <w:rsid w:val="25000991"/>
    <w:rsid w:val="250DE450"/>
    <w:rsid w:val="250E7893"/>
    <w:rsid w:val="252027C9"/>
    <w:rsid w:val="25214ADB"/>
    <w:rsid w:val="2564A40B"/>
    <w:rsid w:val="25798796"/>
    <w:rsid w:val="25A5F1D0"/>
    <w:rsid w:val="25BF693B"/>
    <w:rsid w:val="25DCCDB2"/>
    <w:rsid w:val="26763405"/>
    <w:rsid w:val="2683E63D"/>
    <w:rsid w:val="268CBE48"/>
    <w:rsid w:val="2693CDD3"/>
    <w:rsid w:val="269839CF"/>
    <w:rsid w:val="26BB0432"/>
    <w:rsid w:val="26E0B642"/>
    <w:rsid w:val="271EBED0"/>
    <w:rsid w:val="275A47B8"/>
    <w:rsid w:val="276BE1CB"/>
    <w:rsid w:val="279092C1"/>
    <w:rsid w:val="27A325AF"/>
    <w:rsid w:val="27B471BD"/>
    <w:rsid w:val="27C63554"/>
    <w:rsid w:val="281C6A26"/>
    <w:rsid w:val="28366D89"/>
    <w:rsid w:val="2837BBA6"/>
    <w:rsid w:val="2857AFA2"/>
    <w:rsid w:val="289CE570"/>
    <w:rsid w:val="28BF6B9C"/>
    <w:rsid w:val="290DC612"/>
    <w:rsid w:val="290E1DEA"/>
    <w:rsid w:val="299F80EE"/>
    <w:rsid w:val="29B46D0E"/>
    <w:rsid w:val="29BB426D"/>
    <w:rsid w:val="2A431F2B"/>
    <w:rsid w:val="2A49FCE6"/>
    <w:rsid w:val="2A51B634"/>
    <w:rsid w:val="2A585716"/>
    <w:rsid w:val="2A708202"/>
    <w:rsid w:val="2A73D373"/>
    <w:rsid w:val="2A88FFED"/>
    <w:rsid w:val="2ACB9E56"/>
    <w:rsid w:val="2AE11C5C"/>
    <w:rsid w:val="2AE2C5ED"/>
    <w:rsid w:val="2B168BD0"/>
    <w:rsid w:val="2B208E27"/>
    <w:rsid w:val="2B7C39DE"/>
    <w:rsid w:val="2C25BA8E"/>
    <w:rsid w:val="2C450C84"/>
    <w:rsid w:val="2C78BE04"/>
    <w:rsid w:val="2C82EB1F"/>
    <w:rsid w:val="2CDCEA03"/>
    <w:rsid w:val="2CE98AF2"/>
    <w:rsid w:val="2CF4C503"/>
    <w:rsid w:val="2D296F6E"/>
    <w:rsid w:val="2DAFA8C2"/>
    <w:rsid w:val="2DBAECF4"/>
    <w:rsid w:val="2DDE26DF"/>
    <w:rsid w:val="2DDEDC78"/>
    <w:rsid w:val="2E1F9912"/>
    <w:rsid w:val="2E2A03F2"/>
    <w:rsid w:val="2E373EA0"/>
    <w:rsid w:val="2E9DCF28"/>
    <w:rsid w:val="2EC9AEC3"/>
    <w:rsid w:val="2ED953DB"/>
    <w:rsid w:val="2EEF6125"/>
    <w:rsid w:val="2F1BA7ED"/>
    <w:rsid w:val="2F64E68E"/>
    <w:rsid w:val="2F654295"/>
    <w:rsid w:val="2F75AF0C"/>
    <w:rsid w:val="2F81E0D8"/>
    <w:rsid w:val="2FEC86C2"/>
    <w:rsid w:val="3021F592"/>
    <w:rsid w:val="302BF953"/>
    <w:rsid w:val="316266E1"/>
    <w:rsid w:val="3162BE51"/>
    <w:rsid w:val="3171AB99"/>
    <w:rsid w:val="31AEBF7F"/>
    <w:rsid w:val="31C71930"/>
    <w:rsid w:val="31CB6234"/>
    <w:rsid w:val="31DAED9D"/>
    <w:rsid w:val="324C5D92"/>
    <w:rsid w:val="326E4716"/>
    <w:rsid w:val="32DA1F7A"/>
    <w:rsid w:val="3348C2B6"/>
    <w:rsid w:val="337E3E69"/>
    <w:rsid w:val="33A21447"/>
    <w:rsid w:val="33AB4473"/>
    <w:rsid w:val="33D7F13B"/>
    <w:rsid w:val="33DE30D8"/>
    <w:rsid w:val="3433994C"/>
    <w:rsid w:val="34A8E549"/>
    <w:rsid w:val="34B1BC8C"/>
    <w:rsid w:val="34CF3A2C"/>
    <w:rsid w:val="354E1C01"/>
    <w:rsid w:val="3553FBB6"/>
    <w:rsid w:val="35B4247C"/>
    <w:rsid w:val="3622899D"/>
    <w:rsid w:val="36BD3AB5"/>
    <w:rsid w:val="36EB090D"/>
    <w:rsid w:val="3782480D"/>
    <w:rsid w:val="3833B156"/>
    <w:rsid w:val="389612BF"/>
    <w:rsid w:val="38C0AFAC"/>
    <w:rsid w:val="38E05F56"/>
    <w:rsid w:val="38E3DFD4"/>
    <w:rsid w:val="396C32E6"/>
    <w:rsid w:val="397903E9"/>
    <w:rsid w:val="39CC8A14"/>
    <w:rsid w:val="39D8E370"/>
    <w:rsid w:val="39DA36FC"/>
    <w:rsid w:val="39E30F83"/>
    <w:rsid w:val="3A1C32CD"/>
    <w:rsid w:val="3AC2D8B5"/>
    <w:rsid w:val="3AEC3E19"/>
    <w:rsid w:val="3AF2C5E1"/>
    <w:rsid w:val="3B3F69D1"/>
    <w:rsid w:val="3B4D6677"/>
    <w:rsid w:val="3B530AB1"/>
    <w:rsid w:val="3B6A0947"/>
    <w:rsid w:val="3B8D512B"/>
    <w:rsid w:val="3BA73693"/>
    <w:rsid w:val="3C1B0831"/>
    <w:rsid w:val="3D5A848C"/>
    <w:rsid w:val="3D81BABD"/>
    <w:rsid w:val="3D93BC68"/>
    <w:rsid w:val="3D96C12D"/>
    <w:rsid w:val="3D9D132F"/>
    <w:rsid w:val="3DA36FF6"/>
    <w:rsid w:val="3DC07C2E"/>
    <w:rsid w:val="3DD55257"/>
    <w:rsid w:val="3DF14F1C"/>
    <w:rsid w:val="3E746B91"/>
    <w:rsid w:val="3E8A02CA"/>
    <w:rsid w:val="3EBC94B2"/>
    <w:rsid w:val="3EBD5A29"/>
    <w:rsid w:val="3EDF6AB9"/>
    <w:rsid w:val="3EFAF318"/>
    <w:rsid w:val="3F0E24C0"/>
    <w:rsid w:val="3F175A11"/>
    <w:rsid w:val="3FA99D90"/>
    <w:rsid w:val="3FCAAB29"/>
    <w:rsid w:val="4012B1A9"/>
    <w:rsid w:val="40333627"/>
    <w:rsid w:val="4078B14C"/>
    <w:rsid w:val="407D7102"/>
    <w:rsid w:val="408B8CEF"/>
    <w:rsid w:val="4102A0B7"/>
    <w:rsid w:val="4105BBF3"/>
    <w:rsid w:val="4111792E"/>
    <w:rsid w:val="414896CA"/>
    <w:rsid w:val="4203C15D"/>
    <w:rsid w:val="4256D754"/>
    <w:rsid w:val="42609B65"/>
    <w:rsid w:val="427C6A2C"/>
    <w:rsid w:val="427DF3DB"/>
    <w:rsid w:val="428CAA62"/>
    <w:rsid w:val="42BAEBDC"/>
    <w:rsid w:val="430FFBAC"/>
    <w:rsid w:val="433B01F0"/>
    <w:rsid w:val="439B3196"/>
    <w:rsid w:val="43B67500"/>
    <w:rsid w:val="43EDF408"/>
    <w:rsid w:val="43F3A507"/>
    <w:rsid w:val="44245D1D"/>
    <w:rsid w:val="4456469A"/>
    <w:rsid w:val="44690C99"/>
    <w:rsid w:val="44B2B933"/>
    <w:rsid w:val="44ED51BB"/>
    <w:rsid w:val="4504797B"/>
    <w:rsid w:val="451E1407"/>
    <w:rsid w:val="454A07D4"/>
    <w:rsid w:val="4575FACC"/>
    <w:rsid w:val="45EF3A86"/>
    <w:rsid w:val="4619C41D"/>
    <w:rsid w:val="4644F0A5"/>
    <w:rsid w:val="466FD457"/>
    <w:rsid w:val="4675CD53"/>
    <w:rsid w:val="468CD176"/>
    <w:rsid w:val="473B7B8F"/>
    <w:rsid w:val="473E1A1E"/>
    <w:rsid w:val="479C5BD4"/>
    <w:rsid w:val="480C54CB"/>
    <w:rsid w:val="480F398A"/>
    <w:rsid w:val="4860388D"/>
    <w:rsid w:val="48667A2A"/>
    <w:rsid w:val="4866F928"/>
    <w:rsid w:val="488345DB"/>
    <w:rsid w:val="48B25123"/>
    <w:rsid w:val="48B58451"/>
    <w:rsid w:val="48DA1AA9"/>
    <w:rsid w:val="48F8E645"/>
    <w:rsid w:val="493C2E1A"/>
    <w:rsid w:val="497CF6E9"/>
    <w:rsid w:val="49D04C70"/>
    <w:rsid w:val="4A0F797E"/>
    <w:rsid w:val="4A1ABE22"/>
    <w:rsid w:val="4B542918"/>
    <w:rsid w:val="4B5BD461"/>
    <w:rsid w:val="4B8228A9"/>
    <w:rsid w:val="4BC4B49D"/>
    <w:rsid w:val="4BD6323E"/>
    <w:rsid w:val="4BE5B4E1"/>
    <w:rsid w:val="4C05451D"/>
    <w:rsid w:val="4C1C4F32"/>
    <w:rsid w:val="4C384025"/>
    <w:rsid w:val="4D21706E"/>
    <w:rsid w:val="4D35F59A"/>
    <w:rsid w:val="4D99FAE2"/>
    <w:rsid w:val="4D9DF5A0"/>
    <w:rsid w:val="4DB42F28"/>
    <w:rsid w:val="4DC4754D"/>
    <w:rsid w:val="4DE3B7B5"/>
    <w:rsid w:val="4E0C15D5"/>
    <w:rsid w:val="4E6D731D"/>
    <w:rsid w:val="4EB17561"/>
    <w:rsid w:val="4F0E8BED"/>
    <w:rsid w:val="4F771005"/>
    <w:rsid w:val="4F9A1C9B"/>
    <w:rsid w:val="4FE40BC8"/>
    <w:rsid w:val="4FEF4A7B"/>
    <w:rsid w:val="501D680F"/>
    <w:rsid w:val="50F5A00C"/>
    <w:rsid w:val="514FF995"/>
    <w:rsid w:val="51659B42"/>
    <w:rsid w:val="5175C3D5"/>
    <w:rsid w:val="518E6A22"/>
    <w:rsid w:val="5199EC76"/>
    <w:rsid w:val="51CC8275"/>
    <w:rsid w:val="51CD71BD"/>
    <w:rsid w:val="51E5B720"/>
    <w:rsid w:val="5202C0E5"/>
    <w:rsid w:val="5227C588"/>
    <w:rsid w:val="527D82A7"/>
    <w:rsid w:val="52A988A0"/>
    <w:rsid w:val="53F89F62"/>
    <w:rsid w:val="540162C0"/>
    <w:rsid w:val="5444588B"/>
    <w:rsid w:val="54E27CFB"/>
    <w:rsid w:val="54F441E2"/>
    <w:rsid w:val="54F46E7F"/>
    <w:rsid w:val="550FAF2B"/>
    <w:rsid w:val="55189DEC"/>
    <w:rsid w:val="5550FC92"/>
    <w:rsid w:val="55B56B37"/>
    <w:rsid w:val="55E4784C"/>
    <w:rsid w:val="55F0CDC1"/>
    <w:rsid w:val="55F35D60"/>
    <w:rsid w:val="56077570"/>
    <w:rsid w:val="560B0FAD"/>
    <w:rsid w:val="561F5FDF"/>
    <w:rsid w:val="562421E2"/>
    <w:rsid w:val="563E3DE4"/>
    <w:rsid w:val="564DA12C"/>
    <w:rsid w:val="5728B106"/>
    <w:rsid w:val="572A0ACA"/>
    <w:rsid w:val="576EB3DB"/>
    <w:rsid w:val="5774CA01"/>
    <w:rsid w:val="57D9D98C"/>
    <w:rsid w:val="5827ACBD"/>
    <w:rsid w:val="5866FE31"/>
    <w:rsid w:val="58B8BE84"/>
    <w:rsid w:val="594F9A03"/>
    <w:rsid w:val="59505767"/>
    <w:rsid w:val="595B0F0F"/>
    <w:rsid w:val="595F9CB0"/>
    <w:rsid w:val="597B0C95"/>
    <w:rsid w:val="597C9C66"/>
    <w:rsid w:val="5981CBB4"/>
    <w:rsid w:val="59898A63"/>
    <w:rsid w:val="598A2D56"/>
    <w:rsid w:val="59B2940B"/>
    <w:rsid w:val="59B79F49"/>
    <w:rsid w:val="59BAC6F1"/>
    <w:rsid w:val="59CE1F8C"/>
    <w:rsid w:val="5A06840D"/>
    <w:rsid w:val="5A4ED3B7"/>
    <w:rsid w:val="5AB049E6"/>
    <w:rsid w:val="5AB391D1"/>
    <w:rsid w:val="5AE3F114"/>
    <w:rsid w:val="5B082FBE"/>
    <w:rsid w:val="5B2FF100"/>
    <w:rsid w:val="5B430F04"/>
    <w:rsid w:val="5B47B5E2"/>
    <w:rsid w:val="5B5FDDEC"/>
    <w:rsid w:val="5B9639B0"/>
    <w:rsid w:val="5BAF55BE"/>
    <w:rsid w:val="5BE475E6"/>
    <w:rsid w:val="5C085CA1"/>
    <w:rsid w:val="5C0ECF0E"/>
    <w:rsid w:val="5C22EE36"/>
    <w:rsid w:val="5C739E59"/>
    <w:rsid w:val="5CDE4FE9"/>
    <w:rsid w:val="5CEDBC1C"/>
    <w:rsid w:val="5CFC0354"/>
    <w:rsid w:val="5D034304"/>
    <w:rsid w:val="5D28E616"/>
    <w:rsid w:val="5D7A61DE"/>
    <w:rsid w:val="5D875519"/>
    <w:rsid w:val="5DD46689"/>
    <w:rsid w:val="5E113600"/>
    <w:rsid w:val="5E1345A5"/>
    <w:rsid w:val="5E477551"/>
    <w:rsid w:val="5E7E7468"/>
    <w:rsid w:val="5EC143F0"/>
    <w:rsid w:val="5ECE3F52"/>
    <w:rsid w:val="5EF1E9BB"/>
    <w:rsid w:val="5F2A5CA4"/>
    <w:rsid w:val="5FB45ABB"/>
    <w:rsid w:val="5FBE51FB"/>
    <w:rsid w:val="5FD49754"/>
    <w:rsid w:val="5FEA5ED1"/>
    <w:rsid w:val="603B9BA0"/>
    <w:rsid w:val="604BFD86"/>
    <w:rsid w:val="604D94A8"/>
    <w:rsid w:val="60A8473C"/>
    <w:rsid w:val="60A9AB52"/>
    <w:rsid w:val="60D8679A"/>
    <w:rsid w:val="60E28DB3"/>
    <w:rsid w:val="61891410"/>
    <w:rsid w:val="61B212AB"/>
    <w:rsid w:val="61D1CBB7"/>
    <w:rsid w:val="62174B5B"/>
    <w:rsid w:val="623A33A0"/>
    <w:rsid w:val="624252E8"/>
    <w:rsid w:val="62BA9081"/>
    <w:rsid w:val="62BFF342"/>
    <w:rsid w:val="6330DC16"/>
    <w:rsid w:val="635A3302"/>
    <w:rsid w:val="6379436E"/>
    <w:rsid w:val="63971BA9"/>
    <w:rsid w:val="63BDFA3F"/>
    <w:rsid w:val="6411AD8C"/>
    <w:rsid w:val="6425CED0"/>
    <w:rsid w:val="6430CDA0"/>
    <w:rsid w:val="646D2C1E"/>
    <w:rsid w:val="649FFB7B"/>
    <w:rsid w:val="64E75D97"/>
    <w:rsid w:val="64F162CC"/>
    <w:rsid w:val="64F5D4D4"/>
    <w:rsid w:val="650B0684"/>
    <w:rsid w:val="6514D5D2"/>
    <w:rsid w:val="6558A6DD"/>
    <w:rsid w:val="65798A82"/>
    <w:rsid w:val="65C32899"/>
    <w:rsid w:val="65EE470E"/>
    <w:rsid w:val="6641C334"/>
    <w:rsid w:val="66A1030C"/>
    <w:rsid w:val="66AFF277"/>
    <w:rsid w:val="66B94C15"/>
    <w:rsid w:val="66D93341"/>
    <w:rsid w:val="66FDF7F6"/>
    <w:rsid w:val="670E06C5"/>
    <w:rsid w:val="6727D4B2"/>
    <w:rsid w:val="673673E5"/>
    <w:rsid w:val="67FA9CE5"/>
    <w:rsid w:val="680A4077"/>
    <w:rsid w:val="6829934A"/>
    <w:rsid w:val="6881B0BE"/>
    <w:rsid w:val="68CECF55"/>
    <w:rsid w:val="68D6AA06"/>
    <w:rsid w:val="6962FC41"/>
    <w:rsid w:val="698D6CC2"/>
    <w:rsid w:val="69C9C8FC"/>
    <w:rsid w:val="69F371C1"/>
    <w:rsid w:val="6A087937"/>
    <w:rsid w:val="6A9E6F0F"/>
    <w:rsid w:val="6AB6A9DF"/>
    <w:rsid w:val="6AD9470B"/>
    <w:rsid w:val="6AF7DD04"/>
    <w:rsid w:val="6AFB3AC9"/>
    <w:rsid w:val="6B193D54"/>
    <w:rsid w:val="6B2A7DCC"/>
    <w:rsid w:val="6B5224B5"/>
    <w:rsid w:val="6B759761"/>
    <w:rsid w:val="6B9A5E73"/>
    <w:rsid w:val="6BA84E0C"/>
    <w:rsid w:val="6BCFB061"/>
    <w:rsid w:val="6C5491AD"/>
    <w:rsid w:val="6C86C22A"/>
    <w:rsid w:val="6C91AA8B"/>
    <w:rsid w:val="6C9D0EB9"/>
    <w:rsid w:val="6D324C87"/>
    <w:rsid w:val="6D46FF8A"/>
    <w:rsid w:val="6D95E461"/>
    <w:rsid w:val="6D9BDDF8"/>
    <w:rsid w:val="6D9DF731"/>
    <w:rsid w:val="6DE0BFA6"/>
    <w:rsid w:val="6DFF9202"/>
    <w:rsid w:val="6E2D45B9"/>
    <w:rsid w:val="6EC46D9F"/>
    <w:rsid w:val="6FDC8E21"/>
    <w:rsid w:val="6FF78D88"/>
    <w:rsid w:val="70123027"/>
    <w:rsid w:val="7019F55D"/>
    <w:rsid w:val="701D1690"/>
    <w:rsid w:val="7040B4E8"/>
    <w:rsid w:val="7051FCA7"/>
    <w:rsid w:val="706503FF"/>
    <w:rsid w:val="706FB431"/>
    <w:rsid w:val="70A9D2E9"/>
    <w:rsid w:val="7110789F"/>
    <w:rsid w:val="7123B5AC"/>
    <w:rsid w:val="715F09F9"/>
    <w:rsid w:val="71ABE617"/>
    <w:rsid w:val="71AE3398"/>
    <w:rsid w:val="7202CE13"/>
    <w:rsid w:val="72041FEC"/>
    <w:rsid w:val="72E10D7D"/>
    <w:rsid w:val="731DFF17"/>
    <w:rsid w:val="735ADADA"/>
    <w:rsid w:val="73D18181"/>
    <w:rsid w:val="73D45C12"/>
    <w:rsid w:val="73E709D7"/>
    <w:rsid w:val="73F5FAE7"/>
    <w:rsid w:val="7400B4CD"/>
    <w:rsid w:val="74195AC0"/>
    <w:rsid w:val="745A7A54"/>
    <w:rsid w:val="746A5C5F"/>
    <w:rsid w:val="748A6600"/>
    <w:rsid w:val="7496CB59"/>
    <w:rsid w:val="7514334B"/>
    <w:rsid w:val="7565FBB5"/>
    <w:rsid w:val="75D3CA82"/>
    <w:rsid w:val="761D4B31"/>
    <w:rsid w:val="76CD9D98"/>
    <w:rsid w:val="76E86C6F"/>
    <w:rsid w:val="76EB65E4"/>
    <w:rsid w:val="76ECDE3D"/>
    <w:rsid w:val="775F37B6"/>
    <w:rsid w:val="77843584"/>
    <w:rsid w:val="778AA73B"/>
    <w:rsid w:val="778D57BE"/>
    <w:rsid w:val="77A2D331"/>
    <w:rsid w:val="77B189E0"/>
    <w:rsid w:val="77B749C4"/>
    <w:rsid w:val="77FCD2CD"/>
    <w:rsid w:val="78065780"/>
    <w:rsid w:val="78416373"/>
    <w:rsid w:val="787F1553"/>
    <w:rsid w:val="78D8DC2A"/>
    <w:rsid w:val="791E9AA2"/>
    <w:rsid w:val="797728C5"/>
    <w:rsid w:val="79A86FCA"/>
    <w:rsid w:val="79AF88BF"/>
    <w:rsid w:val="79DADA4A"/>
    <w:rsid w:val="79E1256D"/>
    <w:rsid w:val="7A102DA4"/>
    <w:rsid w:val="7A555CC9"/>
    <w:rsid w:val="7AD9EB2B"/>
    <w:rsid w:val="7AF1E229"/>
    <w:rsid w:val="7B29FF5D"/>
    <w:rsid w:val="7B2E8A28"/>
    <w:rsid w:val="7BBE33CF"/>
    <w:rsid w:val="7BC32A46"/>
    <w:rsid w:val="7BDD4E83"/>
    <w:rsid w:val="7C9498B3"/>
    <w:rsid w:val="7CA860B6"/>
    <w:rsid w:val="7D17C5D8"/>
    <w:rsid w:val="7D3480AB"/>
    <w:rsid w:val="7D86C92B"/>
    <w:rsid w:val="7D912D02"/>
    <w:rsid w:val="7DD87067"/>
    <w:rsid w:val="7DDA2A50"/>
    <w:rsid w:val="7DE0A93E"/>
    <w:rsid w:val="7E21581B"/>
    <w:rsid w:val="7E3F976E"/>
    <w:rsid w:val="7E567164"/>
    <w:rsid w:val="7E879D9E"/>
    <w:rsid w:val="7F12489D"/>
    <w:rsid w:val="7FC8E87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845959"/>
  <w15:chartTrackingRefBased/>
  <w15:docId w15:val="{69A0DC2C-CF68-4B9F-BDBD-1F21F5BFB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47EE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7EE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7E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7E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7E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7E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7E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7E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7EE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47EE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547EE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47EE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47EE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47EE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47EE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47EE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47EE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47EE1"/>
    <w:rPr>
      <w:rFonts w:eastAsiaTheme="majorEastAsia" w:cstheme="majorBidi"/>
      <w:color w:val="272727" w:themeColor="text1" w:themeTint="D8"/>
    </w:rPr>
  </w:style>
  <w:style w:type="paragraph" w:styleId="Title">
    <w:name w:val="Title"/>
    <w:basedOn w:val="Normal"/>
    <w:next w:val="Normal"/>
    <w:link w:val="TitleChar"/>
    <w:uiPriority w:val="10"/>
    <w:qFormat/>
    <w:rsid w:val="00547EE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47EE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47EE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47E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7EE1"/>
    <w:pPr>
      <w:spacing w:before="160"/>
      <w:jc w:val="center"/>
    </w:pPr>
    <w:rPr>
      <w:i/>
      <w:iCs/>
      <w:color w:val="404040" w:themeColor="text1" w:themeTint="BF"/>
    </w:rPr>
  </w:style>
  <w:style w:type="character" w:styleId="QuoteChar" w:customStyle="1">
    <w:name w:val="Quote Char"/>
    <w:basedOn w:val="DefaultParagraphFont"/>
    <w:link w:val="Quote"/>
    <w:uiPriority w:val="29"/>
    <w:rsid w:val="00547EE1"/>
    <w:rPr>
      <w:i/>
      <w:iCs/>
      <w:color w:val="404040" w:themeColor="text1" w:themeTint="BF"/>
    </w:rPr>
  </w:style>
  <w:style w:type="paragraph" w:styleId="ListParagraph">
    <w:name w:val="List Paragraph"/>
    <w:basedOn w:val="Normal"/>
    <w:uiPriority w:val="34"/>
    <w:qFormat/>
    <w:rsid w:val="00547EE1"/>
    <w:pPr>
      <w:ind w:left="720"/>
      <w:contextualSpacing/>
    </w:pPr>
  </w:style>
  <w:style w:type="character" w:styleId="IntenseEmphasis">
    <w:name w:val="Intense Emphasis"/>
    <w:basedOn w:val="DefaultParagraphFont"/>
    <w:uiPriority w:val="21"/>
    <w:qFormat/>
    <w:rsid w:val="00547EE1"/>
    <w:rPr>
      <w:i/>
      <w:iCs/>
      <w:color w:val="0F4761" w:themeColor="accent1" w:themeShade="BF"/>
    </w:rPr>
  </w:style>
  <w:style w:type="paragraph" w:styleId="IntenseQuote">
    <w:name w:val="Intense Quote"/>
    <w:basedOn w:val="Normal"/>
    <w:next w:val="Normal"/>
    <w:link w:val="IntenseQuoteChar"/>
    <w:uiPriority w:val="30"/>
    <w:qFormat/>
    <w:rsid w:val="00547EE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47EE1"/>
    <w:rPr>
      <w:i/>
      <w:iCs/>
      <w:color w:val="0F4761" w:themeColor="accent1" w:themeShade="BF"/>
    </w:rPr>
  </w:style>
  <w:style w:type="character" w:styleId="IntenseReference">
    <w:name w:val="Intense Reference"/>
    <w:basedOn w:val="DefaultParagraphFont"/>
    <w:uiPriority w:val="32"/>
    <w:qFormat/>
    <w:rsid w:val="00547EE1"/>
    <w:rPr>
      <w:b/>
      <w:bCs/>
      <w:smallCaps/>
      <w:color w:val="0F4761" w:themeColor="accent1" w:themeShade="BF"/>
      <w:spacing w:val="5"/>
    </w:rPr>
  </w:style>
  <w:style w:type="paragraph" w:styleId="Header">
    <w:name w:val="header"/>
    <w:basedOn w:val="Normal"/>
    <w:link w:val="HeaderChar"/>
    <w:uiPriority w:val="99"/>
    <w:unhideWhenUsed/>
    <w:rsid w:val="00BB7D66"/>
    <w:pPr>
      <w:tabs>
        <w:tab w:val="center" w:pos="4513"/>
        <w:tab w:val="right" w:pos="9026"/>
      </w:tabs>
      <w:spacing w:after="0" w:line="240" w:lineRule="auto"/>
    </w:pPr>
  </w:style>
  <w:style w:type="character" w:styleId="HeaderChar" w:customStyle="1">
    <w:name w:val="Header Char"/>
    <w:basedOn w:val="DefaultParagraphFont"/>
    <w:link w:val="Header"/>
    <w:uiPriority w:val="99"/>
    <w:rsid w:val="00BB7D66"/>
  </w:style>
  <w:style w:type="paragraph" w:styleId="Footer">
    <w:name w:val="footer"/>
    <w:basedOn w:val="Normal"/>
    <w:link w:val="FooterChar"/>
    <w:uiPriority w:val="99"/>
    <w:unhideWhenUsed/>
    <w:rsid w:val="00BB7D66"/>
    <w:pPr>
      <w:tabs>
        <w:tab w:val="center" w:pos="4513"/>
        <w:tab w:val="right" w:pos="9026"/>
      </w:tabs>
      <w:spacing w:after="0" w:line="240" w:lineRule="auto"/>
    </w:pPr>
  </w:style>
  <w:style w:type="character" w:styleId="FooterChar" w:customStyle="1">
    <w:name w:val="Footer Char"/>
    <w:basedOn w:val="DefaultParagraphFont"/>
    <w:link w:val="Footer"/>
    <w:uiPriority w:val="99"/>
    <w:rsid w:val="00BB7D66"/>
  </w:style>
  <w:style w:type="character" w:styleId="Hyperlink">
    <w:name w:val="Hyperlink"/>
    <w:basedOn w:val="DefaultParagraphFont"/>
    <w:uiPriority w:val="99"/>
    <w:unhideWhenUsed/>
    <w:rsid w:val="000902B6"/>
    <w:rPr>
      <w:color w:val="467886" w:themeColor="hyperlink"/>
      <w:u w:val="single"/>
    </w:rPr>
  </w:style>
  <w:style w:type="character" w:styleId="UnresolvedMention">
    <w:name w:val="Unresolved Mention"/>
    <w:basedOn w:val="DefaultParagraphFont"/>
    <w:uiPriority w:val="99"/>
    <w:semiHidden/>
    <w:unhideWhenUsed/>
    <w:rsid w:val="000902B6"/>
    <w:rPr>
      <w:color w:val="605E5C"/>
      <w:shd w:val="clear" w:color="auto" w:fill="E1DFDD"/>
    </w:rPr>
  </w:style>
  <w:style w:type="paragraph" w:styleId="NoSpacing">
    <w:name w:val="No Spacing"/>
    <w:uiPriority w:val="1"/>
    <w:qFormat/>
    <w:rsid w:val="7110789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558066">
      <w:bodyDiv w:val="1"/>
      <w:marLeft w:val="0"/>
      <w:marRight w:val="0"/>
      <w:marTop w:val="0"/>
      <w:marBottom w:val="0"/>
      <w:divBdr>
        <w:top w:val="none" w:sz="0" w:space="0" w:color="auto"/>
        <w:left w:val="none" w:sz="0" w:space="0" w:color="auto"/>
        <w:bottom w:val="none" w:sz="0" w:space="0" w:color="auto"/>
        <w:right w:val="none" w:sz="0" w:space="0" w:color="auto"/>
      </w:divBdr>
    </w:div>
    <w:div w:id="235633696">
      <w:bodyDiv w:val="1"/>
      <w:marLeft w:val="0"/>
      <w:marRight w:val="0"/>
      <w:marTop w:val="0"/>
      <w:marBottom w:val="0"/>
      <w:divBdr>
        <w:top w:val="none" w:sz="0" w:space="0" w:color="auto"/>
        <w:left w:val="none" w:sz="0" w:space="0" w:color="auto"/>
        <w:bottom w:val="none" w:sz="0" w:space="0" w:color="auto"/>
        <w:right w:val="none" w:sz="0" w:space="0" w:color="auto"/>
      </w:divBdr>
    </w:div>
    <w:div w:id="239338836">
      <w:bodyDiv w:val="1"/>
      <w:marLeft w:val="0"/>
      <w:marRight w:val="0"/>
      <w:marTop w:val="0"/>
      <w:marBottom w:val="0"/>
      <w:divBdr>
        <w:top w:val="none" w:sz="0" w:space="0" w:color="auto"/>
        <w:left w:val="none" w:sz="0" w:space="0" w:color="auto"/>
        <w:bottom w:val="none" w:sz="0" w:space="0" w:color="auto"/>
        <w:right w:val="none" w:sz="0" w:space="0" w:color="auto"/>
      </w:divBdr>
    </w:div>
    <w:div w:id="239679473">
      <w:bodyDiv w:val="1"/>
      <w:marLeft w:val="0"/>
      <w:marRight w:val="0"/>
      <w:marTop w:val="0"/>
      <w:marBottom w:val="0"/>
      <w:divBdr>
        <w:top w:val="none" w:sz="0" w:space="0" w:color="auto"/>
        <w:left w:val="none" w:sz="0" w:space="0" w:color="auto"/>
        <w:bottom w:val="none" w:sz="0" w:space="0" w:color="auto"/>
        <w:right w:val="none" w:sz="0" w:space="0" w:color="auto"/>
      </w:divBdr>
    </w:div>
    <w:div w:id="483350139">
      <w:bodyDiv w:val="1"/>
      <w:marLeft w:val="0"/>
      <w:marRight w:val="0"/>
      <w:marTop w:val="0"/>
      <w:marBottom w:val="0"/>
      <w:divBdr>
        <w:top w:val="none" w:sz="0" w:space="0" w:color="auto"/>
        <w:left w:val="none" w:sz="0" w:space="0" w:color="auto"/>
        <w:bottom w:val="none" w:sz="0" w:space="0" w:color="auto"/>
        <w:right w:val="none" w:sz="0" w:space="0" w:color="auto"/>
      </w:divBdr>
    </w:div>
    <w:div w:id="557936394">
      <w:bodyDiv w:val="1"/>
      <w:marLeft w:val="0"/>
      <w:marRight w:val="0"/>
      <w:marTop w:val="0"/>
      <w:marBottom w:val="0"/>
      <w:divBdr>
        <w:top w:val="none" w:sz="0" w:space="0" w:color="auto"/>
        <w:left w:val="none" w:sz="0" w:space="0" w:color="auto"/>
        <w:bottom w:val="none" w:sz="0" w:space="0" w:color="auto"/>
        <w:right w:val="none" w:sz="0" w:space="0" w:color="auto"/>
      </w:divBdr>
    </w:div>
    <w:div w:id="636103242">
      <w:bodyDiv w:val="1"/>
      <w:marLeft w:val="0"/>
      <w:marRight w:val="0"/>
      <w:marTop w:val="0"/>
      <w:marBottom w:val="0"/>
      <w:divBdr>
        <w:top w:val="none" w:sz="0" w:space="0" w:color="auto"/>
        <w:left w:val="none" w:sz="0" w:space="0" w:color="auto"/>
        <w:bottom w:val="none" w:sz="0" w:space="0" w:color="auto"/>
        <w:right w:val="none" w:sz="0" w:space="0" w:color="auto"/>
      </w:divBdr>
    </w:div>
    <w:div w:id="659622511">
      <w:bodyDiv w:val="1"/>
      <w:marLeft w:val="0"/>
      <w:marRight w:val="0"/>
      <w:marTop w:val="0"/>
      <w:marBottom w:val="0"/>
      <w:divBdr>
        <w:top w:val="none" w:sz="0" w:space="0" w:color="auto"/>
        <w:left w:val="none" w:sz="0" w:space="0" w:color="auto"/>
        <w:bottom w:val="none" w:sz="0" w:space="0" w:color="auto"/>
        <w:right w:val="none" w:sz="0" w:space="0" w:color="auto"/>
      </w:divBdr>
    </w:div>
    <w:div w:id="836460455">
      <w:bodyDiv w:val="1"/>
      <w:marLeft w:val="0"/>
      <w:marRight w:val="0"/>
      <w:marTop w:val="0"/>
      <w:marBottom w:val="0"/>
      <w:divBdr>
        <w:top w:val="none" w:sz="0" w:space="0" w:color="auto"/>
        <w:left w:val="none" w:sz="0" w:space="0" w:color="auto"/>
        <w:bottom w:val="none" w:sz="0" w:space="0" w:color="auto"/>
        <w:right w:val="none" w:sz="0" w:space="0" w:color="auto"/>
      </w:divBdr>
    </w:div>
    <w:div w:id="847452716">
      <w:bodyDiv w:val="1"/>
      <w:marLeft w:val="0"/>
      <w:marRight w:val="0"/>
      <w:marTop w:val="0"/>
      <w:marBottom w:val="0"/>
      <w:divBdr>
        <w:top w:val="none" w:sz="0" w:space="0" w:color="auto"/>
        <w:left w:val="none" w:sz="0" w:space="0" w:color="auto"/>
        <w:bottom w:val="none" w:sz="0" w:space="0" w:color="auto"/>
        <w:right w:val="none" w:sz="0" w:space="0" w:color="auto"/>
      </w:divBdr>
    </w:div>
    <w:div w:id="1338576190">
      <w:bodyDiv w:val="1"/>
      <w:marLeft w:val="0"/>
      <w:marRight w:val="0"/>
      <w:marTop w:val="0"/>
      <w:marBottom w:val="0"/>
      <w:divBdr>
        <w:top w:val="none" w:sz="0" w:space="0" w:color="auto"/>
        <w:left w:val="none" w:sz="0" w:space="0" w:color="auto"/>
        <w:bottom w:val="none" w:sz="0" w:space="0" w:color="auto"/>
        <w:right w:val="none" w:sz="0" w:space="0" w:color="auto"/>
      </w:divBdr>
    </w:div>
    <w:div w:id="1660501393">
      <w:bodyDiv w:val="1"/>
      <w:marLeft w:val="0"/>
      <w:marRight w:val="0"/>
      <w:marTop w:val="0"/>
      <w:marBottom w:val="0"/>
      <w:divBdr>
        <w:top w:val="none" w:sz="0" w:space="0" w:color="auto"/>
        <w:left w:val="none" w:sz="0" w:space="0" w:color="auto"/>
        <w:bottom w:val="none" w:sz="0" w:space="0" w:color="auto"/>
        <w:right w:val="none" w:sz="0" w:space="0" w:color="auto"/>
      </w:divBdr>
    </w:div>
    <w:div w:id="1677614201">
      <w:bodyDiv w:val="1"/>
      <w:marLeft w:val="0"/>
      <w:marRight w:val="0"/>
      <w:marTop w:val="0"/>
      <w:marBottom w:val="0"/>
      <w:divBdr>
        <w:top w:val="none" w:sz="0" w:space="0" w:color="auto"/>
        <w:left w:val="none" w:sz="0" w:space="0" w:color="auto"/>
        <w:bottom w:val="none" w:sz="0" w:space="0" w:color="auto"/>
        <w:right w:val="none" w:sz="0" w:space="0" w:color="auto"/>
      </w:divBdr>
    </w:div>
    <w:div w:id="1765225298">
      <w:bodyDiv w:val="1"/>
      <w:marLeft w:val="0"/>
      <w:marRight w:val="0"/>
      <w:marTop w:val="0"/>
      <w:marBottom w:val="0"/>
      <w:divBdr>
        <w:top w:val="none" w:sz="0" w:space="0" w:color="auto"/>
        <w:left w:val="none" w:sz="0" w:space="0" w:color="auto"/>
        <w:bottom w:val="none" w:sz="0" w:space="0" w:color="auto"/>
        <w:right w:val="none" w:sz="0" w:space="0" w:color="auto"/>
      </w:divBdr>
    </w:div>
    <w:div w:id="1768502871">
      <w:bodyDiv w:val="1"/>
      <w:marLeft w:val="0"/>
      <w:marRight w:val="0"/>
      <w:marTop w:val="0"/>
      <w:marBottom w:val="0"/>
      <w:divBdr>
        <w:top w:val="none" w:sz="0" w:space="0" w:color="auto"/>
        <w:left w:val="none" w:sz="0" w:space="0" w:color="auto"/>
        <w:bottom w:val="none" w:sz="0" w:space="0" w:color="auto"/>
        <w:right w:val="none" w:sz="0" w:space="0" w:color="auto"/>
      </w:divBdr>
    </w:div>
    <w:div w:id="1998610283">
      <w:bodyDiv w:val="1"/>
      <w:marLeft w:val="0"/>
      <w:marRight w:val="0"/>
      <w:marTop w:val="0"/>
      <w:marBottom w:val="0"/>
      <w:divBdr>
        <w:top w:val="none" w:sz="0" w:space="0" w:color="auto"/>
        <w:left w:val="none" w:sz="0" w:space="0" w:color="auto"/>
        <w:bottom w:val="none" w:sz="0" w:space="0" w:color="auto"/>
        <w:right w:val="none" w:sz="0" w:space="0" w:color="auto"/>
      </w:divBdr>
    </w:div>
    <w:div w:id="2120907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commonslibrary.parliament.uk/research-briefings/sn05013/" TargetMode="External" Id="rId8" /><Relationship Type="http://schemas.openxmlformats.org/officeDocument/2006/relationships/settings" Target="settings.xml" Id="rId3" /><Relationship Type="http://schemas.openxmlformats.org/officeDocument/2006/relationships/hyperlink" Target="https://www.college.police.uk/app/engagement-and-communication/engagement" TargetMode="External" Id="rId7" /><Relationship Type="http://schemas.microsoft.com/office/2020/10/relationships/intelligence" Target="intelligence2.xml" Id="rId25"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communitypolicing.eu/the-origin-of-the-concept-of-cop/" TargetMode="External" Id="rId11" /><Relationship Type="http://schemas.openxmlformats.org/officeDocument/2006/relationships/theme" Target="theme/theme1.xml" Id="rId24" /><Relationship Type="http://schemas.openxmlformats.org/officeDocument/2006/relationships/footnotes" Target="footnotes.xml" Id="rId5" /><Relationship Type="http://schemas.openxmlformats.org/officeDocument/2006/relationships/fontTable" Target="fontTable.xml" Id="rId23" /><Relationship Type="http://schemas.openxmlformats.org/officeDocument/2006/relationships/hyperlink" Target="https://blogs.lse.ac.uk/usappblog/2024/05/06/why-the-principle-of-policing-by-consent-will-not-address-the-ongoing-crisis-in-policing/" TargetMode="External" Id="rId10" /><Relationship Type="http://schemas.openxmlformats.org/officeDocument/2006/relationships/webSettings" Target="webSettings.xml" Id="rId4" /><Relationship Type="http://schemas.openxmlformats.org/officeDocument/2006/relationships/hyperlink" Target="https://lawenforcementactionpartnership.org/peel-policing-principles/" TargetMode="External" Id="rId9" /><Relationship Type="http://schemas.openxmlformats.org/officeDocument/2006/relationships/hyperlink" Target="https://ministryofinjustice.co.uk/what-is-policing-by-consent/" TargetMode="External" Id="Ra5a60c5b731a462d" /><Relationship Type="http://schemas.openxmlformats.org/officeDocument/2006/relationships/hyperlink" Target="https://www.stop-watch.org/news-opinion/why-the-time-has-come-to-withdraw-consent-to-policing/" TargetMode="External" Id="R9035573e92d5484f" /><Relationship Type="http://schemas.openxmlformats.org/officeDocument/2006/relationships/hyperlink" Target="https://www.unodc.org/pdf/criminal_justice/Handbook_on_police_Accountability_Oversight_and_Integrity.pdf" TargetMode="External" Id="R0866df2d98fe4e74" /><Relationship Type="http://schemas.openxmlformats.org/officeDocument/2006/relationships/hyperlink" Target="https://www.gov.uk/government/news/our-immediate-action-after-southport-attacks" TargetMode="External" Id="Rdcdc3b5b7b1142a1" /><Relationship Type="http://schemas.openxmlformats.org/officeDocument/2006/relationships/hyperlink" Target="https://news.sky.com/story/police-chiefs-accuse-significant-political-figures-of-improper-interference-13045485" TargetMode="External" Id="R410012aa10b8472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Afifa Zaman</dc:creator>
  <keywords/>
  <dc:description/>
  <lastModifiedBy>Hannah Milward (2305212)</lastModifiedBy>
  <revision>3</revision>
  <dcterms:created xsi:type="dcterms:W3CDTF">2024-11-15T13:16:00.0000000Z</dcterms:created>
  <dcterms:modified xsi:type="dcterms:W3CDTF">2024-11-15T15:38:16.3882362Z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4272891b-0941-476b-b902-039a7f9b30bc</vt:lpwstr>
  </property>
</Properties>
</file>