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1B1FC" w14:textId="77777777" w:rsidR="00DF1A59" w:rsidRPr="00B06248" w:rsidRDefault="00DF1A59">
      <w:pPr>
        <w:rPr>
          <w:rFonts w:cstheme="minorHAnsi"/>
          <w:b/>
          <w:bCs/>
        </w:rPr>
      </w:pPr>
    </w:p>
    <w:p w14:paraId="120DE5D6" w14:textId="77777777" w:rsidR="00611082" w:rsidRPr="00B06248" w:rsidRDefault="00611082" w:rsidP="00A240DF">
      <w:pPr>
        <w:rPr>
          <w:rFonts w:cstheme="minorHAnsi"/>
          <w:b/>
          <w:bCs/>
        </w:rPr>
      </w:pPr>
    </w:p>
    <w:p w14:paraId="4106071D" w14:textId="77777777" w:rsidR="00611082" w:rsidRPr="00B06248" w:rsidRDefault="00611082" w:rsidP="00611082">
      <w:pPr>
        <w:rPr>
          <w:rFonts w:cstheme="minorHAnsi"/>
          <w:b/>
          <w:bCs/>
        </w:rPr>
      </w:pPr>
      <w:r w:rsidRPr="00B06248">
        <w:rPr>
          <w:rFonts w:cstheme="minorHAnsi"/>
          <w:b/>
          <w:bCs/>
        </w:rPr>
        <w:t>1] Critically analyse the implementation of play based early ears curricula referring to evaluative research evidence and reports [1550 words]</w:t>
      </w:r>
    </w:p>
    <w:p w14:paraId="2ABE75FA" w14:textId="77777777" w:rsidR="00611082" w:rsidRPr="00B06248" w:rsidRDefault="00611082" w:rsidP="00611082">
      <w:pPr>
        <w:rPr>
          <w:rFonts w:cstheme="minorHAnsi"/>
        </w:rPr>
      </w:pPr>
    </w:p>
    <w:p w14:paraId="1F4BACBE" w14:textId="77777777" w:rsidR="00611082" w:rsidRPr="00B06248" w:rsidRDefault="00611082" w:rsidP="00611082">
      <w:pPr>
        <w:rPr>
          <w:rFonts w:cstheme="minorHAnsi"/>
        </w:rPr>
      </w:pPr>
      <w:r w:rsidRPr="00B06248">
        <w:rPr>
          <w:rFonts w:cstheme="minorHAnsi"/>
        </w:rPr>
        <w:t xml:space="preserve">Play-based early years curricula have long been recognized as crucial for fostering holistic child development, particularly in the domain of literacy skills.  According to (Welsh government,2023) The assessment arrangements for funded non-maintained nursery settings play a pivotal role in ensuring effective implementation. This critical analysis delves into how these assessment arrangements align with the principles of play-based learning and explores challenges and opportunities. </w:t>
      </w:r>
    </w:p>
    <w:p w14:paraId="352EBA42" w14:textId="77777777" w:rsidR="00611082" w:rsidRPr="00B06248" w:rsidRDefault="00611082" w:rsidP="00611082">
      <w:pPr>
        <w:rPr>
          <w:rFonts w:cstheme="minorHAnsi"/>
        </w:rPr>
      </w:pPr>
      <w:r w:rsidRPr="00B06248">
        <w:rPr>
          <w:rFonts w:cstheme="minorHAnsi"/>
        </w:rPr>
        <w:t>The Foundation Phase in Wales, designed to provide a play-based learning experience for children aged 3 to 7, underwent an independent Stocktake from September 2013 to March 2014. Led by settings Foundation Phase Stocktake (2014) the Stocktake aimed to assess the implementation of the Foundation Phase, focusing on various aspects such as language development, literacy, numeracy, and its impact on socio-economic deprivation. This essay critically analyses the findings and recommendations from the Stocktake, shedding light on challenges, opportunities, and the broader context of play-based early years education.</w:t>
      </w:r>
    </w:p>
    <w:p w14:paraId="5CAC4985" w14:textId="77777777" w:rsidR="00611082" w:rsidRPr="00B06248" w:rsidRDefault="00611082" w:rsidP="00611082">
      <w:pPr>
        <w:rPr>
          <w:rFonts w:cstheme="minorHAnsi"/>
        </w:rPr>
      </w:pPr>
      <w:r w:rsidRPr="00B06248">
        <w:rPr>
          <w:rFonts w:cstheme="minorHAnsi"/>
        </w:rPr>
        <w:t>Firstly, the Stocktake recognized the considerable variability in how the Foundation Phase was implemented across different schools and settings. This diversity poses a significant challenge in achieving uniform quality in play-based learning experiences, as acknowledged in the Foundation Phase Stocktake report of 2014. Secondly, addressing socio-economic deprivation emerged as a pivotal but challenging aspect. While the Foundation Phase aimed to mitigate socio-economic disparities, the report indicated that resource constraints presented a substantial obstacle to implementing effective strategies in deprived areas. Finally, the Stocktake brought attention to the variability in the quality of play-based learning experiences, emphasizing the challenges in maintaining consistent standards, especially in leadership, workforce, and the overall experience for the child across diverse settings (Foundation Phase Stocktake, 2014). These challenges underscore the complexity of fostering a standardized and equitable play-based learning environment for young children within the Foundation Phase in Wales.</w:t>
      </w:r>
    </w:p>
    <w:p w14:paraId="588D6176" w14:textId="77777777" w:rsidR="00611082" w:rsidRPr="00B06248" w:rsidRDefault="00611082" w:rsidP="00611082">
      <w:pPr>
        <w:rPr>
          <w:rFonts w:cstheme="minorHAnsi"/>
        </w:rPr>
      </w:pPr>
      <w:r w:rsidRPr="00B06248">
        <w:rPr>
          <w:rFonts w:cstheme="minorHAnsi"/>
        </w:rPr>
        <w:t xml:space="preserve">Implementing play-based curricula faces distinct challenges, impacting its effectiveness in nurturing early childhood development. </w:t>
      </w:r>
      <w:proofErr w:type="gramStart"/>
      <w:r w:rsidRPr="00B06248">
        <w:rPr>
          <w:rFonts w:cstheme="minorHAnsi"/>
        </w:rPr>
        <w:t>( Pyle</w:t>
      </w:r>
      <w:proofErr w:type="gramEnd"/>
      <w:r w:rsidRPr="00B06248">
        <w:rPr>
          <w:rFonts w:cstheme="minorHAnsi"/>
        </w:rPr>
        <w:t>, 2018) Firstly, Welsh government (2023) limited resource allocation poses a hindrance to offering diverse play-based activities. Without ample materials and space, the curriculum's richness diminishes, limiting children's learning experiences. Secondly, the challenge of assessment accuracy arises, particularly in evaluating speech and language development. (Welsh government,2023) The subjectivity inherent in such assessments necessitates additional training for educators to ensure precise and unbiased evaluations. Lastly, maintaining cultural sensitivity in assessments proves challenging. (Welsh government,2023) Considering diverse cultural backgrounds and languages requires intentional effort, ensuring that assessments are inclusive and reflective of the varied experiences of the children involved. Addressing these challenges is crucial for optimizing the benefits of play-based curricula and fostering holistic development in early childhood education.</w:t>
      </w:r>
    </w:p>
    <w:p w14:paraId="42E0C628" w14:textId="77777777" w:rsidR="00611082" w:rsidRPr="00B06248" w:rsidRDefault="00611082" w:rsidP="00611082">
      <w:pPr>
        <w:rPr>
          <w:rFonts w:cstheme="minorHAnsi"/>
        </w:rPr>
      </w:pPr>
      <w:r w:rsidRPr="00B06248">
        <w:rPr>
          <w:rFonts w:cstheme="minorHAnsi"/>
        </w:rPr>
        <w:t>While both the Foundation Phase Stocktake in Wales and the challenges in implementing play-based curricula emphasize the variability in educational settings, they diverge in focus. The Stocktake highlights the disparities in the implementation of the Foundation Phase across schools, impacting the consistency of play-based learning experiences (Foundation Phase Stocktake, 2014). On the other hand, the challenges in play-based curricula underscore resource limitations, assessment accuracy, and cultural sensitivity, all essential factors for effective implementation (Foundation Phase Stocktake, 2014). While the Stocktake emphasizes systemic differences, the challenges in play-based curricula concentrate on practical and nuanced aspects crucial for ensuring a comprehensive and inclusive early childhood education.</w:t>
      </w:r>
    </w:p>
    <w:p w14:paraId="441EC1A6" w14:textId="77777777" w:rsidR="00611082" w:rsidRPr="00B06248" w:rsidRDefault="00611082" w:rsidP="00611082">
      <w:pPr>
        <w:rPr>
          <w:rFonts w:cstheme="minorHAnsi"/>
        </w:rPr>
      </w:pPr>
      <w:r w:rsidRPr="00B06248">
        <w:rPr>
          <w:rFonts w:cstheme="minorHAnsi"/>
        </w:rPr>
        <w:t>The Foundation Phase Stocktake in Wales, conducted from September 2013 to March 2014, identified key opportunities for enhancing play-based early years curricula. Firstly, there is a significant opportunity in the emphasis on embedding language development, literacy, and numeracy skills within the holistic approach of the Foundation Phase. This approach aligns seamlessly with the experiential nature of play-based activities, providing an organic integration of essential skills into children's learning experiences (Foundation Phase Stocktake, 2014).</w:t>
      </w:r>
    </w:p>
    <w:p w14:paraId="6AF7E454" w14:textId="77777777" w:rsidR="00611082" w:rsidRPr="00B06248" w:rsidRDefault="00611082" w:rsidP="00611082">
      <w:pPr>
        <w:rPr>
          <w:rFonts w:cstheme="minorHAnsi"/>
        </w:rPr>
      </w:pPr>
      <w:r w:rsidRPr="00B06248">
        <w:rPr>
          <w:rFonts w:cstheme="minorHAnsi"/>
        </w:rPr>
        <w:t>Secondly, the focus on progression from Flying Start to the Foundation Phase and then to Key Stage 2 presents a valuable opportunity to create seamless transitions for children throughout their educational journey. This emphasis on progression ensures a cohesive and continuous learning experience, optimizing the benefits of play-based education for children (Foundation Phase Stocktake, 2014).</w:t>
      </w:r>
    </w:p>
    <w:p w14:paraId="42FF615A" w14:textId="77777777" w:rsidR="00611082" w:rsidRPr="00B06248" w:rsidRDefault="00611082" w:rsidP="00611082">
      <w:pPr>
        <w:rPr>
          <w:rFonts w:cstheme="minorHAnsi"/>
        </w:rPr>
      </w:pPr>
      <w:r w:rsidRPr="00B06248">
        <w:rPr>
          <w:rFonts w:cstheme="minorHAnsi"/>
        </w:rPr>
        <w:t>Furthermore, the Stocktake underscores the opportunity to embed Foundation Phase principles in Initial Teacher Training (ITT) and Continued Professional Development (CPD). This emphasis reflects a strategic approach to aligning teacher training with play-based pedagogy, ensuring that educators are well-equipped to facilitate effective play-based learning experiences in the classroom. These opportunities, as identified by the Foundation Phase Stocktake, underscore the potential for creating a robust foundation for play-based learning and holistic child development in early education in Wales. (Foundation Phase Stocktake, 2014).</w:t>
      </w:r>
    </w:p>
    <w:p w14:paraId="5A4696D4" w14:textId="77777777" w:rsidR="00611082" w:rsidRPr="00B06248" w:rsidRDefault="00611082" w:rsidP="00611082">
      <w:pPr>
        <w:rPr>
          <w:rFonts w:cstheme="minorHAnsi"/>
        </w:rPr>
      </w:pPr>
      <w:r w:rsidRPr="00B06248">
        <w:rPr>
          <w:rFonts w:cstheme="minorHAnsi"/>
        </w:rPr>
        <w:t>The effective implementation of play-based early years curricula relies on strategic approaches to address challenges and capitalize on opportunities. Firstly, continuous professional development stands as a cornerstone, with ongoing training for educators essential to align assessment practices with the latest research. (Welsh government,2023) This ensures that educators are equipped with the most up-to-date knowledge and methodologies, enhancing the quality of assessments within play-based learning environments</w:t>
      </w:r>
      <w:proofErr w:type="gramStart"/>
      <w:r w:rsidRPr="00B06248">
        <w:rPr>
          <w:rFonts w:cstheme="minorHAnsi"/>
        </w:rPr>
        <w:t>. .</w:t>
      </w:r>
      <w:proofErr w:type="gramEnd"/>
      <w:r w:rsidRPr="00B06248">
        <w:rPr>
          <w:rFonts w:cstheme="minorHAnsi"/>
        </w:rPr>
        <w:t xml:space="preserve"> (</w:t>
      </w:r>
      <w:proofErr w:type="spellStart"/>
      <w:r w:rsidRPr="00B06248">
        <w:rPr>
          <w:rFonts w:cstheme="minorHAnsi"/>
        </w:rPr>
        <w:t>Pianta</w:t>
      </w:r>
      <w:proofErr w:type="spellEnd"/>
      <w:r w:rsidRPr="00B06248">
        <w:rPr>
          <w:rFonts w:cstheme="minorHAnsi"/>
        </w:rPr>
        <w:t>, La Paro, &amp; Hamre, 2008).</w:t>
      </w:r>
    </w:p>
    <w:p w14:paraId="61153AC0" w14:textId="77777777" w:rsidR="00611082" w:rsidRPr="00B06248" w:rsidRDefault="00611082" w:rsidP="00611082">
      <w:pPr>
        <w:rPr>
          <w:rFonts w:cstheme="minorHAnsi"/>
        </w:rPr>
      </w:pPr>
      <w:r w:rsidRPr="00B06248">
        <w:rPr>
          <w:rFonts w:cstheme="minorHAnsi"/>
        </w:rPr>
        <w:t xml:space="preserve">Secondly, Parental involvement is recognized as a pivotal factor in maximizing the effectiveness of play-based </w:t>
      </w:r>
      <w:proofErr w:type="gramStart"/>
      <w:r w:rsidRPr="00B06248">
        <w:rPr>
          <w:rFonts w:cstheme="minorHAnsi"/>
        </w:rPr>
        <w:t>curricula .</w:t>
      </w:r>
      <w:proofErr w:type="gramEnd"/>
      <w:r w:rsidRPr="00B06248">
        <w:rPr>
          <w:rFonts w:cstheme="minorHAnsi"/>
        </w:rPr>
        <w:t xml:space="preserve"> (Welsh government,2023) Collaborative efforts between educators and parents provide a valuable opportunity for gaining insights into a child's home environment and language exposure (Epstein, 2011). This partnership establishes a foundation for a holistic understanding of the child's experiences, enabling the tailoring of play-based interventions that align with the child's broader learning context (Pomerantz &amp; Moorman, 2007). Through open communication and shared insights, educators can incorporate aspects of a child's home life into play-based activities, ensuring a seamless connection between the learning that occurs in educational settings and the child's experiences at home (</w:t>
      </w:r>
      <w:proofErr w:type="spellStart"/>
      <w:r w:rsidRPr="00B06248">
        <w:rPr>
          <w:rFonts w:cstheme="minorHAnsi"/>
        </w:rPr>
        <w:t>Saracho</w:t>
      </w:r>
      <w:proofErr w:type="spellEnd"/>
      <w:r w:rsidRPr="00B06248">
        <w:rPr>
          <w:rFonts w:cstheme="minorHAnsi"/>
        </w:rPr>
        <w:t xml:space="preserve"> &amp; </w:t>
      </w:r>
      <w:proofErr w:type="spellStart"/>
      <w:r w:rsidRPr="00B06248">
        <w:rPr>
          <w:rFonts w:cstheme="minorHAnsi"/>
        </w:rPr>
        <w:t>Spodek</w:t>
      </w:r>
      <w:proofErr w:type="spellEnd"/>
      <w:r w:rsidRPr="00B06248">
        <w:rPr>
          <w:rFonts w:cstheme="minorHAnsi"/>
        </w:rPr>
        <w:t>, 2007). The involvement of parents in the educational journey enhances the overall impact of play-based curricula by creating a collaborative and supportive learning environment that spans both home and school domains (Bergan, 1977; Epstein, 2011).</w:t>
      </w:r>
    </w:p>
    <w:p w14:paraId="067BBBA2" w14:textId="77777777" w:rsidR="00611082" w:rsidRPr="00B06248" w:rsidRDefault="00611082" w:rsidP="00611082">
      <w:pPr>
        <w:rPr>
          <w:rFonts w:cstheme="minorHAnsi"/>
        </w:rPr>
      </w:pPr>
      <w:r w:rsidRPr="00B06248">
        <w:rPr>
          <w:rFonts w:cstheme="minorHAnsi"/>
        </w:rPr>
        <w:t xml:space="preserve">Lastly, the integration of technology presents a promising avenue for enriching language experiences and assessments within play-based settings. According to Dwivedi (2022) Exploring technology as a tool allows for innovative approaches, leveraging digital resources to create dynamic and engaging language-rich activities. This not only aligns with contemporary educational trends but also opens new possibilities for assessing language development within the framework of play-based learning. In combination, these strategies contribute to the refinement and advancement of play-based curricula, ensuring they remain responsive to the evolving needs of early childhood education. </w:t>
      </w:r>
    </w:p>
    <w:p w14:paraId="53D9EE32" w14:textId="77777777" w:rsidR="00611082" w:rsidRPr="00B06248" w:rsidRDefault="00611082" w:rsidP="00611082">
      <w:pPr>
        <w:rPr>
          <w:rFonts w:cstheme="minorHAnsi"/>
        </w:rPr>
      </w:pPr>
    </w:p>
    <w:p w14:paraId="6A93E4C7" w14:textId="77777777" w:rsidR="00611082" w:rsidRPr="00B06248" w:rsidRDefault="00611082" w:rsidP="00611082">
      <w:pPr>
        <w:rPr>
          <w:rFonts w:cstheme="minorHAnsi"/>
        </w:rPr>
      </w:pPr>
      <w:r w:rsidRPr="00B06248">
        <w:rPr>
          <w:rFonts w:cstheme="minorHAnsi"/>
        </w:rPr>
        <w:t>Aligned with UNESCO's principles, this process underscored the importance of robust government leadership, a long-term vision, and well-supported staff for effective improvements (Foundation Phase Stocktake, 2014; UNESCO, 2004). Despite the potential lack of immediate impacts, sustained commitment was identified as essential for positive changes in education.</w:t>
      </w:r>
    </w:p>
    <w:p w14:paraId="46BCA6B8" w14:textId="77777777" w:rsidR="00611082" w:rsidRPr="00B06248" w:rsidRDefault="00611082" w:rsidP="00611082">
      <w:pPr>
        <w:rPr>
          <w:rFonts w:cstheme="minorHAnsi"/>
        </w:rPr>
      </w:pPr>
      <w:r w:rsidRPr="00B06248">
        <w:rPr>
          <w:rFonts w:cstheme="minorHAnsi"/>
        </w:rPr>
        <w:t>Similarly, the Stocktake acknowledged the challenge of variable implementation within schools and settings, linking these findings with the complexities of cultural shifts in education (Foundation Phase Stocktake, 2014). The nuanced approach required for adapting play-based curricula across diverse settings became apparent, highlighting the intricate nature of educational transformations.</w:t>
      </w:r>
    </w:p>
    <w:p w14:paraId="4E54C76C" w14:textId="77777777" w:rsidR="00611082" w:rsidRPr="00B06248" w:rsidRDefault="00611082" w:rsidP="00611082">
      <w:pPr>
        <w:rPr>
          <w:rFonts w:cstheme="minorHAnsi"/>
        </w:rPr>
      </w:pPr>
      <w:r w:rsidRPr="00B06248">
        <w:rPr>
          <w:rFonts w:cstheme="minorHAnsi"/>
        </w:rPr>
        <w:t xml:space="preserve">In the realm of early childhood development, the assessment framework's recognition of the intricate link between literacy and speech, language, and communication development aligns with research by Hoff and </w:t>
      </w:r>
      <w:proofErr w:type="spellStart"/>
      <w:r w:rsidRPr="00B06248">
        <w:rPr>
          <w:rFonts w:cstheme="minorHAnsi"/>
        </w:rPr>
        <w:t>Naigles</w:t>
      </w:r>
      <w:proofErr w:type="spellEnd"/>
      <w:r w:rsidRPr="00B06248">
        <w:rPr>
          <w:rFonts w:cstheme="minorHAnsi"/>
        </w:rPr>
        <w:t xml:space="preserve"> (2002). This holistic approach sets the stage for comprehensive literacy growth, emphasizing the interconnected nature of language and literacy skills.</w:t>
      </w:r>
    </w:p>
    <w:p w14:paraId="25734743" w14:textId="77777777" w:rsidR="00611082" w:rsidRPr="00B06248" w:rsidRDefault="00611082" w:rsidP="00611082">
      <w:pPr>
        <w:rPr>
          <w:rFonts w:cstheme="minorHAnsi"/>
        </w:rPr>
      </w:pPr>
      <w:r w:rsidRPr="00B06248">
        <w:rPr>
          <w:rFonts w:cstheme="minorHAnsi"/>
        </w:rPr>
        <w:t>The framework's consideration of attention and listening skills, although commendable, could benefit from insights from Zimmerman et al. (2009) on the importance of child-directed play in enhancing attention. Integrating opportunities for child-led activities would foster sustained attention, contributing to more comprehensive assessments, and creating links with the broader context of play-based learning.</w:t>
      </w:r>
    </w:p>
    <w:p w14:paraId="5281A4B0" w14:textId="77777777" w:rsidR="00611082" w:rsidRPr="00B06248" w:rsidRDefault="00611082" w:rsidP="00611082">
      <w:pPr>
        <w:rPr>
          <w:rFonts w:cstheme="minorHAnsi"/>
        </w:rPr>
      </w:pPr>
      <w:r w:rsidRPr="00B06248">
        <w:rPr>
          <w:rFonts w:cstheme="minorHAnsi"/>
        </w:rPr>
        <w:t>Addressing a child's language understanding through responses, questions, and greetings aligns with Vygotsky's sociocultural theory, emphasizing the role of social interactions in language development. The inclusive approach, including nonverbal communication methods, reflects the interconnectedness of language development and sociocultural influences.</w:t>
      </w:r>
    </w:p>
    <w:p w14:paraId="5297DB7D" w14:textId="77777777" w:rsidR="00611082" w:rsidRPr="00B06248" w:rsidRDefault="00611082" w:rsidP="00611082">
      <w:pPr>
        <w:rPr>
          <w:rFonts w:cstheme="minorHAnsi"/>
        </w:rPr>
      </w:pPr>
      <w:r w:rsidRPr="00B06248">
        <w:rPr>
          <w:rFonts w:cstheme="minorHAnsi"/>
        </w:rPr>
        <w:t>While the assessment commendably acknowledges a child's understanding of concepts and vocabulary within play, insights from Weitzman and Greenberg (2002) underscore the significance of rich vocabulary exposure. Creating language-rich environments with diverse words and concepts would enhance vocabulary development, linking assessment practices with broader strategies for comprehensive language growth.</w:t>
      </w:r>
    </w:p>
    <w:p w14:paraId="26CC254D" w14:textId="77777777" w:rsidR="00611082" w:rsidRPr="00B06248" w:rsidRDefault="00611082" w:rsidP="00611082">
      <w:pPr>
        <w:rPr>
          <w:rFonts w:cstheme="minorHAnsi"/>
        </w:rPr>
      </w:pPr>
      <w:r w:rsidRPr="00B06248">
        <w:rPr>
          <w:rFonts w:cstheme="minorHAnsi"/>
        </w:rPr>
        <w:t xml:space="preserve">Highlighting vocabulary building and interest in reading is crucial, and research by </w:t>
      </w:r>
      <w:proofErr w:type="spellStart"/>
      <w:r w:rsidRPr="00B06248">
        <w:rPr>
          <w:rFonts w:cstheme="minorHAnsi"/>
        </w:rPr>
        <w:t>Sénéchal</w:t>
      </w:r>
      <w:proofErr w:type="spellEnd"/>
      <w:r w:rsidRPr="00B06248">
        <w:rPr>
          <w:rFonts w:cstheme="minorHAnsi"/>
        </w:rPr>
        <w:t xml:space="preserve"> and LeFevre (2002) supports the notion that shared book reading enhances vocabulary. To deepen insights, expanding the assessment to evaluate language richness during shared reading moments would provide a more nuanced understanding of a child's language development, creating links between assessment practices and broader literacy strategies.</w:t>
      </w:r>
    </w:p>
    <w:p w14:paraId="00BFBB1E" w14:textId="77777777" w:rsidR="00611082" w:rsidRPr="00B06248" w:rsidRDefault="00611082" w:rsidP="00611082">
      <w:pPr>
        <w:rPr>
          <w:rFonts w:cstheme="minorHAnsi"/>
        </w:rPr>
      </w:pPr>
      <w:r w:rsidRPr="00B06248">
        <w:rPr>
          <w:rFonts w:cstheme="minorHAnsi"/>
        </w:rPr>
        <w:t xml:space="preserve">The framework's recognition of a child's awareness of symbols and marks for communication aligns with Rowe and </w:t>
      </w:r>
      <w:proofErr w:type="spellStart"/>
      <w:r w:rsidRPr="00B06248">
        <w:rPr>
          <w:rFonts w:cstheme="minorHAnsi"/>
        </w:rPr>
        <w:t>Neitzel's</w:t>
      </w:r>
      <w:proofErr w:type="spellEnd"/>
      <w:r w:rsidRPr="00B06248">
        <w:rPr>
          <w:rFonts w:cstheme="minorHAnsi"/>
        </w:rPr>
        <w:t xml:space="preserve"> (2010) research, suggesting early mark-making is linked to emergent literacy. However, exploring the role of mark-making as a precursor to formal writing skills could enhance the framework's comprehensiveness, creating links between early literacy assessment and subsequent writing development.</w:t>
      </w:r>
    </w:p>
    <w:p w14:paraId="567A0D98" w14:textId="77777777" w:rsidR="00611082" w:rsidRPr="00B06248" w:rsidRDefault="00611082" w:rsidP="00611082">
      <w:pPr>
        <w:rPr>
          <w:rFonts w:cstheme="minorHAnsi"/>
        </w:rPr>
      </w:pPr>
      <w:r w:rsidRPr="00B06248">
        <w:rPr>
          <w:rFonts w:cstheme="minorHAnsi"/>
        </w:rPr>
        <w:t>Play-based early years curricula, crucial for holistic child development, especially in literacy, rely on effective assessment arrangements in non-maintained nursery settings. This analysis explores alignment, challenges, and opportunities. Concurrently, the Foundation Phase Stocktake in Wales (Sept 2013-Mar 2014) parallels, examining play-based learning implementation with regional insights into challenges and opportunities. In conclusion, this essay highlights the shared challenges and opportunities between the Foundation Phase Stocktake and the assessment of play-based early years curricula. It emphasizes the necessity of nuanced strategies, sustained commitment, and a holistic approach to fostering effective play-based learning environments for young children, both within Wales and in the broader international context.</w:t>
      </w:r>
    </w:p>
    <w:p w14:paraId="236853B1" w14:textId="77777777" w:rsidR="00611082" w:rsidRPr="00B06248" w:rsidRDefault="00611082" w:rsidP="00611082">
      <w:pPr>
        <w:rPr>
          <w:rFonts w:cstheme="minorHAnsi"/>
        </w:rPr>
      </w:pPr>
    </w:p>
    <w:p w14:paraId="745F7993" w14:textId="77777777" w:rsidR="00611082" w:rsidRPr="00B06248" w:rsidRDefault="00611082" w:rsidP="00611082">
      <w:pPr>
        <w:rPr>
          <w:rFonts w:cstheme="minorHAnsi"/>
        </w:rPr>
      </w:pPr>
    </w:p>
    <w:p w14:paraId="0DC7F929" w14:textId="77777777" w:rsidR="00611082" w:rsidRPr="00B06248" w:rsidRDefault="00611082" w:rsidP="00611082">
      <w:pPr>
        <w:rPr>
          <w:rFonts w:cstheme="minorHAnsi"/>
        </w:rPr>
      </w:pPr>
    </w:p>
    <w:p w14:paraId="26BF4331" w14:textId="77777777" w:rsidR="00611082" w:rsidRPr="00B06248" w:rsidRDefault="00611082" w:rsidP="00611082">
      <w:pPr>
        <w:rPr>
          <w:rFonts w:cstheme="minorHAnsi"/>
        </w:rPr>
      </w:pPr>
    </w:p>
    <w:p w14:paraId="1281838C" w14:textId="638D18B8" w:rsidR="00611082" w:rsidRPr="00B06248" w:rsidRDefault="00611082" w:rsidP="00611082">
      <w:pPr>
        <w:rPr>
          <w:rFonts w:cstheme="minorHAnsi"/>
        </w:rPr>
      </w:pPr>
      <w:r w:rsidRPr="00B06248">
        <w:rPr>
          <w:rFonts w:cstheme="minorHAnsi"/>
        </w:rPr>
        <w:t>References</w:t>
      </w:r>
      <w:r w:rsidRPr="00B06248">
        <w:rPr>
          <w:rFonts w:cstheme="minorHAnsi"/>
        </w:rPr>
        <w:t xml:space="preserve"> </w:t>
      </w:r>
      <w:proofErr w:type="gramStart"/>
      <w:r w:rsidRPr="00B06248">
        <w:rPr>
          <w:rFonts w:cstheme="minorHAnsi"/>
        </w:rPr>
        <w:t>list :</w:t>
      </w:r>
      <w:proofErr w:type="gramEnd"/>
    </w:p>
    <w:p w14:paraId="2A7D858F" w14:textId="77777777" w:rsidR="00E22D9A" w:rsidRPr="00B06248" w:rsidRDefault="00E22D9A" w:rsidP="00611082">
      <w:pPr>
        <w:rPr>
          <w:rFonts w:cstheme="minorHAnsi"/>
        </w:rPr>
      </w:pPr>
    </w:p>
    <w:p w14:paraId="0DA0560C" w14:textId="26681C99" w:rsidR="00611082" w:rsidRPr="00B06248" w:rsidRDefault="00611082" w:rsidP="00611082">
      <w:pPr>
        <w:rPr>
          <w:rFonts w:cstheme="minorHAnsi"/>
        </w:rPr>
      </w:pPr>
      <w:r w:rsidRPr="00B06248">
        <w:rPr>
          <w:rFonts w:cstheme="minorHAnsi"/>
        </w:rPr>
        <w:t>Foundation Phase Stocktake (2014)</w:t>
      </w:r>
      <w:r w:rsidR="00745D04" w:rsidRPr="00B06248">
        <w:rPr>
          <w:rFonts w:cstheme="minorHAnsi"/>
        </w:rPr>
        <w:t xml:space="preserve"> </w:t>
      </w:r>
      <w:r w:rsidR="00745D04" w:rsidRPr="00B06248">
        <w:rPr>
          <w:rFonts w:cstheme="minorHAnsi"/>
        </w:rPr>
        <w:t>An independent stocktake of the Foundation Phase in Wales Final Report. Available at: https://dera.ioe.ac.uk/id/eprint/20340/1/140519-independent-stocktake-of-the-foundation-phase-in-wales-en.pdf (Accessed: 02 January 2024).</w:t>
      </w:r>
    </w:p>
    <w:p w14:paraId="00EEBEDE" w14:textId="77777777" w:rsidR="00611082" w:rsidRPr="00B06248" w:rsidRDefault="00611082" w:rsidP="00611082">
      <w:pPr>
        <w:rPr>
          <w:rFonts w:cstheme="minorHAnsi"/>
        </w:rPr>
      </w:pPr>
    </w:p>
    <w:p w14:paraId="7DA4AF5A" w14:textId="17145979" w:rsidR="00611082" w:rsidRPr="00B06248" w:rsidRDefault="00E22D9A" w:rsidP="00E22D9A">
      <w:pPr>
        <w:rPr>
          <w:rFonts w:cstheme="minorHAnsi"/>
        </w:rPr>
      </w:pPr>
      <w:r w:rsidRPr="00B06248">
        <w:rPr>
          <w:rFonts w:cstheme="minorHAnsi"/>
        </w:rPr>
        <w:t>H</w:t>
      </w:r>
      <w:r w:rsidRPr="00B06248">
        <w:rPr>
          <w:rFonts w:cstheme="minorHAnsi"/>
        </w:rPr>
        <w:t xml:space="preserve">off, E. and </w:t>
      </w:r>
      <w:proofErr w:type="spellStart"/>
      <w:r w:rsidRPr="00B06248">
        <w:rPr>
          <w:rFonts w:cstheme="minorHAnsi"/>
        </w:rPr>
        <w:t>Naigles</w:t>
      </w:r>
      <w:proofErr w:type="spellEnd"/>
      <w:r w:rsidRPr="00B06248">
        <w:rPr>
          <w:rFonts w:cstheme="minorHAnsi"/>
        </w:rPr>
        <w:t>, L., 2002. How children use input to acquire a lexicon. Child development, 73(2), pp.418-433.</w:t>
      </w:r>
    </w:p>
    <w:p w14:paraId="38E07C7B" w14:textId="77777777" w:rsidR="00E22D9A" w:rsidRPr="00B06248" w:rsidRDefault="00E22D9A" w:rsidP="00E22D9A">
      <w:pPr>
        <w:rPr>
          <w:rFonts w:cstheme="minorHAnsi"/>
        </w:rPr>
      </w:pPr>
    </w:p>
    <w:p w14:paraId="67EE1F31" w14:textId="4F6E232E" w:rsidR="00611082" w:rsidRPr="00B06248" w:rsidRDefault="00611082" w:rsidP="00611082">
      <w:pPr>
        <w:rPr>
          <w:rFonts w:cstheme="minorHAnsi"/>
        </w:rPr>
      </w:pPr>
      <w:r w:rsidRPr="00B06248">
        <w:rPr>
          <w:rFonts w:cstheme="minorHAnsi"/>
        </w:rPr>
        <w:t xml:space="preserve">Rowe, M. L., &amp; </w:t>
      </w:r>
      <w:proofErr w:type="spellStart"/>
      <w:r w:rsidRPr="00B06248">
        <w:rPr>
          <w:rFonts w:cstheme="minorHAnsi"/>
        </w:rPr>
        <w:t>Neitzel</w:t>
      </w:r>
      <w:proofErr w:type="spellEnd"/>
      <w:r w:rsidRPr="00B06248">
        <w:rPr>
          <w:rFonts w:cstheme="minorHAnsi"/>
        </w:rPr>
        <w:t>, C. (2010). [</w:t>
      </w:r>
      <w:r w:rsidRPr="00B06248">
        <w:rPr>
          <w:rFonts w:cstheme="minorHAnsi"/>
        </w:rPr>
        <w:t>i</w:t>
      </w:r>
      <w:r w:rsidRPr="00B06248">
        <w:rPr>
          <w:rFonts w:cstheme="minorHAnsi"/>
        </w:rPr>
        <w:t>mpact of an early reading first program on the language and literacy achievement of children from diverse language backgrounds. Early Childhood Research Quarterly, 28(3), pp.578-592.</w:t>
      </w:r>
    </w:p>
    <w:p w14:paraId="29D273E5" w14:textId="77777777" w:rsidR="00611082" w:rsidRPr="00B06248" w:rsidRDefault="00611082" w:rsidP="00611082">
      <w:pPr>
        <w:rPr>
          <w:rFonts w:cstheme="minorHAnsi"/>
        </w:rPr>
      </w:pPr>
    </w:p>
    <w:p w14:paraId="352F95C2" w14:textId="77777777" w:rsidR="00611082" w:rsidRPr="00B06248" w:rsidRDefault="00611082" w:rsidP="00611082">
      <w:pPr>
        <w:rPr>
          <w:rFonts w:cstheme="minorHAnsi"/>
        </w:rPr>
      </w:pPr>
      <w:proofErr w:type="spellStart"/>
      <w:r w:rsidRPr="00B06248">
        <w:rPr>
          <w:rFonts w:cstheme="minorHAnsi"/>
        </w:rPr>
        <w:t>Sénéchal</w:t>
      </w:r>
      <w:proofErr w:type="spellEnd"/>
      <w:r w:rsidRPr="00B06248">
        <w:rPr>
          <w:rFonts w:cstheme="minorHAnsi"/>
        </w:rPr>
        <w:t xml:space="preserve">, M., &amp; LeFevre, J. (2002). [Title of the Paper]. Journal Name, </w:t>
      </w:r>
      <w:proofErr w:type="gramStart"/>
      <w:r w:rsidRPr="00B06248">
        <w:rPr>
          <w:rFonts w:cstheme="minorHAnsi"/>
        </w:rPr>
        <w:t>Volume(</w:t>
      </w:r>
      <w:proofErr w:type="gramEnd"/>
      <w:r w:rsidRPr="00B06248">
        <w:rPr>
          <w:rFonts w:cstheme="minorHAnsi"/>
        </w:rPr>
        <w:t>Issue), Page Range.</w:t>
      </w:r>
    </w:p>
    <w:p w14:paraId="0CBB49E6" w14:textId="77777777" w:rsidR="00611082" w:rsidRPr="00B06248" w:rsidRDefault="00611082" w:rsidP="00611082">
      <w:pPr>
        <w:rPr>
          <w:rFonts w:cstheme="minorHAnsi"/>
        </w:rPr>
      </w:pPr>
    </w:p>
    <w:p w14:paraId="7A130DDA" w14:textId="031DD71A" w:rsidR="00E22D9A" w:rsidRPr="00B06248" w:rsidRDefault="00E22D9A" w:rsidP="00611082">
      <w:pPr>
        <w:rPr>
          <w:rFonts w:cstheme="minorHAnsi"/>
        </w:rPr>
      </w:pPr>
      <w:r w:rsidRPr="00B06248">
        <w:t xml:space="preserve"> </w:t>
      </w:r>
      <w:r w:rsidRPr="00B06248">
        <w:rPr>
          <w:rFonts w:cstheme="minorHAnsi"/>
        </w:rPr>
        <w:t xml:space="preserve">Weitzman, E., &amp; Greenberg, J. (2002). Learning Language and Loving It: A guide to promoting children's social, </w:t>
      </w:r>
      <w:proofErr w:type="spellStart"/>
      <w:r w:rsidRPr="00B06248">
        <w:rPr>
          <w:rFonts w:cstheme="minorHAnsi"/>
        </w:rPr>
        <w:t>lan</w:t>
      </w:r>
      <w:proofErr w:type="spellEnd"/>
      <w:r w:rsidRPr="00B06248">
        <w:rPr>
          <w:rFonts w:cstheme="minorHAnsi"/>
        </w:rPr>
        <w:t xml:space="preserve">- </w:t>
      </w:r>
      <w:proofErr w:type="spellStart"/>
      <w:r w:rsidRPr="00B06248">
        <w:rPr>
          <w:rFonts w:cstheme="minorHAnsi"/>
        </w:rPr>
        <w:t>guage</w:t>
      </w:r>
      <w:proofErr w:type="spellEnd"/>
      <w:r w:rsidRPr="00B06248">
        <w:rPr>
          <w:rFonts w:cstheme="minorHAnsi"/>
        </w:rPr>
        <w:t xml:space="preserve">, and literacy development in early </w:t>
      </w:r>
      <w:proofErr w:type="gramStart"/>
      <w:r w:rsidRPr="00B06248">
        <w:rPr>
          <w:rFonts w:cstheme="minorHAnsi"/>
        </w:rPr>
        <w:t>childhood  (</w:t>
      </w:r>
      <w:proofErr w:type="gramEnd"/>
      <w:r w:rsidRPr="00B06248">
        <w:rPr>
          <w:rFonts w:cstheme="minorHAnsi"/>
        </w:rPr>
        <w:t>2</w:t>
      </w:r>
      <w:r w:rsidRPr="00B06248">
        <w:rPr>
          <w:rFonts w:cstheme="minorHAnsi"/>
          <w:vertAlign w:val="superscript"/>
        </w:rPr>
        <w:t>nd</w:t>
      </w:r>
      <w:r w:rsidRPr="00B06248">
        <w:rPr>
          <w:rFonts w:cstheme="minorHAnsi"/>
        </w:rPr>
        <w:t xml:space="preserve"> ed), Toronto : The Hanen Centre </w:t>
      </w:r>
    </w:p>
    <w:p w14:paraId="326B6E17" w14:textId="77777777" w:rsidR="00E669AB" w:rsidRPr="00B06248" w:rsidRDefault="00E669AB" w:rsidP="00611082">
      <w:pPr>
        <w:rPr>
          <w:rFonts w:cstheme="minorHAnsi"/>
        </w:rPr>
      </w:pPr>
    </w:p>
    <w:p w14:paraId="41230950" w14:textId="77777777" w:rsidR="00611082" w:rsidRPr="00B06248" w:rsidRDefault="00611082" w:rsidP="00611082">
      <w:pPr>
        <w:rPr>
          <w:rStyle w:val="apple-converted-space"/>
          <w:rFonts w:cstheme="minorHAnsi"/>
        </w:rPr>
      </w:pPr>
      <w:r w:rsidRPr="00B06248">
        <w:rPr>
          <w:rFonts w:cstheme="minorHAnsi"/>
        </w:rPr>
        <w:t>Pyle, A. (2018)</w:t>
      </w:r>
      <w:r w:rsidRPr="00B06248">
        <w:rPr>
          <w:rStyle w:val="apple-converted-space"/>
          <w:rFonts w:cstheme="minorHAnsi"/>
        </w:rPr>
        <w:t> </w:t>
      </w:r>
      <w:r w:rsidRPr="00B06248">
        <w:rPr>
          <w:rFonts w:cstheme="minorHAnsi"/>
        </w:rPr>
        <w:t xml:space="preserve">Play-based learning - </w:t>
      </w:r>
      <w:proofErr w:type="spellStart"/>
      <w:r w:rsidRPr="00B06248">
        <w:rPr>
          <w:rFonts w:cstheme="minorHAnsi"/>
        </w:rPr>
        <w:t>encyclopedia</w:t>
      </w:r>
      <w:proofErr w:type="spellEnd"/>
      <w:r w:rsidRPr="00B06248">
        <w:rPr>
          <w:rFonts w:cstheme="minorHAnsi"/>
        </w:rPr>
        <w:t xml:space="preserve"> on early childhood development. Available at: https://www.child-encyclopedia.com/pdf/complet/play-based-learning (Accessed: 08 January 2024).</w:t>
      </w:r>
      <w:r w:rsidRPr="00B06248">
        <w:rPr>
          <w:rStyle w:val="apple-converted-space"/>
          <w:rFonts w:cstheme="minorHAnsi"/>
        </w:rPr>
        <w:t> </w:t>
      </w:r>
    </w:p>
    <w:p w14:paraId="62CF536C" w14:textId="77777777" w:rsidR="00611082" w:rsidRPr="00B06248" w:rsidRDefault="00611082" w:rsidP="00611082">
      <w:pPr>
        <w:rPr>
          <w:rFonts w:cstheme="minorHAnsi"/>
        </w:rPr>
      </w:pPr>
    </w:p>
    <w:p w14:paraId="78291C7F" w14:textId="77777777" w:rsidR="00611082" w:rsidRPr="00B06248" w:rsidRDefault="00611082" w:rsidP="00611082">
      <w:pPr>
        <w:rPr>
          <w:rStyle w:val="apple-converted-space"/>
          <w:rFonts w:cstheme="minorHAnsi"/>
        </w:rPr>
      </w:pPr>
      <w:proofErr w:type="spellStart"/>
      <w:r w:rsidRPr="00B06248">
        <w:rPr>
          <w:rFonts w:cstheme="minorHAnsi"/>
        </w:rPr>
        <w:t>welsh</w:t>
      </w:r>
      <w:proofErr w:type="spellEnd"/>
      <w:r w:rsidRPr="00B06248">
        <w:rPr>
          <w:rFonts w:cstheme="minorHAnsi"/>
        </w:rPr>
        <w:t xml:space="preserve"> gov (2023)</w:t>
      </w:r>
      <w:r w:rsidRPr="00B06248">
        <w:rPr>
          <w:rStyle w:val="apple-converted-space"/>
          <w:rFonts w:cstheme="minorHAnsi"/>
        </w:rPr>
        <w:t> </w:t>
      </w:r>
      <w:r w:rsidRPr="00B06248">
        <w:rPr>
          <w:rFonts w:cstheme="minorHAnsi"/>
        </w:rPr>
        <w:t>Assessment arrangements for funded non-maintained nursery settings,</w:t>
      </w:r>
      <w:r w:rsidRPr="00B06248">
        <w:rPr>
          <w:rStyle w:val="apple-converted-space"/>
          <w:rFonts w:cstheme="minorHAnsi"/>
        </w:rPr>
        <w:t> </w:t>
      </w:r>
      <w:r w:rsidRPr="00B06248">
        <w:rPr>
          <w:rFonts w:cstheme="minorHAnsi"/>
        </w:rPr>
        <w:t>Hwb. Available at: https://hwb.gov.wales/curriculum-for-wales/curriculum-and-assessment-arrangements-for-funded-non-maintained-nursery-settings/assessment-arrangements-for-funded-non-maintained-nursery-settings (Accessed: 02 January 2024).</w:t>
      </w:r>
      <w:r w:rsidRPr="00B06248">
        <w:rPr>
          <w:rStyle w:val="apple-converted-space"/>
          <w:rFonts w:cstheme="minorHAnsi"/>
        </w:rPr>
        <w:t> </w:t>
      </w:r>
    </w:p>
    <w:p w14:paraId="3DEFCC86" w14:textId="77777777" w:rsidR="00E669AB" w:rsidRPr="00B06248" w:rsidRDefault="00E669AB" w:rsidP="00611082">
      <w:pPr>
        <w:rPr>
          <w:rFonts w:eastAsia="Times New Roman" w:cstheme="minorHAnsi"/>
          <w:lang w:eastAsia="en-GB"/>
        </w:rPr>
      </w:pPr>
    </w:p>
    <w:p w14:paraId="36239AF3" w14:textId="437355FC" w:rsidR="00E669AB" w:rsidRPr="00B06248" w:rsidRDefault="00E669AB" w:rsidP="00611082">
      <w:pPr>
        <w:rPr>
          <w:rFonts w:eastAsia="Times New Roman" w:cstheme="minorHAnsi"/>
          <w:lang w:eastAsia="en-GB"/>
        </w:rPr>
      </w:pPr>
      <w:r w:rsidRPr="00B06248">
        <w:rPr>
          <w:rFonts w:eastAsia="Times New Roman" w:cstheme="minorHAnsi"/>
          <w:lang w:eastAsia="en-GB"/>
        </w:rPr>
        <w:t>Pomerantz, E.M</w:t>
      </w:r>
      <w:r w:rsidRPr="00B06248">
        <w:rPr>
          <w:rFonts w:eastAsia="Times New Roman" w:cstheme="minorHAnsi"/>
          <w:lang w:eastAsia="en-GB"/>
        </w:rPr>
        <w:t>.,</w:t>
      </w:r>
      <w:r w:rsidRPr="00B06248">
        <w:rPr>
          <w:rFonts w:eastAsia="Times New Roman" w:cstheme="minorHAnsi"/>
          <w:lang w:eastAsia="en-GB"/>
        </w:rPr>
        <w:t xml:space="preserve"> and</w:t>
      </w:r>
      <w:r w:rsidRPr="00B06248">
        <w:rPr>
          <w:rFonts w:eastAsia="Times New Roman" w:cstheme="minorHAnsi"/>
          <w:lang w:eastAsia="en-GB"/>
        </w:rPr>
        <w:t xml:space="preserve"> </w:t>
      </w:r>
      <w:r w:rsidRPr="00B06248">
        <w:rPr>
          <w:rFonts w:eastAsia="Times New Roman" w:cstheme="minorHAnsi"/>
          <w:lang w:eastAsia="en-GB"/>
        </w:rPr>
        <w:t xml:space="preserve">Moorman, E.A. </w:t>
      </w:r>
      <w:r w:rsidRPr="00B06248">
        <w:rPr>
          <w:rFonts w:eastAsia="Times New Roman" w:cstheme="minorHAnsi"/>
          <w:lang w:eastAsia="en-GB"/>
        </w:rPr>
        <w:t>(</w:t>
      </w:r>
      <w:r w:rsidRPr="00B06248">
        <w:rPr>
          <w:rFonts w:eastAsia="Times New Roman" w:cstheme="minorHAnsi"/>
          <w:lang w:eastAsia="en-GB"/>
        </w:rPr>
        <w:t>2010</w:t>
      </w:r>
      <w:r w:rsidRPr="00B06248">
        <w:rPr>
          <w:rFonts w:eastAsia="Times New Roman" w:cstheme="minorHAnsi"/>
          <w:lang w:eastAsia="en-GB"/>
        </w:rPr>
        <w:t>)</w:t>
      </w:r>
      <w:r w:rsidRPr="00B06248">
        <w:rPr>
          <w:rFonts w:eastAsia="Times New Roman" w:cstheme="minorHAnsi"/>
          <w:lang w:eastAsia="en-GB"/>
        </w:rPr>
        <w:t>. Ability mindsets influence the quality of mothers' involvement in children's learning: an experimental investigation. Developmental psychology, 46(5), p.1354.</w:t>
      </w:r>
    </w:p>
    <w:p w14:paraId="0DA2EE56" w14:textId="77777777" w:rsidR="00E669AB" w:rsidRPr="00B06248" w:rsidRDefault="00E669AB" w:rsidP="00611082">
      <w:pPr>
        <w:rPr>
          <w:rFonts w:eastAsia="Times New Roman" w:cstheme="minorHAnsi"/>
          <w:lang w:eastAsia="en-GB"/>
        </w:rPr>
      </w:pPr>
    </w:p>
    <w:p w14:paraId="3A94807A" w14:textId="77777777" w:rsidR="00611082" w:rsidRPr="00B06248" w:rsidRDefault="00611082" w:rsidP="00611082">
      <w:pPr>
        <w:rPr>
          <w:rFonts w:eastAsia="Times New Roman" w:cstheme="minorHAnsi"/>
          <w:vanish/>
          <w:lang w:eastAsia="en-GB"/>
        </w:rPr>
      </w:pPr>
      <w:r w:rsidRPr="00B06248">
        <w:rPr>
          <w:rFonts w:eastAsia="Times New Roman" w:cstheme="minorHAnsi"/>
          <w:vanish/>
          <w:lang w:eastAsia="en-GB"/>
        </w:rPr>
        <w:t>Top of Form</w:t>
      </w:r>
    </w:p>
    <w:p w14:paraId="6E119605" w14:textId="77777777" w:rsidR="00611082" w:rsidRPr="00B06248" w:rsidRDefault="00611082" w:rsidP="00611082">
      <w:pPr>
        <w:rPr>
          <w:rFonts w:eastAsia="Times New Roman" w:cstheme="minorHAnsi"/>
          <w:vanish/>
          <w:lang w:eastAsia="en-GB"/>
        </w:rPr>
      </w:pPr>
      <w:r w:rsidRPr="00B06248">
        <w:rPr>
          <w:rFonts w:eastAsia="Times New Roman" w:cstheme="minorHAnsi"/>
          <w:vanish/>
          <w:lang w:eastAsia="en-GB"/>
        </w:rPr>
        <w:t>Bottom of Form</w:t>
      </w:r>
    </w:p>
    <w:p w14:paraId="40B5AD8E" w14:textId="7F9B705F" w:rsidR="00611082" w:rsidRPr="00B06248" w:rsidRDefault="00E669AB" w:rsidP="00611082">
      <w:pPr>
        <w:rPr>
          <w:rFonts w:cstheme="minorHAnsi"/>
        </w:rPr>
      </w:pPr>
      <w:proofErr w:type="spellStart"/>
      <w:r w:rsidRPr="00B06248">
        <w:rPr>
          <w:rFonts w:cstheme="minorHAnsi"/>
        </w:rPr>
        <w:t>Pianta</w:t>
      </w:r>
      <w:proofErr w:type="spellEnd"/>
      <w:r w:rsidRPr="00B06248">
        <w:rPr>
          <w:rFonts w:cstheme="minorHAnsi"/>
        </w:rPr>
        <w:t xml:space="preserve">, R.C., La Paro, K.M. and Hamre, B.K., 2008. Classroom Assessment Scoring System™: Manual K-3. Paul H Brookes </w:t>
      </w:r>
      <w:r w:rsidRPr="00B06248">
        <w:rPr>
          <w:rFonts w:cstheme="minorHAnsi"/>
        </w:rPr>
        <w:t>Publishing</w:t>
      </w:r>
    </w:p>
    <w:p w14:paraId="52128CBA" w14:textId="77777777" w:rsidR="00E669AB" w:rsidRPr="00B06248" w:rsidRDefault="00E669AB" w:rsidP="00611082">
      <w:pPr>
        <w:rPr>
          <w:rFonts w:cstheme="minorHAnsi"/>
        </w:rPr>
      </w:pPr>
    </w:p>
    <w:p w14:paraId="59BB6FA3" w14:textId="137D40B6" w:rsidR="00611082" w:rsidRPr="00B06248" w:rsidRDefault="00E669AB" w:rsidP="00611082">
      <w:pPr>
        <w:rPr>
          <w:rFonts w:cstheme="minorHAnsi"/>
          <w:shd w:val="clear" w:color="auto" w:fill="FFFFFF"/>
        </w:rPr>
      </w:pPr>
      <w:r w:rsidRPr="00B06248">
        <w:rPr>
          <w:rFonts w:cstheme="minorHAnsi"/>
          <w:shd w:val="clear" w:color="auto" w:fill="FFFFFF"/>
        </w:rPr>
        <w:t>Bergen, D</w:t>
      </w:r>
      <w:r w:rsidRPr="00B06248">
        <w:rPr>
          <w:rFonts w:cstheme="minorHAnsi"/>
          <w:shd w:val="clear" w:color="auto" w:fill="FFFFFF"/>
        </w:rPr>
        <w:t xml:space="preserve"> (</w:t>
      </w:r>
      <w:r w:rsidRPr="00B06248">
        <w:rPr>
          <w:rFonts w:cstheme="minorHAnsi"/>
          <w:shd w:val="clear" w:color="auto" w:fill="FFFFFF"/>
        </w:rPr>
        <w:t>2015</w:t>
      </w:r>
      <w:r w:rsidRPr="00B06248">
        <w:rPr>
          <w:rFonts w:cstheme="minorHAnsi"/>
          <w:shd w:val="clear" w:color="auto" w:fill="FFFFFF"/>
        </w:rPr>
        <w:t>)</w:t>
      </w:r>
      <w:r w:rsidRPr="00B06248">
        <w:rPr>
          <w:rFonts w:cstheme="minorHAnsi"/>
          <w:shd w:val="clear" w:color="auto" w:fill="FFFFFF"/>
        </w:rPr>
        <w:t xml:space="preserve"> Psychological approaches to the study of play.</w:t>
      </w:r>
      <w:r w:rsidRPr="00B06248">
        <w:rPr>
          <w:rStyle w:val="apple-converted-space"/>
          <w:rFonts w:cstheme="minorHAnsi"/>
          <w:shd w:val="clear" w:color="auto" w:fill="FFFFFF"/>
        </w:rPr>
        <w:t> </w:t>
      </w:r>
      <w:r w:rsidRPr="00B06248">
        <w:rPr>
          <w:rFonts w:cstheme="minorHAnsi"/>
          <w:i/>
          <w:iCs/>
        </w:rPr>
        <w:t>American Journal of Play</w:t>
      </w:r>
      <w:r w:rsidRPr="00B06248">
        <w:rPr>
          <w:rFonts w:cstheme="minorHAnsi"/>
          <w:shd w:val="clear" w:color="auto" w:fill="FFFFFF"/>
        </w:rPr>
        <w:t>,</w:t>
      </w:r>
      <w:r w:rsidRPr="00B06248">
        <w:rPr>
          <w:rStyle w:val="apple-converted-space"/>
          <w:rFonts w:cstheme="minorHAnsi"/>
          <w:shd w:val="clear" w:color="auto" w:fill="FFFFFF"/>
        </w:rPr>
        <w:t> </w:t>
      </w:r>
      <w:r w:rsidRPr="00B06248">
        <w:rPr>
          <w:rFonts w:cstheme="minorHAnsi"/>
          <w:i/>
          <w:iCs/>
        </w:rPr>
        <w:t>7</w:t>
      </w:r>
      <w:r w:rsidRPr="00B06248">
        <w:rPr>
          <w:rFonts w:cstheme="minorHAnsi"/>
          <w:shd w:val="clear" w:color="auto" w:fill="FFFFFF"/>
        </w:rPr>
        <w:t>(2), pp.51-69.</w:t>
      </w:r>
    </w:p>
    <w:p w14:paraId="281E074B" w14:textId="77777777" w:rsidR="00611082" w:rsidRPr="00B06248" w:rsidRDefault="00611082" w:rsidP="00611082">
      <w:pPr>
        <w:rPr>
          <w:rFonts w:cstheme="minorHAnsi"/>
        </w:rPr>
      </w:pPr>
    </w:p>
    <w:p w14:paraId="1B6661D0" w14:textId="0FB5FE60" w:rsidR="00E669AB" w:rsidRPr="00B06248" w:rsidRDefault="00E669AB" w:rsidP="00611082">
      <w:pPr>
        <w:rPr>
          <w:rFonts w:cstheme="minorHAnsi"/>
        </w:rPr>
      </w:pPr>
      <w:proofErr w:type="spellStart"/>
      <w:r w:rsidRPr="00B06248">
        <w:rPr>
          <w:rFonts w:cstheme="minorHAnsi"/>
        </w:rPr>
        <w:t>Saracho</w:t>
      </w:r>
      <w:proofErr w:type="spellEnd"/>
      <w:r w:rsidRPr="00B06248">
        <w:rPr>
          <w:rFonts w:cstheme="minorHAnsi"/>
        </w:rPr>
        <w:t xml:space="preserve">, O.N. and </w:t>
      </w:r>
      <w:proofErr w:type="spellStart"/>
      <w:r w:rsidRPr="00B06248">
        <w:rPr>
          <w:rFonts w:cstheme="minorHAnsi"/>
        </w:rPr>
        <w:t>Spodek</w:t>
      </w:r>
      <w:proofErr w:type="spellEnd"/>
      <w:r w:rsidRPr="00B06248">
        <w:rPr>
          <w:rFonts w:cstheme="minorHAnsi"/>
        </w:rPr>
        <w:t>, B., 2007. Early childhood teachers' preparation and the quality of program outcomes. Early child development and care, 177(1), pp.71-91.</w:t>
      </w:r>
    </w:p>
    <w:p w14:paraId="6785DE70" w14:textId="28AB2B14" w:rsidR="00E669AB" w:rsidRPr="00B06248" w:rsidRDefault="00611082" w:rsidP="00E669AB">
      <w:pPr>
        <w:rPr>
          <w:rFonts w:cstheme="minorHAnsi"/>
        </w:rPr>
      </w:pPr>
      <w:r w:rsidRPr="00B06248">
        <w:rPr>
          <w:rFonts w:cstheme="minorHAnsi"/>
        </w:rPr>
        <w:t>Epstein, J. (2011). Title of Epstein's Work.</w:t>
      </w:r>
      <w:r w:rsidR="00E669AB" w:rsidRPr="00B06248">
        <w:rPr>
          <w:rFonts w:cstheme="minorHAnsi"/>
        </w:rPr>
        <w:t xml:space="preserve"> (Accessed: 02 January 2024).</w:t>
      </w:r>
    </w:p>
    <w:p w14:paraId="651F2F88" w14:textId="77777777" w:rsidR="00611082" w:rsidRPr="00B06248" w:rsidRDefault="00611082" w:rsidP="00611082">
      <w:pPr>
        <w:rPr>
          <w:rFonts w:cstheme="minorHAnsi"/>
        </w:rPr>
      </w:pPr>
    </w:p>
    <w:p w14:paraId="7801B439" w14:textId="77777777" w:rsidR="00611082" w:rsidRPr="00B06248" w:rsidRDefault="00611082" w:rsidP="00611082">
      <w:pPr>
        <w:rPr>
          <w:rFonts w:cstheme="minorHAnsi"/>
        </w:rPr>
      </w:pPr>
      <w:r w:rsidRPr="00B06248">
        <w:rPr>
          <w:rFonts w:cstheme="minorHAnsi"/>
        </w:rPr>
        <w:t>Dwivedi, Y. k (2022) Metaverse beyond the hype: Multidisciplinary perspectives on emerging challenges, opportunities, and agenda for research, practice and policy, International Journal of Information Management. Available at: https://www.sciencedirect.com/science/article/pii/S0268401222000767#section-cited-by (Accessed: 02 January 2024).</w:t>
      </w:r>
    </w:p>
    <w:p w14:paraId="635E3E6F" w14:textId="77777777" w:rsidR="00611082" w:rsidRPr="00B06248" w:rsidRDefault="00611082" w:rsidP="00611082">
      <w:pPr>
        <w:rPr>
          <w:rFonts w:cstheme="minorHAnsi"/>
        </w:rPr>
      </w:pPr>
    </w:p>
    <w:p w14:paraId="746BECF5" w14:textId="567C6AEA" w:rsidR="00611082" w:rsidRPr="00B06248" w:rsidRDefault="00611082" w:rsidP="00611082">
      <w:pPr>
        <w:rPr>
          <w:rFonts w:cstheme="minorHAnsi"/>
        </w:rPr>
      </w:pPr>
      <w:r w:rsidRPr="00B06248">
        <w:rPr>
          <w:rFonts w:cstheme="minorHAnsi"/>
        </w:rPr>
        <w:t xml:space="preserve">Zimmerman, B. J., Bonner, S., &amp; Kovach, R. (2009). Developing Self-Regulated Learners: Beyond Achievement to Self-Efficacy. Washington, DC: American Psychological </w:t>
      </w:r>
      <w:proofErr w:type="gramStart"/>
      <w:r w:rsidRPr="00B06248">
        <w:rPr>
          <w:rFonts w:cstheme="minorHAnsi"/>
        </w:rPr>
        <w:t>Association.</w:t>
      </w:r>
      <w:r w:rsidRPr="00B06248">
        <w:rPr>
          <w:rFonts w:cstheme="minorHAnsi"/>
        </w:rPr>
        <w:t>(</w:t>
      </w:r>
      <w:proofErr w:type="gramEnd"/>
      <w:r w:rsidRPr="00B06248">
        <w:rPr>
          <w:rFonts w:cstheme="minorHAnsi"/>
        </w:rPr>
        <w:t xml:space="preserve"> </w:t>
      </w:r>
      <w:r w:rsidRPr="00B06248">
        <w:rPr>
          <w:rFonts w:cstheme="minorHAnsi"/>
        </w:rPr>
        <w:t>Accessed: 02 January 2024).</w:t>
      </w:r>
    </w:p>
    <w:p w14:paraId="6A906881" w14:textId="4D121830" w:rsidR="00611082" w:rsidRPr="00B06248" w:rsidRDefault="00611082" w:rsidP="00A240DF">
      <w:pPr>
        <w:rPr>
          <w:rFonts w:cstheme="minorHAnsi"/>
        </w:rPr>
      </w:pPr>
      <w:r w:rsidRPr="00B06248">
        <w:rPr>
          <w:rFonts w:cstheme="minorHAnsi"/>
        </w:rPr>
        <w:t xml:space="preserve"> </w:t>
      </w:r>
    </w:p>
    <w:p w14:paraId="31811161" w14:textId="77777777" w:rsidR="00611082" w:rsidRPr="00B06248" w:rsidRDefault="00611082" w:rsidP="00A240DF">
      <w:pPr>
        <w:rPr>
          <w:rFonts w:cstheme="minorHAnsi"/>
        </w:rPr>
      </w:pPr>
    </w:p>
    <w:p w14:paraId="26294F8F" w14:textId="77777777" w:rsidR="00611082" w:rsidRPr="00B06248" w:rsidRDefault="00611082" w:rsidP="00A240DF">
      <w:pPr>
        <w:rPr>
          <w:rFonts w:cstheme="minorHAnsi"/>
        </w:rPr>
      </w:pPr>
    </w:p>
    <w:p w14:paraId="706451A9" w14:textId="77777777" w:rsidR="00611082" w:rsidRPr="00B06248" w:rsidRDefault="00611082" w:rsidP="00A240DF">
      <w:pPr>
        <w:rPr>
          <w:rFonts w:cstheme="minorHAnsi"/>
        </w:rPr>
      </w:pPr>
    </w:p>
    <w:p w14:paraId="645491F3" w14:textId="77777777" w:rsidR="00611082" w:rsidRPr="00B06248" w:rsidRDefault="00611082" w:rsidP="00A240DF">
      <w:pPr>
        <w:rPr>
          <w:rFonts w:cstheme="minorHAnsi"/>
          <w:b/>
          <w:bCs/>
        </w:rPr>
      </w:pPr>
    </w:p>
    <w:p w14:paraId="1C3B5940" w14:textId="3A36FCE3" w:rsidR="00A240DF" w:rsidRPr="00B06248" w:rsidRDefault="00FC1D95" w:rsidP="00A240DF">
      <w:pPr>
        <w:rPr>
          <w:rFonts w:cstheme="minorHAnsi"/>
          <w:b/>
          <w:bCs/>
        </w:rPr>
      </w:pPr>
      <w:r w:rsidRPr="00B06248">
        <w:rPr>
          <w:rFonts w:cstheme="minorHAnsi"/>
          <w:b/>
          <w:bCs/>
        </w:rPr>
        <w:t xml:space="preserve">2] </w:t>
      </w:r>
      <w:r w:rsidR="00A240DF" w:rsidRPr="00B06248">
        <w:rPr>
          <w:rFonts w:cstheme="minorHAnsi"/>
          <w:b/>
          <w:bCs/>
        </w:rPr>
        <w:t>Considering the concept of the 'Unique Child', critically evaluate methods of</w:t>
      </w:r>
    </w:p>
    <w:p w14:paraId="2BDBA74C" w14:textId="37D94C26" w:rsidR="00A240DF" w:rsidRPr="00B06248" w:rsidRDefault="00A240DF" w:rsidP="00A240DF">
      <w:pPr>
        <w:rPr>
          <w:rFonts w:cstheme="minorHAnsi"/>
          <w:b/>
          <w:bCs/>
        </w:rPr>
      </w:pPr>
      <w:r w:rsidRPr="00B06248">
        <w:rPr>
          <w:rFonts w:cstheme="minorHAnsi"/>
          <w:b/>
          <w:bCs/>
        </w:rPr>
        <w:t xml:space="preserve">assessment, progress tracking and age or stage related development </w:t>
      </w:r>
      <w:r w:rsidRPr="00B06248">
        <w:rPr>
          <w:rFonts w:cstheme="minorHAnsi"/>
          <w:b/>
          <w:bCs/>
        </w:rPr>
        <w:t>models.</w:t>
      </w:r>
    </w:p>
    <w:p w14:paraId="63114FD8" w14:textId="5503D96D" w:rsidR="00DF1A59" w:rsidRPr="00B06248" w:rsidRDefault="00A240DF" w:rsidP="00A240DF">
      <w:pPr>
        <w:rPr>
          <w:rFonts w:cstheme="minorHAnsi"/>
          <w:b/>
          <w:bCs/>
        </w:rPr>
      </w:pPr>
      <w:r w:rsidRPr="00B06248">
        <w:rPr>
          <w:rFonts w:cstheme="minorHAnsi"/>
          <w:b/>
          <w:bCs/>
        </w:rPr>
        <w:t>within play-based curricula</w:t>
      </w:r>
      <w:r w:rsidR="00FC1D95" w:rsidRPr="00B06248">
        <w:rPr>
          <w:rFonts w:cstheme="minorHAnsi"/>
          <w:b/>
          <w:bCs/>
        </w:rPr>
        <w:t xml:space="preserve">. </w:t>
      </w:r>
      <w:r w:rsidRPr="00B06248">
        <w:rPr>
          <w:rFonts w:cstheme="minorHAnsi"/>
          <w:b/>
          <w:bCs/>
        </w:rPr>
        <w:t>[</w:t>
      </w:r>
      <w:r w:rsidRPr="00B06248">
        <w:rPr>
          <w:rFonts w:cstheme="minorHAnsi"/>
          <w:b/>
          <w:bCs/>
        </w:rPr>
        <w:t>1</w:t>
      </w:r>
      <w:r w:rsidRPr="00B06248">
        <w:rPr>
          <w:rFonts w:cstheme="minorHAnsi"/>
          <w:b/>
          <w:bCs/>
        </w:rPr>
        <w:t>437</w:t>
      </w:r>
      <w:r w:rsidRPr="00B06248">
        <w:rPr>
          <w:rFonts w:cstheme="minorHAnsi"/>
          <w:b/>
          <w:bCs/>
        </w:rPr>
        <w:t xml:space="preserve"> words</w:t>
      </w:r>
      <w:r w:rsidRPr="00B06248">
        <w:rPr>
          <w:rFonts w:cstheme="minorHAnsi"/>
          <w:b/>
          <w:bCs/>
        </w:rPr>
        <w:t>]</w:t>
      </w:r>
    </w:p>
    <w:p w14:paraId="71AA4EB6" w14:textId="77777777" w:rsidR="00A240DF" w:rsidRPr="00B06248" w:rsidRDefault="00A240DF" w:rsidP="00A240DF">
      <w:pPr>
        <w:rPr>
          <w:rFonts w:cstheme="minorHAnsi"/>
        </w:rPr>
      </w:pPr>
    </w:p>
    <w:p w14:paraId="1BBFD1C1" w14:textId="77777777" w:rsidR="00A240DF" w:rsidRPr="00B06248" w:rsidRDefault="00A240DF" w:rsidP="00A240DF">
      <w:pPr>
        <w:rPr>
          <w:rFonts w:cstheme="minorHAnsi"/>
        </w:rPr>
      </w:pPr>
    </w:p>
    <w:p w14:paraId="34B4055C" w14:textId="3842EE8C" w:rsidR="00DF1A59" w:rsidRPr="00B06248" w:rsidRDefault="00DF1A59" w:rsidP="00DF1A59">
      <w:pPr>
        <w:rPr>
          <w:rFonts w:cstheme="minorHAnsi"/>
        </w:rPr>
      </w:pPr>
      <w:r w:rsidRPr="00B06248">
        <w:rPr>
          <w:rFonts w:cstheme="minorHAnsi"/>
        </w:rPr>
        <w:t xml:space="preserve">In the realm of early childhood education, the concept of the 'Unique Child' stands as a guiding principle, recognizing the individuality and diverse developmental trajectories of each young learner </w:t>
      </w:r>
      <w:r w:rsidRPr="00B06248">
        <w:rPr>
          <w:rFonts w:cstheme="minorHAnsi"/>
        </w:rPr>
        <w:t>(Meggitt et al.,</w:t>
      </w:r>
      <w:r w:rsidRPr="00B06248">
        <w:rPr>
          <w:rFonts w:cstheme="minorHAnsi"/>
        </w:rPr>
        <w:t xml:space="preserve"> 2015). This essay critically evaluates methods of assessment, progress tracking, and age or stage-related development models within play-based curricula. By delving into the theoretical underpinnings and practical applications, we seek to understand how educators can effectively capture and nurture the uniqueness of each child in a play-based learning environment.</w:t>
      </w:r>
    </w:p>
    <w:p w14:paraId="3483A354" w14:textId="77777777" w:rsidR="00DF1A59" w:rsidRPr="00DF1A59" w:rsidRDefault="00DF1A59" w:rsidP="00DF1A59">
      <w:pPr>
        <w:rPr>
          <w:rFonts w:cstheme="minorHAnsi"/>
        </w:rPr>
      </w:pPr>
    </w:p>
    <w:p w14:paraId="0F761E31" w14:textId="77777777" w:rsidR="00DF1A59" w:rsidRPr="00B06248" w:rsidRDefault="00DF1A59" w:rsidP="00DF1A59">
      <w:pPr>
        <w:rPr>
          <w:rFonts w:cstheme="minorHAnsi"/>
        </w:rPr>
      </w:pPr>
      <w:r w:rsidRPr="00DF1A59">
        <w:rPr>
          <w:rFonts w:cstheme="minorHAnsi"/>
        </w:rPr>
        <w:t>At the heart of play-based curricula lies the acknowledgment that each child is inherently unique, possessing distinct characteristics, interests, and learning styles. The 'Unique Child' concept, often associated with theorists such as Lev Vygotsky and Maria Montessori, emphasizes the importance of tailoring educational approaches to individual needs.</w:t>
      </w:r>
    </w:p>
    <w:p w14:paraId="6D3EEDEB" w14:textId="1B3A1568" w:rsidR="00DF1A59" w:rsidRPr="00B06248" w:rsidRDefault="00DF1A59" w:rsidP="00DF1A59">
      <w:pPr>
        <w:rPr>
          <w:rFonts w:cstheme="minorHAnsi"/>
        </w:rPr>
      </w:pPr>
      <w:r w:rsidRPr="00B06248">
        <w:rPr>
          <w:rFonts w:cstheme="minorHAnsi"/>
        </w:rPr>
        <w:t>Maria Montessori's educational philosophy</w:t>
      </w:r>
      <w:r w:rsidRPr="00B06248">
        <w:rPr>
          <w:rFonts w:cstheme="minorHAnsi"/>
        </w:rPr>
        <w:t xml:space="preserve"> according to </w:t>
      </w:r>
      <w:r w:rsidRPr="00B06248">
        <w:rPr>
          <w:rFonts w:cstheme="minorHAnsi"/>
        </w:rPr>
        <w:t>Moretti</w:t>
      </w:r>
      <w:r w:rsidRPr="00B06248">
        <w:rPr>
          <w:rFonts w:cstheme="minorHAnsi"/>
        </w:rPr>
        <w:t xml:space="preserve"> (</w:t>
      </w:r>
      <w:r w:rsidRPr="00B06248">
        <w:rPr>
          <w:rFonts w:cstheme="minorHAnsi"/>
        </w:rPr>
        <w:t>2021</w:t>
      </w:r>
      <w:r w:rsidRPr="00B06248">
        <w:rPr>
          <w:rFonts w:cstheme="minorHAnsi"/>
        </w:rPr>
        <w:t>) grounded</w:t>
      </w:r>
      <w:r w:rsidRPr="00B06248">
        <w:rPr>
          <w:rFonts w:cstheme="minorHAnsi"/>
        </w:rPr>
        <w:t xml:space="preserve"> in the belief that each child is a unique individual, significantly contributes to the understanding of individuality in children. Montessori emphasized the importance of respecting and nurturing a child's inherent curiosity and individual learning pace. </w:t>
      </w:r>
    </w:p>
    <w:p w14:paraId="3F68D344" w14:textId="179A0F53" w:rsidR="00DF1A59" w:rsidRPr="00B06248" w:rsidRDefault="00DF1A59" w:rsidP="00DF1A59">
      <w:pPr>
        <w:rPr>
          <w:rFonts w:cstheme="minorHAnsi"/>
        </w:rPr>
      </w:pPr>
      <w:r w:rsidRPr="00B06248">
        <w:rPr>
          <w:rFonts w:cstheme="minorHAnsi"/>
        </w:rPr>
        <w:t>Furthermore, Bhat</w:t>
      </w:r>
      <w:r w:rsidRPr="00B06248">
        <w:rPr>
          <w:rFonts w:cstheme="minorHAnsi"/>
          <w:shd w:val="clear" w:color="auto" w:fill="FFFFFF"/>
        </w:rPr>
        <w:t xml:space="preserve"> (2021) explains </w:t>
      </w:r>
      <w:r w:rsidRPr="00B06248">
        <w:rPr>
          <w:rFonts w:cstheme="minorHAnsi"/>
        </w:rPr>
        <w:t>Montessori’s theories</w:t>
      </w:r>
      <w:r w:rsidRPr="00B06248">
        <w:rPr>
          <w:rFonts w:cstheme="minorHAnsi"/>
        </w:rPr>
        <w:t xml:space="preserve"> underscore the role of the prepared environment and self-directed activities in fostering independence and intrinsic motivation. In the development of play-based curricula, Montessori's insights advocate for creating environments that allow children to explore, discover, and express themselves freely, aligning with the 'Unique Child' concept. Play-based activities in Montessori-inspired settings often integrate choice, autonomy, and tailored learning experiences.</w:t>
      </w:r>
    </w:p>
    <w:p w14:paraId="577E9BBD" w14:textId="63534C8F" w:rsidR="00DF1A59" w:rsidRPr="00B06248" w:rsidRDefault="00DF1A59" w:rsidP="00DF1A59">
      <w:pPr>
        <w:rPr>
          <w:rFonts w:cstheme="minorHAnsi"/>
        </w:rPr>
      </w:pPr>
      <w:r w:rsidRPr="00DF1A59">
        <w:rPr>
          <w:rFonts w:cstheme="minorHAnsi"/>
        </w:rPr>
        <w:t xml:space="preserve">In a play-based context, this notion challenges educators to adopt assessment methods and progress tracking systems that </w:t>
      </w:r>
      <w:r w:rsidRPr="00B06248">
        <w:rPr>
          <w:rFonts w:cstheme="minorHAnsi"/>
        </w:rPr>
        <w:t>honour</w:t>
      </w:r>
      <w:r w:rsidRPr="00DF1A59">
        <w:rPr>
          <w:rFonts w:cstheme="minorHAnsi"/>
        </w:rPr>
        <w:t xml:space="preserve"> and reflect the diverse ways in which children engage with learning through </w:t>
      </w:r>
      <w:r w:rsidRPr="00B06248">
        <w:rPr>
          <w:rFonts w:cstheme="minorHAnsi"/>
        </w:rPr>
        <w:t>play. (</w:t>
      </w:r>
      <w:r w:rsidRPr="00B06248">
        <w:rPr>
          <w:rFonts w:cstheme="minorHAnsi"/>
          <w:shd w:val="clear" w:color="auto" w:fill="FFFFFF"/>
        </w:rPr>
        <w:t>Wood,</w:t>
      </w:r>
      <w:r w:rsidRPr="00B06248">
        <w:rPr>
          <w:rFonts w:cstheme="minorHAnsi"/>
          <w:shd w:val="clear" w:color="auto" w:fill="FFFFFF"/>
        </w:rPr>
        <w:t xml:space="preserve"> 2009</w:t>
      </w:r>
      <w:r w:rsidRPr="00B06248">
        <w:rPr>
          <w:rFonts w:cstheme="minorHAnsi"/>
          <w:shd w:val="clear" w:color="auto" w:fill="FFFFFF"/>
        </w:rPr>
        <w:t>)</w:t>
      </w:r>
    </w:p>
    <w:p w14:paraId="0500E50D" w14:textId="77777777" w:rsidR="00DF1A59" w:rsidRPr="00DF1A59" w:rsidRDefault="00DF1A59" w:rsidP="00DF1A59">
      <w:pPr>
        <w:rPr>
          <w:rFonts w:cstheme="minorHAnsi"/>
        </w:rPr>
      </w:pPr>
    </w:p>
    <w:p w14:paraId="5BE51252" w14:textId="4ED79462" w:rsidR="00DF1A59" w:rsidRPr="00DF1A59" w:rsidRDefault="00DF1A59" w:rsidP="00DF1A59">
      <w:pPr>
        <w:rPr>
          <w:rFonts w:cstheme="minorHAnsi"/>
        </w:rPr>
      </w:pPr>
      <w:r w:rsidRPr="00B06248">
        <w:rPr>
          <w:rFonts w:cstheme="minorHAnsi"/>
        </w:rPr>
        <w:t>Assessment methods in play-based curricula need to be dynamic, flexible, and aligned with the principles of child-</w:t>
      </w:r>
      <w:r w:rsidRPr="00B06248">
        <w:rPr>
          <w:rFonts w:cstheme="minorHAnsi"/>
        </w:rPr>
        <w:t>centred</w:t>
      </w:r>
      <w:r w:rsidRPr="00B06248">
        <w:rPr>
          <w:rFonts w:cstheme="minorHAnsi"/>
        </w:rPr>
        <w:t xml:space="preserve"> learning. Traditional standardized testing often falls short in capturing the holistic development that occurs during play.</w:t>
      </w:r>
    </w:p>
    <w:p w14:paraId="1763DB37" w14:textId="77777777" w:rsidR="00DF1A59" w:rsidRPr="00B06248" w:rsidRDefault="00DF1A59" w:rsidP="00DF1A59">
      <w:pPr>
        <w:rPr>
          <w:rFonts w:cstheme="minorHAnsi"/>
        </w:rPr>
      </w:pPr>
      <w:r w:rsidRPr="00DF1A59">
        <w:rPr>
          <w:rFonts w:cstheme="minorHAnsi"/>
          <w:b/>
          <w:bCs/>
        </w:rPr>
        <w:t>Observational Assessment:</w:t>
      </w:r>
      <w:r w:rsidRPr="00DF1A59">
        <w:rPr>
          <w:rFonts w:cstheme="minorHAnsi"/>
        </w:rPr>
        <w:t xml:space="preserve"> Observational assessment is a cornerstone of play-based curricula. </w:t>
      </w:r>
      <w:r w:rsidRPr="00B06248">
        <w:rPr>
          <w:rFonts w:cstheme="minorHAnsi"/>
        </w:rPr>
        <w:t xml:space="preserve"> </w:t>
      </w:r>
      <w:r w:rsidRPr="00DF1A59">
        <w:rPr>
          <w:rFonts w:eastAsia="Times New Roman" w:cstheme="minorHAnsi"/>
          <w:kern w:val="0"/>
          <w:lang w:eastAsia="en-GB"/>
          <w14:ligatures w14:val="none"/>
        </w:rPr>
        <w:t>Early Education (2021) </w:t>
      </w:r>
      <w:r w:rsidRPr="00B06248">
        <w:rPr>
          <w:rFonts w:eastAsia="Times New Roman" w:cstheme="minorHAnsi"/>
          <w:kern w:val="0"/>
          <w:lang w:eastAsia="en-GB"/>
          <w14:ligatures w14:val="none"/>
        </w:rPr>
        <w:t xml:space="preserve">explains </w:t>
      </w:r>
      <w:r w:rsidRPr="00B06248">
        <w:rPr>
          <w:rFonts w:cstheme="minorHAnsi"/>
        </w:rPr>
        <w:t>t</w:t>
      </w:r>
      <w:r w:rsidRPr="00DF1A59">
        <w:rPr>
          <w:rFonts w:cstheme="minorHAnsi"/>
        </w:rPr>
        <w:t xml:space="preserve">his method involves educators keenly observing children during play to gain insights into their cognitive, social, and emotional development. Through careful observation, educators can identify individual strengths, interests, and areas for growth. </w:t>
      </w:r>
    </w:p>
    <w:p w14:paraId="17DF97A3" w14:textId="2470A042" w:rsidR="00DF1A59" w:rsidRPr="00B06248" w:rsidRDefault="00DF1A59" w:rsidP="00DF1A59">
      <w:pPr>
        <w:rPr>
          <w:rFonts w:cstheme="minorHAnsi"/>
        </w:rPr>
      </w:pPr>
      <w:r w:rsidRPr="00DF1A59">
        <w:rPr>
          <w:rFonts w:cstheme="minorHAnsi"/>
        </w:rPr>
        <w:t>Observational assessment aligns with the 'Unique Child' concept by allowing educators to tailor their support to the specific needs and abilities of each child (</w:t>
      </w:r>
      <w:proofErr w:type="spellStart"/>
      <w:r w:rsidRPr="00DF1A59">
        <w:rPr>
          <w:rFonts w:cstheme="minorHAnsi"/>
        </w:rPr>
        <w:t>Göncü</w:t>
      </w:r>
      <w:proofErr w:type="spellEnd"/>
      <w:r w:rsidRPr="00DF1A59">
        <w:rPr>
          <w:rFonts w:cstheme="minorHAnsi"/>
        </w:rPr>
        <w:t xml:space="preserve"> &amp; Gaskins, 2007).</w:t>
      </w:r>
      <w:r w:rsidRPr="00B06248">
        <w:rPr>
          <w:rFonts w:cstheme="minorHAnsi"/>
        </w:rPr>
        <w:t xml:space="preserve"> </w:t>
      </w:r>
      <w:r w:rsidRPr="00B06248">
        <w:rPr>
          <w:rStyle w:val="apple-converted-space"/>
          <w:rFonts w:cstheme="minorHAnsi"/>
        </w:rPr>
        <w:t>Pyle (2015</w:t>
      </w:r>
      <w:r w:rsidRPr="00B06248">
        <w:rPr>
          <w:rStyle w:val="apple-converted-space"/>
          <w:rFonts w:cstheme="minorHAnsi"/>
        </w:rPr>
        <w:t>)</w:t>
      </w:r>
      <w:r w:rsidRPr="00B06248">
        <w:rPr>
          <w:rFonts w:cstheme="minorHAnsi"/>
        </w:rPr>
        <w:t xml:space="preserve"> advocates</w:t>
      </w:r>
      <w:r w:rsidRPr="00B06248">
        <w:rPr>
          <w:rFonts w:cstheme="minorHAnsi"/>
        </w:rPr>
        <w:t xml:space="preserve"> for a comprehensive approach to assessment, emphasizing the need to utilize multiple formats within the observational framework. Simply observing children during play is just one facet of a broader assessment strategy. To </w:t>
      </w:r>
      <w:r w:rsidRPr="00B06248">
        <w:rPr>
          <w:rFonts w:cstheme="minorHAnsi"/>
        </w:rPr>
        <w:t>assess diverse learners appropriately and adequately</w:t>
      </w:r>
      <w:r w:rsidRPr="00B06248">
        <w:rPr>
          <w:rFonts w:cstheme="minorHAnsi"/>
        </w:rPr>
        <w:t>, Pyle suggests incorporating various methods such as observations of learning, conversations, and occasional testing.</w:t>
      </w:r>
    </w:p>
    <w:p w14:paraId="77E964DA" w14:textId="392A17DF" w:rsidR="00DF1A59" w:rsidRPr="00B06248" w:rsidRDefault="00DF1A59" w:rsidP="00DF1A59">
      <w:pPr>
        <w:rPr>
          <w:rFonts w:cstheme="minorHAnsi"/>
        </w:rPr>
      </w:pPr>
      <w:r w:rsidRPr="00B06248">
        <w:rPr>
          <w:rFonts w:cstheme="minorHAnsi"/>
        </w:rPr>
        <w:t xml:space="preserve">Beyond casual observations, educators can intentionally document and </w:t>
      </w:r>
      <w:r w:rsidRPr="00B06248">
        <w:rPr>
          <w:rFonts w:cstheme="minorHAnsi"/>
        </w:rPr>
        <w:t>analyse</w:t>
      </w:r>
      <w:r w:rsidRPr="00B06248">
        <w:rPr>
          <w:rFonts w:cstheme="minorHAnsi"/>
        </w:rPr>
        <w:t xml:space="preserve"> instances of learning during play. This may involve noting a child's problem-solving strategies, exploratory </w:t>
      </w:r>
      <w:r w:rsidRPr="00B06248">
        <w:rPr>
          <w:rFonts w:cstheme="minorHAnsi"/>
        </w:rPr>
        <w:t>behaviours</w:t>
      </w:r>
      <w:r w:rsidRPr="00B06248">
        <w:rPr>
          <w:rFonts w:cstheme="minorHAnsi"/>
        </w:rPr>
        <w:t>, or moments of collaboration with peers. These observations provide a more in-depth understanding of a child's cognitive development.</w:t>
      </w:r>
      <w:r w:rsidRPr="00B06248">
        <w:rPr>
          <w:rFonts w:eastAsia="Times New Roman" w:cstheme="minorHAnsi"/>
          <w:kern w:val="0"/>
          <w:lang w:eastAsia="en-GB"/>
          <w14:ligatures w14:val="none"/>
        </w:rPr>
        <w:t xml:space="preserve"> (</w:t>
      </w:r>
      <w:r w:rsidRPr="00DF1A59">
        <w:rPr>
          <w:rFonts w:eastAsia="Times New Roman" w:cstheme="minorHAnsi"/>
          <w:kern w:val="0"/>
          <w:lang w:eastAsia="en-GB"/>
          <w14:ligatures w14:val="none"/>
        </w:rPr>
        <w:t>Peterson 2020) </w:t>
      </w:r>
    </w:p>
    <w:p w14:paraId="58820E77" w14:textId="39E5D7E1" w:rsidR="00DF1A59" w:rsidRPr="00B06248" w:rsidRDefault="00DF1A59" w:rsidP="00DF1A59">
      <w:pPr>
        <w:rPr>
          <w:rFonts w:cstheme="minorHAnsi"/>
        </w:rPr>
      </w:pPr>
      <w:r w:rsidRPr="00B06248">
        <w:rPr>
          <w:rFonts w:cstheme="minorHAnsi"/>
        </w:rPr>
        <w:t>Beyond observational assessment, portfolios and documentation stand out as dynamic tools in play-based curricula, offering a comprehensive perspective on a child's development. These methods involve the purposeful collection and curation of a child's work, reflections, and progress over time. Katz and Chard (2000) advocate for the power of portfolios, highlighting their role in providing educators with a holistic view of a child's achievements, challenges, and the dynamic evolution of their play-based experiences.</w:t>
      </w:r>
    </w:p>
    <w:p w14:paraId="36078DBB" w14:textId="77777777" w:rsidR="00DF1A59" w:rsidRPr="00B06248" w:rsidRDefault="00DF1A59" w:rsidP="00DF1A59">
      <w:pPr>
        <w:rPr>
          <w:rFonts w:cstheme="minorHAnsi"/>
        </w:rPr>
      </w:pPr>
      <w:r w:rsidRPr="00B06248">
        <w:rPr>
          <w:rFonts w:cstheme="minorHAnsi"/>
        </w:rPr>
        <w:t xml:space="preserve">Portfolios stand as more than just collections of a child's work; they represent a dynamic narrative, unfolding the intricate tapestry of a child's learning journey. As </w:t>
      </w:r>
      <w:proofErr w:type="spellStart"/>
      <w:r w:rsidRPr="00B06248">
        <w:rPr>
          <w:rFonts w:cstheme="minorHAnsi"/>
        </w:rPr>
        <w:t>Birgin</w:t>
      </w:r>
      <w:proofErr w:type="spellEnd"/>
      <w:r w:rsidRPr="00B06248">
        <w:rPr>
          <w:rFonts w:cstheme="minorHAnsi"/>
        </w:rPr>
        <w:t xml:space="preserve"> and </w:t>
      </w:r>
      <w:proofErr w:type="spellStart"/>
      <w:r w:rsidRPr="00B06248">
        <w:rPr>
          <w:rFonts w:cstheme="minorHAnsi"/>
        </w:rPr>
        <w:t>Baki</w:t>
      </w:r>
      <w:proofErr w:type="spellEnd"/>
      <w:r w:rsidRPr="00B06248">
        <w:rPr>
          <w:rFonts w:cstheme="minorHAnsi"/>
        </w:rPr>
        <w:t xml:space="preserve"> (2007) aptly state, over time, portfolios transform into a powerful chronicle that not only showcases the progression of skills but also captures the deeper essence of a child's understanding and personal growth within the play-based environment.</w:t>
      </w:r>
    </w:p>
    <w:p w14:paraId="0429556D" w14:textId="77777777" w:rsidR="00DF1A59" w:rsidRPr="00B06248" w:rsidRDefault="00DF1A59" w:rsidP="00DF1A59">
      <w:pPr>
        <w:ind w:left="720"/>
        <w:rPr>
          <w:rFonts w:cstheme="minorHAnsi"/>
        </w:rPr>
      </w:pPr>
    </w:p>
    <w:p w14:paraId="5911F170" w14:textId="77777777" w:rsidR="00DF1A59" w:rsidRPr="00DF1A59" w:rsidRDefault="00DF1A59" w:rsidP="00DF1A59">
      <w:pPr>
        <w:rPr>
          <w:rFonts w:cstheme="minorHAnsi"/>
        </w:rPr>
      </w:pPr>
    </w:p>
    <w:p w14:paraId="565C55AA" w14:textId="35D1BDCF" w:rsidR="00DF1A59" w:rsidRPr="00B06248" w:rsidRDefault="00DF1A59" w:rsidP="00DF1A59">
      <w:pPr>
        <w:rPr>
          <w:rFonts w:cstheme="minorHAnsi"/>
        </w:rPr>
      </w:pPr>
      <w:r w:rsidRPr="00DF1A59">
        <w:rPr>
          <w:rFonts w:cstheme="minorHAnsi"/>
        </w:rPr>
        <w:t xml:space="preserve">Play-based curricula often emphasize flexible milestones and benchmarks that acknowledge the individual pace at which children progress. Instead of rigid age-related expectations, educators may use developmental milestones that allow for variations in the timing and sequence of skills acquisition. This approach aligns with the 'Unique Child' concept, recognizing and celebrating diverse developmental trajectories (Nutbrown, Clough, &amp; </w:t>
      </w:r>
      <w:proofErr w:type="spellStart"/>
      <w:r w:rsidRPr="00DF1A59">
        <w:rPr>
          <w:rFonts w:cstheme="minorHAnsi"/>
        </w:rPr>
        <w:t>Selbie</w:t>
      </w:r>
      <w:proofErr w:type="spellEnd"/>
      <w:r w:rsidRPr="00DF1A59">
        <w:rPr>
          <w:rFonts w:cstheme="minorHAnsi"/>
        </w:rPr>
        <w:t>, 2013).</w:t>
      </w:r>
    </w:p>
    <w:p w14:paraId="3269B389" w14:textId="7AE63664" w:rsidR="00DF1A59" w:rsidRPr="00B06248" w:rsidRDefault="00DF1A59" w:rsidP="00DF1A59">
      <w:pPr>
        <w:rPr>
          <w:rFonts w:cstheme="minorHAnsi"/>
        </w:rPr>
      </w:pPr>
      <w:r w:rsidRPr="00B06248">
        <w:rPr>
          <w:rFonts w:cstheme="minorHAnsi"/>
        </w:rPr>
        <w:t>Individualized Learning Plans (ILPs)</w:t>
      </w:r>
      <w:r w:rsidRPr="00B06248">
        <w:rPr>
          <w:rFonts w:cstheme="minorHAnsi"/>
          <w:b/>
          <w:bCs/>
        </w:rPr>
        <w:t xml:space="preserve"> </w:t>
      </w:r>
      <w:r w:rsidRPr="00B06248">
        <w:rPr>
          <w:rFonts w:cstheme="minorHAnsi"/>
        </w:rPr>
        <w:t xml:space="preserve">are personalized plans that outline specific learning goals, strategies, and support mechanisms for each child. These plans </w:t>
      </w:r>
      <w:r w:rsidRPr="00B06248">
        <w:rPr>
          <w:rFonts w:cstheme="minorHAnsi"/>
        </w:rPr>
        <w:t>consider</w:t>
      </w:r>
      <w:r w:rsidRPr="00B06248">
        <w:rPr>
          <w:rFonts w:cstheme="minorHAnsi"/>
        </w:rPr>
        <w:t xml:space="preserve"> the unique strengths and challenges of the child and provide a framework for tracking progress. ILPs offer a targeted approach to play-based learning, ensuring that educators can adapt activities to meet individual developmental needs (Bennett, 2011).</w:t>
      </w:r>
      <w:r w:rsidRPr="00B06248">
        <w:rPr>
          <w:rFonts w:cstheme="minorHAnsi"/>
        </w:rPr>
        <w:t xml:space="preserve"> </w:t>
      </w:r>
    </w:p>
    <w:p w14:paraId="673F1ECB" w14:textId="7049EC93" w:rsidR="00DF1A59" w:rsidRPr="00B06248" w:rsidRDefault="00DF1A59" w:rsidP="00DF1A59">
      <w:pPr>
        <w:rPr>
          <w:rFonts w:cstheme="minorHAnsi"/>
        </w:rPr>
      </w:pPr>
      <w:r w:rsidRPr="00B06248">
        <w:rPr>
          <w:rFonts w:cstheme="minorHAnsi"/>
        </w:rPr>
        <w:t>Hall</w:t>
      </w:r>
      <w:r w:rsidRPr="00B06248">
        <w:rPr>
          <w:rFonts w:cstheme="minorHAnsi"/>
        </w:rPr>
        <w:t xml:space="preserve"> (</w:t>
      </w:r>
      <w:r w:rsidRPr="00B06248">
        <w:rPr>
          <w:rFonts w:cstheme="minorHAnsi"/>
        </w:rPr>
        <w:t>2012)</w:t>
      </w:r>
      <w:r w:rsidRPr="00B06248">
        <w:rPr>
          <w:rFonts w:cstheme="minorHAnsi"/>
        </w:rPr>
        <w:t xml:space="preserve"> </w:t>
      </w:r>
      <w:r w:rsidRPr="00B06248">
        <w:rPr>
          <w:rFonts w:cstheme="minorHAnsi"/>
        </w:rPr>
        <w:t>recognize ILPs</w:t>
      </w:r>
      <w:r w:rsidRPr="00B06248">
        <w:rPr>
          <w:rFonts w:cstheme="minorHAnsi"/>
        </w:rPr>
        <w:t xml:space="preserve"> understands </w:t>
      </w:r>
      <w:r w:rsidRPr="00B06248">
        <w:rPr>
          <w:rFonts w:cstheme="minorHAnsi"/>
        </w:rPr>
        <w:t xml:space="preserve">that children have diverse learning styles. These plans consider whether a child is a visual, auditory, or </w:t>
      </w:r>
      <w:r w:rsidRPr="00B06248">
        <w:rPr>
          <w:rFonts w:cstheme="minorHAnsi"/>
        </w:rPr>
        <w:t>kinaesthetic</w:t>
      </w:r>
      <w:r w:rsidRPr="00B06248">
        <w:rPr>
          <w:rFonts w:cstheme="minorHAnsi"/>
        </w:rPr>
        <w:t xml:space="preserve"> learner, ensuring that play-based activities are designed to align with the child's preferred mode of learning</w:t>
      </w:r>
      <w:r w:rsidRPr="00B06248">
        <w:rPr>
          <w:rFonts w:cstheme="minorHAnsi"/>
        </w:rPr>
        <w:t>.</w:t>
      </w:r>
    </w:p>
    <w:p w14:paraId="5D8FBB97" w14:textId="6CC18181" w:rsidR="00DF1A59" w:rsidRPr="00B06248" w:rsidRDefault="00DF1A59" w:rsidP="00DF1A59">
      <w:pPr>
        <w:rPr>
          <w:rFonts w:cstheme="minorHAnsi"/>
        </w:rPr>
      </w:pPr>
      <w:r w:rsidRPr="00B06248">
        <w:rPr>
          <w:rFonts w:cstheme="minorHAnsi"/>
        </w:rPr>
        <w:t xml:space="preserve">However, </w:t>
      </w:r>
      <w:r w:rsidRPr="00B06248">
        <w:rPr>
          <w:rFonts w:cstheme="minorHAnsi"/>
        </w:rPr>
        <w:t>ILPs are not static; they undergo regular review and adjustment. Giangreco et al</w:t>
      </w:r>
      <w:r w:rsidRPr="00B06248">
        <w:rPr>
          <w:rFonts w:cstheme="minorHAnsi"/>
        </w:rPr>
        <w:t>,</w:t>
      </w:r>
      <w:r w:rsidRPr="00B06248">
        <w:rPr>
          <w:rFonts w:cstheme="minorHAnsi"/>
        </w:rPr>
        <w:t xml:space="preserve"> </w:t>
      </w:r>
      <w:r w:rsidRPr="00B06248">
        <w:rPr>
          <w:rFonts w:cstheme="minorHAnsi"/>
        </w:rPr>
        <w:t>(</w:t>
      </w:r>
      <w:r w:rsidRPr="00B06248">
        <w:rPr>
          <w:rFonts w:cstheme="minorHAnsi"/>
        </w:rPr>
        <w:t>2010)</w:t>
      </w:r>
      <w:r w:rsidRPr="00B06248">
        <w:rPr>
          <w:rFonts w:cstheme="minorHAnsi"/>
        </w:rPr>
        <w:t xml:space="preserve"> suggests that e</w:t>
      </w:r>
      <w:r w:rsidRPr="00B06248">
        <w:rPr>
          <w:rFonts w:cstheme="minorHAnsi"/>
        </w:rPr>
        <w:t>ducators, in collaboration with parents, assess the child's progress and adjust the plan as needed. This flexibility ensures that ILPs remain responsive to the evolving needs and strengths of each child</w:t>
      </w:r>
      <w:r w:rsidRPr="00B06248">
        <w:rPr>
          <w:rFonts w:cstheme="minorHAnsi"/>
        </w:rPr>
        <w:t>.</w:t>
      </w:r>
    </w:p>
    <w:p w14:paraId="52C08AE9" w14:textId="107E8075" w:rsidR="00DF1A59" w:rsidRPr="00B06248" w:rsidRDefault="00DF1A59" w:rsidP="00DF1A59">
      <w:pPr>
        <w:rPr>
          <w:rFonts w:cstheme="minorHAnsi"/>
        </w:rPr>
      </w:pPr>
      <w:r w:rsidRPr="00B06248">
        <w:rPr>
          <w:rFonts w:cstheme="minorHAnsi"/>
        </w:rPr>
        <w:t xml:space="preserve">LPs account for variations in the pace of learning among children. Some may grasp concepts quickly, while others may require additional time and support. ILPs allow educators to tailor play activities to accommodate these individual learning paces (Gargiulo &amp; </w:t>
      </w:r>
      <w:proofErr w:type="spellStart"/>
      <w:r w:rsidRPr="00B06248">
        <w:rPr>
          <w:rFonts w:cstheme="minorHAnsi"/>
        </w:rPr>
        <w:t>Kilgo</w:t>
      </w:r>
      <w:proofErr w:type="spellEnd"/>
      <w:r w:rsidRPr="00B06248">
        <w:rPr>
          <w:rFonts w:cstheme="minorHAnsi"/>
        </w:rPr>
        <w:t>, 2014)</w:t>
      </w:r>
    </w:p>
    <w:p w14:paraId="41505073" w14:textId="440DF171" w:rsidR="00DF1A59" w:rsidRPr="00B06248" w:rsidRDefault="00DF1A59" w:rsidP="00DF1A59">
      <w:pPr>
        <w:rPr>
          <w:rFonts w:cstheme="minorHAnsi"/>
        </w:rPr>
      </w:pPr>
      <w:r w:rsidRPr="00DF1A59">
        <w:rPr>
          <w:rFonts w:cstheme="minorHAnsi"/>
        </w:rPr>
        <w:t xml:space="preserve">Progress tracking </w:t>
      </w:r>
      <w:r w:rsidRPr="00B06248">
        <w:rPr>
          <w:rFonts w:cstheme="minorHAnsi"/>
        </w:rPr>
        <w:t>according to Dunphy (</w:t>
      </w:r>
      <w:r w:rsidRPr="00DF1A59">
        <w:rPr>
          <w:rFonts w:cstheme="minorHAnsi"/>
        </w:rPr>
        <w:t>2016)</w:t>
      </w:r>
      <w:r w:rsidRPr="00B06248">
        <w:rPr>
          <w:rFonts w:cstheme="minorHAnsi"/>
        </w:rPr>
        <w:t xml:space="preserve"> </w:t>
      </w:r>
      <w:r w:rsidRPr="00DF1A59">
        <w:rPr>
          <w:rFonts w:cstheme="minorHAnsi"/>
        </w:rPr>
        <w:t xml:space="preserve">within play-based curricula extends beyond individual achievements to encompass social and collaborative skills. </w:t>
      </w:r>
    </w:p>
    <w:p w14:paraId="0C796511" w14:textId="5A1FC7F4" w:rsidR="00DF1A59" w:rsidRPr="00B06248" w:rsidRDefault="00DF1A59" w:rsidP="00DF1A59">
      <w:pPr>
        <w:rPr>
          <w:rFonts w:cstheme="minorHAnsi"/>
        </w:rPr>
      </w:pPr>
      <w:r w:rsidRPr="00DF1A59">
        <w:rPr>
          <w:rFonts w:cstheme="minorHAnsi"/>
        </w:rPr>
        <w:t xml:space="preserve">By observing and documenting children's interactions, educators can assess their ability to engage with peers, share ideas, and resolve conflicts. Social development becomes a key component of progress tracking, aligning with the understanding that the 'Unique Child' is shaped by both individual characteristics and social </w:t>
      </w:r>
      <w:r w:rsidRPr="00B06248">
        <w:rPr>
          <w:rFonts w:cstheme="minorHAnsi"/>
        </w:rPr>
        <w:t>interactions.</w:t>
      </w:r>
      <w:r w:rsidRPr="00DF1A59">
        <w:rPr>
          <w:rFonts w:cstheme="minorHAnsi"/>
        </w:rPr>
        <w:t xml:space="preserve"> </w:t>
      </w:r>
    </w:p>
    <w:p w14:paraId="4ECD44F7" w14:textId="005CA570" w:rsidR="00DF1A59" w:rsidRPr="00B06248" w:rsidRDefault="00DF1A59" w:rsidP="00DF1A59">
      <w:pPr>
        <w:rPr>
          <w:rFonts w:cstheme="minorHAnsi"/>
        </w:rPr>
      </w:pPr>
      <w:r w:rsidRPr="00B06248">
        <w:rPr>
          <w:rFonts w:cstheme="minorHAnsi"/>
        </w:rPr>
        <w:t xml:space="preserve">Documentation </w:t>
      </w:r>
      <w:r w:rsidRPr="00B06248">
        <w:rPr>
          <w:rFonts w:cstheme="minorHAnsi"/>
        </w:rPr>
        <w:t xml:space="preserve">according to </w:t>
      </w:r>
      <w:r w:rsidR="00611082" w:rsidRPr="00B06248">
        <w:rPr>
          <w:rFonts w:cstheme="minorHAnsi"/>
        </w:rPr>
        <w:t>Walsh, et</w:t>
      </w:r>
      <w:r w:rsidRPr="00B06248">
        <w:rPr>
          <w:rFonts w:cstheme="minorHAnsi"/>
        </w:rPr>
        <w:t xml:space="preserve"> al, (</w:t>
      </w:r>
      <w:proofErr w:type="gramStart"/>
      <w:r w:rsidRPr="00B06248">
        <w:rPr>
          <w:rFonts w:cstheme="minorHAnsi"/>
        </w:rPr>
        <w:t>2010)involves</w:t>
      </w:r>
      <w:proofErr w:type="gramEnd"/>
      <w:r w:rsidRPr="00B06248">
        <w:rPr>
          <w:rFonts w:cstheme="minorHAnsi"/>
        </w:rPr>
        <w:t xml:space="preserve"> recording specific social </w:t>
      </w:r>
      <w:r w:rsidRPr="00B06248">
        <w:rPr>
          <w:rFonts w:cstheme="minorHAnsi"/>
        </w:rPr>
        <w:t>behaviours</w:t>
      </w:r>
      <w:r w:rsidRPr="00B06248">
        <w:rPr>
          <w:rFonts w:cstheme="minorHAnsi"/>
        </w:rPr>
        <w:t xml:space="preserve"> exhibited by children during play. This may encompass instances of cooperation, negotiation, sharing, and the use of language to express ideas and feelings. Through systematic documentation, educators create a narrative that highlights each child's unique social strengths and areas for further growth.</w:t>
      </w:r>
      <w:r w:rsidRPr="00B06248">
        <w:rPr>
          <w:rFonts w:cstheme="minorHAnsi"/>
        </w:rPr>
        <w:t xml:space="preserve"> </w:t>
      </w:r>
    </w:p>
    <w:p w14:paraId="7C1EE3C3" w14:textId="77777777" w:rsidR="00DF1A59" w:rsidRPr="00B06248" w:rsidRDefault="00DF1A59" w:rsidP="00DF1A59">
      <w:pPr>
        <w:rPr>
          <w:rFonts w:cstheme="minorHAnsi"/>
        </w:rPr>
      </w:pPr>
    </w:p>
    <w:p w14:paraId="10F59F28" w14:textId="77777777" w:rsidR="00DF1A59" w:rsidRPr="00B06248" w:rsidRDefault="00DF1A59" w:rsidP="00DF1A59">
      <w:pPr>
        <w:rPr>
          <w:rFonts w:cstheme="minorHAnsi"/>
        </w:rPr>
      </w:pPr>
    </w:p>
    <w:p w14:paraId="64254FE1" w14:textId="5A11F3B5" w:rsidR="00DF1A59" w:rsidRPr="00B06248" w:rsidRDefault="00DF1A59" w:rsidP="00DF1A59">
      <w:pPr>
        <w:rPr>
          <w:rFonts w:cstheme="minorHAnsi"/>
        </w:rPr>
      </w:pPr>
      <w:r w:rsidRPr="00B06248">
        <w:rPr>
          <w:rFonts w:cstheme="minorHAnsi"/>
        </w:rPr>
        <w:t xml:space="preserve">Age or stage-related development models play a pivotal role in shaping the structure and effectiveness of play-based curricula, aligning educational practices with the unique needs and capacities of children at different developmental milestones. s (Doherty, </w:t>
      </w:r>
      <w:r w:rsidRPr="00B06248">
        <w:rPr>
          <w:rFonts w:cstheme="minorHAnsi"/>
        </w:rPr>
        <w:t>et al</w:t>
      </w:r>
      <w:r w:rsidRPr="00B06248">
        <w:rPr>
          <w:rFonts w:cstheme="minorHAnsi"/>
        </w:rPr>
        <w:t>, 2009</w:t>
      </w:r>
      <w:r w:rsidRPr="00B06248">
        <w:rPr>
          <w:rFonts w:cstheme="minorHAnsi"/>
        </w:rPr>
        <w:t>). These</w:t>
      </w:r>
      <w:r w:rsidRPr="00B06248">
        <w:rPr>
          <w:rFonts w:cstheme="minorHAnsi"/>
        </w:rPr>
        <w:t xml:space="preserve"> models, grounded in child-</w:t>
      </w:r>
      <w:r w:rsidRPr="00B06248">
        <w:rPr>
          <w:rFonts w:cstheme="minorHAnsi"/>
        </w:rPr>
        <w:t>centred</w:t>
      </w:r>
      <w:r w:rsidRPr="00B06248">
        <w:rPr>
          <w:rFonts w:cstheme="minorHAnsi"/>
        </w:rPr>
        <w:t xml:space="preserve"> philosophies, recognize that children progress through identifiable stages, each marked by distinct developmental milestones encompassing cognitive, social, emotional, and physical domains.</w:t>
      </w:r>
      <w:r w:rsidRPr="00B06248">
        <w:rPr>
          <w:rFonts w:cstheme="minorHAnsi"/>
        </w:rPr>
        <w:t xml:space="preserve"> </w:t>
      </w:r>
      <w:r w:rsidRPr="00B06248">
        <w:rPr>
          <w:rFonts w:cstheme="minorHAnsi"/>
        </w:rPr>
        <w:t>(Ginsburg, 2007).</w:t>
      </w:r>
    </w:p>
    <w:p w14:paraId="06764AF3" w14:textId="7EFADC9A" w:rsidR="00DF1A59" w:rsidRPr="00B06248" w:rsidRDefault="00DF1A59" w:rsidP="00DF1A59">
      <w:pPr>
        <w:rPr>
          <w:rFonts w:cstheme="minorHAnsi"/>
        </w:rPr>
      </w:pPr>
      <w:r w:rsidRPr="00DF1A59">
        <w:rPr>
          <w:rFonts w:cstheme="minorHAnsi"/>
        </w:rPr>
        <w:t xml:space="preserve">In play-based curricula, educators leverage age or stage-related development models to guide their understanding of children's growth trajectories. </w:t>
      </w:r>
      <w:r w:rsidRPr="00B06248">
        <w:rPr>
          <w:rFonts w:cstheme="minorHAnsi"/>
        </w:rPr>
        <w:t xml:space="preserve">(Pound, 2005). </w:t>
      </w:r>
      <w:r w:rsidRPr="00DF1A59">
        <w:rPr>
          <w:rFonts w:cstheme="minorHAnsi"/>
        </w:rPr>
        <w:t xml:space="preserve">By recognizing and embracing the diversity of developmental stages, educators tailor activities and interactions to align with the evolving needs of each child. </w:t>
      </w:r>
      <w:r w:rsidRPr="00B06248">
        <w:rPr>
          <w:rFonts w:cstheme="minorHAnsi"/>
        </w:rPr>
        <w:t>(</w:t>
      </w:r>
      <w:r w:rsidRPr="00B06248">
        <w:rPr>
          <w:rFonts w:cstheme="minorHAnsi"/>
        </w:rPr>
        <w:t xml:space="preserve">Siraj-Blatchford, </w:t>
      </w:r>
      <w:r w:rsidRPr="00B06248">
        <w:rPr>
          <w:rFonts w:cstheme="minorHAnsi"/>
        </w:rPr>
        <w:t>2009) This</w:t>
      </w:r>
      <w:r w:rsidRPr="00DF1A59">
        <w:rPr>
          <w:rFonts w:cstheme="minorHAnsi"/>
        </w:rPr>
        <w:t xml:space="preserve"> individualized approach ensures that play-based experiences are not only engaging but also developmentally appropriate, fostering a supportive learning environment.</w:t>
      </w:r>
    </w:p>
    <w:p w14:paraId="03260873" w14:textId="2DE15019" w:rsidR="00DF1A59" w:rsidRPr="00B06248" w:rsidRDefault="00DF1A59" w:rsidP="00DF1A59">
      <w:pPr>
        <w:rPr>
          <w:rFonts w:cstheme="minorHAnsi"/>
        </w:rPr>
      </w:pPr>
      <w:r w:rsidRPr="00DF1A59">
        <w:rPr>
          <w:rFonts w:cstheme="minorHAnsi"/>
        </w:rPr>
        <w:t>Lev Vygotsky's Zone of Proximal Development (ZPD) is a foundational concept within</w:t>
      </w:r>
      <w:r w:rsidRPr="00B06248">
        <w:rPr>
          <w:rFonts w:cstheme="minorHAnsi"/>
        </w:rPr>
        <w:t xml:space="preserve"> </w:t>
      </w:r>
      <w:r w:rsidRPr="00DF1A59">
        <w:rPr>
          <w:rFonts w:cstheme="minorHAnsi"/>
        </w:rPr>
        <w:t>play-based curricula. It emphasizes the importance of social interaction and collaborative learning, proposing that each child has a range of tasks they cannot accomplish alone but can achieve with the support of a more knowledgeable peer or adult. Play-based activities are intentionally designed to fall within this zone, striking a balance between challenge and support for optimal individual growth.</w:t>
      </w:r>
      <w:r w:rsidRPr="00B06248">
        <w:rPr>
          <w:rFonts w:cstheme="minorHAnsi"/>
        </w:rPr>
        <w:t xml:space="preserve"> </w:t>
      </w:r>
      <w:r w:rsidRPr="00DF1A59">
        <w:rPr>
          <w:rFonts w:cstheme="minorHAnsi"/>
        </w:rPr>
        <w:t>(Vygotsky, 1978).</w:t>
      </w:r>
    </w:p>
    <w:p w14:paraId="651ED1C8" w14:textId="069A1376" w:rsidR="00DF1A59" w:rsidRPr="00DF1A59" w:rsidRDefault="00DF1A59" w:rsidP="00DF1A59">
      <w:pPr>
        <w:rPr>
          <w:rFonts w:cstheme="minorHAnsi"/>
        </w:rPr>
      </w:pPr>
      <w:r w:rsidRPr="00DF1A59">
        <w:rPr>
          <w:rFonts w:cstheme="minorHAnsi"/>
        </w:rPr>
        <w:t>Similarly, Jean Piaget's stages of cognitive development contribute to the framework of play-based curricula by guiding the design of activities aligned with a child's current cognitive abilities. Recognizing the individual differences inherent in each child's developmental journey, educators adapt play experiences to suit the stage of cognitive development, promoting a tailored and inclusive approach.</w:t>
      </w:r>
      <w:r w:rsidRPr="00B06248">
        <w:rPr>
          <w:rFonts w:cstheme="minorHAnsi"/>
        </w:rPr>
        <w:t xml:space="preserve"> </w:t>
      </w:r>
      <w:r w:rsidRPr="00DF1A59">
        <w:rPr>
          <w:rFonts w:cstheme="minorHAnsi"/>
        </w:rPr>
        <w:t xml:space="preserve">(Piaget, </w:t>
      </w:r>
      <w:r w:rsidRPr="00B06248">
        <w:rPr>
          <w:rFonts w:cstheme="minorHAnsi"/>
        </w:rPr>
        <w:t>1952)</w:t>
      </w:r>
    </w:p>
    <w:p w14:paraId="6A62D3BA" w14:textId="468EB28E" w:rsidR="00DF1A59" w:rsidRPr="00DF1A59" w:rsidRDefault="00DF1A59" w:rsidP="00DF1A59">
      <w:pPr>
        <w:rPr>
          <w:rFonts w:cstheme="minorHAnsi"/>
        </w:rPr>
      </w:pPr>
      <w:r w:rsidRPr="00DF1A59">
        <w:rPr>
          <w:rFonts w:cstheme="minorHAnsi"/>
        </w:rPr>
        <w:t>In essence, the integration of age or stage-related development models in play-based curricula ensures that educational practices are responsive, flexible, and attuned to the dynamic nature of children's growth. By doing so, play-based learning becomes a holistic and enriching experience that nurtures not only cognitive advancement but also social, emotional, and physical well-being in early childhood education.</w:t>
      </w:r>
    </w:p>
    <w:p w14:paraId="77B65A08" w14:textId="6C6170E4" w:rsidR="00DF1A59" w:rsidRPr="00B06248" w:rsidRDefault="00DF1A59" w:rsidP="00DF1A59">
      <w:pPr>
        <w:ind w:left="720"/>
        <w:rPr>
          <w:rFonts w:cstheme="minorHAnsi"/>
        </w:rPr>
      </w:pPr>
    </w:p>
    <w:p w14:paraId="2F106C2C" w14:textId="77777777" w:rsidR="00DF1A59" w:rsidRPr="00DF1A59" w:rsidRDefault="00DF1A59" w:rsidP="00DF1A59">
      <w:pPr>
        <w:rPr>
          <w:rFonts w:cstheme="minorHAnsi"/>
          <w:b/>
          <w:bCs/>
          <w:u w:val="single"/>
        </w:rPr>
      </w:pPr>
    </w:p>
    <w:p w14:paraId="4D9889DE" w14:textId="77777777" w:rsidR="00DF1A59" w:rsidRPr="00DF1A59" w:rsidRDefault="00DF1A59" w:rsidP="00DF1A59">
      <w:pPr>
        <w:rPr>
          <w:rFonts w:cstheme="minorHAnsi"/>
        </w:rPr>
      </w:pPr>
      <w:r w:rsidRPr="00DF1A59">
        <w:rPr>
          <w:rFonts w:cstheme="minorHAnsi"/>
        </w:rPr>
        <w:t>In conclusion, the 'Unique Child' concept serves as the cornerstone of effective play-based curricula, demanding careful consideration in the selection and application of assessment methods, progress tracking systems, and developmental models. Observational assessment, portfolios, and narrative assessments offer personalized insights into a child's development, aligning with the understanding that each child is unique. Progress tracking mechanisms, such as flexible milestones and ILPs, ensure that the pace and trajectory of learning cater to individual needs. Development models, including Vygotsky's ZPD and Piagetian stages, provide frameworks for creating play-based activities that are both challenging and supportive of diverse developmental stages.</w:t>
      </w:r>
    </w:p>
    <w:p w14:paraId="6FEDF970" w14:textId="77777777" w:rsidR="00DF1A59" w:rsidRPr="00B06248" w:rsidRDefault="00DF1A59" w:rsidP="00DF1A59">
      <w:pPr>
        <w:rPr>
          <w:rFonts w:cstheme="minorHAnsi"/>
        </w:rPr>
      </w:pPr>
      <w:r w:rsidRPr="00DF1A59">
        <w:rPr>
          <w:rFonts w:cstheme="minorHAnsi"/>
        </w:rPr>
        <w:t>Ultimately, the successful implementation of play-based curricula requires a nuanced and flexible approach that embraces the diversity inherent in each child. By recognizing and valuing the uniqueness of every learner, educators can create enriching play-based environments that foster holistic development and lay the foundation for a lifelong love of learning.</w:t>
      </w:r>
    </w:p>
    <w:p w14:paraId="02B7515A" w14:textId="77777777" w:rsidR="00DF1A59" w:rsidRPr="00B06248" w:rsidRDefault="00DF1A59" w:rsidP="00DF1A59">
      <w:pPr>
        <w:rPr>
          <w:rFonts w:cstheme="minorHAnsi"/>
        </w:rPr>
      </w:pPr>
    </w:p>
    <w:p w14:paraId="3E4FF436" w14:textId="77777777" w:rsidR="00DF1A59" w:rsidRPr="00DF1A59" w:rsidRDefault="00DF1A59" w:rsidP="00DF1A59">
      <w:pPr>
        <w:rPr>
          <w:rFonts w:cstheme="minorHAnsi"/>
        </w:rPr>
      </w:pPr>
    </w:p>
    <w:p w14:paraId="17873E31" w14:textId="5279F219" w:rsidR="00DF1A59" w:rsidRPr="00DF1A59" w:rsidRDefault="00DF1A59" w:rsidP="00DF1A59">
      <w:pPr>
        <w:rPr>
          <w:rFonts w:cstheme="minorHAnsi"/>
        </w:rPr>
      </w:pPr>
      <w:r w:rsidRPr="00DF1A59">
        <w:rPr>
          <w:rFonts w:cstheme="minorHAnsi"/>
        </w:rPr>
        <w:t>References</w:t>
      </w:r>
      <w:r w:rsidR="00611082" w:rsidRPr="00B06248">
        <w:rPr>
          <w:rFonts w:cstheme="minorHAnsi"/>
        </w:rPr>
        <w:t xml:space="preserve"> </w:t>
      </w:r>
      <w:proofErr w:type="gramStart"/>
      <w:r w:rsidR="00611082" w:rsidRPr="00B06248">
        <w:rPr>
          <w:rFonts w:cstheme="minorHAnsi"/>
        </w:rPr>
        <w:t>list :</w:t>
      </w:r>
      <w:proofErr w:type="gramEnd"/>
    </w:p>
    <w:p w14:paraId="353C8B9B" w14:textId="77777777" w:rsidR="00E22D9A" w:rsidRPr="00B06248" w:rsidRDefault="00E22D9A" w:rsidP="00E22D9A">
      <w:pPr>
        <w:ind w:left="360"/>
        <w:rPr>
          <w:rFonts w:cstheme="minorHAnsi"/>
          <w:vanish/>
        </w:rPr>
      </w:pPr>
      <w:r w:rsidRPr="00B06248">
        <w:rPr>
          <w:rFonts w:cstheme="minorHAnsi"/>
          <w:vanish/>
        </w:rPr>
        <w:t>Top of Form</w:t>
      </w:r>
    </w:p>
    <w:p w14:paraId="6EC47F4A" w14:textId="77777777" w:rsidR="00E22D9A" w:rsidRPr="00B06248" w:rsidRDefault="00E22D9A" w:rsidP="00E22D9A">
      <w:pPr>
        <w:ind w:left="360"/>
        <w:rPr>
          <w:rFonts w:cstheme="minorHAnsi"/>
          <w:vanish/>
        </w:rPr>
      </w:pPr>
      <w:r w:rsidRPr="00B06248">
        <w:rPr>
          <w:rFonts w:cstheme="minorHAnsi"/>
          <w:vanish/>
        </w:rPr>
        <w:t>Bottom of Form</w:t>
      </w:r>
    </w:p>
    <w:p w14:paraId="4BE931D4" w14:textId="77777777" w:rsidR="00E22D9A" w:rsidRPr="00B06248" w:rsidRDefault="00E22D9A" w:rsidP="00E22D9A">
      <w:pPr>
        <w:pStyle w:val="ListParagraph"/>
        <w:rPr>
          <w:rFonts w:cstheme="minorHAnsi"/>
          <w:shd w:val="clear" w:color="auto" w:fill="FFFFFF"/>
        </w:rPr>
      </w:pPr>
    </w:p>
    <w:p w14:paraId="4C296A0E" w14:textId="77777777" w:rsidR="00E22D9A" w:rsidRPr="00DF1A59" w:rsidRDefault="00E22D9A" w:rsidP="00E22D9A">
      <w:pPr>
        <w:ind w:left="360"/>
        <w:rPr>
          <w:rFonts w:cstheme="minorHAnsi"/>
        </w:rPr>
      </w:pPr>
      <w:r w:rsidRPr="00DF1A59">
        <w:rPr>
          <w:rFonts w:cstheme="minorHAnsi"/>
        </w:rPr>
        <w:t>Bennett, J. (2011). "Learning to Listen: Assessing &amp; Reflecting on Children’s Learning". In P. Giorgio (Ed.), Working in the Reggio Way: A Beginner's Guide for American Teachers.</w:t>
      </w:r>
    </w:p>
    <w:p w14:paraId="6BD68555" w14:textId="77777777" w:rsidR="00E22D9A" w:rsidRPr="00B06248" w:rsidRDefault="00E22D9A" w:rsidP="00E22D9A">
      <w:pPr>
        <w:ind w:left="360"/>
        <w:rPr>
          <w:rFonts w:cstheme="minorHAnsi"/>
          <w:shd w:val="clear" w:color="auto" w:fill="FFFFFF"/>
        </w:rPr>
      </w:pPr>
      <w:r w:rsidRPr="00B06248">
        <w:rPr>
          <w:rFonts w:cstheme="minorHAnsi"/>
          <w:shd w:val="clear" w:color="auto" w:fill="FFFFFF"/>
        </w:rPr>
        <w:t>Bhat, S., 2021. Educational Philosophy of Maria Montessori: A Coordination Between the Teacher and Child.</w:t>
      </w:r>
      <w:r w:rsidRPr="00B06248">
        <w:rPr>
          <w:rStyle w:val="apple-converted-space"/>
          <w:rFonts w:cstheme="minorHAnsi"/>
          <w:shd w:val="clear" w:color="auto" w:fill="FFFFFF"/>
        </w:rPr>
        <w:t> </w:t>
      </w:r>
      <w:r w:rsidRPr="00B06248">
        <w:rPr>
          <w:rFonts w:cstheme="minorHAnsi"/>
        </w:rPr>
        <w:t>IJAMSR</w:t>
      </w:r>
      <w:r w:rsidRPr="00B06248">
        <w:rPr>
          <w:rFonts w:cstheme="minorHAnsi"/>
          <w:shd w:val="clear" w:color="auto" w:fill="FFFFFF"/>
        </w:rPr>
        <w:t>,</w:t>
      </w:r>
      <w:r w:rsidRPr="00B06248">
        <w:rPr>
          <w:rStyle w:val="apple-converted-space"/>
          <w:rFonts w:cstheme="minorHAnsi"/>
          <w:shd w:val="clear" w:color="auto" w:fill="FFFFFF"/>
        </w:rPr>
        <w:t> </w:t>
      </w:r>
      <w:r w:rsidRPr="00B06248">
        <w:rPr>
          <w:rFonts w:cstheme="minorHAnsi"/>
        </w:rPr>
        <w:t>4</w:t>
      </w:r>
      <w:r w:rsidRPr="00B06248">
        <w:rPr>
          <w:rFonts w:cstheme="minorHAnsi"/>
          <w:shd w:val="clear" w:color="auto" w:fill="FFFFFF"/>
        </w:rPr>
        <w:t>(11), p.11.</w:t>
      </w:r>
    </w:p>
    <w:p w14:paraId="1FC5FD73" w14:textId="77777777" w:rsidR="00E22D9A" w:rsidRPr="00B06248" w:rsidRDefault="00E22D9A" w:rsidP="00E22D9A">
      <w:pPr>
        <w:spacing w:before="100" w:beforeAutospacing="1" w:after="100" w:afterAutospacing="1"/>
        <w:ind w:left="360"/>
        <w:rPr>
          <w:rFonts w:eastAsia="Times New Roman" w:cstheme="minorHAnsi"/>
          <w:kern w:val="0"/>
          <w:lang w:eastAsia="en-GB"/>
          <w14:ligatures w14:val="none"/>
        </w:rPr>
      </w:pPr>
      <w:proofErr w:type="spellStart"/>
      <w:r w:rsidRPr="00B06248">
        <w:rPr>
          <w:rFonts w:eastAsia="Times New Roman" w:cstheme="minorHAnsi"/>
          <w:kern w:val="0"/>
          <w:lang w:eastAsia="en-GB"/>
          <w14:ligatures w14:val="none"/>
        </w:rPr>
        <w:t>Birgin</w:t>
      </w:r>
      <w:proofErr w:type="spellEnd"/>
      <w:r w:rsidRPr="00B06248">
        <w:rPr>
          <w:rFonts w:eastAsia="Times New Roman" w:cstheme="minorHAnsi"/>
          <w:kern w:val="0"/>
          <w:lang w:eastAsia="en-GB"/>
          <w14:ligatures w14:val="none"/>
        </w:rPr>
        <w:t xml:space="preserve">, O. and </w:t>
      </w:r>
      <w:proofErr w:type="spellStart"/>
      <w:r w:rsidRPr="00B06248">
        <w:rPr>
          <w:rFonts w:eastAsia="Times New Roman" w:cstheme="minorHAnsi"/>
          <w:kern w:val="0"/>
          <w:lang w:eastAsia="en-GB"/>
          <w14:ligatures w14:val="none"/>
        </w:rPr>
        <w:t>baki</w:t>
      </w:r>
      <w:proofErr w:type="spellEnd"/>
      <w:r w:rsidRPr="00B06248">
        <w:rPr>
          <w:rFonts w:eastAsia="Times New Roman" w:cstheme="minorHAnsi"/>
          <w:kern w:val="0"/>
          <w:lang w:eastAsia="en-GB"/>
          <w14:ligatures w14:val="none"/>
        </w:rPr>
        <w:t xml:space="preserve">, </w:t>
      </w:r>
      <w:proofErr w:type="spellStart"/>
      <w:r w:rsidRPr="00B06248">
        <w:rPr>
          <w:rFonts w:eastAsia="Times New Roman" w:cstheme="minorHAnsi"/>
          <w:kern w:val="0"/>
          <w:lang w:eastAsia="en-GB"/>
          <w14:ligatures w14:val="none"/>
        </w:rPr>
        <w:t>adnan</w:t>
      </w:r>
      <w:proofErr w:type="spellEnd"/>
      <w:r w:rsidRPr="00B06248">
        <w:rPr>
          <w:rFonts w:eastAsia="Times New Roman" w:cstheme="minorHAnsi"/>
          <w:kern w:val="0"/>
          <w:lang w:eastAsia="en-GB"/>
          <w14:ligatures w14:val="none"/>
        </w:rPr>
        <w:t xml:space="preserve"> (2007) The use of portfolio to assess student’s performance - ed. </w:t>
      </w:r>
      <w:proofErr w:type="spellStart"/>
      <w:proofErr w:type="gramStart"/>
      <w:r w:rsidRPr="00B06248">
        <w:rPr>
          <w:rFonts w:eastAsia="Times New Roman" w:cstheme="minorHAnsi"/>
          <w:kern w:val="0"/>
          <w:lang w:eastAsia="en-GB"/>
          <w14:ligatures w14:val="none"/>
        </w:rPr>
        <w:t>Availableat:https</w:t>
      </w:r>
      <w:proofErr w:type="spellEnd"/>
      <w:r w:rsidRPr="00B06248">
        <w:rPr>
          <w:rFonts w:eastAsia="Times New Roman" w:cstheme="minorHAnsi"/>
          <w:kern w:val="0"/>
          <w:lang w:eastAsia="en-GB"/>
          <w14:ligatures w14:val="none"/>
        </w:rPr>
        <w:t>://files.eric.ed.gov/</w:t>
      </w:r>
      <w:proofErr w:type="spellStart"/>
      <w:r w:rsidRPr="00B06248">
        <w:rPr>
          <w:rFonts w:eastAsia="Times New Roman" w:cstheme="minorHAnsi"/>
          <w:kern w:val="0"/>
          <w:lang w:eastAsia="en-GB"/>
          <w14:ligatures w14:val="none"/>
        </w:rPr>
        <w:t>fulltext</w:t>
      </w:r>
      <w:proofErr w:type="spellEnd"/>
      <w:r w:rsidRPr="00B06248">
        <w:rPr>
          <w:rFonts w:eastAsia="Times New Roman" w:cstheme="minorHAnsi"/>
          <w:kern w:val="0"/>
          <w:lang w:eastAsia="en-GB"/>
          <w14:ligatures w14:val="none"/>
        </w:rPr>
        <w:t>/ED504219.pdf</w:t>
      </w:r>
      <w:proofErr w:type="gramEnd"/>
      <w:r w:rsidRPr="00B06248">
        <w:rPr>
          <w:rFonts w:eastAsia="Times New Roman" w:cstheme="minorHAnsi"/>
          <w:kern w:val="0"/>
          <w:lang w:eastAsia="en-GB"/>
          <w14:ligatures w14:val="none"/>
        </w:rPr>
        <w:t xml:space="preserve"> (Accessed: 01 January 2024). </w:t>
      </w:r>
    </w:p>
    <w:p w14:paraId="0998EA17" w14:textId="77777777" w:rsidR="00E22D9A" w:rsidRPr="00B06248" w:rsidRDefault="00E22D9A" w:rsidP="00E22D9A">
      <w:pPr>
        <w:pStyle w:val="NormalWeb"/>
        <w:ind w:left="360"/>
        <w:rPr>
          <w:rFonts w:asciiTheme="minorHAnsi" w:hAnsiTheme="minorHAnsi" w:cstheme="minorHAnsi"/>
        </w:rPr>
      </w:pPr>
      <w:r w:rsidRPr="00B06248">
        <w:rPr>
          <w:rStyle w:val="apple-converted-space"/>
          <w:rFonts w:asciiTheme="minorHAnsi" w:hAnsiTheme="minorHAnsi" w:cstheme="minorHAnsi"/>
        </w:rPr>
        <w:t xml:space="preserve">Davies A </w:t>
      </w:r>
      <w:proofErr w:type="spellStart"/>
      <w:r w:rsidRPr="00B06248">
        <w:rPr>
          <w:rStyle w:val="apple-converted-space"/>
          <w:rFonts w:asciiTheme="minorHAnsi" w:hAnsiTheme="minorHAnsi" w:cstheme="minorHAnsi"/>
        </w:rPr>
        <w:t>leMehiew</w:t>
      </w:r>
      <w:proofErr w:type="spellEnd"/>
      <w:r w:rsidRPr="00B06248">
        <w:rPr>
          <w:rStyle w:val="apple-converted-space"/>
          <w:rFonts w:asciiTheme="minorHAnsi" w:hAnsiTheme="minorHAnsi" w:cstheme="minorHAnsi"/>
        </w:rPr>
        <w:t xml:space="preserve"> P. </w:t>
      </w:r>
      <w:proofErr w:type="spellStart"/>
      <w:r w:rsidRPr="00B06248">
        <w:rPr>
          <w:rStyle w:val="apple-converted-space"/>
          <w:rFonts w:asciiTheme="minorHAnsi" w:hAnsiTheme="minorHAnsi" w:cstheme="minorHAnsi"/>
        </w:rPr>
        <w:t>Assesnment</w:t>
      </w:r>
      <w:proofErr w:type="spellEnd"/>
      <w:r w:rsidRPr="00B06248">
        <w:rPr>
          <w:rStyle w:val="apple-converted-space"/>
          <w:rFonts w:asciiTheme="minorHAnsi" w:hAnsiTheme="minorHAnsi" w:cstheme="minorHAnsi"/>
        </w:rPr>
        <w:t xml:space="preserve"> for </w:t>
      </w:r>
      <w:proofErr w:type="spellStart"/>
      <w:r w:rsidRPr="00B06248">
        <w:rPr>
          <w:rStyle w:val="apple-converted-space"/>
          <w:rFonts w:asciiTheme="minorHAnsi" w:hAnsiTheme="minorHAnsi" w:cstheme="minorHAnsi"/>
        </w:rPr>
        <w:t>leanirng</w:t>
      </w:r>
      <w:proofErr w:type="spellEnd"/>
      <w:r w:rsidRPr="00B06248">
        <w:rPr>
          <w:rStyle w:val="apple-converted-space"/>
          <w:rFonts w:asciiTheme="minorHAnsi" w:hAnsiTheme="minorHAnsi" w:cstheme="minorHAnsi"/>
        </w:rPr>
        <w:t xml:space="preserve">: </w:t>
      </w:r>
      <w:proofErr w:type="spellStart"/>
      <w:r w:rsidRPr="00B06248">
        <w:rPr>
          <w:rStyle w:val="apple-converted-space"/>
          <w:rFonts w:asciiTheme="minorHAnsi" w:hAnsiTheme="minorHAnsi" w:cstheme="minorHAnsi"/>
        </w:rPr>
        <w:t>Reconsiderinf</w:t>
      </w:r>
      <w:proofErr w:type="spellEnd"/>
      <w:r w:rsidRPr="00B06248">
        <w:rPr>
          <w:rStyle w:val="apple-converted-space"/>
          <w:rFonts w:asciiTheme="minorHAnsi" w:hAnsiTheme="minorHAnsi" w:cstheme="minorHAnsi"/>
        </w:rPr>
        <w:t xml:space="preserve"> portfolios and </w:t>
      </w:r>
      <w:proofErr w:type="spellStart"/>
      <w:r w:rsidRPr="00B06248">
        <w:rPr>
          <w:rStyle w:val="apple-converted-space"/>
          <w:rFonts w:asciiTheme="minorHAnsi" w:hAnsiTheme="minorHAnsi" w:cstheme="minorHAnsi"/>
        </w:rPr>
        <w:t>reserch</w:t>
      </w:r>
      <w:proofErr w:type="spellEnd"/>
      <w:r w:rsidRPr="00B06248">
        <w:rPr>
          <w:rStyle w:val="apple-converted-space"/>
          <w:rFonts w:asciiTheme="minorHAnsi" w:hAnsiTheme="minorHAnsi" w:cstheme="minorHAnsi"/>
        </w:rPr>
        <w:t xml:space="preserve"> </w:t>
      </w:r>
      <w:proofErr w:type="spellStart"/>
      <w:r w:rsidRPr="00B06248">
        <w:rPr>
          <w:rStyle w:val="apple-converted-space"/>
          <w:rFonts w:asciiTheme="minorHAnsi" w:hAnsiTheme="minorHAnsi" w:cstheme="minorHAnsi"/>
        </w:rPr>
        <w:t>evceidence</w:t>
      </w:r>
      <w:proofErr w:type="spellEnd"/>
      <w:r w:rsidRPr="00B06248">
        <w:rPr>
          <w:rStyle w:val="apple-converted-space"/>
          <w:rFonts w:asciiTheme="minorHAnsi" w:hAnsiTheme="minorHAnsi" w:cstheme="minorHAnsi"/>
        </w:rPr>
        <w:t>. Innovation and change in professional education (</w:t>
      </w:r>
      <w:proofErr w:type="gramStart"/>
      <w:r w:rsidRPr="00B06248">
        <w:rPr>
          <w:rStyle w:val="apple-converted-space"/>
          <w:rFonts w:asciiTheme="minorHAnsi" w:hAnsiTheme="minorHAnsi" w:cstheme="minorHAnsi"/>
        </w:rPr>
        <w:t>2003;1:141</w:t>
      </w:r>
      <w:proofErr w:type="gramEnd"/>
      <w:r w:rsidRPr="00B06248">
        <w:rPr>
          <w:rStyle w:val="apple-converted-space"/>
          <w:rFonts w:asciiTheme="minorHAnsi" w:hAnsiTheme="minorHAnsi" w:cstheme="minorHAnsi"/>
        </w:rPr>
        <w:t>-169</w:t>
      </w:r>
    </w:p>
    <w:p w14:paraId="4A592881" w14:textId="77777777" w:rsidR="00E22D9A" w:rsidRPr="00B06248" w:rsidRDefault="00E22D9A" w:rsidP="00E22D9A">
      <w:pPr>
        <w:pStyle w:val="NormalWeb"/>
        <w:ind w:left="360"/>
        <w:rPr>
          <w:rStyle w:val="apple-converted-space"/>
          <w:rFonts w:asciiTheme="minorHAnsi" w:hAnsiTheme="minorHAnsi" w:cstheme="minorHAnsi"/>
        </w:rPr>
      </w:pPr>
      <w:r w:rsidRPr="00B06248">
        <w:rPr>
          <w:rFonts w:asciiTheme="minorHAnsi" w:hAnsiTheme="minorHAnsi" w:cstheme="minorHAnsi"/>
        </w:rPr>
        <w:t>DeLuca, C. (2018)</w:t>
      </w:r>
      <w:r w:rsidRPr="00B06248">
        <w:rPr>
          <w:rStyle w:val="apple-converted-space"/>
          <w:rFonts w:asciiTheme="minorHAnsi" w:hAnsiTheme="minorHAnsi" w:cstheme="minorHAnsi"/>
        </w:rPr>
        <w:t> </w:t>
      </w:r>
      <w:r w:rsidRPr="00B06248">
        <w:rPr>
          <w:rFonts w:asciiTheme="minorHAnsi" w:hAnsiTheme="minorHAnsi" w:cstheme="minorHAnsi"/>
        </w:rPr>
        <w:t xml:space="preserve">Assessment in play-based learning - </w:t>
      </w:r>
      <w:proofErr w:type="spellStart"/>
      <w:r w:rsidRPr="00B06248">
        <w:rPr>
          <w:rFonts w:asciiTheme="minorHAnsi" w:hAnsiTheme="minorHAnsi" w:cstheme="minorHAnsi"/>
        </w:rPr>
        <w:t>encyclopedia</w:t>
      </w:r>
      <w:proofErr w:type="spellEnd"/>
      <w:r w:rsidRPr="00B06248">
        <w:rPr>
          <w:rFonts w:asciiTheme="minorHAnsi" w:hAnsiTheme="minorHAnsi" w:cstheme="minorHAnsi"/>
        </w:rPr>
        <w:t xml:space="preserve"> on early childhood ...,</w:t>
      </w:r>
      <w:r w:rsidRPr="00B06248">
        <w:rPr>
          <w:rStyle w:val="apple-converted-space"/>
          <w:rFonts w:asciiTheme="minorHAnsi" w:hAnsiTheme="minorHAnsi" w:cstheme="minorHAnsi"/>
        </w:rPr>
        <w:t> </w:t>
      </w:r>
      <w:r w:rsidRPr="00B06248">
        <w:rPr>
          <w:rFonts w:asciiTheme="minorHAnsi" w:hAnsiTheme="minorHAnsi" w:cstheme="minorHAnsi"/>
        </w:rPr>
        <w:t xml:space="preserve">Child </w:t>
      </w:r>
      <w:proofErr w:type="spellStart"/>
      <w:r w:rsidRPr="00B06248">
        <w:rPr>
          <w:rFonts w:asciiTheme="minorHAnsi" w:hAnsiTheme="minorHAnsi" w:cstheme="minorHAnsi"/>
        </w:rPr>
        <w:t>encyclopedia</w:t>
      </w:r>
      <w:proofErr w:type="spellEnd"/>
      <w:r w:rsidRPr="00B06248">
        <w:rPr>
          <w:rFonts w:asciiTheme="minorHAnsi" w:hAnsiTheme="minorHAnsi" w:cstheme="minorHAnsi"/>
        </w:rPr>
        <w:t>. Available at: https://www.child-encyclopedia.com/pdf/expert/play-based-learning/according-experts/assessment-play-based-learning (Accessed: 01 January 2024).</w:t>
      </w:r>
      <w:r w:rsidRPr="00B06248">
        <w:rPr>
          <w:rStyle w:val="apple-converted-space"/>
          <w:rFonts w:asciiTheme="minorHAnsi" w:hAnsiTheme="minorHAnsi" w:cstheme="minorHAnsi"/>
        </w:rPr>
        <w:t> </w:t>
      </w:r>
    </w:p>
    <w:p w14:paraId="5973C6E3" w14:textId="77777777" w:rsidR="00E22D9A" w:rsidRPr="00DF1A59" w:rsidRDefault="00E22D9A" w:rsidP="00E22D9A">
      <w:pPr>
        <w:ind w:left="360"/>
        <w:rPr>
          <w:rFonts w:cstheme="minorHAnsi"/>
        </w:rPr>
      </w:pPr>
      <w:r w:rsidRPr="00DF1A59">
        <w:rPr>
          <w:rFonts w:cstheme="minorHAnsi"/>
        </w:rPr>
        <w:t>Dunphy, E. (2016). "Peer Interaction and Learning in a Social Play Environment". In L. Miller &amp; J. Cutter-Mackenzie (Eds.), Multidisciplinary Research Perspectives in Environmental Education.</w:t>
      </w:r>
    </w:p>
    <w:p w14:paraId="49A1CD21" w14:textId="7D03422D" w:rsidR="00E22D9A" w:rsidRPr="00B06248" w:rsidRDefault="00E22D9A" w:rsidP="00E22D9A">
      <w:pPr>
        <w:spacing w:before="100" w:beforeAutospacing="1" w:after="100" w:afterAutospacing="1"/>
        <w:ind w:left="360"/>
        <w:rPr>
          <w:rFonts w:eastAsia="Times New Roman" w:cstheme="minorHAnsi"/>
          <w:kern w:val="0"/>
          <w:lang w:eastAsia="en-GB"/>
          <w14:ligatures w14:val="none"/>
        </w:rPr>
      </w:pPr>
      <w:r w:rsidRPr="00B06248">
        <w:rPr>
          <w:rFonts w:eastAsia="Times New Roman" w:cstheme="minorHAnsi"/>
          <w:kern w:val="0"/>
          <w:lang w:eastAsia="en-GB"/>
          <w14:ligatures w14:val="none"/>
        </w:rPr>
        <w:t xml:space="preserve">Early Education (2021) Observation, </w:t>
      </w:r>
      <w:r w:rsidRPr="00B06248">
        <w:rPr>
          <w:rFonts w:eastAsia="Times New Roman" w:cstheme="minorHAnsi"/>
          <w:kern w:val="0"/>
          <w:lang w:eastAsia="en-GB"/>
          <w14:ligatures w14:val="none"/>
        </w:rPr>
        <w:t>assessment,</w:t>
      </w:r>
      <w:r w:rsidRPr="00B06248">
        <w:rPr>
          <w:rFonts w:eastAsia="Times New Roman" w:cstheme="minorHAnsi"/>
          <w:kern w:val="0"/>
          <w:lang w:eastAsia="en-GB"/>
          <w14:ligatures w14:val="none"/>
        </w:rPr>
        <w:t xml:space="preserve"> and planning, Birth To 5 Matters. Available at: https://birthto5matters.org.uk/observation-assessment-and-planning/#:~:text=It%20involves%20observation%20of%20children,adults%20in%20supporting%20and%20extending (Accessed: 01 January 2024). </w:t>
      </w:r>
    </w:p>
    <w:p w14:paraId="5F473C95" w14:textId="77777777" w:rsidR="00E22D9A" w:rsidRPr="00B06248" w:rsidRDefault="00E22D9A" w:rsidP="00E22D9A">
      <w:pPr>
        <w:spacing w:before="100" w:beforeAutospacing="1" w:after="100" w:afterAutospacing="1"/>
        <w:ind w:left="360"/>
        <w:rPr>
          <w:rFonts w:eastAsia="Times New Roman" w:cstheme="minorHAnsi"/>
          <w:kern w:val="0"/>
          <w:lang w:eastAsia="en-GB"/>
          <w14:ligatures w14:val="none"/>
        </w:rPr>
      </w:pPr>
      <w:r w:rsidRPr="00B06248">
        <w:rPr>
          <w:rFonts w:cstheme="minorHAnsi"/>
        </w:rPr>
        <w:t xml:space="preserve">Gargiulo, R. M., &amp; </w:t>
      </w:r>
      <w:proofErr w:type="spellStart"/>
      <w:r w:rsidRPr="00B06248">
        <w:rPr>
          <w:rFonts w:cstheme="minorHAnsi"/>
        </w:rPr>
        <w:t>Kilgo</w:t>
      </w:r>
      <w:proofErr w:type="spellEnd"/>
      <w:r w:rsidRPr="00B06248">
        <w:rPr>
          <w:rFonts w:cstheme="minorHAnsi"/>
        </w:rPr>
        <w:t>, J. L. (2014). "SAGE handbook of curriculum and instruction." SAGE Publications.</w:t>
      </w:r>
      <w:r w:rsidRPr="00B06248">
        <w:rPr>
          <w:rFonts w:eastAsia="Times New Roman" w:cstheme="minorHAnsi"/>
          <w:kern w:val="0"/>
          <w:lang w:eastAsia="en-GB"/>
          <w14:ligatures w14:val="none"/>
        </w:rPr>
        <w:t xml:space="preserve"> </w:t>
      </w:r>
      <w:r w:rsidRPr="00B06248">
        <w:rPr>
          <w:rFonts w:eastAsia="Times New Roman" w:cstheme="minorHAnsi"/>
          <w:kern w:val="0"/>
          <w:lang w:eastAsia="en-GB"/>
          <w14:ligatures w14:val="none"/>
        </w:rPr>
        <w:t>(Accessed: 01 January 2024). </w:t>
      </w:r>
    </w:p>
    <w:p w14:paraId="4AEC18EA" w14:textId="77777777" w:rsidR="00E22D9A" w:rsidRPr="00B06248" w:rsidRDefault="00E22D9A" w:rsidP="00E22D9A">
      <w:pPr>
        <w:ind w:left="360"/>
        <w:rPr>
          <w:rFonts w:eastAsia="Times New Roman" w:cstheme="minorHAnsi"/>
          <w:kern w:val="0"/>
          <w:lang w:eastAsia="en-GB"/>
          <w14:ligatures w14:val="none"/>
        </w:rPr>
      </w:pPr>
      <w:r w:rsidRPr="00B06248">
        <w:rPr>
          <w:rFonts w:cstheme="minorHAnsi"/>
        </w:rPr>
        <w:t xml:space="preserve">Giangreco, M. F., Edelman, S. W., </w:t>
      </w:r>
      <w:proofErr w:type="spellStart"/>
      <w:r w:rsidRPr="00B06248">
        <w:rPr>
          <w:rFonts w:cstheme="minorHAnsi"/>
        </w:rPr>
        <w:t>Luiselli</w:t>
      </w:r>
      <w:proofErr w:type="spellEnd"/>
      <w:r w:rsidRPr="00B06248">
        <w:rPr>
          <w:rFonts w:cstheme="minorHAnsi"/>
        </w:rPr>
        <w:t>, T. E., &amp; MacFarland, S. Z. (2010). "Helping and hindering social relationships: What educators, parents, and administrators can do." Corwin Press.</w:t>
      </w:r>
      <w:r w:rsidRPr="00B06248">
        <w:rPr>
          <w:rFonts w:eastAsia="Times New Roman" w:cstheme="minorHAnsi"/>
          <w:kern w:val="0"/>
          <w:lang w:eastAsia="en-GB"/>
          <w14:ligatures w14:val="none"/>
        </w:rPr>
        <w:t xml:space="preserve"> </w:t>
      </w:r>
    </w:p>
    <w:p w14:paraId="02C14F03" w14:textId="77777777" w:rsidR="00E22D9A" w:rsidRPr="00B06248" w:rsidRDefault="00E22D9A" w:rsidP="00E22D9A">
      <w:pPr>
        <w:ind w:left="360"/>
        <w:rPr>
          <w:rFonts w:cstheme="minorHAnsi"/>
        </w:rPr>
      </w:pPr>
    </w:p>
    <w:p w14:paraId="5E849B5A" w14:textId="77777777" w:rsidR="00E22D9A" w:rsidRPr="00B06248" w:rsidRDefault="00E22D9A" w:rsidP="00E22D9A">
      <w:pPr>
        <w:ind w:left="360"/>
        <w:rPr>
          <w:rFonts w:cstheme="minorHAnsi"/>
        </w:rPr>
      </w:pPr>
      <w:r w:rsidRPr="00B06248">
        <w:rPr>
          <w:rFonts w:cstheme="minorHAnsi"/>
        </w:rPr>
        <w:t xml:space="preserve">Ginsburg, H. P. (2007). The importance of play in promoting healthy child development and maintaining strong parent-child bonds. American Academy of </w:t>
      </w:r>
      <w:proofErr w:type="spellStart"/>
      <w:r w:rsidRPr="00B06248">
        <w:rPr>
          <w:rFonts w:cstheme="minorHAnsi"/>
        </w:rPr>
        <w:t>Pediatrics</w:t>
      </w:r>
      <w:proofErr w:type="spellEnd"/>
      <w:r w:rsidRPr="00B06248">
        <w:rPr>
          <w:rFonts w:cstheme="minorHAnsi"/>
        </w:rPr>
        <w:t>, 119(1), 182-191.</w:t>
      </w:r>
    </w:p>
    <w:p w14:paraId="580A7C20" w14:textId="77777777" w:rsidR="00E22D9A" w:rsidRPr="00B06248" w:rsidRDefault="00E22D9A" w:rsidP="00E22D9A">
      <w:pPr>
        <w:ind w:left="360"/>
        <w:rPr>
          <w:rFonts w:cstheme="minorHAnsi"/>
        </w:rPr>
      </w:pPr>
    </w:p>
    <w:p w14:paraId="2048BD70" w14:textId="77777777" w:rsidR="00E22D9A" w:rsidRPr="00DF1A59" w:rsidRDefault="00E22D9A" w:rsidP="00E22D9A">
      <w:pPr>
        <w:ind w:left="360"/>
        <w:rPr>
          <w:rFonts w:cstheme="minorHAnsi"/>
        </w:rPr>
      </w:pPr>
      <w:proofErr w:type="spellStart"/>
      <w:r w:rsidRPr="00DF1A59">
        <w:rPr>
          <w:rFonts w:cstheme="minorHAnsi"/>
        </w:rPr>
        <w:t>Göncü</w:t>
      </w:r>
      <w:proofErr w:type="spellEnd"/>
      <w:r w:rsidRPr="00DF1A59">
        <w:rPr>
          <w:rFonts w:cstheme="minorHAnsi"/>
        </w:rPr>
        <w:t>, A., &amp; Gaskins, S. (2007). "Play and development: Evolutionary, sociocultural, and functional perspectives." Lawrence Erlbaum Associates.</w:t>
      </w:r>
    </w:p>
    <w:p w14:paraId="21984130" w14:textId="77777777" w:rsidR="00E22D9A" w:rsidRPr="00B06248" w:rsidRDefault="00E22D9A" w:rsidP="00E22D9A">
      <w:pPr>
        <w:ind w:left="360"/>
        <w:rPr>
          <w:rFonts w:eastAsia="Times New Roman" w:cstheme="minorHAnsi"/>
          <w:kern w:val="0"/>
          <w:lang w:eastAsia="en-GB"/>
          <w14:ligatures w14:val="none"/>
        </w:rPr>
      </w:pPr>
      <w:r w:rsidRPr="00DF1A59">
        <w:rPr>
          <w:rFonts w:cstheme="minorHAnsi"/>
        </w:rPr>
        <w:t>Hall, T. (2012). "Learning styles and inclusion." Routledge.</w:t>
      </w:r>
      <w:r w:rsidRPr="00B06248">
        <w:rPr>
          <w:rFonts w:eastAsia="Times New Roman" w:cstheme="minorHAnsi"/>
          <w:kern w:val="0"/>
          <w:lang w:eastAsia="en-GB"/>
          <w14:ligatures w14:val="none"/>
        </w:rPr>
        <w:t xml:space="preserve"> </w:t>
      </w:r>
    </w:p>
    <w:p w14:paraId="735C566A" w14:textId="77777777" w:rsidR="00E22D9A" w:rsidRPr="00B06248" w:rsidRDefault="00E22D9A" w:rsidP="00E22D9A">
      <w:pPr>
        <w:ind w:left="360"/>
        <w:rPr>
          <w:rFonts w:cstheme="minorHAnsi"/>
        </w:rPr>
      </w:pPr>
    </w:p>
    <w:p w14:paraId="69099D8F" w14:textId="77777777" w:rsidR="00E22D9A" w:rsidRPr="00B06248" w:rsidRDefault="00E22D9A" w:rsidP="00E22D9A">
      <w:pPr>
        <w:ind w:left="360"/>
        <w:rPr>
          <w:rFonts w:cstheme="minorHAnsi"/>
        </w:rPr>
      </w:pPr>
      <w:r w:rsidRPr="00DF1A59">
        <w:rPr>
          <w:rFonts w:cstheme="minorHAnsi"/>
        </w:rPr>
        <w:t>Katz, L., &amp; Chard, S. (2000). "Engaging Children’s Minds: The Project Approach". Greenwood Publishing Group.</w:t>
      </w:r>
    </w:p>
    <w:p w14:paraId="244A193B" w14:textId="77777777" w:rsidR="00E22D9A" w:rsidRPr="00DF1A59" w:rsidRDefault="00E22D9A" w:rsidP="00E22D9A">
      <w:pPr>
        <w:ind w:left="360"/>
        <w:rPr>
          <w:rFonts w:cstheme="minorHAnsi"/>
        </w:rPr>
      </w:pPr>
    </w:p>
    <w:p w14:paraId="30EE6FF6" w14:textId="77777777" w:rsidR="00E22D9A" w:rsidRPr="00B06248" w:rsidRDefault="00E22D9A" w:rsidP="00E22D9A">
      <w:pPr>
        <w:ind w:left="360"/>
        <w:rPr>
          <w:rFonts w:eastAsia="Times New Roman" w:cstheme="minorHAnsi"/>
          <w:kern w:val="0"/>
          <w:lang w:eastAsia="en-GB"/>
          <w14:ligatures w14:val="none"/>
        </w:rPr>
      </w:pPr>
      <w:r w:rsidRPr="00B06248">
        <w:rPr>
          <w:rFonts w:cstheme="minorHAnsi"/>
        </w:rPr>
        <w:t>Meggitt, C. et al. (2015) Cache Level 3 childcare &amp; education: Early Years educator. Oxfordshire, England: Hodder Education.</w:t>
      </w:r>
      <w:r w:rsidRPr="00B06248">
        <w:rPr>
          <w:rFonts w:eastAsia="Times New Roman" w:cstheme="minorHAnsi"/>
          <w:kern w:val="0"/>
          <w:lang w:eastAsia="en-GB"/>
          <w14:ligatures w14:val="none"/>
        </w:rPr>
        <w:t xml:space="preserve"> </w:t>
      </w:r>
      <w:r w:rsidRPr="00B06248">
        <w:rPr>
          <w:rFonts w:cstheme="minorHAnsi"/>
        </w:rPr>
        <w:t xml:space="preserve">Doherty, J., Hughes, M., &amp; </w:t>
      </w:r>
      <w:proofErr w:type="gramStart"/>
      <w:r w:rsidRPr="00B06248">
        <w:rPr>
          <w:rFonts w:cstheme="minorHAnsi"/>
        </w:rPr>
        <w:t>Schmuck</w:t>
      </w:r>
      <w:proofErr w:type="gramEnd"/>
      <w:r w:rsidRPr="00B06248">
        <w:rPr>
          <w:rFonts w:cstheme="minorHAnsi"/>
        </w:rPr>
        <w:t>, M. (2009). Age and Stage in Early Childhood Education. Routledge.</w:t>
      </w:r>
      <w:r w:rsidRPr="00B06248">
        <w:rPr>
          <w:rFonts w:eastAsia="Times New Roman" w:cstheme="minorHAnsi"/>
          <w:kern w:val="0"/>
          <w:lang w:eastAsia="en-GB"/>
          <w14:ligatures w14:val="none"/>
        </w:rPr>
        <w:t xml:space="preserve"> (Accessed: 01 January 2024). </w:t>
      </w:r>
    </w:p>
    <w:p w14:paraId="0337A4BC" w14:textId="77777777" w:rsidR="00E22D9A" w:rsidRPr="00B06248" w:rsidRDefault="00E22D9A" w:rsidP="00E22D9A">
      <w:pPr>
        <w:ind w:left="360"/>
        <w:rPr>
          <w:rFonts w:cstheme="minorHAnsi"/>
        </w:rPr>
      </w:pPr>
    </w:p>
    <w:p w14:paraId="4649F141" w14:textId="77777777" w:rsidR="00E22D9A" w:rsidRPr="00DF1A59" w:rsidRDefault="00E22D9A" w:rsidP="00E22D9A">
      <w:pPr>
        <w:ind w:left="360"/>
        <w:rPr>
          <w:rFonts w:cstheme="minorHAnsi"/>
        </w:rPr>
      </w:pPr>
      <w:r w:rsidRPr="00DF1A59">
        <w:rPr>
          <w:rFonts w:cstheme="minorHAnsi"/>
        </w:rPr>
        <w:t>Montessori, M. (1967). "The Absorbent Mind". Holt, Rinehart, and Winston.</w:t>
      </w:r>
    </w:p>
    <w:p w14:paraId="1DB92FFE" w14:textId="77777777" w:rsidR="00E22D9A" w:rsidRPr="00B06248" w:rsidRDefault="00E22D9A" w:rsidP="00E22D9A">
      <w:pPr>
        <w:spacing w:before="100" w:beforeAutospacing="1" w:after="100" w:afterAutospacing="1"/>
        <w:ind w:left="360"/>
        <w:rPr>
          <w:rFonts w:eastAsia="Times New Roman" w:cstheme="minorHAnsi"/>
          <w:kern w:val="0"/>
          <w:lang w:eastAsia="en-GB"/>
          <w14:ligatures w14:val="none"/>
        </w:rPr>
      </w:pPr>
      <w:r w:rsidRPr="00B06248">
        <w:rPr>
          <w:rFonts w:cstheme="minorHAnsi"/>
          <w:shd w:val="clear" w:color="auto" w:fill="FFFFFF"/>
        </w:rPr>
        <w:t>Moretti, E., 2021.</w:t>
      </w:r>
      <w:r w:rsidRPr="00B06248">
        <w:rPr>
          <w:rStyle w:val="apple-converted-space"/>
          <w:rFonts w:cstheme="minorHAnsi"/>
          <w:shd w:val="clear" w:color="auto" w:fill="FFFFFF"/>
        </w:rPr>
        <w:t> </w:t>
      </w:r>
      <w:r w:rsidRPr="00B06248">
        <w:rPr>
          <w:rFonts w:cstheme="minorHAnsi"/>
        </w:rPr>
        <w:t>The best weapon for peace: Maria Montessori, education, and children's rights</w:t>
      </w:r>
      <w:r w:rsidRPr="00B06248">
        <w:rPr>
          <w:rFonts w:cstheme="minorHAnsi"/>
          <w:shd w:val="clear" w:color="auto" w:fill="FFFFFF"/>
        </w:rPr>
        <w:t>. University of Wisconsin Pres.</w:t>
      </w:r>
      <w:r w:rsidRPr="00B06248">
        <w:rPr>
          <w:rFonts w:eastAsia="Times New Roman" w:cstheme="minorHAnsi"/>
          <w:kern w:val="0"/>
          <w:lang w:eastAsia="en-GB"/>
          <w14:ligatures w14:val="none"/>
        </w:rPr>
        <w:t xml:space="preserve"> </w:t>
      </w:r>
      <w:r w:rsidRPr="00B06248">
        <w:rPr>
          <w:rFonts w:eastAsia="Times New Roman" w:cstheme="minorHAnsi"/>
          <w:kern w:val="0"/>
          <w:lang w:eastAsia="en-GB"/>
          <w14:ligatures w14:val="none"/>
        </w:rPr>
        <w:t>(Accessed: 01 January 2024). </w:t>
      </w:r>
    </w:p>
    <w:p w14:paraId="6472F3E5" w14:textId="77777777" w:rsidR="00E22D9A" w:rsidRPr="00DF1A59" w:rsidRDefault="00E22D9A" w:rsidP="00E22D9A">
      <w:pPr>
        <w:ind w:left="360"/>
        <w:rPr>
          <w:rFonts w:cstheme="minorHAnsi"/>
        </w:rPr>
      </w:pPr>
      <w:r w:rsidRPr="00DF1A59">
        <w:rPr>
          <w:rFonts w:cstheme="minorHAnsi"/>
        </w:rPr>
        <w:t xml:space="preserve">Nutbrown, C., Clough, P., &amp; </w:t>
      </w:r>
      <w:proofErr w:type="spellStart"/>
      <w:r w:rsidRPr="00DF1A59">
        <w:rPr>
          <w:rFonts w:cstheme="minorHAnsi"/>
        </w:rPr>
        <w:t>Selbie</w:t>
      </w:r>
      <w:proofErr w:type="spellEnd"/>
      <w:r w:rsidRPr="00DF1A59">
        <w:rPr>
          <w:rFonts w:cstheme="minorHAnsi"/>
        </w:rPr>
        <w:t>, P. (2013). "Early Childhood Education: History, Philosophy and Experience". Sage Publications.</w:t>
      </w:r>
    </w:p>
    <w:p w14:paraId="2903831E" w14:textId="77777777" w:rsidR="00E22D9A" w:rsidRPr="00B06248" w:rsidRDefault="00E22D9A" w:rsidP="00E22D9A">
      <w:pPr>
        <w:spacing w:before="100" w:beforeAutospacing="1" w:after="100" w:afterAutospacing="1"/>
        <w:ind w:left="360"/>
        <w:rPr>
          <w:rFonts w:eastAsia="Times New Roman" w:cstheme="minorHAnsi"/>
          <w:kern w:val="0"/>
          <w:lang w:eastAsia="en-GB"/>
          <w14:ligatures w14:val="none"/>
        </w:rPr>
      </w:pPr>
      <w:proofErr w:type="gramStart"/>
      <w:r w:rsidRPr="00B06248">
        <w:rPr>
          <w:rFonts w:eastAsia="Times New Roman" w:cstheme="minorHAnsi"/>
          <w:kern w:val="0"/>
          <w:lang w:eastAsia="en-GB"/>
          <w14:ligatures w14:val="none"/>
        </w:rPr>
        <w:t>Peterson ,</w:t>
      </w:r>
      <w:proofErr w:type="gramEnd"/>
      <w:r w:rsidRPr="00B06248">
        <w:rPr>
          <w:rFonts w:eastAsia="Times New Roman" w:cstheme="minorHAnsi"/>
          <w:kern w:val="0"/>
          <w:lang w:eastAsia="en-GB"/>
          <w14:ligatures w14:val="none"/>
        </w:rPr>
        <w:t xml:space="preserve"> G. and Elam, E. (2020) O B S E R v a T I o n a n d a s </w:t>
      </w:r>
      <w:proofErr w:type="spellStart"/>
      <w:r w:rsidRPr="00B06248">
        <w:rPr>
          <w:rFonts w:eastAsia="Times New Roman" w:cstheme="minorHAnsi"/>
          <w:kern w:val="0"/>
          <w:lang w:eastAsia="en-GB"/>
          <w14:ligatures w14:val="none"/>
        </w:rPr>
        <w:t>s</w:t>
      </w:r>
      <w:proofErr w:type="spellEnd"/>
      <w:r w:rsidRPr="00B06248">
        <w:rPr>
          <w:rFonts w:eastAsia="Times New Roman" w:cstheme="minorHAnsi"/>
          <w:kern w:val="0"/>
          <w:lang w:eastAsia="en-GB"/>
          <w14:ligatures w14:val="none"/>
        </w:rPr>
        <w:t xml:space="preserve"> e s </w:t>
      </w:r>
      <w:proofErr w:type="spellStart"/>
      <w:r w:rsidRPr="00B06248">
        <w:rPr>
          <w:rFonts w:eastAsia="Times New Roman" w:cstheme="minorHAnsi"/>
          <w:kern w:val="0"/>
          <w:lang w:eastAsia="en-GB"/>
          <w14:ligatures w14:val="none"/>
        </w:rPr>
        <w:t>s</w:t>
      </w:r>
      <w:proofErr w:type="spellEnd"/>
      <w:r w:rsidRPr="00B06248">
        <w:rPr>
          <w:rFonts w:eastAsia="Times New Roman" w:cstheme="minorHAnsi"/>
          <w:kern w:val="0"/>
          <w:lang w:eastAsia="en-GB"/>
          <w14:ligatures w14:val="none"/>
        </w:rPr>
        <w:t xml:space="preserve"> m e n T, child development . Available at:</w:t>
      </w:r>
      <w:r w:rsidRPr="00B06248">
        <w:rPr>
          <w:rFonts w:eastAsia="Times New Roman" w:cstheme="minorHAnsi"/>
          <w:kern w:val="0"/>
          <w:lang w:eastAsia="en-GB"/>
          <w14:ligatures w14:val="none"/>
        </w:rPr>
        <w:t xml:space="preserve"> </w:t>
      </w:r>
      <w:r w:rsidRPr="00B06248">
        <w:rPr>
          <w:rFonts w:eastAsia="Times New Roman" w:cstheme="minorHAnsi"/>
          <w:kern w:val="0"/>
          <w:lang w:eastAsia="en-GB"/>
          <w14:ligatures w14:val="none"/>
        </w:rPr>
        <w:t>https://www.childdevelopment.org/docs/default-source/pdfs/observation-and-assessment-english2-8-20.pdf?sfvrsn=1e9226c1_2 (Accessed: 01 January 2024). </w:t>
      </w:r>
    </w:p>
    <w:p w14:paraId="06C9D118" w14:textId="77777777" w:rsidR="00E22D9A" w:rsidRPr="00B06248" w:rsidRDefault="00E22D9A" w:rsidP="00E22D9A">
      <w:pPr>
        <w:ind w:left="360"/>
        <w:rPr>
          <w:rFonts w:cstheme="minorHAnsi"/>
        </w:rPr>
      </w:pPr>
      <w:r w:rsidRPr="00B06248">
        <w:rPr>
          <w:rFonts w:cstheme="minorHAnsi"/>
        </w:rPr>
        <w:t>Piaget, J. (1952). The Origins of Intelligence in Children. New York: International Universities Press.</w:t>
      </w:r>
    </w:p>
    <w:p w14:paraId="07674C3B" w14:textId="77777777" w:rsidR="00E22D9A" w:rsidRPr="00B06248" w:rsidRDefault="00E22D9A" w:rsidP="00E22D9A">
      <w:pPr>
        <w:ind w:left="360"/>
        <w:rPr>
          <w:rFonts w:cstheme="minorHAnsi"/>
        </w:rPr>
      </w:pPr>
      <w:r w:rsidRPr="00B06248">
        <w:rPr>
          <w:rFonts w:cstheme="minorHAnsi"/>
        </w:rPr>
        <w:t>Pound, L. (2005). How Children Learn: From Montessori to Vygotsky - Educational Theories and Approaches Made Easy. Step Forward Publishing</w:t>
      </w:r>
      <w:r w:rsidRPr="00B06248">
        <w:rPr>
          <w:rFonts w:eastAsia="Times New Roman" w:cstheme="minorHAnsi"/>
          <w:kern w:val="0"/>
          <w:lang w:eastAsia="en-GB"/>
          <w14:ligatures w14:val="none"/>
        </w:rPr>
        <w:t xml:space="preserve"> (Accessed: 01 January 2024). </w:t>
      </w:r>
    </w:p>
    <w:p w14:paraId="20E423FD" w14:textId="77777777" w:rsidR="00E22D9A" w:rsidRPr="00B06248" w:rsidRDefault="00E22D9A" w:rsidP="00E22D9A">
      <w:pPr>
        <w:pStyle w:val="NormalWeb"/>
        <w:ind w:left="360"/>
        <w:rPr>
          <w:rStyle w:val="apple-converted-space"/>
          <w:rFonts w:asciiTheme="minorHAnsi" w:hAnsiTheme="minorHAnsi" w:cstheme="minorHAnsi"/>
        </w:rPr>
      </w:pPr>
      <w:r w:rsidRPr="00B06248">
        <w:rPr>
          <w:rStyle w:val="apple-converted-space"/>
          <w:rFonts w:asciiTheme="minorHAnsi" w:hAnsiTheme="minorHAnsi" w:cstheme="minorHAnsi"/>
        </w:rPr>
        <w:t xml:space="preserve">Pyle A, </w:t>
      </w:r>
      <w:r w:rsidRPr="00B06248">
        <w:rPr>
          <w:rStyle w:val="apple-converted-space"/>
          <w:rFonts w:asciiTheme="minorHAnsi" w:hAnsiTheme="minorHAnsi" w:cstheme="minorHAnsi"/>
        </w:rPr>
        <w:t xml:space="preserve">(2015) </w:t>
      </w:r>
      <w:r w:rsidRPr="00B06248">
        <w:rPr>
          <w:rStyle w:val="apple-converted-space"/>
          <w:rFonts w:asciiTheme="minorHAnsi" w:hAnsiTheme="minorHAnsi" w:cstheme="minorHAnsi"/>
        </w:rPr>
        <w:t>Play in kindergarten: An interview and observational study in three Canadian classrooms. Early Childhood Education Journal. 2015;43(5):385-393</w:t>
      </w:r>
      <w:r w:rsidRPr="00B06248">
        <w:rPr>
          <w:rFonts w:asciiTheme="minorHAnsi" w:hAnsiTheme="minorHAnsi" w:cstheme="minorHAnsi"/>
          <w14:ligatures w14:val="none"/>
        </w:rPr>
        <w:t xml:space="preserve"> (Accessed: 01 January 2024). </w:t>
      </w:r>
    </w:p>
    <w:p w14:paraId="6B456F5C" w14:textId="77777777" w:rsidR="00E22D9A" w:rsidRPr="00B06248" w:rsidRDefault="00E22D9A" w:rsidP="00E22D9A">
      <w:pPr>
        <w:ind w:left="360"/>
        <w:rPr>
          <w:rFonts w:cstheme="minorHAnsi"/>
        </w:rPr>
      </w:pPr>
      <w:r w:rsidRPr="00B06248">
        <w:rPr>
          <w:rFonts w:cstheme="minorHAnsi"/>
        </w:rPr>
        <w:t>Siraj-Blatchford, I. (2009). Learning in the Early Years: A Guide for Teachers of Children 3-7. Sage Publications</w:t>
      </w:r>
      <w:proofErr w:type="gramStart"/>
      <w:r w:rsidRPr="00B06248">
        <w:rPr>
          <w:rFonts w:cstheme="minorHAnsi"/>
        </w:rPr>
        <w:t>.</w:t>
      </w:r>
      <w:r w:rsidRPr="00B06248">
        <w:rPr>
          <w:rFonts w:cstheme="minorHAnsi"/>
        </w:rPr>
        <w:t xml:space="preserve"> </w:t>
      </w:r>
      <w:r w:rsidRPr="00B06248">
        <w:rPr>
          <w:rFonts w:cstheme="minorHAnsi"/>
        </w:rPr>
        <w:t>.</w:t>
      </w:r>
      <w:proofErr w:type="gramEnd"/>
      <w:r w:rsidRPr="00B06248">
        <w:rPr>
          <w:rFonts w:eastAsia="Times New Roman" w:cstheme="minorHAnsi"/>
          <w:kern w:val="0"/>
          <w:lang w:eastAsia="en-GB"/>
          <w14:ligatures w14:val="none"/>
        </w:rPr>
        <w:t xml:space="preserve"> (Accessed: 01 January 2024). </w:t>
      </w:r>
    </w:p>
    <w:p w14:paraId="61CDFD14" w14:textId="77777777" w:rsidR="00E22D9A" w:rsidRPr="00B06248" w:rsidRDefault="00E22D9A" w:rsidP="00E22D9A">
      <w:pPr>
        <w:spacing w:before="100" w:beforeAutospacing="1" w:after="100" w:afterAutospacing="1"/>
        <w:ind w:left="360"/>
        <w:rPr>
          <w:rFonts w:eastAsia="Times New Roman" w:cstheme="minorHAnsi"/>
          <w:kern w:val="0"/>
          <w:lang w:eastAsia="en-GB"/>
          <w14:ligatures w14:val="none"/>
        </w:rPr>
      </w:pPr>
      <w:r w:rsidRPr="00B06248">
        <w:rPr>
          <w:rFonts w:cstheme="minorHAnsi"/>
        </w:rPr>
        <w:t>Vygotsky, L. S. (1978). Mind in Society: The Development of Higher Psychological Processes. Cambridge, MA: Harvard University Press.</w:t>
      </w:r>
      <w:r w:rsidRPr="00B06248">
        <w:rPr>
          <w:rFonts w:eastAsia="Times New Roman" w:cstheme="minorHAnsi"/>
          <w:kern w:val="0"/>
          <w:lang w:eastAsia="en-GB"/>
          <w14:ligatures w14:val="none"/>
        </w:rPr>
        <w:t xml:space="preserve"> </w:t>
      </w:r>
      <w:r w:rsidRPr="00B06248">
        <w:rPr>
          <w:rFonts w:eastAsia="Times New Roman" w:cstheme="minorHAnsi"/>
          <w:kern w:val="0"/>
          <w:lang w:eastAsia="en-GB"/>
          <w14:ligatures w14:val="none"/>
        </w:rPr>
        <w:t>(Accessed: 01 January 2024). </w:t>
      </w:r>
    </w:p>
    <w:p w14:paraId="3672CE65" w14:textId="77777777" w:rsidR="00E22D9A" w:rsidRPr="00B06248" w:rsidRDefault="00E22D9A" w:rsidP="00E22D9A">
      <w:pPr>
        <w:ind w:left="360"/>
        <w:rPr>
          <w:rFonts w:cstheme="minorHAnsi"/>
        </w:rPr>
      </w:pPr>
      <w:r w:rsidRPr="00B06248">
        <w:rPr>
          <w:rFonts w:cstheme="minorHAnsi"/>
          <w:shd w:val="clear" w:color="auto" w:fill="FFFFFF"/>
        </w:rPr>
        <w:t xml:space="preserve">Walsh, G.M., McGuinness, C., Sproule, L. and </w:t>
      </w:r>
      <w:proofErr w:type="spellStart"/>
      <w:r w:rsidRPr="00B06248">
        <w:rPr>
          <w:rFonts w:cstheme="minorHAnsi"/>
          <w:shd w:val="clear" w:color="auto" w:fill="FFFFFF"/>
        </w:rPr>
        <w:t>Trew</w:t>
      </w:r>
      <w:proofErr w:type="spellEnd"/>
      <w:r w:rsidRPr="00B06248">
        <w:rPr>
          <w:rFonts w:cstheme="minorHAnsi"/>
          <w:shd w:val="clear" w:color="auto" w:fill="FFFFFF"/>
        </w:rPr>
        <w:t xml:space="preserve">, K., 2010. Implementing a play‐based and developmentally appropriate curriculum in Northern Ireland primary schools: What lessons have we </w:t>
      </w:r>
      <w:r w:rsidRPr="00B06248">
        <w:rPr>
          <w:rFonts w:cstheme="minorHAnsi"/>
          <w:shd w:val="clear" w:color="auto" w:fill="FFFFFF"/>
        </w:rPr>
        <w:t>learned?</w:t>
      </w:r>
      <w:r w:rsidRPr="00B06248">
        <w:rPr>
          <w:rStyle w:val="apple-converted-space"/>
          <w:rFonts w:cstheme="minorHAnsi"/>
          <w:shd w:val="clear" w:color="auto" w:fill="FFFFFF"/>
        </w:rPr>
        <w:t> </w:t>
      </w:r>
      <w:r w:rsidRPr="00B06248">
        <w:rPr>
          <w:rFonts w:cstheme="minorHAnsi"/>
        </w:rPr>
        <w:t>Early Years</w:t>
      </w:r>
      <w:r w:rsidRPr="00B06248">
        <w:rPr>
          <w:rFonts w:cstheme="minorHAnsi"/>
          <w:shd w:val="clear" w:color="auto" w:fill="FFFFFF"/>
        </w:rPr>
        <w:t>,</w:t>
      </w:r>
      <w:r w:rsidRPr="00B06248">
        <w:rPr>
          <w:rStyle w:val="apple-converted-space"/>
          <w:rFonts w:cstheme="minorHAnsi"/>
          <w:shd w:val="clear" w:color="auto" w:fill="FFFFFF"/>
        </w:rPr>
        <w:t> </w:t>
      </w:r>
      <w:r w:rsidRPr="00B06248">
        <w:rPr>
          <w:rFonts w:cstheme="minorHAnsi"/>
        </w:rPr>
        <w:t>30</w:t>
      </w:r>
      <w:r w:rsidRPr="00B06248">
        <w:rPr>
          <w:rFonts w:cstheme="minorHAnsi"/>
          <w:shd w:val="clear" w:color="auto" w:fill="FFFFFF"/>
        </w:rPr>
        <w:t>(1), pp.53-66.</w:t>
      </w:r>
    </w:p>
    <w:p w14:paraId="6D64C245" w14:textId="77777777" w:rsidR="00E22D9A" w:rsidRPr="00B06248" w:rsidRDefault="00E22D9A" w:rsidP="00E22D9A">
      <w:pPr>
        <w:ind w:left="360"/>
        <w:rPr>
          <w:rFonts w:cstheme="minorHAnsi"/>
        </w:rPr>
      </w:pPr>
      <w:r w:rsidRPr="00B06248">
        <w:rPr>
          <w:rFonts w:cstheme="minorHAnsi"/>
          <w:shd w:val="clear" w:color="auto" w:fill="FFFFFF"/>
        </w:rPr>
        <w:t xml:space="preserve">Wood, E., 2009. Conceptualizing a pedagogy of play: International perspectives from theory, </w:t>
      </w:r>
      <w:proofErr w:type="gramStart"/>
      <w:r w:rsidRPr="00B06248">
        <w:rPr>
          <w:rFonts w:cstheme="minorHAnsi"/>
          <w:shd w:val="clear" w:color="auto" w:fill="FFFFFF"/>
        </w:rPr>
        <w:t>policy</w:t>
      </w:r>
      <w:proofErr w:type="gramEnd"/>
      <w:r w:rsidRPr="00B06248">
        <w:rPr>
          <w:rFonts w:cstheme="minorHAnsi"/>
          <w:shd w:val="clear" w:color="auto" w:fill="FFFFFF"/>
        </w:rPr>
        <w:t xml:space="preserve"> and practice.</w:t>
      </w:r>
      <w:r w:rsidRPr="00B06248">
        <w:rPr>
          <w:rStyle w:val="apple-converted-space"/>
          <w:rFonts w:cstheme="minorHAnsi"/>
          <w:shd w:val="clear" w:color="auto" w:fill="FFFFFF"/>
        </w:rPr>
        <w:t> </w:t>
      </w:r>
      <w:r w:rsidRPr="00B06248">
        <w:rPr>
          <w:rFonts w:cstheme="minorHAnsi"/>
        </w:rPr>
        <w:t>From children to Red Hatters: Diverse images and issues of play</w:t>
      </w:r>
      <w:r w:rsidRPr="00B06248">
        <w:rPr>
          <w:rFonts w:cstheme="minorHAnsi"/>
          <w:shd w:val="clear" w:color="auto" w:fill="FFFFFF"/>
        </w:rPr>
        <w:t>,</w:t>
      </w:r>
      <w:r w:rsidRPr="00B06248">
        <w:rPr>
          <w:rStyle w:val="apple-converted-space"/>
          <w:rFonts w:cstheme="minorHAnsi"/>
          <w:shd w:val="clear" w:color="auto" w:fill="FFFFFF"/>
        </w:rPr>
        <w:t> </w:t>
      </w:r>
      <w:r w:rsidRPr="00B06248">
        <w:rPr>
          <w:rFonts w:cstheme="minorHAnsi"/>
        </w:rPr>
        <w:t>8</w:t>
      </w:r>
      <w:r w:rsidRPr="00B06248">
        <w:rPr>
          <w:rFonts w:cstheme="minorHAnsi"/>
          <w:shd w:val="clear" w:color="auto" w:fill="FFFFFF"/>
        </w:rPr>
        <w:t>, pp.166-189.</w:t>
      </w:r>
    </w:p>
    <w:p w14:paraId="4E1592F0" w14:textId="77777777" w:rsidR="00DF1A59" w:rsidRPr="00B06248" w:rsidRDefault="00DF1A59" w:rsidP="007B3010">
      <w:pPr>
        <w:pStyle w:val="ListParagraph"/>
        <w:rPr>
          <w:rFonts w:cstheme="minorHAnsi"/>
        </w:rPr>
      </w:pPr>
    </w:p>
    <w:p w14:paraId="5D258285" w14:textId="73199963" w:rsidR="00FC1D95" w:rsidRPr="00B06248" w:rsidRDefault="00FC1D95" w:rsidP="00FC1D95">
      <w:pPr>
        <w:rPr>
          <w:rFonts w:cstheme="minorHAnsi"/>
          <w:b/>
          <w:bCs/>
        </w:rPr>
      </w:pPr>
      <w:r w:rsidRPr="00B06248">
        <w:rPr>
          <w:rFonts w:cstheme="minorHAnsi"/>
          <w:b/>
          <w:bCs/>
        </w:rPr>
        <w:t xml:space="preserve">3] </w:t>
      </w:r>
      <w:r w:rsidRPr="00B06248">
        <w:rPr>
          <w:rFonts w:cstheme="minorHAnsi"/>
          <w:b/>
          <w:bCs/>
        </w:rPr>
        <w:t>Blog:  Challenges in Implementing Play-Based Curricula: Navigating the Path to Enriching Early Childhood Education</w:t>
      </w:r>
    </w:p>
    <w:p w14:paraId="7D81764D" w14:textId="4E7E6FCE" w:rsidR="00FC1D95" w:rsidRPr="00B06248" w:rsidRDefault="00FC1D95" w:rsidP="00FC1D95">
      <w:pPr>
        <w:rPr>
          <w:rFonts w:cstheme="minorHAnsi"/>
          <w:b/>
          <w:bCs/>
        </w:rPr>
      </w:pPr>
      <w:r w:rsidRPr="00B06248">
        <w:rPr>
          <w:rFonts w:cstheme="minorHAnsi"/>
          <w:b/>
          <w:bCs/>
        </w:rPr>
        <w:t>[1050 words]</w:t>
      </w:r>
    </w:p>
    <w:p w14:paraId="030D00F6" w14:textId="77777777" w:rsidR="00FC1D95" w:rsidRPr="00B06248" w:rsidRDefault="00FC1D95" w:rsidP="00FC1D95">
      <w:pPr>
        <w:rPr>
          <w:rFonts w:cstheme="minorHAnsi"/>
          <w:b/>
          <w:bCs/>
          <w:u w:val="single"/>
        </w:rPr>
      </w:pPr>
    </w:p>
    <w:p w14:paraId="24EA8C46" w14:textId="77777777" w:rsidR="00FC1D95" w:rsidRPr="00B06248" w:rsidRDefault="00FC1D95" w:rsidP="00FC1D95">
      <w:pPr>
        <w:rPr>
          <w:rFonts w:cstheme="minorHAnsi"/>
        </w:rPr>
      </w:pPr>
    </w:p>
    <w:p w14:paraId="55142808" w14:textId="77777777" w:rsidR="00FC1D95" w:rsidRPr="00B06248" w:rsidRDefault="00FC1D95" w:rsidP="00FC1D95">
      <w:pPr>
        <w:rPr>
          <w:rFonts w:cstheme="minorHAnsi"/>
          <w:b/>
          <w:bCs/>
        </w:rPr>
      </w:pPr>
      <w:r w:rsidRPr="00B06248">
        <w:rPr>
          <w:rFonts w:cstheme="minorHAnsi"/>
          <w:b/>
          <w:bCs/>
        </w:rPr>
        <w:t>The value of learning through play</w:t>
      </w:r>
      <w:r w:rsidRPr="00B06248">
        <w:rPr>
          <w:rFonts w:cstheme="minorHAnsi"/>
        </w:rPr>
        <w:t xml:space="preserve"> </w:t>
      </w:r>
    </w:p>
    <w:p w14:paraId="01509A25" w14:textId="77777777" w:rsidR="00FC1D95" w:rsidRPr="00B06248" w:rsidRDefault="00FC1D95" w:rsidP="00FC1D95">
      <w:pPr>
        <w:rPr>
          <w:rFonts w:cstheme="minorHAnsi"/>
          <w:b/>
          <w:bCs/>
          <w:u w:val="single"/>
        </w:rPr>
      </w:pPr>
    </w:p>
    <w:p w14:paraId="0C362BC0" w14:textId="77777777" w:rsidR="00FC1D95" w:rsidRPr="00B06248" w:rsidRDefault="00FC1D95" w:rsidP="00FC1D95">
      <w:pPr>
        <w:rPr>
          <w:rFonts w:cstheme="minorHAnsi"/>
        </w:rPr>
      </w:pPr>
      <w:r w:rsidRPr="00B06248">
        <w:rPr>
          <w:rFonts w:cstheme="minorHAnsi"/>
        </w:rPr>
        <w:t xml:space="preserve">In the dynamic landscape of early childhood education, the resounding echoes of laughter, the pitter-patter of tiny feet, and the joyous chaos that ensues are often indicative of a profound and purposeful endeavour – learning through play. </w:t>
      </w:r>
    </w:p>
    <w:p w14:paraId="153921F8" w14:textId="77777777" w:rsidR="00FC1D95" w:rsidRPr="00B06248" w:rsidRDefault="00FC1D95" w:rsidP="00FC1D95">
      <w:pPr>
        <w:rPr>
          <w:rFonts w:cstheme="minorHAnsi"/>
        </w:rPr>
      </w:pPr>
      <w:r w:rsidRPr="00B06248">
        <w:rPr>
          <w:rFonts w:cstheme="minorHAnsi"/>
        </w:rPr>
        <w:t>This approach, celebrated by renowned theorists in the field, transcends the traditional boundaries of education, unlocking a realm where imagination, creativity, and cognitive development intertwine harmoniously.</w:t>
      </w:r>
    </w:p>
    <w:p w14:paraId="4BD8F56E" w14:textId="77777777" w:rsidR="00FC1D95" w:rsidRPr="00B06248" w:rsidRDefault="00FC1D95" w:rsidP="00FC1D95">
      <w:pPr>
        <w:rPr>
          <w:rFonts w:cstheme="minorHAnsi"/>
        </w:rPr>
      </w:pPr>
    </w:p>
    <w:p w14:paraId="5D4C6659" w14:textId="77777777" w:rsidR="00FC1D95" w:rsidRPr="00B06248" w:rsidRDefault="00FC1D95" w:rsidP="00FC1D95">
      <w:pPr>
        <w:rPr>
          <w:rFonts w:cstheme="minorHAnsi"/>
        </w:rPr>
      </w:pPr>
    </w:p>
    <w:p w14:paraId="56FF3D59" w14:textId="77777777" w:rsidR="00FC1D95" w:rsidRPr="00B06248" w:rsidRDefault="00FC1D95" w:rsidP="00FC1D95">
      <w:pPr>
        <w:rPr>
          <w:rFonts w:cstheme="minorHAnsi"/>
        </w:rPr>
      </w:pPr>
      <w:r w:rsidRPr="00B06248">
        <w:rPr>
          <w:rFonts w:cstheme="minorHAnsi"/>
        </w:rPr>
        <w:t>Play-based curricula have gained recognition for their ability to foster holistic development in early childhood education. However, the implementation of such curricula comes with its own set of challenges. This blog explores some common obstacles faced by educators when integrating play-based learning and proposes practical solutions to overcome these challenges, fostering successful implementation.</w:t>
      </w:r>
    </w:p>
    <w:p w14:paraId="18E15115" w14:textId="77777777" w:rsidR="00FC1D95" w:rsidRPr="00B06248" w:rsidRDefault="00FC1D95" w:rsidP="00FC1D95">
      <w:pPr>
        <w:rPr>
          <w:rFonts w:cstheme="minorHAnsi"/>
        </w:rPr>
      </w:pPr>
    </w:p>
    <w:p w14:paraId="16F04CA0" w14:textId="77777777" w:rsidR="00FC1D95" w:rsidRPr="00B06248" w:rsidRDefault="00FC1D95" w:rsidP="00FC1D95">
      <w:pPr>
        <w:rPr>
          <w:rFonts w:cstheme="minorHAnsi"/>
        </w:rPr>
      </w:pPr>
      <w:r w:rsidRPr="00B06248">
        <w:rPr>
          <w:rFonts w:cstheme="minorHAnsi"/>
        </w:rPr>
        <w:t>Balancing Structure and Freedom:</w:t>
      </w:r>
    </w:p>
    <w:p w14:paraId="1BB8603B" w14:textId="77777777" w:rsidR="00FC1D95" w:rsidRPr="00B06248" w:rsidRDefault="00FC1D95" w:rsidP="00FC1D95">
      <w:pPr>
        <w:rPr>
          <w:rFonts w:cstheme="minorHAnsi"/>
          <w:u w:val="single"/>
        </w:rPr>
      </w:pPr>
    </w:p>
    <w:p w14:paraId="0B508390" w14:textId="77777777" w:rsidR="00FC1D95" w:rsidRPr="00B06248" w:rsidRDefault="00FC1D95" w:rsidP="00FC1D95">
      <w:pPr>
        <w:rPr>
          <w:rFonts w:cstheme="minorHAnsi"/>
        </w:rPr>
      </w:pPr>
      <w:r w:rsidRPr="00B06248">
        <w:rPr>
          <w:rFonts w:cstheme="minorHAnsi"/>
        </w:rPr>
        <w:t>Striking the right balance between providing structure and allowing freedom in play-based learning can be challenging. Some educators may struggle to find the sweet spot, fearing that too much freedom could lead to chaos, while too much structure might stifle creativity (Jones &amp; Reynolds, 2011). To address this challenge, educators can employ a flexible framework that provides guidance while allowing children to explore and direct their learning experiences (Bruce, 2019).</w:t>
      </w:r>
    </w:p>
    <w:p w14:paraId="2AD3F3C5" w14:textId="77777777" w:rsidR="00FC1D95" w:rsidRPr="00B06248" w:rsidRDefault="00FC1D95" w:rsidP="00FC1D95">
      <w:pPr>
        <w:rPr>
          <w:rFonts w:cstheme="minorHAnsi"/>
        </w:rPr>
      </w:pPr>
    </w:p>
    <w:p w14:paraId="203B98D8" w14:textId="77777777" w:rsidR="00FC1D95" w:rsidRPr="00B06248" w:rsidRDefault="00FC1D95" w:rsidP="00FC1D95">
      <w:pPr>
        <w:rPr>
          <w:rFonts w:cstheme="minorHAnsi"/>
        </w:rPr>
      </w:pPr>
      <w:r w:rsidRPr="00B06248">
        <w:rPr>
          <w:rFonts w:cstheme="minorHAnsi"/>
        </w:rPr>
        <w:t>Limited Resources and Space</w:t>
      </w:r>
    </w:p>
    <w:p w14:paraId="29636CDD" w14:textId="77777777" w:rsidR="00FC1D95" w:rsidRPr="00B06248" w:rsidRDefault="00FC1D95" w:rsidP="00FC1D95">
      <w:pPr>
        <w:rPr>
          <w:rFonts w:cstheme="minorHAnsi"/>
        </w:rPr>
      </w:pPr>
      <w:r w:rsidRPr="00B06248">
        <w:rPr>
          <w:rFonts w:cstheme="minorHAnsi"/>
        </w:rPr>
        <w:t xml:space="preserve">The challenge of limited resources and space underscores the need for resourcefulness in educators. </w:t>
      </w:r>
    </w:p>
    <w:p w14:paraId="66541E51" w14:textId="77777777" w:rsidR="00FC1D95" w:rsidRPr="00B06248" w:rsidRDefault="00FC1D95" w:rsidP="00FC1D95">
      <w:pPr>
        <w:rPr>
          <w:rFonts w:cstheme="minorHAnsi"/>
        </w:rPr>
      </w:pPr>
    </w:p>
    <w:p w14:paraId="441C06EE" w14:textId="77777777" w:rsidR="00FC1D95" w:rsidRPr="00B06248" w:rsidRDefault="00FC1D95" w:rsidP="00FC1D95">
      <w:pPr>
        <w:rPr>
          <w:rFonts w:cstheme="minorHAnsi"/>
        </w:rPr>
      </w:pPr>
      <w:r w:rsidRPr="00B06248">
        <w:rPr>
          <w:rFonts w:cstheme="minorHAnsi"/>
        </w:rPr>
        <w:t>Many early childhood settings face constraints in terms of resources and space, hindering the effective implementation of play-based curricula. This challenge calls for creative solutions, such as maximizing the use of available spaces, collaborating with the community to access additional resources, and incorporating open-ended materials that encourage imaginative play (</w:t>
      </w:r>
      <w:proofErr w:type="spellStart"/>
      <w:r w:rsidRPr="00B06248">
        <w:rPr>
          <w:rFonts w:cstheme="minorHAnsi"/>
        </w:rPr>
        <w:t>Saracho</w:t>
      </w:r>
      <w:proofErr w:type="spellEnd"/>
      <w:r w:rsidRPr="00B06248">
        <w:rPr>
          <w:rFonts w:cstheme="minorHAnsi"/>
        </w:rPr>
        <w:t xml:space="preserve"> &amp; </w:t>
      </w:r>
      <w:proofErr w:type="spellStart"/>
      <w:r w:rsidRPr="00B06248">
        <w:rPr>
          <w:rFonts w:cstheme="minorHAnsi"/>
        </w:rPr>
        <w:t>Spodek</w:t>
      </w:r>
      <w:proofErr w:type="spellEnd"/>
      <w:r w:rsidRPr="00B06248">
        <w:rPr>
          <w:rFonts w:cstheme="minorHAnsi"/>
        </w:rPr>
        <w:t>, 2010).</w:t>
      </w:r>
    </w:p>
    <w:p w14:paraId="0242BBD2" w14:textId="77777777" w:rsidR="00FC1D95" w:rsidRPr="00B06248" w:rsidRDefault="00FC1D95" w:rsidP="00FC1D95">
      <w:pPr>
        <w:rPr>
          <w:rFonts w:cstheme="minorHAnsi"/>
        </w:rPr>
      </w:pPr>
    </w:p>
    <w:p w14:paraId="552C1538" w14:textId="77777777" w:rsidR="00FC1D95" w:rsidRPr="00B06248" w:rsidRDefault="00FC1D95" w:rsidP="00FC1D95">
      <w:pPr>
        <w:rPr>
          <w:rFonts w:cstheme="minorHAnsi"/>
        </w:rPr>
      </w:pPr>
      <w:r w:rsidRPr="00B06248">
        <w:rPr>
          <w:rFonts w:cstheme="minorHAnsi"/>
        </w:rPr>
        <w:t>It beckons us to tap into our creativity, to transform small spaces into vibrant learning hubs and to forge partnerships with communities to enrich the play-based experience. After all, the essence of play lies not in grandeur but in the boundless imagination that can thrive even in the most modest of spaces.</w:t>
      </w:r>
    </w:p>
    <w:p w14:paraId="1736EC73" w14:textId="77777777" w:rsidR="00FC1D95" w:rsidRPr="00B06248" w:rsidRDefault="00FC1D95" w:rsidP="00FC1D95">
      <w:pPr>
        <w:rPr>
          <w:rFonts w:cstheme="minorHAnsi"/>
        </w:rPr>
      </w:pPr>
    </w:p>
    <w:p w14:paraId="3119BFDC" w14:textId="77777777" w:rsidR="00FC1D95" w:rsidRPr="00B06248" w:rsidRDefault="00FC1D95" w:rsidP="00FC1D95">
      <w:pPr>
        <w:rPr>
          <w:rFonts w:cstheme="minorHAnsi"/>
        </w:rPr>
      </w:pPr>
      <w:r w:rsidRPr="00B06248">
        <w:rPr>
          <w:rFonts w:cstheme="minorHAnsi"/>
        </w:rPr>
        <w:t>Assessment and Documentation</w:t>
      </w:r>
    </w:p>
    <w:p w14:paraId="43E22AB8" w14:textId="77777777" w:rsidR="00FC1D95" w:rsidRPr="00B06248" w:rsidRDefault="00FC1D95" w:rsidP="00FC1D95">
      <w:pPr>
        <w:rPr>
          <w:rFonts w:cstheme="minorHAnsi"/>
        </w:rPr>
      </w:pPr>
      <w:r w:rsidRPr="00B06248">
        <w:rPr>
          <w:rFonts w:cstheme="minorHAnsi"/>
        </w:rPr>
        <w:t>The realm of assessment and documentation poses a unique challenge that requires educators to step out of the comfort zone of standardized testing. This challenge resonates with my belief that assessing a child's development during play should be as dynamic and diverse as the play itself.</w:t>
      </w:r>
    </w:p>
    <w:p w14:paraId="568DBFD7" w14:textId="77777777" w:rsidR="00FC1D95" w:rsidRPr="00B06248" w:rsidRDefault="00FC1D95" w:rsidP="00FC1D95">
      <w:pPr>
        <w:rPr>
          <w:rFonts w:cstheme="minorHAnsi"/>
        </w:rPr>
      </w:pPr>
    </w:p>
    <w:p w14:paraId="170583A2" w14:textId="77777777" w:rsidR="00FC1D95" w:rsidRPr="00B06248" w:rsidRDefault="00FC1D95" w:rsidP="00FC1D95">
      <w:pPr>
        <w:rPr>
          <w:rFonts w:cstheme="minorHAnsi"/>
        </w:rPr>
      </w:pPr>
      <w:r w:rsidRPr="00B06248">
        <w:rPr>
          <w:rFonts w:cstheme="minorHAnsi"/>
        </w:rPr>
        <w:t>Traditional assessment methods may not align seamlessly with the dynamic and child-centred nature of play-based learning. Overcoming this challenge involves adopting alternative assessment approaches, such as narrative assessments, portfolios, and observations, to capture the multifaceted aspects of a child's development during play (Drummond, 2015; Wood, 2018).</w:t>
      </w:r>
    </w:p>
    <w:p w14:paraId="4997A03D" w14:textId="77777777" w:rsidR="00FC1D95" w:rsidRPr="00B06248" w:rsidRDefault="00FC1D95" w:rsidP="00FC1D95">
      <w:pPr>
        <w:rPr>
          <w:rFonts w:cstheme="minorHAnsi"/>
        </w:rPr>
      </w:pPr>
    </w:p>
    <w:p w14:paraId="58EB1B73" w14:textId="77777777" w:rsidR="00FC1D95" w:rsidRPr="00B06248" w:rsidRDefault="00FC1D95" w:rsidP="00FC1D95">
      <w:pPr>
        <w:rPr>
          <w:rFonts w:cstheme="minorHAnsi"/>
        </w:rPr>
      </w:pPr>
      <w:r w:rsidRPr="00B06248">
        <w:rPr>
          <w:rFonts w:cstheme="minorHAnsi"/>
        </w:rPr>
        <w:t>Adopting alternative assessment methods, such as narrative assessments and portfolios, is not just a workaround but a conscious choice to celebrate the rich tapestry of each child's learning journey.</w:t>
      </w:r>
    </w:p>
    <w:p w14:paraId="4E88FC11" w14:textId="77777777" w:rsidR="00FC1D95" w:rsidRPr="00B06248" w:rsidRDefault="00FC1D95" w:rsidP="00FC1D95">
      <w:pPr>
        <w:rPr>
          <w:rFonts w:cstheme="minorHAnsi"/>
        </w:rPr>
      </w:pPr>
    </w:p>
    <w:p w14:paraId="783B0A97" w14:textId="77777777" w:rsidR="00FC1D95" w:rsidRPr="00B06248" w:rsidRDefault="00FC1D95" w:rsidP="00FC1D95">
      <w:pPr>
        <w:rPr>
          <w:rFonts w:cstheme="minorHAnsi"/>
        </w:rPr>
      </w:pPr>
      <w:r w:rsidRPr="00B06248">
        <w:rPr>
          <w:rFonts w:cstheme="minorHAnsi"/>
        </w:rPr>
        <w:t>Parental Understanding and Involvement</w:t>
      </w:r>
    </w:p>
    <w:p w14:paraId="0C122AB6" w14:textId="77777777" w:rsidR="00FC1D95" w:rsidRPr="00B06248" w:rsidRDefault="00FC1D95" w:rsidP="00FC1D95">
      <w:pPr>
        <w:rPr>
          <w:rFonts w:cstheme="minorHAnsi"/>
        </w:rPr>
      </w:pPr>
      <w:r w:rsidRPr="00B06248">
        <w:rPr>
          <w:rFonts w:cstheme="minorHAnsi"/>
        </w:rPr>
        <w:t>When it comes to parental understanding and involvement, I share the conviction that fostering a strong partnership between educators and parents is akin to building a bridge that connects the two most influential environments in a child's life—home and school.</w:t>
      </w:r>
    </w:p>
    <w:p w14:paraId="2FFD324E" w14:textId="77777777" w:rsidR="00FC1D95" w:rsidRPr="00B06248" w:rsidRDefault="00FC1D95" w:rsidP="00FC1D95">
      <w:pPr>
        <w:rPr>
          <w:rFonts w:cstheme="minorHAnsi"/>
        </w:rPr>
      </w:pPr>
      <w:r w:rsidRPr="00B06248">
        <w:rPr>
          <w:rFonts w:cstheme="minorHAnsi"/>
        </w:rPr>
        <w:t>Educating parents about the benefits of play-based curricula and involving them in the learning process can be a significant challenge. Regular communication, workshops, and sharing success stories can help bridge the gap between home and school, ensuring parents understand and support the play-based approach (Reid &amp; Smart, 2019).</w:t>
      </w:r>
    </w:p>
    <w:p w14:paraId="1F7F97EE" w14:textId="77777777" w:rsidR="00FC1D95" w:rsidRPr="00B06248" w:rsidRDefault="00FC1D95" w:rsidP="00FC1D95">
      <w:pPr>
        <w:rPr>
          <w:rFonts w:cstheme="minorHAnsi"/>
        </w:rPr>
      </w:pPr>
    </w:p>
    <w:p w14:paraId="7CF444C6" w14:textId="77777777" w:rsidR="00FC1D95" w:rsidRPr="00B06248" w:rsidRDefault="00FC1D95" w:rsidP="00FC1D95">
      <w:pPr>
        <w:rPr>
          <w:rFonts w:cstheme="minorHAnsi"/>
        </w:rPr>
      </w:pPr>
      <w:r w:rsidRPr="00B06248">
        <w:rPr>
          <w:rFonts w:cstheme="minorHAnsi"/>
        </w:rPr>
        <w:t xml:space="preserve"> In my experience, regular communication and workshops are not just strategies but essential tools to break down barriers and cultivate a shared commitment to the play-based approach.</w:t>
      </w:r>
    </w:p>
    <w:p w14:paraId="41FF4C6D" w14:textId="77777777" w:rsidR="00FC1D95" w:rsidRPr="00B06248" w:rsidRDefault="00FC1D95" w:rsidP="00FC1D95">
      <w:pPr>
        <w:rPr>
          <w:rFonts w:cstheme="minorHAnsi"/>
        </w:rPr>
      </w:pPr>
    </w:p>
    <w:p w14:paraId="7A23CC08" w14:textId="77777777" w:rsidR="00FC1D95" w:rsidRPr="00B06248" w:rsidRDefault="00FC1D95" w:rsidP="00FC1D95">
      <w:pPr>
        <w:rPr>
          <w:rFonts w:cstheme="minorHAnsi"/>
        </w:rPr>
      </w:pPr>
      <w:r w:rsidRPr="00B06248">
        <w:rPr>
          <w:rFonts w:cstheme="minorHAnsi"/>
        </w:rPr>
        <w:t>Teacher Professional Development:</w:t>
      </w:r>
    </w:p>
    <w:p w14:paraId="4A575853" w14:textId="77777777" w:rsidR="00FC1D95" w:rsidRPr="00B06248" w:rsidRDefault="00FC1D95" w:rsidP="00FC1D95">
      <w:pPr>
        <w:rPr>
          <w:rFonts w:cstheme="minorHAnsi"/>
        </w:rPr>
      </w:pPr>
      <w:r w:rsidRPr="00B06248">
        <w:rPr>
          <w:rFonts w:cstheme="minorHAnsi"/>
        </w:rPr>
        <w:t>Implementing play-based curricula effectively requires a shift in teaching practices. Inadequate training and professional development can hinder educators' ability to facilitate meaningful play experiences. Continuous training, mentorship programs, and communities of practice can support teachers in honing their skills and embracing the principles of play-based learning (Isbell &amp; Raines, 2013).</w:t>
      </w:r>
    </w:p>
    <w:p w14:paraId="13E44717" w14:textId="77777777" w:rsidR="00FC1D95" w:rsidRPr="00B06248" w:rsidRDefault="00FC1D95" w:rsidP="00FC1D95">
      <w:pPr>
        <w:rPr>
          <w:rFonts w:cstheme="minorHAnsi"/>
        </w:rPr>
      </w:pPr>
      <w:r w:rsidRPr="00B06248">
        <w:rPr>
          <w:rFonts w:cstheme="minorHAnsi"/>
        </w:rPr>
        <w:t xml:space="preserve">As an advocate for continuous learning, I resonate with the notion that teacher professional development is not just a requisite but an investment. </w:t>
      </w:r>
    </w:p>
    <w:p w14:paraId="3787F627" w14:textId="77777777" w:rsidR="00FC1D95" w:rsidRPr="00B06248" w:rsidRDefault="00FC1D95" w:rsidP="00FC1D95">
      <w:pPr>
        <w:rPr>
          <w:rFonts w:cstheme="minorHAnsi"/>
        </w:rPr>
      </w:pPr>
    </w:p>
    <w:p w14:paraId="75FB03DE" w14:textId="77777777" w:rsidR="00FC1D95" w:rsidRPr="00B06248" w:rsidRDefault="00FC1D95" w:rsidP="00FC1D95">
      <w:pPr>
        <w:rPr>
          <w:rFonts w:cstheme="minorHAnsi"/>
        </w:rPr>
      </w:pPr>
      <w:r w:rsidRPr="00B06248">
        <w:rPr>
          <w:rFonts w:cstheme="minorHAnsi"/>
        </w:rPr>
        <w:t>Implementing play-based curricula effectively requires a shift in teaching practices. Inadequate training and professional development can hinder educators' ability to facilitate meaningful play experiences. Continuous training, mentorship programs, and communities of practice can support teachers in honing their skills and embracing the principles of play-based learning (Isbell &amp; Raines, 2013).</w:t>
      </w:r>
    </w:p>
    <w:p w14:paraId="39D0435A" w14:textId="77777777" w:rsidR="00FC1D95" w:rsidRPr="00B06248" w:rsidRDefault="00FC1D95" w:rsidP="00FC1D95">
      <w:pPr>
        <w:rPr>
          <w:rFonts w:cstheme="minorHAnsi"/>
        </w:rPr>
      </w:pPr>
    </w:p>
    <w:p w14:paraId="05B49629" w14:textId="77777777" w:rsidR="00FC1D95" w:rsidRPr="00B06248" w:rsidRDefault="00FC1D95" w:rsidP="00FC1D95">
      <w:pPr>
        <w:rPr>
          <w:rFonts w:cstheme="minorHAnsi"/>
        </w:rPr>
      </w:pPr>
      <w:r w:rsidRPr="00B06248">
        <w:rPr>
          <w:rFonts w:cstheme="minorHAnsi"/>
        </w:rPr>
        <w:t>Embracing a play-based curriculum necessitates a shift in mindset and pedagogical approaches. I believe that the journey of professional development is not a solitary one; it thrives in communities of practice, where educators can share insights, learn from each other, and collectively elevate the standards of play-based education.</w:t>
      </w:r>
    </w:p>
    <w:p w14:paraId="7BF15ACA" w14:textId="77777777" w:rsidR="00FC1D95" w:rsidRPr="00B06248" w:rsidRDefault="00FC1D95" w:rsidP="00FC1D95">
      <w:pPr>
        <w:rPr>
          <w:rFonts w:cstheme="minorHAnsi"/>
        </w:rPr>
      </w:pPr>
    </w:p>
    <w:p w14:paraId="7534E48D" w14:textId="77777777" w:rsidR="00FC1D95" w:rsidRPr="00B06248" w:rsidRDefault="00FC1D95" w:rsidP="00FC1D95">
      <w:pPr>
        <w:rPr>
          <w:rFonts w:cstheme="minorHAnsi"/>
        </w:rPr>
      </w:pPr>
      <w:r w:rsidRPr="00B06248">
        <w:rPr>
          <w:rFonts w:cstheme="minorHAnsi"/>
        </w:rPr>
        <w:t>Cultural Sensitivity and Inclusivity</w:t>
      </w:r>
    </w:p>
    <w:p w14:paraId="0930E817" w14:textId="77777777" w:rsidR="00FC1D95" w:rsidRPr="00B06248" w:rsidRDefault="00FC1D95" w:rsidP="00FC1D95">
      <w:pPr>
        <w:rPr>
          <w:rFonts w:cstheme="minorHAnsi"/>
          <w:u w:val="single"/>
        </w:rPr>
      </w:pPr>
    </w:p>
    <w:p w14:paraId="34447F5E" w14:textId="77777777" w:rsidR="00FC1D95" w:rsidRPr="00B06248" w:rsidRDefault="00FC1D95" w:rsidP="00FC1D95">
      <w:pPr>
        <w:rPr>
          <w:rFonts w:cstheme="minorHAnsi"/>
        </w:rPr>
      </w:pPr>
      <w:r w:rsidRPr="00B06248">
        <w:rPr>
          <w:rFonts w:cstheme="minorHAnsi"/>
        </w:rPr>
        <w:t>Ensuring that play-based curricula are culturally sensitive and inclusive presents a challenge, especially in diverse learning environments. Educators need to actively seek cultural competence, incorporate diverse perspectives into the curriculum, and create an inclusive atmosphere that celebrates differences (Howard &amp; McInnes, 2013).</w:t>
      </w:r>
    </w:p>
    <w:p w14:paraId="42D6F7CA" w14:textId="77777777" w:rsidR="00FC1D95" w:rsidRPr="00B06248" w:rsidRDefault="00FC1D95" w:rsidP="00FC1D95">
      <w:pPr>
        <w:rPr>
          <w:rFonts w:cstheme="minorHAnsi"/>
        </w:rPr>
      </w:pPr>
    </w:p>
    <w:p w14:paraId="4BECD487" w14:textId="77777777" w:rsidR="00FC1D95" w:rsidRPr="00B06248" w:rsidRDefault="00FC1D95" w:rsidP="00FC1D95">
      <w:pPr>
        <w:rPr>
          <w:rFonts w:cstheme="minorHAnsi"/>
        </w:rPr>
      </w:pPr>
      <w:r w:rsidRPr="00B06248">
        <w:rPr>
          <w:rFonts w:cstheme="minorHAnsi"/>
        </w:rPr>
        <w:t>Cultural sensitivity and inclusivity strike a chord with my belief in the transformative power of education. I believe fostering a culturally rich and inclusive play environment is not just a challenge; it is a responsibility. By actively seeking cultural competence and celebrating diversity, educators contribute to creating an environment where every child feels seen, heard, and valued.</w:t>
      </w:r>
    </w:p>
    <w:p w14:paraId="57A21835" w14:textId="77777777" w:rsidR="00FC1D95" w:rsidRPr="00B06248" w:rsidRDefault="00FC1D95" w:rsidP="00FC1D95">
      <w:pPr>
        <w:rPr>
          <w:rFonts w:cstheme="minorHAnsi"/>
        </w:rPr>
      </w:pPr>
    </w:p>
    <w:p w14:paraId="008788F1" w14:textId="77777777" w:rsidR="00FC1D95" w:rsidRPr="00B06248" w:rsidRDefault="00FC1D95" w:rsidP="00FC1D95">
      <w:pPr>
        <w:rPr>
          <w:rFonts w:cstheme="minorHAnsi"/>
        </w:rPr>
      </w:pPr>
      <w:r w:rsidRPr="00B06248">
        <w:rPr>
          <w:rFonts w:cstheme="minorHAnsi"/>
        </w:rPr>
        <w:t>Resistance to Change:</w:t>
      </w:r>
    </w:p>
    <w:p w14:paraId="6A9D374D" w14:textId="77777777" w:rsidR="00FC1D95" w:rsidRPr="00B06248" w:rsidRDefault="00FC1D95" w:rsidP="00FC1D95">
      <w:pPr>
        <w:rPr>
          <w:rFonts w:cstheme="minorHAnsi"/>
        </w:rPr>
      </w:pPr>
      <w:r w:rsidRPr="00B06248">
        <w:rPr>
          <w:rFonts w:cstheme="minorHAnsi"/>
        </w:rPr>
        <w:t>Resistance to change within educational institutions can impede the successful implementation of play-based curricula. Building a shared understanding of the benefits of play-based learning among administrators, teachers, and stakeholders is crucial. Engaging in dialogue, sharing research findings, and gradually phasing in changes can help overcome resistance (Miller &amp; Almon, 2009).</w:t>
      </w:r>
    </w:p>
    <w:p w14:paraId="2C5F7631" w14:textId="77777777" w:rsidR="00FC1D95" w:rsidRPr="00B06248" w:rsidRDefault="00FC1D95" w:rsidP="00FC1D95">
      <w:pPr>
        <w:rPr>
          <w:rFonts w:cstheme="minorHAnsi"/>
        </w:rPr>
      </w:pPr>
    </w:p>
    <w:p w14:paraId="65460659" w14:textId="77777777" w:rsidR="00FC1D95" w:rsidRPr="00B06248" w:rsidRDefault="00FC1D95" w:rsidP="00FC1D95">
      <w:pPr>
        <w:rPr>
          <w:rFonts w:cstheme="minorHAnsi"/>
        </w:rPr>
      </w:pPr>
      <w:r w:rsidRPr="00B06248">
        <w:rPr>
          <w:rFonts w:cstheme="minorHAnsi"/>
        </w:rPr>
        <w:t>Resistance to change is a challenge that resonates with the reality of any transformative educational endeavour. However, in my view, resistance is not an immovable obstacle but an opportunity for dialogue and collaboration. Engaging in conversations, sharing success stories, and gradually introducing changes are not just strategies; they are the building blocks of a cultural shift towards embracing the potential of play-based learning.</w:t>
      </w:r>
    </w:p>
    <w:p w14:paraId="4A6E6849" w14:textId="77777777" w:rsidR="00FC1D95" w:rsidRPr="00B06248" w:rsidRDefault="00FC1D95" w:rsidP="00FC1D95">
      <w:pPr>
        <w:rPr>
          <w:rFonts w:cstheme="minorHAnsi"/>
        </w:rPr>
      </w:pPr>
    </w:p>
    <w:p w14:paraId="08A39E33" w14:textId="77777777" w:rsidR="00FC1D95" w:rsidRPr="00B06248" w:rsidRDefault="00FC1D95" w:rsidP="00FC1D95">
      <w:pPr>
        <w:rPr>
          <w:rFonts w:cstheme="minorHAnsi"/>
        </w:rPr>
      </w:pPr>
      <w:r w:rsidRPr="00B06248">
        <w:rPr>
          <w:rFonts w:cstheme="minorHAnsi"/>
        </w:rPr>
        <w:t>Implementing play-based curricula in early childhood education indeed brings forth a host of challenges that educators must navigate. However, it is crucial to recognize that these challenges, though formidable, are not insurmountable. As someone who values the essence of play in the learning journey of children, I believe that finding the delicate equilibrium between structure and freedom is not just a challenge but an art. It demands a keen understanding of individual children's needs, a skilful orchestration of the learning environment, and a mindset that embraces the inherent unpredictability and creativity that emerges during play.</w:t>
      </w:r>
    </w:p>
    <w:p w14:paraId="07F8D0AA" w14:textId="77777777" w:rsidR="00FC1D95" w:rsidRPr="00B06248" w:rsidRDefault="00FC1D95" w:rsidP="00FC1D95">
      <w:pPr>
        <w:rPr>
          <w:rFonts w:cstheme="minorHAnsi"/>
        </w:rPr>
      </w:pPr>
    </w:p>
    <w:p w14:paraId="6F69BDD5" w14:textId="77777777" w:rsidR="00FC1D95" w:rsidRPr="00B06248" w:rsidRDefault="00FC1D95" w:rsidP="00FC1D95">
      <w:pPr>
        <w:rPr>
          <w:rFonts w:cstheme="minorHAnsi"/>
        </w:rPr>
      </w:pPr>
    </w:p>
    <w:p w14:paraId="46A4776F" w14:textId="77777777" w:rsidR="00FC1D95" w:rsidRPr="00B06248" w:rsidRDefault="00FC1D95" w:rsidP="00FC1D95">
      <w:pPr>
        <w:rPr>
          <w:rFonts w:cstheme="minorHAnsi"/>
          <w:b/>
          <w:bCs/>
          <w:u w:val="single"/>
        </w:rPr>
      </w:pPr>
      <w:r w:rsidRPr="00B06248">
        <w:rPr>
          <w:rFonts w:cstheme="minorHAnsi"/>
          <w:b/>
          <w:bCs/>
          <w:u w:val="single"/>
        </w:rPr>
        <w:t>References:</w:t>
      </w:r>
    </w:p>
    <w:p w14:paraId="2E86BC42" w14:textId="77777777" w:rsidR="00FC1D95" w:rsidRPr="00B06248" w:rsidRDefault="00FC1D95" w:rsidP="00FC1D95">
      <w:pPr>
        <w:rPr>
          <w:rFonts w:cstheme="minorHAnsi"/>
        </w:rPr>
      </w:pPr>
      <w:r w:rsidRPr="00B06248">
        <w:rPr>
          <w:rFonts w:cstheme="minorHAnsi"/>
        </w:rPr>
        <w:t>Bruce, T. (2019). Learning Through Play: For Babies, Toddlers and Young Children. Routledge.</w:t>
      </w:r>
    </w:p>
    <w:p w14:paraId="01F10F24" w14:textId="77777777" w:rsidR="00FC1D95" w:rsidRPr="00B06248" w:rsidRDefault="00FC1D95" w:rsidP="00FC1D95">
      <w:pPr>
        <w:rPr>
          <w:rFonts w:cstheme="minorHAnsi"/>
        </w:rPr>
      </w:pPr>
    </w:p>
    <w:p w14:paraId="17DE7F6B" w14:textId="77777777" w:rsidR="00FC1D95" w:rsidRPr="00B06248" w:rsidRDefault="00FC1D95" w:rsidP="00FC1D95">
      <w:pPr>
        <w:rPr>
          <w:rFonts w:cstheme="minorHAnsi"/>
        </w:rPr>
      </w:pPr>
      <w:r w:rsidRPr="00B06248">
        <w:rPr>
          <w:rFonts w:cstheme="minorHAnsi"/>
        </w:rPr>
        <w:t>Drummond, M. (2015). Assessment in Early Childhood Settings: Learning Stories. SAGE Publications.</w:t>
      </w:r>
      <w:r w:rsidRPr="00B06248">
        <w:rPr>
          <w:rFonts w:eastAsia="Times New Roman" w:cstheme="minorHAnsi"/>
          <w:kern w:val="0"/>
          <w:lang w:eastAsia="en-GB"/>
          <w14:ligatures w14:val="none"/>
        </w:rPr>
        <w:t xml:space="preserve"> (Accessed: 01 January 2024). </w:t>
      </w:r>
    </w:p>
    <w:p w14:paraId="4DCAED36" w14:textId="77777777" w:rsidR="00FC1D95" w:rsidRPr="00B06248" w:rsidRDefault="00FC1D95" w:rsidP="00FC1D95">
      <w:pPr>
        <w:rPr>
          <w:rFonts w:cstheme="minorHAnsi"/>
        </w:rPr>
      </w:pPr>
    </w:p>
    <w:p w14:paraId="7CFB0A14" w14:textId="77777777" w:rsidR="00FC1D95" w:rsidRPr="00B06248" w:rsidRDefault="00FC1D95" w:rsidP="00FC1D95">
      <w:pPr>
        <w:rPr>
          <w:rFonts w:cstheme="minorHAnsi"/>
        </w:rPr>
      </w:pPr>
      <w:r w:rsidRPr="00B06248">
        <w:rPr>
          <w:rFonts w:cstheme="minorHAnsi"/>
        </w:rPr>
        <w:t>Howard, J., &amp; McInnes, K. (2013). The Essence of Play: A Practice Companion for Professionals Working with Children and Young People. Routledge.</w:t>
      </w:r>
      <w:r w:rsidRPr="00B06248">
        <w:rPr>
          <w:rFonts w:eastAsia="Times New Roman" w:cstheme="minorHAnsi"/>
          <w:kern w:val="0"/>
          <w:lang w:eastAsia="en-GB"/>
          <w14:ligatures w14:val="none"/>
        </w:rPr>
        <w:t xml:space="preserve"> (Accessed: 01 January 2024). </w:t>
      </w:r>
    </w:p>
    <w:p w14:paraId="45BE9CD3" w14:textId="77777777" w:rsidR="00FC1D95" w:rsidRPr="00B06248" w:rsidRDefault="00FC1D95" w:rsidP="00FC1D95">
      <w:pPr>
        <w:rPr>
          <w:rFonts w:cstheme="minorHAnsi"/>
        </w:rPr>
      </w:pPr>
    </w:p>
    <w:p w14:paraId="3C93125C" w14:textId="77777777" w:rsidR="00FC1D95" w:rsidRPr="00B06248" w:rsidRDefault="00FC1D95" w:rsidP="00FC1D95">
      <w:pPr>
        <w:rPr>
          <w:rFonts w:cstheme="minorHAnsi"/>
        </w:rPr>
      </w:pPr>
      <w:r w:rsidRPr="00B06248">
        <w:rPr>
          <w:rFonts w:cstheme="minorHAnsi"/>
        </w:rPr>
        <w:t>Isbell, R., &amp; Raines, S. (2013). Creativity and the Arts with Young Children. Cengage Learning.</w:t>
      </w:r>
      <w:r w:rsidRPr="00B06248">
        <w:rPr>
          <w:rFonts w:eastAsia="Times New Roman" w:cstheme="minorHAnsi"/>
          <w:kern w:val="0"/>
          <w:lang w:eastAsia="en-GB"/>
          <w14:ligatures w14:val="none"/>
        </w:rPr>
        <w:t xml:space="preserve"> (Accessed: 01 January 2024). </w:t>
      </w:r>
    </w:p>
    <w:p w14:paraId="713426BD" w14:textId="77777777" w:rsidR="00FC1D95" w:rsidRPr="00B06248" w:rsidRDefault="00FC1D95" w:rsidP="00FC1D95">
      <w:pPr>
        <w:rPr>
          <w:rFonts w:cstheme="minorHAnsi"/>
        </w:rPr>
      </w:pPr>
    </w:p>
    <w:p w14:paraId="78BF2043" w14:textId="77777777" w:rsidR="00FC1D95" w:rsidRPr="00B06248" w:rsidRDefault="00FC1D95" w:rsidP="00FC1D95">
      <w:pPr>
        <w:rPr>
          <w:rFonts w:cstheme="minorHAnsi"/>
        </w:rPr>
      </w:pPr>
      <w:r w:rsidRPr="00B06248">
        <w:rPr>
          <w:rFonts w:cstheme="minorHAnsi"/>
        </w:rPr>
        <w:t>Jones, E., &amp; Reynolds, G. (2011). The Play's the Thing: Teachers' Roles in Children's Play. Teachers College Press,</w:t>
      </w:r>
      <w:r w:rsidRPr="00B06248">
        <w:rPr>
          <w:rFonts w:eastAsia="Times New Roman" w:cstheme="minorHAnsi"/>
          <w:kern w:val="0"/>
          <w:lang w:eastAsia="en-GB"/>
          <w14:ligatures w14:val="none"/>
        </w:rPr>
        <w:t xml:space="preserve"> (Accessed: 01 January 2024). </w:t>
      </w:r>
    </w:p>
    <w:p w14:paraId="57459111" w14:textId="77777777" w:rsidR="00FC1D95" w:rsidRPr="00B06248" w:rsidRDefault="00FC1D95" w:rsidP="00FC1D95">
      <w:pPr>
        <w:rPr>
          <w:rFonts w:cstheme="minorHAnsi"/>
        </w:rPr>
      </w:pPr>
    </w:p>
    <w:p w14:paraId="22DB1437" w14:textId="77777777" w:rsidR="00FC1D95" w:rsidRPr="00B06248" w:rsidRDefault="00FC1D95" w:rsidP="00FC1D95">
      <w:pPr>
        <w:rPr>
          <w:rFonts w:cstheme="minorHAnsi"/>
        </w:rPr>
      </w:pPr>
      <w:r w:rsidRPr="00B06248">
        <w:rPr>
          <w:rFonts w:cstheme="minorHAnsi"/>
        </w:rPr>
        <w:t>Miller, E., &amp; Almon, J. (2009). Crisis in the Kindergarten: Why Children Need to Play in School. Alliance for Childhood.</w:t>
      </w:r>
      <w:r w:rsidRPr="00B06248">
        <w:rPr>
          <w:rFonts w:eastAsia="Times New Roman" w:cstheme="minorHAnsi"/>
          <w:kern w:val="0"/>
          <w:lang w:eastAsia="en-GB"/>
          <w14:ligatures w14:val="none"/>
        </w:rPr>
        <w:t xml:space="preserve"> (Accessed: 01 January 2024). </w:t>
      </w:r>
    </w:p>
    <w:p w14:paraId="49A3500E" w14:textId="77777777" w:rsidR="00FC1D95" w:rsidRPr="00B06248" w:rsidRDefault="00FC1D95" w:rsidP="00FC1D95">
      <w:pPr>
        <w:rPr>
          <w:rFonts w:cstheme="minorHAnsi"/>
        </w:rPr>
      </w:pPr>
    </w:p>
    <w:p w14:paraId="19430D45" w14:textId="77777777" w:rsidR="00FC1D95" w:rsidRPr="00B06248" w:rsidRDefault="00FC1D95" w:rsidP="00FC1D95">
      <w:pPr>
        <w:rPr>
          <w:rFonts w:cstheme="minorHAnsi"/>
        </w:rPr>
      </w:pPr>
      <w:r w:rsidRPr="00B06248">
        <w:rPr>
          <w:rFonts w:cstheme="minorHAnsi"/>
        </w:rPr>
        <w:t>Reid, C., &amp; Smart, D. (2019). Parental Involvement in Childhood Education: Building Effective School-Family Partnerships. Springer.</w:t>
      </w:r>
      <w:r w:rsidRPr="00B06248">
        <w:rPr>
          <w:rFonts w:eastAsia="Times New Roman" w:cstheme="minorHAnsi"/>
          <w:kern w:val="0"/>
          <w:lang w:eastAsia="en-GB"/>
          <w14:ligatures w14:val="none"/>
        </w:rPr>
        <w:t xml:space="preserve"> (Accessed: 01 January 2024). </w:t>
      </w:r>
    </w:p>
    <w:p w14:paraId="3C60BDEC" w14:textId="77777777" w:rsidR="00FC1D95" w:rsidRPr="00B06248" w:rsidRDefault="00FC1D95" w:rsidP="00FC1D95">
      <w:pPr>
        <w:rPr>
          <w:rFonts w:cstheme="minorHAnsi"/>
        </w:rPr>
      </w:pPr>
    </w:p>
    <w:p w14:paraId="6662E6DE" w14:textId="77777777" w:rsidR="00FC1D95" w:rsidRPr="00B06248" w:rsidRDefault="00FC1D95" w:rsidP="00FC1D95">
      <w:pPr>
        <w:rPr>
          <w:rFonts w:cstheme="minorHAnsi"/>
        </w:rPr>
      </w:pPr>
      <w:proofErr w:type="spellStart"/>
      <w:r w:rsidRPr="00B06248">
        <w:rPr>
          <w:rFonts w:cstheme="minorHAnsi"/>
        </w:rPr>
        <w:t>Saracho</w:t>
      </w:r>
      <w:proofErr w:type="spellEnd"/>
      <w:r w:rsidRPr="00B06248">
        <w:rPr>
          <w:rFonts w:cstheme="minorHAnsi"/>
        </w:rPr>
        <w:t xml:space="preserve">, O. N., &amp; </w:t>
      </w:r>
      <w:proofErr w:type="spellStart"/>
      <w:r w:rsidRPr="00B06248">
        <w:rPr>
          <w:rFonts w:cstheme="minorHAnsi"/>
        </w:rPr>
        <w:t>Spodek</w:t>
      </w:r>
      <w:proofErr w:type="spellEnd"/>
      <w:r w:rsidRPr="00B06248">
        <w:rPr>
          <w:rFonts w:cstheme="minorHAnsi"/>
        </w:rPr>
        <w:t>, B. (2010). Contemporary Perspectives on Play in Early Childhood Education. IAP.</w:t>
      </w:r>
      <w:r w:rsidRPr="00B06248">
        <w:rPr>
          <w:rFonts w:eastAsia="Times New Roman" w:cstheme="minorHAnsi"/>
          <w:kern w:val="0"/>
          <w:lang w:eastAsia="en-GB"/>
          <w14:ligatures w14:val="none"/>
        </w:rPr>
        <w:t xml:space="preserve"> (Accessed: 01 January 2024). </w:t>
      </w:r>
    </w:p>
    <w:p w14:paraId="7B3FAE35" w14:textId="77777777" w:rsidR="00FC1D95" w:rsidRPr="00B06248" w:rsidRDefault="00FC1D95" w:rsidP="00FC1D95">
      <w:pPr>
        <w:rPr>
          <w:rFonts w:cstheme="minorHAnsi"/>
        </w:rPr>
      </w:pPr>
    </w:p>
    <w:p w14:paraId="550B261B" w14:textId="77777777" w:rsidR="00FC1D95" w:rsidRPr="00B06248" w:rsidRDefault="00FC1D95" w:rsidP="00FC1D95">
      <w:pPr>
        <w:rPr>
          <w:rFonts w:cstheme="minorHAnsi"/>
        </w:rPr>
      </w:pPr>
      <w:r w:rsidRPr="00B06248">
        <w:rPr>
          <w:rFonts w:cstheme="minorHAnsi"/>
        </w:rPr>
        <w:t>Wood, E. (2018). Play, Learning, and the Early Childhood Curriculum. SAGE Publications.</w:t>
      </w:r>
      <w:r w:rsidRPr="00B06248">
        <w:rPr>
          <w:rFonts w:eastAsia="Times New Roman" w:cstheme="minorHAnsi"/>
          <w:kern w:val="0"/>
          <w:lang w:eastAsia="en-GB"/>
          <w14:ligatures w14:val="none"/>
        </w:rPr>
        <w:t xml:space="preserve"> (Accessed: 01 January 2024). </w:t>
      </w:r>
    </w:p>
    <w:p w14:paraId="0F911F9C" w14:textId="17A7498B" w:rsidR="00DF1A59" w:rsidRPr="00DF1A59" w:rsidRDefault="00DF1A59" w:rsidP="00DF1A59">
      <w:pPr>
        <w:ind w:left="720"/>
        <w:rPr>
          <w:rFonts w:cstheme="minorHAnsi"/>
        </w:rPr>
      </w:pPr>
    </w:p>
    <w:p w14:paraId="75295258" w14:textId="4D76648F" w:rsidR="00180B1C" w:rsidRPr="00B06248" w:rsidRDefault="00180B1C">
      <w:pPr>
        <w:rPr>
          <w:rFonts w:cstheme="minorHAnsi"/>
        </w:rPr>
      </w:pPr>
    </w:p>
    <w:p w14:paraId="1FD87910" w14:textId="77777777" w:rsidR="00DF1A59" w:rsidRPr="00B06248" w:rsidRDefault="00DF1A59">
      <w:pPr>
        <w:rPr>
          <w:rFonts w:cstheme="minorHAnsi"/>
        </w:rPr>
      </w:pPr>
    </w:p>
    <w:p w14:paraId="031CC276" w14:textId="49467891" w:rsidR="00180B1C" w:rsidRPr="00B06248" w:rsidRDefault="00180B1C">
      <w:pPr>
        <w:rPr>
          <w:rFonts w:cstheme="minorHAnsi"/>
        </w:rPr>
      </w:pPr>
    </w:p>
    <w:sectPr w:rsidR="00180B1C" w:rsidRPr="00B0624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1DD19" w14:textId="77777777" w:rsidR="00B74F69" w:rsidRDefault="00B74F69" w:rsidP="00A240DF">
      <w:r>
        <w:separator/>
      </w:r>
    </w:p>
  </w:endnote>
  <w:endnote w:type="continuationSeparator" w:id="0">
    <w:p w14:paraId="7D7E0213" w14:textId="77777777" w:rsidR="00B74F69" w:rsidRDefault="00B74F69" w:rsidP="00A24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40A0D" w14:textId="77777777" w:rsidR="00B74F69" w:rsidRDefault="00B74F69" w:rsidP="00A240DF">
      <w:r>
        <w:separator/>
      </w:r>
    </w:p>
  </w:footnote>
  <w:footnote w:type="continuationSeparator" w:id="0">
    <w:p w14:paraId="3FCDCADB" w14:textId="77777777" w:rsidR="00B74F69" w:rsidRDefault="00B74F69" w:rsidP="00A240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0B397" w14:textId="2D96AF08" w:rsidR="00A240DF" w:rsidRDefault="00A240DF" w:rsidP="00A240DF">
    <w:r>
      <w:rPr>
        <w:noProof/>
      </w:rPr>
      <mc:AlternateContent>
        <mc:Choice Requires="wps">
          <w:drawing>
            <wp:anchor distT="0" distB="0" distL="114300" distR="114300" simplePos="0" relativeHeight="251659264" behindDoc="0" locked="0" layoutInCell="1" allowOverlap="1" wp14:anchorId="7ECEC4D9" wp14:editId="620E8473">
              <wp:simplePos x="0" y="0"/>
              <wp:positionH relativeFrom="page">
                <wp:posOffset>228600</wp:posOffset>
              </wp:positionH>
              <wp:positionV relativeFrom="page">
                <wp:posOffset>317500</wp:posOffset>
              </wp:positionV>
              <wp:extent cx="914400" cy="584200"/>
              <wp:effectExtent l="0" t="0" r="0" b="0"/>
              <wp:wrapNone/>
              <wp:docPr id="47" name="Rectangle 7" title="Document Title"/>
              <wp:cNvGraphicFramePr/>
              <a:graphic xmlns:a="http://schemas.openxmlformats.org/drawingml/2006/main">
                <a:graphicData uri="http://schemas.microsoft.com/office/word/2010/wordprocessingShape">
                  <wps:wsp>
                    <wps:cNvSpPr/>
                    <wps:spPr>
                      <a:xfrm>
                        <a:off x="0" y="0"/>
                        <a:ext cx="914400" cy="5842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eastAsiaTheme="minorHAnsi"/>
                              <w:kern w:val="2"/>
                              <w:sz w:val="24"/>
                              <w:szCs w:val="24"/>
                              <w:lang w:val="en-GB" w:eastAsia="en-US"/>
                              <w14:ligatures w14:val="standardContextual"/>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2751453B" w14:textId="69F4D8C3" w:rsidR="00A240DF" w:rsidRDefault="00A240DF" w:rsidP="00A240DF">
                              <w:pPr>
                                <w:pStyle w:val="NoSpacing"/>
                                <w:jc w:val="center"/>
                                <w:rPr>
                                  <w:b/>
                                  <w:caps/>
                                  <w:spacing w:val="20"/>
                                  <w:sz w:val="28"/>
                                  <w:szCs w:val="28"/>
                                </w:rPr>
                              </w:pPr>
                              <w:r w:rsidRPr="00A240DF">
                                <w:rPr>
                                  <w:rFonts w:eastAsiaTheme="minorHAnsi"/>
                                  <w:kern w:val="2"/>
                                  <w:sz w:val="24"/>
                                  <w:szCs w:val="24"/>
                                  <w:lang w:val="en-GB" w:eastAsia="en-US"/>
                                  <w14:ligatures w14:val="standardContextual"/>
                                </w:rPr>
                                <w:t xml:space="preserve">Considering the concept of the 'Unique Child', critically evaluate methods </w:t>
                              </w:r>
                              <w:proofErr w:type="spellStart"/>
                              <w:r w:rsidRPr="00A240DF">
                                <w:rPr>
                                  <w:rFonts w:eastAsiaTheme="minorHAnsi"/>
                                  <w:kern w:val="2"/>
                                  <w:sz w:val="24"/>
                                  <w:szCs w:val="24"/>
                                  <w:lang w:val="en-GB" w:eastAsia="en-US"/>
                                  <w14:ligatures w14:val="standardContextual"/>
                                </w:rPr>
                                <w:t>ofassessment</w:t>
                              </w:r>
                              <w:proofErr w:type="spellEnd"/>
                              <w:r w:rsidRPr="00A240DF">
                                <w:rPr>
                                  <w:rFonts w:eastAsiaTheme="minorHAnsi"/>
                                  <w:kern w:val="2"/>
                                  <w:sz w:val="24"/>
                                  <w:szCs w:val="24"/>
                                  <w:lang w:val="en-GB" w:eastAsia="en-US"/>
                                  <w14:ligatures w14:val="standardContextual"/>
                                </w:rPr>
                                <w:t xml:space="preserve">, progress tracking and age or stage related development </w:t>
                              </w:r>
                              <w:proofErr w:type="spellStart"/>
                              <w:proofErr w:type="gramStart"/>
                              <w:r w:rsidRPr="00A240DF">
                                <w:rPr>
                                  <w:rFonts w:eastAsiaTheme="minorHAnsi"/>
                                  <w:kern w:val="2"/>
                                  <w:sz w:val="24"/>
                                  <w:szCs w:val="24"/>
                                  <w:lang w:val="en-GB" w:eastAsia="en-US"/>
                                  <w14:ligatures w14:val="standardContextual"/>
                                </w:rPr>
                                <w:t>models.within</w:t>
                              </w:r>
                              <w:proofErr w:type="spellEnd"/>
                              <w:proofErr w:type="gramEnd"/>
                              <w:r w:rsidRPr="00A240DF">
                                <w:rPr>
                                  <w:rFonts w:eastAsiaTheme="minorHAnsi"/>
                                  <w:kern w:val="2"/>
                                  <w:sz w:val="24"/>
                                  <w:szCs w:val="24"/>
                                  <w:lang w:val="en-GB" w:eastAsia="en-US"/>
                                  <w14:ligatures w14:val="standardContextual"/>
                                </w:rPr>
                                <w:t xml:space="preserve"> play-based curricula [1437 words]</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7ECEC4D9" id="Rectangle 7" o:spid="_x0000_s1026" alt="Title: Document Title" style="position:absolute;margin-left:18pt;margin-top:25pt;width:1in;height:46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" fillcolor="#44546a [3215]" stroked="f" strokeweight="1pt">
              <v:textbox inset=",0,,0">
                <w:txbxContent>
                  <w:sdt>
                    <w:sdtPr>
                      <w:rPr>
                        <w:rFonts w:eastAsiaTheme="minorHAnsi"/>
                        <w:kern w:val="2"/>
                        <w:sz w:val="24"/>
                        <w:szCs w:val="24"/>
                        <w:lang w:val="en-GB" w:eastAsia="en-US"/>
                        <w14:ligatures w14:val="standardContextual"/>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2751453B" w14:textId="69F4D8C3" w:rsidR="00A240DF" w:rsidRDefault="00A240DF" w:rsidP="00A240DF">
                        <w:pPr>
                          <w:pStyle w:val="NoSpacing"/>
                          <w:jc w:val="center"/>
                          <w:rPr>
                            <w:b/>
                            <w:caps/>
                            <w:spacing w:val="20"/>
                            <w:sz w:val="28"/>
                            <w:szCs w:val="28"/>
                          </w:rPr>
                        </w:pPr>
                        <w:r w:rsidRPr="00A240DF">
                          <w:rPr>
                            <w:rFonts w:eastAsiaTheme="minorHAnsi"/>
                            <w:kern w:val="2"/>
                            <w:sz w:val="24"/>
                            <w:szCs w:val="24"/>
                            <w:lang w:val="en-GB" w:eastAsia="en-US"/>
                            <w14:ligatures w14:val="standardContextual"/>
                          </w:rPr>
                          <w:t xml:space="preserve">Considering the concept of the 'Unique Child', critically evaluate methods </w:t>
                        </w:r>
                        <w:proofErr w:type="spellStart"/>
                        <w:r w:rsidRPr="00A240DF">
                          <w:rPr>
                            <w:rFonts w:eastAsiaTheme="minorHAnsi"/>
                            <w:kern w:val="2"/>
                            <w:sz w:val="24"/>
                            <w:szCs w:val="24"/>
                            <w:lang w:val="en-GB" w:eastAsia="en-US"/>
                            <w14:ligatures w14:val="standardContextual"/>
                          </w:rPr>
                          <w:t>ofassessment</w:t>
                        </w:r>
                        <w:proofErr w:type="spellEnd"/>
                        <w:r w:rsidRPr="00A240DF">
                          <w:rPr>
                            <w:rFonts w:eastAsiaTheme="minorHAnsi"/>
                            <w:kern w:val="2"/>
                            <w:sz w:val="24"/>
                            <w:szCs w:val="24"/>
                            <w:lang w:val="en-GB" w:eastAsia="en-US"/>
                            <w14:ligatures w14:val="standardContextual"/>
                          </w:rPr>
                          <w:t xml:space="preserve">, progress tracking and age or stage related development </w:t>
                        </w:r>
                        <w:proofErr w:type="spellStart"/>
                        <w:proofErr w:type="gramStart"/>
                        <w:r w:rsidRPr="00A240DF">
                          <w:rPr>
                            <w:rFonts w:eastAsiaTheme="minorHAnsi"/>
                            <w:kern w:val="2"/>
                            <w:sz w:val="24"/>
                            <w:szCs w:val="24"/>
                            <w:lang w:val="en-GB" w:eastAsia="en-US"/>
                            <w14:ligatures w14:val="standardContextual"/>
                          </w:rPr>
                          <w:t>models.within</w:t>
                        </w:r>
                        <w:proofErr w:type="spellEnd"/>
                        <w:proofErr w:type="gramEnd"/>
                        <w:r w:rsidRPr="00A240DF">
                          <w:rPr>
                            <w:rFonts w:eastAsiaTheme="minorHAnsi"/>
                            <w:kern w:val="2"/>
                            <w:sz w:val="24"/>
                            <w:szCs w:val="24"/>
                            <w:lang w:val="en-GB" w:eastAsia="en-US"/>
                            <w14:ligatures w14:val="standardContextual"/>
                          </w:rPr>
                          <w:t xml:space="preserve"> play-based curricula [1437 words]</w:t>
                        </w:r>
                      </w:p>
                    </w:sdtContent>
                  </w:sdt>
                </w:txbxContent>
              </v:textbox>
              <w10:wrap anchorx="page" anchory="page"/>
            </v:rect>
          </w:pict>
        </mc:Fallback>
      </mc:AlternateContent>
    </w:r>
  </w:p>
  <w:p w14:paraId="73D99FA7" w14:textId="2B210A58" w:rsidR="00A240DF" w:rsidRDefault="00A240DF">
    <w:pPr>
      <w:pStyle w:val="Header"/>
    </w:pPr>
  </w:p>
  <w:p w14:paraId="52B998FF" w14:textId="77777777" w:rsidR="00A240DF" w:rsidRDefault="00A240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011BA"/>
    <w:multiLevelType w:val="multilevel"/>
    <w:tmpl w:val="66B0F6F6"/>
    <w:lvl w:ilvl="0">
      <w:start w:val="1"/>
      <w:numFmt w:val="decimal"/>
      <w:lvlText w:val="%1."/>
      <w:lvlJc w:val="left"/>
      <w:pPr>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A0252E"/>
    <w:multiLevelType w:val="multilevel"/>
    <w:tmpl w:val="66B0F6F6"/>
    <w:lvl w:ilvl="0">
      <w:start w:val="1"/>
      <w:numFmt w:val="decimal"/>
      <w:lvlText w:val="%1."/>
      <w:lvlJc w:val="left"/>
      <w:pPr>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A1469E"/>
    <w:multiLevelType w:val="multilevel"/>
    <w:tmpl w:val="AE22C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0265D2"/>
    <w:multiLevelType w:val="multilevel"/>
    <w:tmpl w:val="66B0F6F6"/>
    <w:lvl w:ilvl="0">
      <w:start w:val="1"/>
      <w:numFmt w:val="decimal"/>
      <w:lvlText w:val="%1."/>
      <w:lvlJc w:val="left"/>
      <w:pPr>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9A045F"/>
    <w:multiLevelType w:val="multilevel"/>
    <w:tmpl w:val="A164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425E2D"/>
    <w:multiLevelType w:val="multilevel"/>
    <w:tmpl w:val="770E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907180"/>
    <w:multiLevelType w:val="hybridMultilevel"/>
    <w:tmpl w:val="23B8BCC8"/>
    <w:lvl w:ilvl="0" w:tplc="E0FCD1AE">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3E09320C"/>
    <w:multiLevelType w:val="multilevel"/>
    <w:tmpl w:val="56382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E14405"/>
    <w:multiLevelType w:val="hybridMultilevel"/>
    <w:tmpl w:val="8B6C5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BF74E7A"/>
    <w:multiLevelType w:val="multilevel"/>
    <w:tmpl w:val="D670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FE3731"/>
    <w:multiLevelType w:val="multilevel"/>
    <w:tmpl w:val="0F70C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1011569">
    <w:abstractNumId w:val="8"/>
  </w:num>
  <w:num w:numId="2" w16cid:durableId="371148160">
    <w:abstractNumId w:val="6"/>
  </w:num>
  <w:num w:numId="3" w16cid:durableId="1783304881">
    <w:abstractNumId w:val="10"/>
  </w:num>
  <w:num w:numId="4" w16cid:durableId="714693134">
    <w:abstractNumId w:val="7"/>
  </w:num>
  <w:num w:numId="5" w16cid:durableId="864944817">
    <w:abstractNumId w:val="2"/>
  </w:num>
  <w:num w:numId="6" w16cid:durableId="965238493">
    <w:abstractNumId w:val="0"/>
  </w:num>
  <w:num w:numId="7" w16cid:durableId="1228226761">
    <w:abstractNumId w:val="3"/>
  </w:num>
  <w:num w:numId="8" w16cid:durableId="1571429585">
    <w:abstractNumId w:val="9"/>
  </w:num>
  <w:num w:numId="9" w16cid:durableId="566384807">
    <w:abstractNumId w:val="5"/>
  </w:num>
  <w:num w:numId="10" w16cid:durableId="1945183738">
    <w:abstractNumId w:val="4"/>
  </w:num>
  <w:num w:numId="11" w16cid:durableId="108400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FD1"/>
    <w:rsid w:val="00180B1C"/>
    <w:rsid w:val="001E10BD"/>
    <w:rsid w:val="0035726F"/>
    <w:rsid w:val="00450FD1"/>
    <w:rsid w:val="00611082"/>
    <w:rsid w:val="00745D04"/>
    <w:rsid w:val="007A4CB3"/>
    <w:rsid w:val="007B3010"/>
    <w:rsid w:val="00860CE2"/>
    <w:rsid w:val="009A1F8E"/>
    <w:rsid w:val="00A240DF"/>
    <w:rsid w:val="00B06248"/>
    <w:rsid w:val="00B74F69"/>
    <w:rsid w:val="00DF1A59"/>
    <w:rsid w:val="00E22D9A"/>
    <w:rsid w:val="00E669AB"/>
    <w:rsid w:val="00FB7E51"/>
    <w:rsid w:val="00FC1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5FD8E"/>
  <w15:docId w15:val="{9C514887-C409-854E-A4F5-5EA8C61C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0D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B1C"/>
    <w:pPr>
      <w:ind w:left="720"/>
      <w:contextualSpacing/>
    </w:pPr>
  </w:style>
  <w:style w:type="paragraph" w:styleId="NormalWeb">
    <w:name w:val="Normal (Web)"/>
    <w:basedOn w:val="Normal"/>
    <w:uiPriority w:val="99"/>
    <w:semiHidden/>
    <w:unhideWhenUsed/>
    <w:rsid w:val="00DF1A59"/>
    <w:pPr>
      <w:spacing w:before="100" w:beforeAutospacing="1" w:after="100" w:afterAutospacing="1"/>
    </w:pPr>
    <w:rPr>
      <w:rFonts w:ascii="Times New Roman" w:eastAsia="Times New Roman" w:hAnsi="Times New Roman" w:cs="Times New Roman"/>
      <w:kern w:val="0"/>
      <w:lang w:eastAsia="en-GB"/>
    </w:rPr>
  </w:style>
  <w:style w:type="character" w:customStyle="1" w:styleId="apple-converted-space">
    <w:name w:val="apple-converted-space"/>
    <w:basedOn w:val="DefaultParagraphFont"/>
    <w:rsid w:val="00DF1A59"/>
  </w:style>
  <w:style w:type="paragraph" w:styleId="Header">
    <w:name w:val="header"/>
    <w:basedOn w:val="Normal"/>
    <w:link w:val="HeaderChar"/>
    <w:uiPriority w:val="99"/>
    <w:unhideWhenUsed/>
    <w:rsid w:val="00A240DF"/>
    <w:pPr>
      <w:tabs>
        <w:tab w:val="center" w:pos="4513"/>
        <w:tab w:val="right" w:pos="9026"/>
      </w:tabs>
    </w:pPr>
  </w:style>
  <w:style w:type="character" w:customStyle="1" w:styleId="HeaderChar">
    <w:name w:val="Header Char"/>
    <w:basedOn w:val="DefaultParagraphFont"/>
    <w:link w:val="Header"/>
    <w:uiPriority w:val="99"/>
    <w:rsid w:val="00A240DF"/>
  </w:style>
  <w:style w:type="paragraph" w:styleId="Footer">
    <w:name w:val="footer"/>
    <w:basedOn w:val="Normal"/>
    <w:link w:val="FooterChar"/>
    <w:uiPriority w:val="99"/>
    <w:unhideWhenUsed/>
    <w:rsid w:val="00A240DF"/>
    <w:pPr>
      <w:tabs>
        <w:tab w:val="center" w:pos="4513"/>
        <w:tab w:val="right" w:pos="9026"/>
      </w:tabs>
    </w:pPr>
  </w:style>
  <w:style w:type="character" w:customStyle="1" w:styleId="FooterChar">
    <w:name w:val="Footer Char"/>
    <w:basedOn w:val="DefaultParagraphFont"/>
    <w:link w:val="Footer"/>
    <w:uiPriority w:val="99"/>
    <w:rsid w:val="00A240DF"/>
  </w:style>
  <w:style w:type="paragraph" w:styleId="NoSpacing">
    <w:name w:val="No Spacing"/>
    <w:uiPriority w:val="1"/>
    <w:qFormat/>
    <w:rsid w:val="00A240DF"/>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457">
      <w:bodyDiv w:val="1"/>
      <w:marLeft w:val="0"/>
      <w:marRight w:val="0"/>
      <w:marTop w:val="0"/>
      <w:marBottom w:val="0"/>
      <w:divBdr>
        <w:top w:val="none" w:sz="0" w:space="0" w:color="auto"/>
        <w:left w:val="none" w:sz="0" w:space="0" w:color="auto"/>
        <w:bottom w:val="none" w:sz="0" w:space="0" w:color="auto"/>
        <w:right w:val="none" w:sz="0" w:space="0" w:color="auto"/>
      </w:divBdr>
    </w:div>
    <w:div w:id="119735830">
      <w:bodyDiv w:val="1"/>
      <w:marLeft w:val="0"/>
      <w:marRight w:val="0"/>
      <w:marTop w:val="0"/>
      <w:marBottom w:val="0"/>
      <w:divBdr>
        <w:top w:val="none" w:sz="0" w:space="0" w:color="auto"/>
        <w:left w:val="none" w:sz="0" w:space="0" w:color="auto"/>
        <w:bottom w:val="none" w:sz="0" w:space="0" w:color="auto"/>
        <w:right w:val="none" w:sz="0" w:space="0" w:color="auto"/>
      </w:divBdr>
    </w:div>
    <w:div w:id="174225946">
      <w:bodyDiv w:val="1"/>
      <w:marLeft w:val="0"/>
      <w:marRight w:val="0"/>
      <w:marTop w:val="0"/>
      <w:marBottom w:val="0"/>
      <w:divBdr>
        <w:top w:val="none" w:sz="0" w:space="0" w:color="auto"/>
        <w:left w:val="none" w:sz="0" w:space="0" w:color="auto"/>
        <w:bottom w:val="none" w:sz="0" w:space="0" w:color="auto"/>
        <w:right w:val="none" w:sz="0" w:space="0" w:color="auto"/>
      </w:divBdr>
    </w:div>
    <w:div w:id="289672799">
      <w:bodyDiv w:val="1"/>
      <w:marLeft w:val="0"/>
      <w:marRight w:val="0"/>
      <w:marTop w:val="0"/>
      <w:marBottom w:val="0"/>
      <w:divBdr>
        <w:top w:val="none" w:sz="0" w:space="0" w:color="auto"/>
        <w:left w:val="none" w:sz="0" w:space="0" w:color="auto"/>
        <w:bottom w:val="none" w:sz="0" w:space="0" w:color="auto"/>
        <w:right w:val="none" w:sz="0" w:space="0" w:color="auto"/>
      </w:divBdr>
    </w:div>
    <w:div w:id="310986571">
      <w:bodyDiv w:val="1"/>
      <w:marLeft w:val="0"/>
      <w:marRight w:val="0"/>
      <w:marTop w:val="0"/>
      <w:marBottom w:val="0"/>
      <w:divBdr>
        <w:top w:val="none" w:sz="0" w:space="0" w:color="auto"/>
        <w:left w:val="none" w:sz="0" w:space="0" w:color="auto"/>
        <w:bottom w:val="none" w:sz="0" w:space="0" w:color="auto"/>
        <w:right w:val="none" w:sz="0" w:space="0" w:color="auto"/>
      </w:divBdr>
    </w:div>
    <w:div w:id="313067128">
      <w:bodyDiv w:val="1"/>
      <w:marLeft w:val="0"/>
      <w:marRight w:val="0"/>
      <w:marTop w:val="0"/>
      <w:marBottom w:val="0"/>
      <w:divBdr>
        <w:top w:val="none" w:sz="0" w:space="0" w:color="auto"/>
        <w:left w:val="none" w:sz="0" w:space="0" w:color="auto"/>
        <w:bottom w:val="none" w:sz="0" w:space="0" w:color="auto"/>
        <w:right w:val="none" w:sz="0" w:space="0" w:color="auto"/>
      </w:divBdr>
    </w:div>
    <w:div w:id="321467914">
      <w:bodyDiv w:val="1"/>
      <w:marLeft w:val="0"/>
      <w:marRight w:val="0"/>
      <w:marTop w:val="0"/>
      <w:marBottom w:val="0"/>
      <w:divBdr>
        <w:top w:val="none" w:sz="0" w:space="0" w:color="auto"/>
        <w:left w:val="none" w:sz="0" w:space="0" w:color="auto"/>
        <w:bottom w:val="none" w:sz="0" w:space="0" w:color="auto"/>
        <w:right w:val="none" w:sz="0" w:space="0" w:color="auto"/>
      </w:divBdr>
      <w:divsChild>
        <w:div w:id="1744987851">
          <w:marLeft w:val="0"/>
          <w:marRight w:val="0"/>
          <w:marTop w:val="0"/>
          <w:marBottom w:val="0"/>
          <w:divBdr>
            <w:top w:val="none" w:sz="0" w:space="0" w:color="auto"/>
            <w:left w:val="none" w:sz="0" w:space="0" w:color="auto"/>
            <w:bottom w:val="none" w:sz="0" w:space="0" w:color="auto"/>
            <w:right w:val="none" w:sz="0" w:space="0" w:color="auto"/>
          </w:divBdr>
          <w:divsChild>
            <w:div w:id="100807042">
              <w:marLeft w:val="0"/>
              <w:marRight w:val="0"/>
              <w:marTop w:val="0"/>
              <w:marBottom w:val="0"/>
              <w:divBdr>
                <w:top w:val="none" w:sz="0" w:space="0" w:color="auto"/>
                <w:left w:val="none" w:sz="0" w:space="0" w:color="auto"/>
                <w:bottom w:val="none" w:sz="0" w:space="0" w:color="auto"/>
                <w:right w:val="none" w:sz="0" w:space="0" w:color="auto"/>
              </w:divBdr>
              <w:divsChild>
                <w:div w:id="117999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490308">
      <w:bodyDiv w:val="1"/>
      <w:marLeft w:val="0"/>
      <w:marRight w:val="0"/>
      <w:marTop w:val="0"/>
      <w:marBottom w:val="0"/>
      <w:divBdr>
        <w:top w:val="none" w:sz="0" w:space="0" w:color="auto"/>
        <w:left w:val="none" w:sz="0" w:space="0" w:color="auto"/>
        <w:bottom w:val="none" w:sz="0" w:space="0" w:color="auto"/>
        <w:right w:val="none" w:sz="0" w:space="0" w:color="auto"/>
      </w:divBdr>
    </w:div>
    <w:div w:id="346103917">
      <w:bodyDiv w:val="1"/>
      <w:marLeft w:val="0"/>
      <w:marRight w:val="0"/>
      <w:marTop w:val="0"/>
      <w:marBottom w:val="0"/>
      <w:divBdr>
        <w:top w:val="none" w:sz="0" w:space="0" w:color="auto"/>
        <w:left w:val="none" w:sz="0" w:space="0" w:color="auto"/>
        <w:bottom w:val="none" w:sz="0" w:space="0" w:color="auto"/>
        <w:right w:val="none" w:sz="0" w:space="0" w:color="auto"/>
      </w:divBdr>
    </w:div>
    <w:div w:id="402876275">
      <w:bodyDiv w:val="1"/>
      <w:marLeft w:val="0"/>
      <w:marRight w:val="0"/>
      <w:marTop w:val="0"/>
      <w:marBottom w:val="0"/>
      <w:divBdr>
        <w:top w:val="none" w:sz="0" w:space="0" w:color="auto"/>
        <w:left w:val="none" w:sz="0" w:space="0" w:color="auto"/>
        <w:bottom w:val="none" w:sz="0" w:space="0" w:color="auto"/>
        <w:right w:val="none" w:sz="0" w:space="0" w:color="auto"/>
      </w:divBdr>
      <w:divsChild>
        <w:div w:id="950891640">
          <w:marLeft w:val="0"/>
          <w:marRight w:val="0"/>
          <w:marTop w:val="0"/>
          <w:marBottom w:val="0"/>
          <w:divBdr>
            <w:top w:val="single" w:sz="2" w:space="0" w:color="D9D9E3"/>
            <w:left w:val="single" w:sz="2" w:space="0" w:color="D9D9E3"/>
            <w:bottom w:val="single" w:sz="2" w:space="0" w:color="D9D9E3"/>
            <w:right w:val="single" w:sz="2" w:space="0" w:color="D9D9E3"/>
          </w:divBdr>
          <w:divsChild>
            <w:div w:id="181171436">
              <w:marLeft w:val="0"/>
              <w:marRight w:val="0"/>
              <w:marTop w:val="0"/>
              <w:marBottom w:val="0"/>
              <w:divBdr>
                <w:top w:val="single" w:sz="2" w:space="0" w:color="D9D9E3"/>
                <w:left w:val="single" w:sz="2" w:space="0" w:color="D9D9E3"/>
                <w:bottom w:val="single" w:sz="2" w:space="0" w:color="D9D9E3"/>
                <w:right w:val="single" w:sz="2" w:space="0" w:color="D9D9E3"/>
              </w:divBdr>
              <w:divsChild>
                <w:div w:id="719331731">
                  <w:marLeft w:val="0"/>
                  <w:marRight w:val="0"/>
                  <w:marTop w:val="0"/>
                  <w:marBottom w:val="0"/>
                  <w:divBdr>
                    <w:top w:val="single" w:sz="2" w:space="0" w:color="D9D9E3"/>
                    <w:left w:val="single" w:sz="2" w:space="0" w:color="D9D9E3"/>
                    <w:bottom w:val="single" w:sz="2" w:space="0" w:color="D9D9E3"/>
                    <w:right w:val="single" w:sz="2" w:space="0" w:color="D9D9E3"/>
                  </w:divBdr>
                  <w:divsChild>
                    <w:div w:id="510416760">
                      <w:marLeft w:val="0"/>
                      <w:marRight w:val="0"/>
                      <w:marTop w:val="0"/>
                      <w:marBottom w:val="0"/>
                      <w:divBdr>
                        <w:top w:val="single" w:sz="2" w:space="0" w:color="D9D9E3"/>
                        <w:left w:val="single" w:sz="2" w:space="0" w:color="D9D9E3"/>
                        <w:bottom w:val="single" w:sz="2" w:space="0" w:color="D9D9E3"/>
                        <w:right w:val="single" w:sz="2" w:space="0" w:color="D9D9E3"/>
                      </w:divBdr>
                      <w:divsChild>
                        <w:div w:id="160315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822674">
          <w:marLeft w:val="0"/>
          <w:marRight w:val="0"/>
          <w:marTop w:val="0"/>
          <w:marBottom w:val="0"/>
          <w:divBdr>
            <w:top w:val="single" w:sz="2" w:space="0" w:color="D9D9E3"/>
            <w:left w:val="single" w:sz="2" w:space="0" w:color="D9D9E3"/>
            <w:bottom w:val="single" w:sz="2" w:space="0" w:color="D9D9E3"/>
            <w:right w:val="single" w:sz="2" w:space="0" w:color="D9D9E3"/>
          </w:divBdr>
          <w:divsChild>
            <w:div w:id="1357778886">
              <w:marLeft w:val="0"/>
              <w:marRight w:val="0"/>
              <w:marTop w:val="0"/>
              <w:marBottom w:val="0"/>
              <w:divBdr>
                <w:top w:val="single" w:sz="2" w:space="0" w:color="D9D9E3"/>
                <w:left w:val="single" w:sz="2" w:space="0" w:color="D9D9E3"/>
                <w:bottom w:val="single" w:sz="2" w:space="0" w:color="D9D9E3"/>
                <w:right w:val="single" w:sz="2" w:space="0" w:color="D9D9E3"/>
              </w:divBdr>
            </w:div>
            <w:div w:id="2013530243">
              <w:marLeft w:val="0"/>
              <w:marRight w:val="0"/>
              <w:marTop w:val="0"/>
              <w:marBottom w:val="0"/>
              <w:divBdr>
                <w:top w:val="single" w:sz="2" w:space="0" w:color="D9D9E3"/>
                <w:left w:val="single" w:sz="2" w:space="0" w:color="D9D9E3"/>
                <w:bottom w:val="single" w:sz="2" w:space="0" w:color="D9D9E3"/>
                <w:right w:val="single" w:sz="2" w:space="0" w:color="D9D9E3"/>
              </w:divBdr>
              <w:divsChild>
                <w:div w:id="860238361">
                  <w:marLeft w:val="0"/>
                  <w:marRight w:val="0"/>
                  <w:marTop w:val="0"/>
                  <w:marBottom w:val="0"/>
                  <w:divBdr>
                    <w:top w:val="single" w:sz="2" w:space="0" w:color="D9D9E3"/>
                    <w:left w:val="single" w:sz="2" w:space="0" w:color="D9D9E3"/>
                    <w:bottom w:val="single" w:sz="2" w:space="0" w:color="D9D9E3"/>
                    <w:right w:val="single" w:sz="2" w:space="0" w:color="D9D9E3"/>
                  </w:divBdr>
                  <w:divsChild>
                    <w:div w:id="1780643319">
                      <w:marLeft w:val="0"/>
                      <w:marRight w:val="0"/>
                      <w:marTop w:val="0"/>
                      <w:marBottom w:val="0"/>
                      <w:divBdr>
                        <w:top w:val="single" w:sz="2" w:space="0" w:color="D9D9E3"/>
                        <w:left w:val="single" w:sz="2" w:space="0" w:color="D9D9E3"/>
                        <w:bottom w:val="single" w:sz="2" w:space="0" w:color="D9D9E3"/>
                        <w:right w:val="single" w:sz="2" w:space="0" w:color="D9D9E3"/>
                      </w:divBdr>
                      <w:divsChild>
                        <w:div w:id="8529622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4347948">
      <w:bodyDiv w:val="1"/>
      <w:marLeft w:val="0"/>
      <w:marRight w:val="0"/>
      <w:marTop w:val="0"/>
      <w:marBottom w:val="0"/>
      <w:divBdr>
        <w:top w:val="none" w:sz="0" w:space="0" w:color="auto"/>
        <w:left w:val="none" w:sz="0" w:space="0" w:color="auto"/>
        <w:bottom w:val="none" w:sz="0" w:space="0" w:color="auto"/>
        <w:right w:val="none" w:sz="0" w:space="0" w:color="auto"/>
      </w:divBdr>
    </w:div>
    <w:div w:id="450706582">
      <w:bodyDiv w:val="1"/>
      <w:marLeft w:val="0"/>
      <w:marRight w:val="0"/>
      <w:marTop w:val="0"/>
      <w:marBottom w:val="0"/>
      <w:divBdr>
        <w:top w:val="none" w:sz="0" w:space="0" w:color="auto"/>
        <w:left w:val="none" w:sz="0" w:space="0" w:color="auto"/>
        <w:bottom w:val="none" w:sz="0" w:space="0" w:color="auto"/>
        <w:right w:val="none" w:sz="0" w:space="0" w:color="auto"/>
      </w:divBdr>
    </w:div>
    <w:div w:id="483856429">
      <w:bodyDiv w:val="1"/>
      <w:marLeft w:val="0"/>
      <w:marRight w:val="0"/>
      <w:marTop w:val="0"/>
      <w:marBottom w:val="0"/>
      <w:divBdr>
        <w:top w:val="none" w:sz="0" w:space="0" w:color="auto"/>
        <w:left w:val="none" w:sz="0" w:space="0" w:color="auto"/>
        <w:bottom w:val="none" w:sz="0" w:space="0" w:color="auto"/>
        <w:right w:val="none" w:sz="0" w:space="0" w:color="auto"/>
      </w:divBdr>
      <w:divsChild>
        <w:div w:id="1214468029">
          <w:marLeft w:val="0"/>
          <w:marRight w:val="0"/>
          <w:marTop w:val="0"/>
          <w:marBottom w:val="0"/>
          <w:divBdr>
            <w:top w:val="none" w:sz="0" w:space="0" w:color="auto"/>
            <w:left w:val="none" w:sz="0" w:space="0" w:color="auto"/>
            <w:bottom w:val="none" w:sz="0" w:space="0" w:color="auto"/>
            <w:right w:val="none" w:sz="0" w:space="0" w:color="auto"/>
          </w:divBdr>
        </w:div>
      </w:divsChild>
    </w:div>
    <w:div w:id="487792897">
      <w:bodyDiv w:val="1"/>
      <w:marLeft w:val="0"/>
      <w:marRight w:val="0"/>
      <w:marTop w:val="0"/>
      <w:marBottom w:val="0"/>
      <w:divBdr>
        <w:top w:val="none" w:sz="0" w:space="0" w:color="auto"/>
        <w:left w:val="none" w:sz="0" w:space="0" w:color="auto"/>
        <w:bottom w:val="none" w:sz="0" w:space="0" w:color="auto"/>
        <w:right w:val="none" w:sz="0" w:space="0" w:color="auto"/>
      </w:divBdr>
    </w:div>
    <w:div w:id="502092303">
      <w:bodyDiv w:val="1"/>
      <w:marLeft w:val="0"/>
      <w:marRight w:val="0"/>
      <w:marTop w:val="0"/>
      <w:marBottom w:val="0"/>
      <w:divBdr>
        <w:top w:val="none" w:sz="0" w:space="0" w:color="auto"/>
        <w:left w:val="none" w:sz="0" w:space="0" w:color="auto"/>
        <w:bottom w:val="none" w:sz="0" w:space="0" w:color="auto"/>
        <w:right w:val="none" w:sz="0" w:space="0" w:color="auto"/>
      </w:divBdr>
    </w:div>
    <w:div w:id="551425778">
      <w:bodyDiv w:val="1"/>
      <w:marLeft w:val="0"/>
      <w:marRight w:val="0"/>
      <w:marTop w:val="0"/>
      <w:marBottom w:val="0"/>
      <w:divBdr>
        <w:top w:val="none" w:sz="0" w:space="0" w:color="auto"/>
        <w:left w:val="none" w:sz="0" w:space="0" w:color="auto"/>
        <w:bottom w:val="none" w:sz="0" w:space="0" w:color="auto"/>
        <w:right w:val="none" w:sz="0" w:space="0" w:color="auto"/>
      </w:divBdr>
    </w:div>
    <w:div w:id="583494908">
      <w:bodyDiv w:val="1"/>
      <w:marLeft w:val="0"/>
      <w:marRight w:val="0"/>
      <w:marTop w:val="0"/>
      <w:marBottom w:val="0"/>
      <w:divBdr>
        <w:top w:val="none" w:sz="0" w:space="0" w:color="auto"/>
        <w:left w:val="none" w:sz="0" w:space="0" w:color="auto"/>
        <w:bottom w:val="none" w:sz="0" w:space="0" w:color="auto"/>
        <w:right w:val="none" w:sz="0" w:space="0" w:color="auto"/>
      </w:divBdr>
    </w:div>
    <w:div w:id="620301235">
      <w:bodyDiv w:val="1"/>
      <w:marLeft w:val="0"/>
      <w:marRight w:val="0"/>
      <w:marTop w:val="0"/>
      <w:marBottom w:val="0"/>
      <w:divBdr>
        <w:top w:val="none" w:sz="0" w:space="0" w:color="auto"/>
        <w:left w:val="none" w:sz="0" w:space="0" w:color="auto"/>
        <w:bottom w:val="none" w:sz="0" w:space="0" w:color="auto"/>
        <w:right w:val="none" w:sz="0" w:space="0" w:color="auto"/>
      </w:divBdr>
    </w:div>
    <w:div w:id="620692149">
      <w:bodyDiv w:val="1"/>
      <w:marLeft w:val="0"/>
      <w:marRight w:val="0"/>
      <w:marTop w:val="0"/>
      <w:marBottom w:val="0"/>
      <w:divBdr>
        <w:top w:val="none" w:sz="0" w:space="0" w:color="auto"/>
        <w:left w:val="none" w:sz="0" w:space="0" w:color="auto"/>
        <w:bottom w:val="none" w:sz="0" w:space="0" w:color="auto"/>
        <w:right w:val="none" w:sz="0" w:space="0" w:color="auto"/>
      </w:divBdr>
    </w:div>
    <w:div w:id="724910158">
      <w:bodyDiv w:val="1"/>
      <w:marLeft w:val="0"/>
      <w:marRight w:val="0"/>
      <w:marTop w:val="0"/>
      <w:marBottom w:val="0"/>
      <w:divBdr>
        <w:top w:val="none" w:sz="0" w:space="0" w:color="auto"/>
        <w:left w:val="none" w:sz="0" w:space="0" w:color="auto"/>
        <w:bottom w:val="none" w:sz="0" w:space="0" w:color="auto"/>
        <w:right w:val="none" w:sz="0" w:space="0" w:color="auto"/>
      </w:divBdr>
    </w:div>
    <w:div w:id="729155637">
      <w:bodyDiv w:val="1"/>
      <w:marLeft w:val="0"/>
      <w:marRight w:val="0"/>
      <w:marTop w:val="0"/>
      <w:marBottom w:val="0"/>
      <w:divBdr>
        <w:top w:val="none" w:sz="0" w:space="0" w:color="auto"/>
        <w:left w:val="none" w:sz="0" w:space="0" w:color="auto"/>
        <w:bottom w:val="none" w:sz="0" w:space="0" w:color="auto"/>
        <w:right w:val="none" w:sz="0" w:space="0" w:color="auto"/>
      </w:divBdr>
      <w:divsChild>
        <w:div w:id="1622150643">
          <w:marLeft w:val="0"/>
          <w:marRight w:val="0"/>
          <w:marTop w:val="0"/>
          <w:marBottom w:val="0"/>
          <w:divBdr>
            <w:top w:val="single" w:sz="2" w:space="0" w:color="D9D9E3"/>
            <w:left w:val="single" w:sz="2" w:space="0" w:color="D9D9E3"/>
            <w:bottom w:val="single" w:sz="2" w:space="0" w:color="D9D9E3"/>
            <w:right w:val="single" w:sz="2" w:space="0" w:color="D9D9E3"/>
          </w:divBdr>
          <w:divsChild>
            <w:div w:id="1845239903">
              <w:marLeft w:val="0"/>
              <w:marRight w:val="0"/>
              <w:marTop w:val="0"/>
              <w:marBottom w:val="0"/>
              <w:divBdr>
                <w:top w:val="single" w:sz="2" w:space="0" w:color="D9D9E3"/>
                <w:left w:val="single" w:sz="2" w:space="0" w:color="D9D9E3"/>
                <w:bottom w:val="single" w:sz="2" w:space="0" w:color="D9D9E3"/>
                <w:right w:val="single" w:sz="2" w:space="0" w:color="D9D9E3"/>
              </w:divBdr>
              <w:divsChild>
                <w:div w:id="983315329">
                  <w:marLeft w:val="0"/>
                  <w:marRight w:val="0"/>
                  <w:marTop w:val="0"/>
                  <w:marBottom w:val="0"/>
                  <w:divBdr>
                    <w:top w:val="single" w:sz="2" w:space="0" w:color="D9D9E3"/>
                    <w:left w:val="single" w:sz="2" w:space="0" w:color="D9D9E3"/>
                    <w:bottom w:val="single" w:sz="2" w:space="0" w:color="D9D9E3"/>
                    <w:right w:val="single" w:sz="2" w:space="0" w:color="D9D9E3"/>
                  </w:divBdr>
                  <w:divsChild>
                    <w:div w:id="474025262">
                      <w:marLeft w:val="0"/>
                      <w:marRight w:val="0"/>
                      <w:marTop w:val="0"/>
                      <w:marBottom w:val="0"/>
                      <w:divBdr>
                        <w:top w:val="single" w:sz="2" w:space="0" w:color="D9D9E3"/>
                        <w:left w:val="single" w:sz="2" w:space="0" w:color="D9D9E3"/>
                        <w:bottom w:val="single" w:sz="2" w:space="0" w:color="D9D9E3"/>
                        <w:right w:val="single" w:sz="2" w:space="0" w:color="D9D9E3"/>
                      </w:divBdr>
                      <w:divsChild>
                        <w:div w:id="915162461">
                          <w:marLeft w:val="0"/>
                          <w:marRight w:val="0"/>
                          <w:marTop w:val="0"/>
                          <w:marBottom w:val="0"/>
                          <w:divBdr>
                            <w:top w:val="single" w:sz="2" w:space="0" w:color="D9D9E3"/>
                            <w:left w:val="single" w:sz="2" w:space="0" w:color="D9D9E3"/>
                            <w:bottom w:val="single" w:sz="2" w:space="0" w:color="D9D9E3"/>
                            <w:right w:val="single" w:sz="2" w:space="0" w:color="D9D9E3"/>
                          </w:divBdr>
                          <w:divsChild>
                            <w:div w:id="2006202483">
                              <w:marLeft w:val="0"/>
                              <w:marRight w:val="0"/>
                              <w:marTop w:val="100"/>
                              <w:marBottom w:val="100"/>
                              <w:divBdr>
                                <w:top w:val="single" w:sz="2" w:space="0" w:color="D9D9E3"/>
                                <w:left w:val="single" w:sz="2" w:space="0" w:color="D9D9E3"/>
                                <w:bottom w:val="single" w:sz="2" w:space="0" w:color="D9D9E3"/>
                                <w:right w:val="single" w:sz="2" w:space="0" w:color="D9D9E3"/>
                              </w:divBdr>
                              <w:divsChild>
                                <w:div w:id="548416491">
                                  <w:marLeft w:val="0"/>
                                  <w:marRight w:val="0"/>
                                  <w:marTop w:val="0"/>
                                  <w:marBottom w:val="0"/>
                                  <w:divBdr>
                                    <w:top w:val="single" w:sz="2" w:space="0" w:color="D9D9E3"/>
                                    <w:left w:val="single" w:sz="2" w:space="0" w:color="D9D9E3"/>
                                    <w:bottom w:val="single" w:sz="2" w:space="0" w:color="D9D9E3"/>
                                    <w:right w:val="single" w:sz="2" w:space="0" w:color="D9D9E3"/>
                                  </w:divBdr>
                                  <w:divsChild>
                                    <w:div w:id="790590239">
                                      <w:marLeft w:val="0"/>
                                      <w:marRight w:val="0"/>
                                      <w:marTop w:val="0"/>
                                      <w:marBottom w:val="0"/>
                                      <w:divBdr>
                                        <w:top w:val="single" w:sz="2" w:space="0" w:color="D9D9E3"/>
                                        <w:left w:val="single" w:sz="2" w:space="0" w:color="D9D9E3"/>
                                        <w:bottom w:val="single" w:sz="2" w:space="0" w:color="D9D9E3"/>
                                        <w:right w:val="single" w:sz="2" w:space="0" w:color="D9D9E3"/>
                                      </w:divBdr>
                                      <w:divsChild>
                                        <w:div w:id="775834237">
                                          <w:marLeft w:val="0"/>
                                          <w:marRight w:val="0"/>
                                          <w:marTop w:val="0"/>
                                          <w:marBottom w:val="0"/>
                                          <w:divBdr>
                                            <w:top w:val="single" w:sz="2" w:space="0" w:color="D9D9E3"/>
                                            <w:left w:val="single" w:sz="2" w:space="0" w:color="D9D9E3"/>
                                            <w:bottom w:val="single" w:sz="2" w:space="0" w:color="D9D9E3"/>
                                            <w:right w:val="single" w:sz="2" w:space="0" w:color="D9D9E3"/>
                                          </w:divBdr>
                                          <w:divsChild>
                                            <w:div w:id="1776097526">
                                              <w:marLeft w:val="0"/>
                                              <w:marRight w:val="0"/>
                                              <w:marTop w:val="0"/>
                                              <w:marBottom w:val="0"/>
                                              <w:divBdr>
                                                <w:top w:val="single" w:sz="2" w:space="0" w:color="D9D9E3"/>
                                                <w:left w:val="single" w:sz="2" w:space="0" w:color="D9D9E3"/>
                                                <w:bottom w:val="single" w:sz="2" w:space="0" w:color="D9D9E3"/>
                                                <w:right w:val="single" w:sz="2" w:space="0" w:color="D9D9E3"/>
                                              </w:divBdr>
                                              <w:divsChild>
                                                <w:div w:id="1303972294">
                                                  <w:marLeft w:val="0"/>
                                                  <w:marRight w:val="0"/>
                                                  <w:marTop w:val="0"/>
                                                  <w:marBottom w:val="0"/>
                                                  <w:divBdr>
                                                    <w:top w:val="single" w:sz="2" w:space="0" w:color="D9D9E3"/>
                                                    <w:left w:val="single" w:sz="2" w:space="0" w:color="D9D9E3"/>
                                                    <w:bottom w:val="single" w:sz="2" w:space="0" w:color="D9D9E3"/>
                                                    <w:right w:val="single" w:sz="2" w:space="0" w:color="D9D9E3"/>
                                                  </w:divBdr>
                                                  <w:divsChild>
                                                    <w:div w:id="57831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62179613">
          <w:marLeft w:val="0"/>
          <w:marRight w:val="0"/>
          <w:marTop w:val="0"/>
          <w:marBottom w:val="0"/>
          <w:divBdr>
            <w:top w:val="none" w:sz="0" w:space="0" w:color="auto"/>
            <w:left w:val="none" w:sz="0" w:space="0" w:color="auto"/>
            <w:bottom w:val="none" w:sz="0" w:space="0" w:color="auto"/>
            <w:right w:val="none" w:sz="0" w:space="0" w:color="auto"/>
          </w:divBdr>
        </w:div>
      </w:divsChild>
    </w:div>
    <w:div w:id="802039254">
      <w:bodyDiv w:val="1"/>
      <w:marLeft w:val="0"/>
      <w:marRight w:val="0"/>
      <w:marTop w:val="0"/>
      <w:marBottom w:val="0"/>
      <w:divBdr>
        <w:top w:val="none" w:sz="0" w:space="0" w:color="auto"/>
        <w:left w:val="none" w:sz="0" w:space="0" w:color="auto"/>
        <w:bottom w:val="none" w:sz="0" w:space="0" w:color="auto"/>
        <w:right w:val="none" w:sz="0" w:space="0" w:color="auto"/>
      </w:divBdr>
    </w:div>
    <w:div w:id="814954637">
      <w:bodyDiv w:val="1"/>
      <w:marLeft w:val="0"/>
      <w:marRight w:val="0"/>
      <w:marTop w:val="0"/>
      <w:marBottom w:val="0"/>
      <w:divBdr>
        <w:top w:val="none" w:sz="0" w:space="0" w:color="auto"/>
        <w:left w:val="none" w:sz="0" w:space="0" w:color="auto"/>
        <w:bottom w:val="none" w:sz="0" w:space="0" w:color="auto"/>
        <w:right w:val="none" w:sz="0" w:space="0" w:color="auto"/>
      </w:divBdr>
    </w:div>
    <w:div w:id="837767134">
      <w:bodyDiv w:val="1"/>
      <w:marLeft w:val="0"/>
      <w:marRight w:val="0"/>
      <w:marTop w:val="0"/>
      <w:marBottom w:val="0"/>
      <w:divBdr>
        <w:top w:val="none" w:sz="0" w:space="0" w:color="auto"/>
        <w:left w:val="none" w:sz="0" w:space="0" w:color="auto"/>
        <w:bottom w:val="none" w:sz="0" w:space="0" w:color="auto"/>
        <w:right w:val="none" w:sz="0" w:space="0" w:color="auto"/>
      </w:divBdr>
    </w:div>
    <w:div w:id="851456151">
      <w:bodyDiv w:val="1"/>
      <w:marLeft w:val="0"/>
      <w:marRight w:val="0"/>
      <w:marTop w:val="0"/>
      <w:marBottom w:val="0"/>
      <w:divBdr>
        <w:top w:val="none" w:sz="0" w:space="0" w:color="auto"/>
        <w:left w:val="none" w:sz="0" w:space="0" w:color="auto"/>
        <w:bottom w:val="none" w:sz="0" w:space="0" w:color="auto"/>
        <w:right w:val="none" w:sz="0" w:space="0" w:color="auto"/>
      </w:divBdr>
    </w:div>
    <w:div w:id="872155056">
      <w:bodyDiv w:val="1"/>
      <w:marLeft w:val="0"/>
      <w:marRight w:val="0"/>
      <w:marTop w:val="0"/>
      <w:marBottom w:val="0"/>
      <w:divBdr>
        <w:top w:val="none" w:sz="0" w:space="0" w:color="auto"/>
        <w:left w:val="none" w:sz="0" w:space="0" w:color="auto"/>
        <w:bottom w:val="none" w:sz="0" w:space="0" w:color="auto"/>
        <w:right w:val="none" w:sz="0" w:space="0" w:color="auto"/>
      </w:divBdr>
    </w:div>
    <w:div w:id="911813902">
      <w:bodyDiv w:val="1"/>
      <w:marLeft w:val="0"/>
      <w:marRight w:val="0"/>
      <w:marTop w:val="0"/>
      <w:marBottom w:val="0"/>
      <w:divBdr>
        <w:top w:val="none" w:sz="0" w:space="0" w:color="auto"/>
        <w:left w:val="none" w:sz="0" w:space="0" w:color="auto"/>
        <w:bottom w:val="none" w:sz="0" w:space="0" w:color="auto"/>
        <w:right w:val="none" w:sz="0" w:space="0" w:color="auto"/>
      </w:divBdr>
    </w:div>
    <w:div w:id="942684655">
      <w:bodyDiv w:val="1"/>
      <w:marLeft w:val="0"/>
      <w:marRight w:val="0"/>
      <w:marTop w:val="0"/>
      <w:marBottom w:val="0"/>
      <w:divBdr>
        <w:top w:val="none" w:sz="0" w:space="0" w:color="auto"/>
        <w:left w:val="none" w:sz="0" w:space="0" w:color="auto"/>
        <w:bottom w:val="none" w:sz="0" w:space="0" w:color="auto"/>
        <w:right w:val="none" w:sz="0" w:space="0" w:color="auto"/>
      </w:divBdr>
    </w:div>
    <w:div w:id="1004895314">
      <w:bodyDiv w:val="1"/>
      <w:marLeft w:val="0"/>
      <w:marRight w:val="0"/>
      <w:marTop w:val="0"/>
      <w:marBottom w:val="0"/>
      <w:divBdr>
        <w:top w:val="none" w:sz="0" w:space="0" w:color="auto"/>
        <w:left w:val="none" w:sz="0" w:space="0" w:color="auto"/>
        <w:bottom w:val="none" w:sz="0" w:space="0" w:color="auto"/>
        <w:right w:val="none" w:sz="0" w:space="0" w:color="auto"/>
      </w:divBdr>
    </w:div>
    <w:div w:id="1007439650">
      <w:bodyDiv w:val="1"/>
      <w:marLeft w:val="0"/>
      <w:marRight w:val="0"/>
      <w:marTop w:val="0"/>
      <w:marBottom w:val="0"/>
      <w:divBdr>
        <w:top w:val="none" w:sz="0" w:space="0" w:color="auto"/>
        <w:left w:val="none" w:sz="0" w:space="0" w:color="auto"/>
        <w:bottom w:val="none" w:sz="0" w:space="0" w:color="auto"/>
        <w:right w:val="none" w:sz="0" w:space="0" w:color="auto"/>
      </w:divBdr>
    </w:div>
    <w:div w:id="1038942258">
      <w:bodyDiv w:val="1"/>
      <w:marLeft w:val="0"/>
      <w:marRight w:val="0"/>
      <w:marTop w:val="0"/>
      <w:marBottom w:val="0"/>
      <w:divBdr>
        <w:top w:val="none" w:sz="0" w:space="0" w:color="auto"/>
        <w:left w:val="none" w:sz="0" w:space="0" w:color="auto"/>
        <w:bottom w:val="none" w:sz="0" w:space="0" w:color="auto"/>
        <w:right w:val="none" w:sz="0" w:space="0" w:color="auto"/>
      </w:divBdr>
    </w:div>
    <w:div w:id="1183279555">
      <w:bodyDiv w:val="1"/>
      <w:marLeft w:val="0"/>
      <w:marRight w:val="0"/>
      <w:marTop w:val="0"/>
      <w:marBottom w:val="0"/>
      <w:divBdr>
        <w:top w:val="none" w:sz="0" w:space="0" w:color="auto"/>
        <w:left w:val="none" w:sz="0" w:space="0" w:color="auto"/>
        <w:bottom w:val="none" w:sz="0" w:space="0" w:color="auto"/>
        <w:right w:val="none" w:sz="0" w:space="0" w:color="auto"/>
      </w:divBdr>
    </w:div>
    <w:div w:id="1222669537">
      <w:bodyDiv w:val="1"/>
      <w:marLeft w:val="0"/>
      <w:marRight w:val="0"/>
      <w:marTop w:val="0"/>
      <w:marBottom w:val="0"/>
      <w:divBdr>
        <w:top w:val="none" w:sz="0" w:space="0" w:color="auto"/>
        <w:left w:val="none" w:sz="0" w:space="0" w:color="auto"/>
        <w:bottom w:val="none" w:sz="0" w:space="0" w:color="auto"/>
        <w:right w:val="none" w:sz="0" w:space="0" w:color="auto"/>
      </w:divBdr>
    </w:div>
    <w:div w:id="1290548162">
      <w:bodyDiv w:val="1"/>
      <w:marLeft w:val="0"/>
      <w:marRight w:val="0"/>
      <w:marTop w:val="0"/>
      <w:marBottom w:val="0"/>
      <w:divBdr>
        <w:top w:val="none" w:sz="0" w:space="0" w:color="auto"/>
        <w:left w:val="none" w:sz="0" w:space="0" w:color="auto"/>
        <w:bottom w:val="none" w:sz="0" w:space="0" w:color="auto"/>
        <w:right w:val="none" w:sz="0" w:space="0" w:color="auto"/>
      </w:divBdr>
    </w:div>
    <w:div w:id="1387991336">
      <w:bodyDiv w:val="1"/>
      <w:marLeft w:val="0"/>
      <w:marRight w:val="0"/>
      <w:marTop w:val="0"/>
      <w:marBottom w:val="0"/>
      <w:divBdr>
        <w:top w:val="none" w:sz="0" w:space="0" w:color="auto"/>
        <w:left w:val="none" w:sz="0" w:space="0" w:color="auto"/>
        <w:bottom w:val="none" w:sz="0" w:space="0" w:color="auto"/>
        <w:right w:val="none" w:sz="0" w:space="0" w:color="auto"/>
      </w:divBdr>
    </w:div>
    <w:div w:id="1399551942">
      <w:bodyDiv w:val="1"/>
      <w:marLeft w:val="0"/>
      <w:marRight w:val="0"/>
      <w:marTop w:val="0"/>
      <w:marBottom w:val="0"/>
      <w:divBdr>
        <w:top w:val="none" w:sz="0" w:space="0" w:color="auto"/>
        <w:left w:val="none" w:sz="0" w:space="0" w:color="auto"/>
        <w:bottom w:val="none" w:sz="0" w:space="0" w:color="auto"/>
        <w:right w:val="none" w:sz="0" w:space="0" w:color="auto"/>
      </w:divBdr>
      <w:divsChild>
        <w:div w:id="1061634748">
          <w:marLeft w:val="0"/>
          <w:marRight w:val="0"/>
          <w:marTop w:val="0"/>
          <w:marBottom w:val="0"/>
          <w:divBdr>
            <w:top w:val="none" w:sz="0" w:space="0" w:color="auto"/>
            <w:left w:val="none" w:sz="0" w:space="0" w:color="auto"/>
            <w:bottom w:val="none" w:sz="0" w:space="0" w:color="auto"/>
            <w:right w:val="none" w:sz="0" w:space="0" w:color="auto"/>
          </w:divBdr>
          <w:divsChild>
            <w:div w:id="890307873">
              <w:marLeft w:val="0"/>
              <w:marRight w:val="0"/>
              <w:marTop w:val="0"/>
              <w:marBottom w:val="0"/>
              <w:divBdr>
                <w:top w:val="none" w:sz="0" w:space="0" w:color="auto"/>
                <w:left w:val="none" w:sz="0" w:space="0" w:color="auto"/>
                <w:bottom w:val="none" w:sz="0" w:space="0" w:color="auto"/>
                <w:right w:val="none" w:sz="0" w:space="0" w:color="auto"/>
              </w:divBdr>
              <w:divsChild>
                <w:div w:id="312416676">
                  <w:marLeft w:val="0"/>
                  <w:marRight w:val="0"/>
                  <w:marTop w:val="0"/>
                  <w:marBottom w:val="0"/>
                  <w:divBdr>
                    <w:top w:val="none" w:sz="0" w:space="0" w:color="auto"/>
                    <w:left w:val="none" w:sz="0" w:space="0" w:color="auto"/>
                    <w:bottom w:val="none" w:sz="0" w:space="0" w:color="auto"/>
                    <w:right w:val="none" w:sz="0" w:space="0" w:color="auto"/>
                  </w:divBdr>
                  <w:divsChild>
                    <w:div w:id="169811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719018">
      <w:bodyDiv w:val="1"/>
      <w:marLeft w:val="0"/>
      <w:marRight w:val="0"/>
      <w:marTop w:val="0"/>
      <w:marBottom w:val="0"/>
      <w:divBdr>
        <w:top w:val="none" w:sz="0" w:space="0" w:color="auto"/>
        <w:left w:val="none" w:sz="0" w:space="0" w:color="auto"/>
        <w:bottom w:val="none" w:sz="0" w:space="0" w:color="auto"/>
        <w:right w:val="none" w:sz="0" w:space="0" w:color="auto"/>
      </w:divBdr>
    </w:div>
    <w:div w:id="1583953866">
      <w:bodyDiv w:val="1"/>
      <w:marLeft w:val="0"/>
      <w:marRight w:val="0"/>
      <w:marTop w:val="0"/>
      <w:marBottom w:val="0"/>
      <w:divBdr>
        <w:top w:val="none" w:sz="0" w:space="0" w:color="auto"/>
        <w:left w:val="none" w:sz="0" w:space="0" w:color="auto"/>
        <w:bottom w:val="none" w:sz="0" w:space="0" w:color="auto"/>
        <w:right w:val="none" w:sz="0" w:space="0" w:color="auto"/>
      </w:divBdr>
    </w:div>
    <w:div w:id="1688098768">
      <w:bodyDiv w:val="1"/>
      <w:marLeft w:val="0"/>
      <w:marRight w:val="0"/>
      <w:marTop w:val="0"/>
      <w:marBottom w:val="0"/>
      <w:divBdr>
        <w:top w:val="none" w:sz="0" w:space="0" w:color="auto"/>
        <w:left w:val="none" w:sz="0" w:space="0" w:color="auto"/>
        <w:bottom w:val="none" w:sz="0" w:space="0" w:color="auto"/>
        <w:right w:val="none" w:sz="0" w:space="0" w:color="auto"/>
      </w:divBdr>
      <w:divsChild>
        <w:div w:id="454716188">
          <w:marLeft w:val="0"/>
          <w:marRight w:val="0"/>
          <w:marTop w:val="0"/>
          <w:marBottom w:val="0"/>
          <w:divBdr>
            <w:top w:val="single" w:sz="2" w:space="0" w:color="D9D9E3"/>
            <w:left w:val="single" w:sz="2" w:space="0" w:color="D9D9E3"/>
            <w:bottom w:val="single" w:sz="2" w:space="0" w:color="D9D9E3"/>
            <w:right w:val="single" w:sz="2" w:space="0" w:color="D9D9E3"/>
          </w:divBdr>
          <w:divsChild>
            <w:div w:id="655763666">
              <w:marLeft w:val="0"/>
              <w:marRight w:val="0"/>
              <w:marTop w:val="0"/>
              <w:marBottom w:val="0"/>
              <w:divBdr>
                <w:top w:val="single" w:sz="2" w:space="0" w:color="D9D9E3"/>
                <w:left w:val="single" w:sz="2" w:space="0" w:color="D9D9E3"/>
                <w:bottom w:val="single" w:sz="2" w:space="0" w:color="D9D9E3"/>
                <w:right w:val="single" w:sz="2" w:space="0" w:color="D9D9E3"/>
              </w:divBdr>
              <w:divsChild>
                <w:div w:id="1665548530">
                  <w:marLeft w:val="0"/>
                  <w:marRight w:val="0"/>
                  <w:marTop w:val="0"/>
                  <w:marBottom w:val="0"/>
                  <w:divBdr>
                    <w:top w:val="single" w:sz="2" w:space="0" w:color="D9D9E3"/>
                    <w:left w:val="single" w:sz="2" w:space="0" w:color="D9D9E3"/>
                    <w:bottom w:val="single" w:sz="2" w:space="0" w:color="D9D9E3"/>
                    <w:right w:val="single" w:sz="2" w:space="0" w:color="D9D9E3"/>
                  </w:divBdr>
                  <w:divsChild>
                    <w:div w:id="1828202104">
                      <w:marLeft w:val="0"/>
                      <w:marRight w:val="0"/>
                      <w:marTop w:val="0"/>
                      <w:marBottom w:val="0"/>
                      <w:divBdr>
                        <w:top w:val="single" w:sz="2" w:space="0" w:color="D9D9E3"/>
                        <w:left w:val="single" w:sz="2" w:space="0" w:color="D9D9E3"/>
                        <w:bottom w:val="single" w:sz="2" w:space="0" w:color="D9D9E3"/>
                        <w:right w:val="single" w:sz="2" w:space="0" w:color="D9D9E3"/>
                      </w:divBdr>
                      <w:divsChild>
                        <w:div w:id="880438412">
                          <w:marLeft w:val="0"/>
                          <w:marRight w:val="0"/>
                          <w:marTop w:val="0"/>
                          <w:marBottom w:val="0"/>
                          <w:divBdr>
                            <w:top w:val="single" w:sz="2" w:space="0" w:color="D9D9E3"/>
                            <w:left w:val="single" w:sz="2" w:space="0" w:color="D9D9E3"/>
                            <w:bottom w:val="single" w:sz="2" w:space="0" w:color="D9D9E3"/>
                            <w:right w:val="single" w:sz="2" w:space="0" w:color="D9D9E3"/>
                          </w:divBdr>
                          <w:divsChild>
                            <w:div w:id="1235163239">
                              <w:marLeft w:val="0"/>
                              <w:marRight w:val="0"/>
                              <w:marTop w:val="100"/>
                              <w:marBottom w:val="100"/>
                              <w:divBdr>
                                <w:top w:val="single" w:sz="2" w:space="0" w:color="D9D9E3"/>
                                <w:left w:val="single" w:sz="2" w:space="0" w:color="D9D9E3"/>
                                <w:bottom w:val="single" w:sz="2" w:space="0" w:color="D9D9E3"/>
                                <w:right w:val="single" w:sz="2" w:space="0" w:color="D9D9E3"/>
                              </w:divBdr>
                              <w:divsChild>
                                <w:div w:id="648486469">
                                  <w:marLeft w:val="0"/>
                                  <w:marRight w:val="0"/>
                                  <w:marTop w:val="0"/>
                                  <w:marBottom w:val="0"/>
                                  <w:divBdr>
                                    <w:top w:val="single" w:sz="2" w:space="0" w:color="D9D9E3"/>
                                    <w:left w:val="single" w:sz="2" w:space="0" w:color="D9D9E3"/>
                                    <w:bottom w:val="single" w:sz="2" w:space="0" w:color="D9D9E3"/>
                                    <w:right w:val="single" w:sz="2" w:space="0" w:color="D9D9E3"/>
                                  </w:divBdr>
                                  <w:divsChild>
                                    <w:div w:id="965936493">
                                      <w:marLeft w:val="0"/>
                                      <w:marRight w:val="0"/>
                                      <w:marTop w:val="0"/>
                                      <w:marBottom w:val="0"/>
                                      <w:divBdr>
                                        <w:top w:val="single" w:sz="2" w:space="0" w:color="D9D9E3"/>
                                        <w:left w:val="single" w:sz="2" w:space="0" w:color="D9D9E3"/>
                                        <w:bottom w:val="single" w:sz="2" w:space="0" w:color="D9D9E3"/>
                                        <w:right w:val="single" w:sz="2" w:space="0" w:color="D9D9E3"/>
                                      </w:divBdr>
                                      <w:divsChild>
                                        <w:div w:id="1002968534">
                                          <w:marLeft w:val="0"/>
                                          <w:marRight w:val="0"/>
                                          <w:marTop w:val="0"/>
                                          <w:marBottom w:val="0"/>
                                          <w:divBdr>
                                            <w:top w:val="single" w:sz="2" w:space="0" w:color="D9D9E3"/>
                                            <w:left w:val="single" w:sz="2" w:space="0" w:color="D9D9E3"/>
                                            <w:bottom w:val="single" w:sz="2" w:space="0" w:color="D9D9E3"/>
                                            <w:right w:val="single" w:sz="2" w:space="0" w:color="D9D9E3"/>
                                          </w:divBdr>
                                          <w:divsChild>
                                            <w:div w:id="995574477">
                                              <w:marLeft w:val="0"/>
                                              <w:marRight w:val="0"/>
                                              <w:marTop w:val="0"/>
                                              <w:marBottom w:val="0"/>
                                              <w:divBdr>
                                                <w:top w:val="single" w:sz="2" w:space="0" w:color="D9D9E3"/>
                                                <w:left w:val="single" w:sz="2" w:space="0" w:color="D9D9E3"/>
                                                <w:bottom w:val="single" w:sz="2" w:space="0" w:color="D9D9E3"/>
                                                <w:right w:val="single" w:sz="2" w:space="0" w:color="D9D9E3"/>
                                              </w:divBdr>
                                              <w:divsChild>
                                                <w:div w:id="558635662">
                                                  <w:marLeft w:val="0"/>
                                                  <w:marRight w:val="0"/>
                                                  <w:marTop w:val="0"/>
                                                  <w:marBottom w:val="0"/>
                                                  <w:divBdr>
                                                    <w:top w:val="single" w:sz="2" w:space="0" w:color="D9D9E3"/>
                                                    <w:left w:val="single" w:sz="2" w:space="0" w:color="D9D9E3"/>
                                                    <w:bottom w:val="single" w:sz="2" w:space="0" w:color="D9D9E3"/>
                                                    <w:right w:val="single" w:sz="2" w:space="0" w:color="D9D9E3"/>
                                                  </w:divBdr>
                                                  <w:divsChild>
                                                    <w:div w:id="425224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42470057">
          <w:marLeft w:val="0"/>
          <w:marRight w:val="0"/>
          <w:marTop w:val="0"/>
          <w:marBottom w:val="0"/>
          <w:divBdr>
            <w:top w:val="none" w:sz="0" w:space="0" w:color="auto"/>
            <w:left w:val="none" w:sz="0" w:space="0" w:color="auto"/>
            <w:bottom w:val="none" w:sz="0" w:space="0" w:color="auto"/>
            <w:right w:val="none" w:sz="0" w:space="0" w:color="auto"/>
          </w:divBdr>
        </w:div>
      </w:divsChild>
    </w:div>
    <w:div w:id="1752042806">
      <w:bodyDiv w:val="1"/>
      <w:marLeft w:val="0"/>
      <w:marRight w:val="0"/>
      <w:marTop w:val="0"/>
      <w:marBottom w:val="0"/>
      <w:divBdr>
        <w:top w:val="none" w:sz="0" w:space="0" w:color="auto"/>
        <w:left w:val="none" w:sz="0" w:space="0" w:color="auto"/>
        <w:bottom w:val="none" w:sz="0" w:space="0" w:color="auto"/>
        <w:right w:val="none" w:sz="0" w:space="0" w:color="auto"/>
      </w:divBdr>
    </w:div>
    <w:div w:id="1986277347">
      <w:bodyDiv w:val="1"/>
      <w:marLeft w:val="0"/>
      <w:marRight w:val="0"/>
      <w:marTop w:val="0"/>
      <w:marBottom w:val="0"/>
      <w:divBdr>
        <w:top w:val="none" w:sz="0" w:space="0" w:color="auto"/>
        <w:left w:val="none" w:sz="0" w:space="0" w:color="auto"/>
        <w:bottom w:val="none" w:sz="0" w:space="0" w:color="auto"/>
        <w:right w:val="none" w:sz="0" w:space="0" w:color="auto"/>
      </w:divBdr>
    </w:div>
    <w:div w:id="1995180099">
      <w:bodyDiv w:val="1"/>
      <w:marLeft w:val="0"/>
      <w:marRight w:val="0"/>
      <w:marTop w:val="0"/>
      <w:marBottom w:val="0"/>
      <w:divBdr>
        <w:top w:val="none" w:sz="0" w:space="0" w:color="auto"/>
        <w:left w:val="none" w:sz="0" w:space="0" w:color="auto"/>
        <w:bottom w:val="none" w:sz="0" w:space="0" w:color="auto"/>
        <w:right w:val="none" w:sz="0" w:space="0" w:color="auto"/>
      </w:divBdr>
    </w:div>
    <w:div w:id="2104378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1</Pages>
  <Words>5829</Words>
  <Characters>33229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Considering the concept of the 'Unique Child', critically evaluate methods ofassessment, progress tracking and age or stage related development models.within play-based curricula [1437 words]</dc:title>
  <dc:subject/>
  <dc:creator>Fatima Omar (2218519)</dc:creator>
  <cp:keywords/>
  <dc:description/>
  <cp:lastModifiedBy>Fatima Omar (2218519)</cp:lastModifiedBy>
  <cp:revision>9</cp:revision>
  <dcterms:created xsi:type="dcterms:W3CDTF">2024-01-07T05:08:00Z</dcterms:created>
  <dcterms:modified xsi:type="dcterms:W3CDTF">2024-01-28T23:52:00Z</dcterms:modified>
</cp:coreProperties>
</file>