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2DE35" w14:textId="6981F751" w:rsidR="003F141C" w:rsidRPr="002B3C5E" w:rsidRDefault="00000000">
      <w:pPr>
        <w:rPr>
          <w:u w:val="single"/>
        </w:rPr>
      </w:pPr>
      <w:r w:rsidRPr="002B3C5E">
        <w:rPr>
          <w:u w:val="single"/>
        </w:rPr>
        <w:t xml:space="preserve">How </w:t>
      </w:r>
      <w:r w:rsidR="002B3C5E" w:rsidRPr="002B3C5E">
        <w:rPr>
          <w:u w:val="single"/>
        </w:rPr>
        <w:t>is</w:t>
      </w:r>
      <w:r w:rsidRPr="002B3C5E">
        <w:rPr>
          <w:u w:val="single"/>
        </w:rPr>
        <w:t xml:space="preserve"> </w:t>
      </w:r>
      <w:r w:rsidR="002B3C5E">
        <w:rPr>
          <w:u w:val="single"/>
        </w:rPr>
        <w:t>the difference between human</w:t>
      </w:r>
      <w:r w:rsidR="004852BA">
        <w:rPr>
          <w:u w:val="single"/>
        </w:rPr>
        <w:t xml:space="preserve">s </w:t>
      </w:r>
      <w:r w:rsidR="002B3C5E">
        <w:rPr>
          <w:u w:val="single"/>
        </w:rPr>
        <w:t xml:space="preserve">and animals an allegory for society in </w:t>
      </w:r>
      <w:r w:rsidRPr="002B3C5E">
        <w:rPr>
          <w:u w:val="single"/>
        </w:rPr>
        <w:t xml:space="preserve">Marie De France’s </w:t>
      </w:r>
      <w:r w:rsidRPr="002B3C5E">
        <w:rPr>
          <w:i/>
          <w:iCs/>
          <w:u w:val="single"/>
        </w:rPr>
        <w:t>Bisclavret</w:t>
      </w:r>
      <w:r w:rsidRPr="002B3C5E">
        <w:rPr>
          <w:u w:val="single"/>
        </w:rPr>
        <w:t>?</w:t>
      </w:r>
    </w:p>
    <w:p w14:paraId="31F38939" w14:textId="3526F6AC" w:rsidR="003F141C" w:rsidRDefault="00000000">
      <w:r>
        <w:t>Marie De France’s La</w:t>
      </w:r>
      <w:r w:rsidR="004938F7">
        <w:t>y</w:t>
      </w:r>
      <w:r>
        <w:t>s detail several different stories that reveal the dichotomy of humans and animals, however none as such as Bisclavret, the story of the werewolf. Bisclavret himself</w:t>
      </w:r>
      <w:r w:rsidR="00ED1852">
        <w:t>, the wolf,</w:t>
      </w:r>
      <w:r>
        <w:t xml:space="preserve"> marries a human woman and lives a very human life, blending in well with other people – it only seems that unnaturally, he will disappear for several days once a month. Regardless of his otherwise normal behaviour, his wife still pushes him for answers and details, revealing a deeper criticism of the social hierarchy in the times of writing – if not even a trustworthy man such as Bisclavret can have a faithful and trusting wife, why should any other man? His animalistic desires throughout the poem only really prove to show the consequences of repressed masculinity, as an animal with something dear to it taken away will only ever act out against its oppressors. The theme of loyalty to those who deserve it only enunciates the idea of a mismatched society within the story of Bisclavret.</w:t>
      </w:r>
    </w:p>
    <w:p w14:paraId="7F853402" w14:textId="12BDA93F" w:rsidR="00FF1941" w:rsidRDefault="00000000">
      <w:r>
        <w:t xml:space="preserve">Firstly, it seems that the ideal society for loyalty places the king above all – Bisclavret is loyal to the king even as a man, yet as a wolf, he </w:t>
      </w:r>
      <w:r w:rsidR="00A54161">
        <w:t xml:space="preserve">is so loyal he </w:t>
      </w:r>
      <w:r>
        <w:t xml:space="preserve">reveals his humanity by praising the king; </w:t>
      </w:r>
      <w:r w:rsidR="00E874BC">
        <w:t>‘</w:t>
      </w:r>
      <w:r>
        <w:t>The werewolf ran up to his side / took hold of his stirrup, and kissed his shoe / which beasts in the woods don’t often do.</w:t>
      </w:r>
      <w:r w:rsidR="00E874BC">
        <w:t>’</w:t>
      </w:r>
      <w:r>
        <w:rPr>
          <w:rStyle w:val="FootnoteReference"/>
        </w:rPr>
        <w:footnoteReference w:id="1"/>
      </w:r>
      <w:r>
        <w:t xml:space="preserve"> Although betrayed by his wife and a knight, Bisclavret does not find displeasure in the system as a whole, but chooses to show affection for the highest of all powers instead. He could have just as easily become a nomad, or a runaway, and created a similar story with a different outlook on society, but the choice to make him idolise the king </w:t>
      </w:r>
      <w:proofErr w:type="gramStart"/>
      <w:r>
        <w:t>in particular reflects</w:t>
      </w:r>
      <w:proofErr w:type="gramEnd"/>
      <w:r>
        <w:t xml:space="preserve"> a humanity in the animalistic, a difference in societal structures that jeopardises the reader’s previous understanding of the wild and untethered. It also reflects a more advanced form of revenge over what is preferred by most wild beasts – instead of tearing someone apart much as a wolf or a bear would do, Bisclavret as a </w:t>
      </w:r>
      <w:proofErr w:type="gramStart"/>
      <w:r>
        <w:t>werewolf preys</w:t>
      </w:r>
      <w:proofErr w:type="gramEnd"/>
      <w:r>
        <w:t xml:space="preserve"> upon human sympathy and kindness to be accepted by the king and his court, working his revenge up from the inside. This also calls back to when the knight his wife marries comes to visit, he knows the knight will come by and thus attacks him for showing his face – </w:t>
      </w:r>
      <w:r w:rsidR="00E874BC">
        <w:t>‘</w:t>
      </w:r>
      <w:r>
        <w:t>The wolf with no hesitation at all / leapt on him and sank his jaws / into his thigh. (He had good cause / but no one knew what that might be.)</w:t>
      </w:r>
      <w:r w:rsidR="00E874BC">
        <w:t>’</w:t>
      </w:r>
      <w:r>
        <w:rPr>
          <w:rStyle w:val="FootnoteReference"/>
        </w:rPr>
        <w:footnoteReference w:id="2"/>
      </w:r>
      <w:r>
        <w:t xml:space="preserve"> This shows evidence of an animalistic appearance masking a human mind and understanding utilised to enact revenge, the perfect blend of man and wolf. In this part of the story, Marie de France perfectly enacts what a man in this standing would do in society.</w:t>
      </w:r>
    </w:p>
    <w:p w14:paraId="66E40DD2" w14:textId="7F04DFAD" w:rsidR="003F141C" w:rsidRDefault="00000000">
      <w:r>
        <w:t xml:space="preserve">Previously a well-loved man, Bisclavret becomes a well-loved castle pet, mirroring his status in human society and paralleling it in the animal world as well. In </w:t>
      </w:r>
      <w:r>
        <w:rPr>
          <w:i/>
          <w:iCs/>
        </w:rPr>
        <w:t xml:space="preserve">Marie de </w:t>
      </w:r>
      <w:r>
        <w:rPr>
          <w:i/>
          <w:iCs/>
        </w:rPr>
        <w:lastRenderedPageBreak/>
        <w:t>France: A Critical Companion</w:t>
      </w:r>
      <w:r>
        <w:t xml:space="preserve">, authors Kinoshita and McCracken examine the importance of Bisclavret’s transition from man to wolf in the lens of her as a writer – </w:t>
      </w:r>
      <w:r w:rsidR="00E874BC">
        <w:t>‘</w:t>
      </w:r>
      <w:r>
        <w:t>These marvellous animals have been studied for what they can tell us about Marie’s definition of human identity, her understanding of gender and sexuality, her sources, and her poetic project.</w:t>
      </w:r>
      <w:r w:rsidR="00E874BC">
        <w:t>’</w:t>
      </w:r>
      <w:r>
        <w:rPr>
          <w:rStyle w:val="FootnoteReference"/>
        </w:rPr>
        <w:footnoteReference w:id="3"/>
      </w:r>
      <w:r>
        <w:t xml:space="preserve"> This gives us a critical view into the idea that her writing in Bisclavret reflects her own understandings of gender and human identity, that she may see parts of herself in the characters she has written about. This is interesting for many reasons, but namely that as a historical analysis, it still cannot be known who exactly Marie de France was – nor can it even be known whether or not she was a woman, so for it to be implied as such that she wrote the way she perceived the society she lived it, offers a very raw understanding of Marie’s vision of masculinity and humanity. It suggests that she perceived men and animals alike as aggressive beings, yet humans </w:t>
      </w:r>
      <w:proofErr w:type="gramStart"/>
      <w:r>
        <w:t>as a whole a</w:t>
      </w:r>
      <w:r w:rsidR="00E874BC">
        <w:t>re</w:t>
      </w:r>
      <w:proofErr w:type="gramEnd"/>
      <w:r>
        <w:t xml:space="preserve"> sympathetic, and able to prey on each other’s sympathy just as easily. Bisclavret’s character encompasses what Marie believes in society as a whole – under the right circumstances, any human is capable of being an animal, but it takes a different kind of person to be animalistic. Although Bisclavret as a wolf cannot help himself eating the creatures of the forest, he is still capable of offering human solace to the king, and to obey and disobey as he chooses to. He is a wolf with a manmade mind, and it encompasses Marie’s understanding of the world wholeheartedly.</w:t>
      </w:r>
    </w:p>
    <w:p w14:paraId="1CEC0850" w14:textId="1778D490" w:rsidR="004938F7" w:rsidRDefault="004938F7">
      <w:r>
        <w:t xml:space="preserve">The use of a wolf specifically also ties in the idea of religion as a point of importance in society, as the animal can be tied towards connotations of the devil, or the unholy. Imagining the dichotomy as man, the creature God sent to care for the world, against wolf, a conniving and mischievous animal, it implores a deeper understanding towards Bisclavret’s character as a blend of the two. He is both holy and unholy, both hated and revered, making his position in society complex. Although at the end of the poem he should logically be cast out as a criminal for the assault on his wife and her husband, his standing with the king makes him celebrated instead of shunned. Even with the wife herself, her bloodline is punished for her wrongdoings, showing that although there should be no favouritism towards the attacker, Marie is possibly framing a narrative in which men who are favoured by people high up in status are </w:t>
      </w:r>
      <w:r w:rsidR="00BF40FB">
        <w:t xml:space="preserve">always going to avoid punishment for their misdeeds, offering a greater commentary on her </w:t>
      </w:r>
      <w:proofErr w:type="gramStart"/>
      <w:r w:rsidR="00BF40FB">
        <w:t>society as a whole</w:t>
      </w:r>
      <w:proofErr w:type="gramEnd"/>
      <w:r w:rsidR="00BF40FB">
        <w:t xml:space="preserve">. This is emphasised also by her address to the audience; </w:t>
      </w:r>
      <w:r w:rsidR="00E874BC">
        <w:t>‘</w:t>
      </w:r>
      <w:r w:rsidR="00BF40FB">
        <w:t>Is this the happy ending? Not quite.</w:t>
      </w:r>
      <w:r w:rsidR="00E874BC">
        <w:t>’</w:t>
      </w:r>
      <w:r w:rsidR="00BF40FB">
        <w:rPr>
          <w:rStyle w:val="FootnoteReference"/>
        </w:rPr>
        <w:footnoteReference w:id="4"/>
      </w:r>
      <w:r w:rsidR="00BF40FB">
        <w:t xml:space="preserve"> Kinoshita also marks a distinction in Marie’s emphasis on the distinction between man and wolf – </w:t>
      </w:r>
      <w:r w:rsidR="00E874BC">
        <w:t>‘</w:t>
      </w:r>
      <w:r w:rsidR="00BF40FB">
        <w:t>Bisclavret begins by citing an old distinction between men and werewolves, but the feudal homage of the wolf to the king displaces the separation between the human and the otherworldly animal with a familiar lord-vassal relationship that makes the wolf a faithful subject of the king.</w:t>
      </w:r>
      <w:r w:rsidR="00E874BC">
        <w:t>’</w:t>
      </w:r>
      <w:r w:rsidR="00BF40FB">
        <w:rPr>
          <w:rStyle w:val="FootnoteReference"/>
        </w:rPr>
        <w:footnoteReference w:id="5"/>
      </w:r>
      <w:r w:rsidR="00BF40FB">
        <w:t xml:space="preserve"> This idea</w:t>
      </w:r>
      <w:r w:rsidR="000F7D13">
        <w:t xml:space="preserve"> from this </w:t>
      </w:r>
      <w:r w:rsidR="000F7D13">
        <w:lastRenderedPageBreak/>
        <w:t>historian</w:t>
      </w:r>
      <w:r w:rsidR="00BF40FB">
        <w:t xml:space="preserve"> emphasises </w:t>
      </w:r>
      <w:r w:rsidR="000F7D13">
        <w:t xml:space="preserve">that this story is also marked as unique by making the king and the werewolf so closely bonded, and attaches the idea to the reader by recrafting the familiarity of a lord-vassal relationship. Critic Emma Campbell also notes that the </w:t>
      </w:r>
      <w:r w:rsidR="00E874BC">
        <w:t>‘</w:t>
      </w:r>
      <w:r w:rsidR="000F7D13">
        <w:t>savage beast</w:t>
      </w:r>
      <w:r w:rsidR="00E874BC">
        <w:t>’</w:t>
      </w:r>
      <w:r w:rsidR="000F7D13">
        <w:t xml:space="preserve"> that Bisclavret is stated to be is presented as much more of a docile creature that at first glance – </w:t>
      </w:r>
      <w:r w:rsidR="00E874BC">
        <w:t>‘</w:t>
      </w:r>
      <w:r w:rsidR="000F7D13">
        <w:t>[…] seems to differ from this animal in name and nature, proving an altogether less vicious and more human creature than this initial description suggests.</w:t>
      </w:r>
      <w:r w:rsidR="00E874BC">
        <w:t>’</w:t>
      </w:r>
      <w:r w:rsidR="000F7D13">
        <w:rPr>
          <w:rStyle w:val="FootnoteReference"/>
        </w:rPr>
        <w:footnoteReference w:id="6"/>
      </w:r>
      <w:r w:rsidR="000F7D13">
        <w:t xml:space="preserve"> This idea perhaps suggests that the humanity of Bisclavret makes him more likeable and easier to connect with the king, rather than an aggressive animal who would be killed for its crimes. Regardless, both points of view lean towards offering an idea that Bisclavret is a criticism of a patriarchal society, how men will always favour men over women – emphasised further by the context that Marie de France was herself a woman.</w:t>
      </w:r>
    </w:p>
    <w:p w14:paraId="7570CEF3" w14:textId="592D5D3A" w:rsidR="000F7D13" w:rsidRDefault="000F7D13">
      <w:r>
        <w:t xml:space="preserve">Furthermore, Bisclavret’s wife is a human and yet she is written to be duplicitous and conniving, going behind her husband’s back to elicit the help of a man she knows has affections for her. This offers a perception of the poem where humanity is evil and animals represent something </w:t>
      </w:r>
      <w:proofErr w:type="gramStart"/>
      <w:r>
        <w:t>more pure</w:t>
      </w:r>
      <w:proofErr w:type="gramEnd"/>
      <w:r>
        <w:t xml:space="preserve">, and the introduction of innocence into society </w:t>
      </w:r>
      <w:proofErr w:type="gramStart"/>
      <w:r>
        <w:t>actually creates</w:t>
      </w:r>
      <w:proofErr w:type="gramEnd"/>
      <w:r>
        <w:t xml:space="preserve"> more empathy and care in the world. </w:t>
      </w:r>
      <w:r w:rsidR="007F3401">
        <w:t xml:space="preserve">As animals are true to what they are, humans are deceptive – Campbell references this again, stating that </w:t>
      </w:r>
      <w:r w:rsidR="00E874BC">
        <w:t>‘</w:t>
      </w:r>
      <w:r w:rsidR="007F3401">
        <w:t>The threatening animality associated with the werewolf is nonetheless displaced from Bisclavret to the duplicitous wife, who becomes associated with the disturbing cohabitation of humanity and animality with which Marie begins.</w:t>
      </w:r>
      <w:r w:rsidR="00E874BC">
        <w:t>’</w:t>
      </w:r>
      <w:r w:rsidR="007F3401">
        <w:rPr>
          <w:rStyle w:val="FootnoteReference"/>
        </w:rPr>
        <w:footnoteReference w:id="7"/>
      </w:r>
      <w:r w:rsidR="007F3401">
        <w:t xml:space="preserve"> This goes to show how the wife is portrayed to be tainted with evil – however not just for her conniving ways, but also directed at how she and a creature of the night could get married in the first place; </w:t>
      </w:r>
      <w:r w:rsidR="00E874BC">
        <w:t>‘</w:t>
      </w:r>
      <w:r w:rsidR="007F3401">
        <w:t>How could she / and such a creature have intimacy?</w:t>
      </w:r>
      <w:r w:rsidR="00E874BC">
        <w:t>’</w:t>
      </w:r>
      <w:r w:rsidR="007F3401">
        <w:rPr>
          <w:rStyle w:val="FootnoteReference"/>
        </w:rPr>
        <w:footnoteReference w:id="8"/>
      </w:r>
      <w:r w:rsidR="007F3401">
        <w:t xml:space="preserve"> The prior quote suggests that it is not the concept of being human that turned the wife duplicitous, but rather that her engagement with a werewolf, an unholy creature, was the reason to why she was tainted with evil in the first place. This again seems to lead back to a criticism of a patriarchal society – a wolf, representing a conniving man, is the one to inseminate a woman who is otherwise good with evil.</w:t>
      </w:r>
    </w:p>
    <w:p w14:paraId="423EA018" w14:textId="4292DE72" w:rsidR="002B3C5E" w:rsidRDefault="002B3C5E">
      <w:r>
        <w:t xml:space="preserve">Ultimately, Bisclavret appears to be written with a criticism of the patriarchy and the society of which Marie de France lived in at the time </w:t>
      </w:r>
      <w:proofErr w:type="gramStart"/>
      <w:r>
        <w:t>through the use of</w:t>
      </w:r>
      <w:proofErr w:type="gramEnd"/>
      <w:r>
        <w:t xml:space="preserve"> animalistic characters. This is shown in her portrayal of not only men and women, in the characters of the wife and the knight, but also in Bisclavret’s biased relationship towards the king and the fact his actions are not chastised due to his closeness with him. </w:t>
      </w:r>
    </w:p>
    <w:p w14:paraId="2AE08130" w14:textId="77777777" w:rsidR="00FF1941" w:rsidRDefault="00FF1941"/>
    <w:p w14:paraId="0FBDE8EC" w14:textId="1EAFFF9A" w:rsidR="00FF1941" w:rsidRPr="00FF1941" w:rsidRDefault="00FF1941">
      <w:pPr>
        <w:rPr>
          <w:u w:val="single"/>
        </w:rPr>
      </w:pPr>
      <w:r w:rsidRPr="00FF1941">
        <w:rPr>
          <w:u w:val="single"/>
        </w:rPr>
        <w:lastRenderedPageBreak/>
        <w:t>Bibliography</w:t>
      </w:r>
    </w:p>
    <w:p w14:paraId="1060342B" w14:textId="29A31497" w:rsidR="00FF1941" w:rsidRDefault="00FF1941">
      <w:r>
        <w:t>Primary Source</w:t>
      </w:r>
    </w:p>
    <w:p w14:paraId="3AD3886B" w14:textId="3C47E0F8" w:rsidR="00FF1941" w:rsidRDefault="00E874BC">
      <w:bookmarkStart w:id="0" w:name="_Hlk216211708"/>
      <w:r w:rsidRPr="00E874BC">
        <w:t xml:space="preserve">Translated by David R. Slavitt, </w:t>
      </w:r>
      <w:r w:rsidRPr="00E874BC">
        <w:rPr>
          <w:i/>
          <w:iCs/>
        </w:rPr>
        <w:t>The Lays of Marie de France</w:t>
      </w:r>
      <w:r w:rsidRPr="00E874BC">
        <w:t xml:space="preserve"> (Athabasca University Press, 2013), doi:10.15215/</w:t>
      </w:r>
      <w:proofErr w:type="spellStart"/>
      <w:r w:rsidRPr="00E874BC">
        <w:t>aupress</w:t>
      </w:r>
      <w:proofErr w:type="spellEnd"/>
      <w:r w:rsidRPr="00E874BC">
        <w:t>/9781927356357.01</w:t>
      </w:r>
      <w:bookmarkEnd w:id="0"/>
      <w:r>
        <w:t xml:space="preserve"> – the poem ‘Bisclavret’</w:t>
      </w:r>
    </w:p>
    <w:p w14:paraId="6E8E0EA1" w14:textId="2A0426F3" w:rsidR="00E874BC" w:rsidRDefault="00E874BC">
      <w:r>
        <w:t>Secondary Sources</w:t>
      </w:r>
    </w:p>
    <w:p w14:paraId="53B0903D" w14:textId="36D26C9D" w:rsidR="00E874BC" w:rsidRDefault="00E874BC">
      <w:r w:rsidRPr="00E874BC">
        <w:t xml:space="preserve">Bruckner, Matilda Tomaryn, </w:t>
      </w:r>
      <w:r>
        <w:t>‘</w:t>
      </w:r>
      <w:r w:rsidRPr="00E874BC">
        <w:rPr>
          <w:i/>
          <w:iCs/>
        </w:rPr>
        <w:t>Of Men and Beasts in Bisclavre</w:t>
      </w:r>
      <w:r w:rsidRPr="00E874BC">
        <w:rPr>
          <w:i/>
          <w:iCs/>
        </w:rPr>
        <w:t>t</w:t>
      </w:r>
      <w:r w:rsidRPr="00E874BC">
        <w:t>’, 81 (1991), pp. 251–69</w:t>
      </w:r>
    </w:p>
    <w:p w14:paraId="37203E0E" w14:textId="6AF3BA56" w:rsidR="00E874BC" w:rsidRDefault="00E874BC">
      <w:bookmarkStart w:id="1" w:name="_Hlk216211881"/>
      <w:r w:rsidRPr="00E874BC">
        <w:t>Campbell, Emma, ‘</w:t>
      </w:r>
      <w:r w:rsidRPr="00E874BC">
        <w:rPr>
          <w:i/>
          <w:iCs/>
        </w:rPr>
        <w:t xml:space="preserve">Political Animals: Human/Animal Life in Bisclavret and </w:t>
      </w:r>
      <w:proofErr w:type="spellStart"/>
      <w:r w:rsidRPr="00E874BC">
        <w:rPr>
          <w:i/>
          <w:iCs/>
        </w:rPr>
        <w:t>Yonec</w:t>
      </w:r>
      <w:proofErr w:type="spellEnd"/>
      <w:r w:rsidRPr="00E874BC">
        <w:rPr>
          <w:i/>
          <w:iCs/>
        </w:rPr>
        <w:t xml:space="preserve">’, </w:t>
      </w:r>
      <w:proofErr w:type="spellStart"/>
      <w:r w:rsidRPr="00E874BC">
        <w:t>Exemplaria</w:t>
      </w:r>
      <w:proofErr w:type="spellEnd"/>
      <w:r w:rsidRPr="00E874BC">
        <w:t xml:space="preserve"> (Binghamton, N.Y.), (2013), pp. 95–109, doi:10.1179/1041257313Z.00000000027</w:t>
      </w:r>
      <w:bookmarkEnd w:id="1"/>
    </w:p>
    <w:p w14:paraId="2AA759E4" w14:textId="419D8A5E" w:rsidR="00E874BC" w:rsidRPr="00E874BC" w:rsidRDefault="00E874BC" w:rsidP="00E874BC">
      <w:bookmarkStart w:id="2" w:name="_Hlk216211795"/>
      <w:r w:rsidRPr="00E874BC">
        <w:t xml:space="preserve">Kinoshita, Sharon, and Peggy McCracken, </w:t>
      </w:r>
      <w:r w:rsidRPr="00E874BC">
        <w:rPr>
          <w:i/>
          <w:iCs/>
        </w:rPr>
        <w:t>Marie de France: A Critical Companion</w:t>
      </w:r>
      <w:r w:rsidRPr="00E874BC">
        <w:t xml:space="preserve"> (Boydell &amp; Brewer, 2012)</w:t>
      </w:r>
      <w:bookmarkEnd w:id="2"/>
    </w:p>
    <w:p w14:paraId="2E45D549" w14:textId="6B72D55A" w:rsidR="00E874BC" w:rsidRDefault="00E874BC">
      <w:r w:rsidRPr="00E874BC">
        <w:t>Leshock, D. B. (1999) ‘</w:t>
      </w:r>
      <w:r w:rsidRPr="00E874BC">
        <w:rPr>
          <w:i/>
          <w:iCs/>
        </w:rPr>
        <w:t>The Knight of the Werewolf: Bisclavret and the Shape-Shifting Metaphor’</w:t>
      </w:r>
      <w:r w:rsidRPr="00E874BC">
        <w:t xml:space="preserve">, Romance Quarterly, pp. 155–165. </w:t>
      </w:r>
      <w:proofErr w:type="spellStart"/>
      <w:r w:rsidRPr="00E874BC">
        <w:t>doi</w:t>
      </w:r>
      <w:proofErr w:type="spellEnd"/>
      <w:r w:rsidRPr="00E874BC">
        <w:t>: 10.1080/08831159909600321.</w:t>
      </w:r>
    </w:p>
    <w:sectPr w:rsidR="00E874BC">
      <w:head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488AB" w14:textId="77777777" w:rsidR="008568AA" w:rsidRDefault="008568AA">
      <w:pPr>
        <w:spacing w:after="0" w:line="240" w:lineRule="auto"/>
      </w:pPr>
      <w:r>
        <w:separator/>
      </w:r>
    </w:p>
  </w:endnote>
  <w:endnote w:type="continuationSeparator" w:id="0">
    <w:p w14:paraId="0740BAC9" w14:textId="77777777" w:rsidR="008568AA" w:rsidRDefault="00856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E863B" w14:textId="77777777" w:rsidR="008568AA" w:rsidRDefault="008568AA">
      <w:pPr>
        <w:spacing w:after="0" w:line="240" w:lineRule="auto"/>
      </w:pPr>
      <w:r>
        <w:rPr>
          <w:color w:val="000000"/>
        </w:rPr>
        <w:separator/>
      </w:r>
    </w:p>
  </w:footnote>
  <w:footnote w:type="continuationSeparator" w:id="0">
    <w:p w14:paraId="1FCCCEE3" w14:textId="77777777" w:rsidR="008568AA" w:rsidRDefault="008568AA">
      <w:pPr>
        <w:spacing w:after="0" w:line="240" w:lineRule="auto"/>
      </w:pPr>
      <w:r>
        <w:continuationSeparator/>
      </w:r>
    </w:p>
  </w:footnote>
  <w:footnote w:id="1">
    <w:p w14:paraId="0EEC0576" w14:textId="461322D6" w:rsidR="00000000" w:rsidRPr="00FF1941" w:rsidRDefault="00000000" w:rsidP="004938F7">
      <w:pPr>
        <w:pStyle w:val="FootnoteText"/>
      </w:pPr>
      <w:r>
        <w:rPr>
          <w:rStyle w:val="FootnoteReference"/>
        </w:rPr>
        <w:footnoteRef/>
      </w:r>
      <w:r w:rsidRPr="00FF1941">
        <w:t xml:space="preserve"> </w:t>
      </w:r>
      <w:r w:rsidR="00FF1941" w:rsidRPr="00FF1941">
        <w:t xml:space="preserve">Translated by David R. Slavitt, </w:t>
      </w:r>
      <w:r w:rsidR="00FF1941" w:rsidRPr="00FF1941">
        <w:rPr>
          <w:i/>
          <w:iCs/>
        </w:rPr>
        <w:t>The Lays of Marie de France</w:t>
      </w:r>
      <w:r w:rsidR="00FF1941" w:rsidRPr="00FF1941">
        <w:t xml:space="preserve"> (Athabasca University Press, 2013), doi:10.15215/</w:t>
      </w:r>
      <w:proofErr w:type="spellStart"/>
      <w:r w:rsidR="00FF1941" w:rsidRPr="00FF1941">
        <w:t>aupress</w:t>
      </w:r>
      <w:proofErr w:type="spellEnd"/>
      <w:r w:rsidR="00FF1941" w:rsidRPr="00FF1941">
        <w:t>/9781927356357.01</w:t>
      </w:r>
      <w:r w:rsidR="00FF1941">
        <w:t xml:space="preserve"> [last accessed 9/12/25]</w:t>
      </w:r>
    </w:p>
  </w:footnote>
  <w:footnote w:id="2">
    <w:p w14:paraId="288B55D5" w14:textId="163616E2" w:rsidR="00000000" w:rsidRPr="00FF1941" w:rsidRDefault="00000000" w:rsidP="00CF7F88">
      <w:pPr>
        <w:pStyle w:val="FootnoteText"/>
      </w:pPr>
      <w:r>
        <w:rPr>
          <w:rStyle w:val="FootnoteReference"/>
        </w:rPr>
        <w:footnoteRef/>
      </w:r>
      <w:r w:rsidRPr="00FF1941">
        <w:t xml:space="preserve"> </w:t>
      </w:r>
      <w:r w:rsidR="00FF1941" w:rsidRPr="00FF1941">
        <w:t>Ibid.</w:t>
      </w:r>
    </w:p>
  </w:footnote>
  <w:footnote w:id="3">
    <w:p w14:paraId="3D6D07A3" w14:textId="66A1F939" w:rsidR="00000000" w:rsidRDefault="00000000" w:rsidP="00BF40FB">
      <w:pPr>
        <w:pStyle w:val="FootnoteText"/>
      </w:pPr>
      <w:r>
        <w:rPr>
          <w:rStyle w:val="FootnoteReference"/>
        </w:rPr>
        <w:footnoteRef/>
      </w:r>
      <w:r>
        <w:t xml:space="preserve"> </w:t>
      </w:r>
      <w:r w:rsidR="00FF1941" w:rsidRPr="00FF1941">
        <w:t>Sharon</w:t>
      </w:r>
      <w:r w:rsidR="00FF1941">
        <w:t xml:space="preserve"> Kinoshita </w:t>
      </w:r>
      <w:r w:rsidR="00FF1941" w:rsidRPr="00FF1941">
        <w:t xml:space="preserve">and Peggy McCracken, </w:t>
      </w:r>
      <w:r w:rsidR="00FF1941" w:rsidRPr="00FF1941">
        <w:rPr>
          <w:i/>
          <w:iCs/>
        </w:rPr>
        <w:t xml:space="preserve">Marie de </w:t>
      </w:r>
      <w:proofErr w:type="gramStart"/>
      <w:r w:rsidR="00FF1941" w:rsidRPr="00FF1941">
        <w:rPr>
          <w:i/>
          <w:iCs/>
        </w:rPr>
        <w:t>France</w:t>
      </w:r>
      <w:r w:rsidR="00FF1941" w:rsidRPr="00FF1941">
        <w:rPr>
          <w:rFonts w:ascii="Arial" w:hAnsi="Arial" w:cs="Arial"/>
          <w:i/>
          <w:iCs/>
        </w:rPr>
        <w:t> </w:t>
      </w:r>
      <w:r w:rsidR="00FF1941" w:rsidRPr="00FF1941">
        <w:rPr>
          <w:i/>
          <w:iCs/>
        </w:rPr>
        <w:t>:</w:t>
      </w:r>
      <w:proofErr w:type="gramEnd"/>
      <w:r w:rsidR="00FF1941" w:rsidRPr="00FF1941">
        <w:rPr>
          <w:i/>
          <w:iCs/>
        </w:rPr>
        <w:t xml:space="preserve"> A Critical Companion</w:t>
      </w:r>
      <w:r w:rsidR="00FF1941" w:rsidRPr="00FF1941">
        <w:t xml:space="preserve"> (Boydell &amp; Brewer, 2012)</w:t>
      </w:r>
      <w:r w:rsidR="00FF1941">
        <w:t>, p144</w:t>
      </w:r>
    </w:p>
  </w:footnote>
  <w:footnote w:id="4">
    <w:p w14:paraId="5ACB466F" w14:textId="5EFB630C" w:rsidR="00BF40FB" w:rsidRPr="00FF1941" w:rsidRDefault="00BF40FB">
      <w:pPr>
        <w:pStyle w:val="FootnoteText"/>
      </w:pPr>
      <w:r>
        <w:rPr>
          <w:rStyle w:val="FootnoteReference"/>
        </w:rPr>
        <w:footnoteRef/>
      </w:r>
      <w:r w:rsidRPr="00FF1941">
        <w:rPr>
          <w:lang w:val="it-IT"/>
        </w:rPr>
        <w:t xml:space="preserve"> </w:t>
      </w:r>
      <w:r w:rsidR="00FF1941" w:rsidRPr="00FF1941">
        <w:rPr>
          <w:lang w:val="it-IT"/>
        </w:rPr>
        <w:t xml:space="preserve">Trans. </w:t>
      </w:r>
      <w:r w:rsidR="00FF1941" w:rsidRPr="00FF1941">
        <w:t xml:space="preserve">David Slavitt, </w:t>
      </w:r>
      <w:r w:rsidR="00FF1941" w:rsidRPr="00FF1941">
        <w:rPr>
          <w:i/>
          <w:iCs/>
        </w:rPr>
        <w:t>The Lays o</w:t>
      </w:r>
      <w:r w:rsidR="00FF1941">
        <w:rPr>
          <w:i/>
          <w:iCs/>
        </w:rPr>
        <w:t>f Marie de France,</w:t>
      </w:r>
      <w:r w:rsidR="00FF1941">
        <w:t xml:space="preserve"> [last accessed 9/12/25]</w:t>
      </w:r>
    </w:p>
  </w:footnote>
  <w:footnote w:id="5">
    <w:p w14:paraId="17405415" w14:textId="2F6FC7B8" w:rsidR="00BF40FB" w:rsidRPr="00FF1941" w:rsidRDefault="00BF40FB">
      <w:pPr>
        <w:pStyle w:val="FootnoteText"/>
      </w:pPr>
      <w:r>
        <w:rPr>
          <w:rStyle w:val="FootnoteReference"/>
        </w:rPr>
        <w:footnoteRef/>
      </w:r>
      <w:r w:rsidRPr="00FF1941">
        <w:t xml:space="preserve"> Kinoshita, </w:t>
      </w:r>
      <w:r w:rsidR="00FF1941" w:rsidRPr="00FF1941">
        <w:t xml:space="preserve">McCracken, </w:t>
      </w:r>
      <w:r w:rsidRPr="00FF1941">
        <w:t>p</w:t>
      </w:r>
      <w:r w:rsidR="00FF1941" w:rsidRPr="00FF1941">
        <w:t>p</w:t>
      </w:r>
      <w:r w:rsidR="00E874BC">
        <w:t>.</w:t>
      </w:r>
      <w:r w:rsidRPr="00FF1941">
        <w:t xml:space="preserve"> 13-14</w:t>
      </w:r>
    </w:p>
  </w:footnote>
  <w:footnote w:id="6">
    <w:p w14:paraId="4AF109DC" w14:textId="35780A24" w:rsidR="000F7D13" w:rsidRDefault="000F7D13">
      <w:pPr>
        <w:pStyle w:val="FootnoteText"/>
      </w:pPr>
      <w:r>
        <w:rPr>
          <w:rStyle w:val="FootnoteReference"/>
        </w:rPr>
        <w:footnoteRef/>
      </w:r>
      <w:r>
        <w:t xml:space="preserve"> </w:t>
      </w:r>
      <w:r w:rsidR="00FF1941" w:rsidRPr="00FF1941">
        <w:t xml:space="preserve">Campbell, Emma, ‘Political Animals: Human/Animal Life in Bisclavret and </w:t>
      </w:r>
      <w:proofErr w:type="spellStart"/>
      <w:r w:rsidR="00FF1941" w:rsidRPr="00FF1941">
        <w:t>Yonec</w:t>
      </w:r>
      <w:proofErr w:type="spellEnd"/>
      <w:r w:rsidR="00FF1941" w:rsidRPr="00FF1941">
        <w:t xml:space="preserve">’, </w:t>
      </w:r>
      <w:proofErr w:type="spellStart"/>
      <w:r w:rsidR="00FF1941" w:rsidRPr="00FF1941">
        <w:rPr>
          <w:i/>
          <w:iCs/>
        </w:rPr>
        <w:t>Exemplaria</w:t>
      </w:r>
      <w:proofErr w:type="spellEnd"/>
      <w:r w:rsidR="00FF1941" w:rsidRPr="00FF1941">
        <w:rPr>
          <w:i/>
          <w:iCs/>
        </w:rPr>
        <w:t xml:space="preserve"> (Binghamton, N.Y.)</w:t>
      </w:r>
      <w:r w:rsidR="00FF1941" w:rsidRPr="00FF1941">
        <w:t>, 25.2 (2013), pp. 95–109, doi:10.1179/1041257313Z.00000000027</w:t>
      </w:r>
      <w:r w:rsidR="00FF1941">
        <w:t xml:space="preserve"> [last accessed 8/12/25]</w:t>
      </w:r>
    </w:p>
  </w:footnote>
  <w:footnote w:id="7">
    <w:p w14:paraId="082F49B4" w14:textId="45CDBEE0" w:rsidR="007F3401" w:rsidRDefault="007F3401">
      <w:pPr>
        <w:pStyle w:val="FootnoteText"/>
      </w:pPr>
      <w:r>
        <w:rPr>
          <w:rStyle w:val="FootnoteReference"/>
        </w:rPr>
        <w:footnoteRef/>
      </w:r>
      <w:r>
        <w:t xml:space="preserve"> </w:t>
      </w:r>
      <w:r w:rsidR="00FF1941">
        <w:t>Ibid.</w:t>
      </w:r>
    </w:p>
  </w:footnote>
  <w:footnote w:id="8">
    <w:p w14:paraId="5E49DA03" w14:textId="6139A7C0" w:rsidR="007F3401" w:rsidRPr="00FF1941" w:rsidRDefault="007F3401">
      <w:pPr>
        <w:pStyle w:val="FootnoteText"/>
      </w:pPr>
      <w:r>
        <w:rPr>
          <w:rStyle w:val="FootnoteReference"/>
        </w:rPr>
        <w:footnoteRef/>
      </w:r>
      <w:r>
        <w:t xml:space="preserve"> </w:t>
      </w:r>
      <w:r w:rsidR="00FF1941">
        <w:t xml:space="preserve">Trans. Slavitt, </w:t>
      </w:r>
      <w:r w:rsidR="00FF1941">
        <w:rPr>
          <w:i/>
          <w:iCs/>
        </w:rPr>
        <w:t>The Lays of Marie de France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208B7A" w14:textId="42AD215B" w:rsidR="00A71842" w:rsidRDefault="00A71842">
    <w:pPr>
      <w:pStyle w:val="Header"/>
    </w:pPr>
    <w:r>
      <w:t>Flynn Theisler</w:t>
    </w:r>
  </w:p>
  <w:p w14:paraId="2BA20851" w14:textId="716AF64F" w:rsidR="00A71842" w:rsidRDefault="00A71842">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F141C"/>
    <w:rsid w:val="000F7D13"/>
    <w:rsid w:val="002B3C5E"/>
    <w:rsid w:val="003864ED"/>
    <w:rsid w:val="003F141C"/>
    <w:rsid w:val="004852BA"/>
    <w:rsid w:val="004938F7"/>
    <w:rsid w:val="007F3401"/>
    <w:rsid w:val="008568AA"/>
    <w:rsid w:val="00A54161"/>
    <w:rsid w:val="00A71842"/>
    <w:rsid w:val="00BF40FB"/>
    <w:rsid w:val="00CF7F88"/>
    <w:rsid w:val="00E874BC"/>
    <w:rsid w:val="00ED1852"/>
    <w:rsid w:val="00FF1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0CFC16"/>
  <w15:docId w15:val="{16E5A2A2-040F-40D5-9CA4-01E9DCF9F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Header">
    <w:name w:val="header"/>
    <w:basedOn w:val="Normal"/>
    <w:link w:val="HeaderChar"/>
    <w:uiPriority w:val="99"/>
    <w:unhideWhenUsed/>
    <w:rsid w:val="00A7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842"/>
  </w:style>
  <w:style w:type="paragraph" w:styleId="Footer">
    <w:name w:val="footer"/>
    <w:basedOn w:val="Normal"/>
    <w:link w:val="FooterChar"/>
    <w:uiPriority w:val="99"/>
    <w:unhideWhenUsed/>
    <w:rsid w:val="00A7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F5C09-C5B3-4AC2-BB55-6BD1CE758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1691</Words>
  <Characters>7948</Characters>
  <Application>Microsoft Office Word</Application>
  <DocSecurity>0</DocSecurity>
  <Lines>113</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dc:description/>
  <cp:lastModifiedBy>Flynn Theisler (2503772)</cp:lastModifiedBy>
  <cp:revision>11</cp:revision>
  <dcterms:created xsi:type="dcterms:W3CDTF">2025-12-09T22:25:00Z</dcterms:created>
  <dcterms:modified xsi:type="dcterms:W3CDTF">2025-12-09T22:41:00Z</dcterms:modified>
</cp:coreProperties>
</file>