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F2F02" w14:textId="77777777" w:rsidR="0042571E" w:rsidRDefault="0042571E" w:rsidP="0042571E">
      <w:pPr>
        <w:spacing w:after="200"/>
        <w:jc w:val="center"/>
        <w:rPr>
          <w:b/>
          <w:color w:val="17365D"/>
          <w:sz w:val="46"/>
        </w:rPr>
      </w:pPr>
      <w:r>
        <w:rPr>
          <w:noProof/>
        </w:rPr>
        <w:drawing>
          <wp:inline distT="0" distB="0" distL="0" distR="0" wp14:anchorId="70CDD863" wp14:editId="23F33511">
            <wp:extent cx="2857500" cy="3175000"/>
            <wp:effectExtent l="0" t="0" r="0" b="6350"/>
            <wp:docPr id="585544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3175000"/>
                    </a:xfrm>
                    <a:prstGeom prst="rect">
                      <a:avLst/>
                    </a:prstGeom>
                    <a:noFill/>
                    <a:ln>
                      <a:noFill/>
                    </a:ln>
                  </pic:spPr>
                </pic:pic>
              </a:graphicData>
            </a:graphic>
          </wp:inline>
        </w:drawing>
      </w:r>
    </w:p>
    <w:p w14:paraId="0F3B2171" w14:textId="77777777" w:rsidR="0042571E" w:rsidRDefault="00000000" w:rsidP="0042571E">
      <w:pPr>
        <w:spacing w:after="200"/>
      </w:pPr>
      <w:r>
        <w:rPr>
          <w:b/>
          <w:color w:val="17365D"/>
          <w:sz w:val="46"/>
        </w:rPr>
        <w:t>Emotional Intelligence, Mindfulness and</w:t>
      </w:r>
      <w:r>
        <w:rPr>
          <w:b/>
          <w:color w:val="17365D"/>
          <w:sz w:val="46"/>
        </w:rPr>
        <w:br/>
        <w:t>Managing a Multigenerational Workforce</w:t>
      </w:r>
    </w:p>
    <w:p w14:paraId="6A7EAAFD" w14:textId="77777777" w:rsidR="0042571E" w:rsidRDefault="0042571E">
      <w:pPr>
        <w:spacing w:before="520" w:after="80"/>
      </w:pPr>
    </w:p>
    <w:p w14:paraId="18729BEE" w14:textId="77777777" w:rsidR="0042571E" w:rsidRDefault="0042571E">
      <w:pPr>
        <w:spacing w:before="520" w:after="80"/>
      </w:pPr>
    </w:p>
    <w:p w14:paraId="7FD4C223" w14:textId="77777777" w:rsidR="0042571E" w:rsidRDefault="0042571E">
      <w:pPr>
        <w:spacing w:before="520" w:after="80"/>
      </w:pPr>
    </w:p>
    <w:tbl>
      <w:tblPr>
        <w:tblW w:w="0" w:type="auto"/>
        <w:tblLayout w:type="fixed"/>
        <w:tblLook w:val="04A0" w:firstRow="1" w:lastRow="0" w:firstColumn="1" w:lastColumn="0" w:noHBand="0" w:noVBand="1"/>
      </w:tblPr>
      <w:tblGrid>
        <w:gridCol w:w="2376"/>
        <w:gridCol w:w="6912"/>
      </w:tblGrid>
      <w:tr w:rsidR="006D4B5C" w14:paraId="6B9FA58A" w14:textId="77777777">
        <w:tc>
          <w:tcPr>
            <w:tcW w:w="2376" w:type="dxa"/>
            <w:tcMar>
              <w:top w:w="70" w:type="dxa"/>
              <w:left w:w="0" w:type="dxa"/>
              <w:bottom w:w="70" w:type="dxa"/>
              <w:right w:w="100" w:type="dxa"/>
            </w:tcMar>
            <w:vAlign w:val="center"/>
          </w:tcPr>
          <w:p w14:paraId="2028C043" w14:textId="77777777" w:rsidR="006D4B5C" w:rsidRDefault="00000000">
            <w:pPr>
              <w:spacing w:after="0" w:line="276" w:lineRule="auto"/>
            </w:pPr>
            <w:r>
              <w:rPr>
                <w:b/>
                <w:color w:val="17365D"/>
                <w:sz w:val="21"/>
              </w:rPr>
              <w:t>Name</w:t>
            </w:r>
          </w:p>
        </w:tc>
        <w:tc>
          <w:tcPr>
            <w:tcW w:w="6912" w:type="dxa"/>
            <w:tcMar>
              <w:top w:w="70" w:type="dxa"/>
              <w:left w:w="100" w:type="dxa"/>
              <w:bottom w:w="70" w:type="dxa"/>
              <w:right w:w="0" w:type="dxa"/>
            </w:tcMar>
            <w:vAlign w:val="center"/>
          </w:tcPr>
          <w:p w14:paraId="56649471" w14:textId="77777777" w:rsidR="006D4B5C" w:rsidRDefault="0042571E">
            <w:pPr>
              <w:spacing w:after="0" w:line="276" w:lineRule="auto"/>
            </w:pPr>
            <w:r>
              <w:rPr>
                <w:color w:val="000000"/>
                <w:sz w:val="21"/>
              </w:rPr>
              <w:t>Yehor Kulikov</w:t>
            </w:r>
          </w:p>
        </w:tc>
      </w:tr>
      <w:tr w:rsidR="006D4B5C" w14:paraId="235F0EA3" w14:textId="77777777">
        <w:tc>
          <w:tcPr>
            <w:tcW w:w="2376" w:type="dxa"/>
            <w:tcMar>
              <w:top w:w="70" w:type="dxa"/>
              <w:left w:w="0" w:type="dxa"/>
              <w:bottom w:w="70" w:type="dxa"/>
              <w:right w:w="100" w:type="dxa"/>
            </w:tcMar>
            <w:vAlign w:val="center"/>
          </w:tcPr>
          <w:p w14:paraId="669E8DF3" w14:textId="77777777" w:rsidR="006D4B5C" w:rsidRDefault="00000000">
            <w:pPr>
              <w:spacing w:after="0" w:line="276" w:lineRule="auto"/>
            </w:pPr>
            <w:r>
              <w:rPr>
                <w:b/>
                <w:color w:val="17365D"/>
                <w:sz w:val="21"/>
              </w:rPr>
              <w:t>Student number</w:t>
            </w:r>
          </w:p>
        </w:tc>
        <w:tc>
          <w:tcPr>
            <w:tcW w:w="6912" w:type="dxa"/>
            <w:tcMar>
              <w:top w:w="70" w:type="dxa"/>
              <w:left w:w="100" w:type="dxa"/>
              <w:bottom w:w="70" w:type="dxa"/>
              <w:right w:w="0" w:type="dxa"/>
            </w:tcMar>
            <w:vAlign w:val="center"/>
          </w:tcPr>
          <w:p w14:paraId="6BB895FD" w14:textId="77777777" w:rsidR="006D4B5C" w:rsidRDefault="0042571E">
            <w:pPr>
              <w:spacing w:after="0" w:line="276" w:lineRule="auto"/>
            </w:pPr>
            <w:r>
              <w:rPr>
                <w:color w:val="000000"/>
                <w:sz w:val="21"/>
              </w:rPr>
              <w:t>2417098</w:t>
            </w:r>
          </w:p>
        </w:tc>
      </w:tr>
      <w:tr w:rsidR="006D4B5C" w14:paraId="442DA87A" w14:textId="77777777">
        <w:tc>
          <w:tcPr>
            <w:tcW w:w="2376" w:type="dxa"/>
            <w:tcMar>
              <w:top w:w="70" w:type="dxa"/>
              <w:left w:w="0" w:type="dxa"/>
              <w:bottom w:w="70" w:type="dxa"/>
              <w:right w:w="100" w:type="dxa"/>
            </w:tcMar>
            <w:vAlign w:val="center"/>
          </w:tcPr>
          <w:p w14:paraId="10C14348" w14:textId="77777777" w:rsidR="006D4B5C" w:rsidRDefault="00000000">
            <w:pPr>
              <w:spacing w:after="0" w:line="276" w:lineRule="auto"/>
            </w:pPr>
            <w:r>
              <w:rPr>
                <w:b/>
                <w:color w:val="17365D"/>
                <w:sz w:val="21"/>
              </w:rPr>
              <w:t>Module code and title</w:t>
            </w:r>
          </w:p>
        </w:tc>
        <w:tc>
          <w:tcPr>
            <w:tcW w:w="6912" w:type="dxa"/>
            <w:tcMar>
              <w:top w:w="70" w:type="dxa"/>
              <w:left w:w="100" w:type="dxa"/>
              <w:bottom w:w="70" w:type="dxa"/>
              <w:right w:w="0" w:type="dxa"/>
            </w:tcMar>
            <w:vAlign w:val="center"/>
          </w:tcPr>
          <w:p w14:paraId="613EE03F" w14:textId="77777777" w:rsidR="006D4B5C" w:rsidRDefault="0042571E">
            <w:pPr>
              <w:spacing w:after="0" w:line="276" w:lineRule="auto"/>
            </w:pPr>
            <w:r w:rsidRPr="0042571E">
              <w:rPr>
                <w:color w:val="000000"/>
                <w:sz w:val="21"/>
              </w:rPr>
              <w:t>LCLM5006</w:t>
            </w:r>
            <w:r>
              <w:rPr>
                <w:color w:val="000000"/>
                <w:sz w:val="21"/>
              </w:rPr>
              <w:t xml:space="preserve"> </w:t>
            </w:r>
            <w:r w:rsidRPr="0042571E">
              <w:rPr>
                <w:color w:val="000000"/>
                <w:sz w:val="21"/>
              </w:rPr>
              <w:t>Developing Emotional Intelligence Skills</w:t>
            </w:r>
          </w:p>
        </w:tc>
      </w:tr>
      <w:tr w:rsidR="006D4B5C" w14:paraId="64CF7B26" w14:textId="77777777" w:rsidTr="0042571E">
        <w:trPr>
          <w:trHeight w:val="20"/>
        </w:trPr>
        <w:tc>
          <w:tcPr>
            <w:tcW w:w="2376" w:type="dxa"/>
            <w:tcMar>
              <w:top w:w="70" w:type="dxa"/>
              <w:left w:w="0" w:type="dxa"/>
              <w:bottom w:w="70" w:type="dxa"/>
              <w:right w:w="100" w:type="dxa"/>
            </w:tcMar>
            <w:vAlign w:val="center"/>
          </w:tcPr>
          <w:p w14:paraId="26A53720" w14:textId="77777777" w:rsidR="006D4B5C" w:rsidRDefault="00000000">
            <w:pPr>
              <w:spacing w:after="0" w:line="276" w:lineRule="auto"/>
            </w:pPr>
            <w:r>
              <w:rPr>
                <w:b/>
                <w:color w:val="17365D"/>
                <w:sz w:val="21"/>
              </w:rPr>
              <w:t>Lecturer</w:t>
            </w:r>
          </w:p>
        </w:tc>
        <w:tc>
          <w:tcPr>
            <w:tcW w:w="6912" w:type="dxa"/>
            <w:tcMar>
              <w:top w:w="70" w:type="dxa"/>
              <w:left w:w="100" w:type="dxa"/>
              <w:bottom w:w="70" w:type="dxa"/>
              <w:right w:w="0" w:type="dxa"/>
            </w:tcMar>
            <w:vAlign w:val="center"/>
          </w:tcPr>
          <w:p w14:paraId="2B408232" w14:textId="77777777" w:rsidR="006D4B5C" w:rsidRDefault="0042571E">
            <w:pPr>
              <w:spacing w:after="0" w:line="276" w:lineRule="auto"/>
            </w:pPr>
            <w:r w:rsidRPr="0042571E">
              <w:rPr>
                <w:color w:val="000000"/>
                <w:sz w:val="21"/>
              </w:rPr>
              <w:t>Nishi Ramsurrun</w:t>
            </w:r>
          </w:p>
        </w:tc>
      </w:tr>
      <w:tr w:rsidR="006D4B5C" w14:paraId="6D334FC6" w14:textId="77777777">
        <w:tc>
          <w:tcPr>
            <w:tcW w:w="2376" w:type="dxa"/>
            <w:tcMar>
              <w:top w:w="70" w:type="dxa"/>
              <w:left w:w="0" w:type="dxa"/>
              <w:bottom w:w="70" w:type="dxa"/>
              <w:right w:w="100" w:type="dxa"/>
            </w:tcMar>
            <w:vAlign w:val="center"/>
          </w:tcPr>
          <w:p w14:paraId="06B4497C" w14:textId="77777777" w:rsidR="006D4B5C" w:rsidRDefault="006D4B5C">
            <w:pPr>
              <w:spacing w:after="0" w:line="276" w:lineRule="auto"/>
            </w:pPr>
          </w:p>
        </w:tc>
        <w:tc>
          <w:tcPr>
            <w:tcW w:w="6912" w:type="dxa"/>
            <w:tcMar>
              <w:top w:w="70" w:type="dxa"/>
              <w:left w:w="100" w:type="dxa"/>
              <w:bottom w:w="70" w:type="dxa"/>
              <w:right w:w="0" w:type="dxa"/>
            </w:tcMar>
            <w:vAlign w:val="center"/>
          </w:tcPr>
          <w:p w14:paraId="67F22FCF" w14:textId="77777777" w:rsidR="006D4B5C" w:rsidRDefault="006D4B5C">
            <w:pPr>
              <w:spacing w:after="0" w:line="276" w:lineRule="auto"/>
              <w:rPr>
                <w:lang w:val="ru-RU"/>
              </w:rPr>
            </w:pPr>
          </w:p>
          <w:p w14:paraId="79BE269C" w14:textId="77777777" w:rsidR="00750A44" w:rsidRDefault="00750A44">
            <w:pPr>
              <w:spacing w:after="0" w:line="276" w:lineRule="auto"/>
              <w:rPr>
                <w:lang w:val="ru-RU"/>
              </w:rPr>
            </w:pPr>
          </w:p>
          <w:p w14:paraId="2ED9E650" w14:textId="77777777" w:rsidR="00750A44" w:rsidRDefault="00750A44">
            <w:pPr>
              <w:spacing w:after="0" w:line="276" w:lineRule="auto"/>
              <w:rPr>
                <w:lang w:val="ru-RU"/>
              </w:rPr>
            </w:pPr>
          </w:p>
          <w:p w14:paraId="65979B2F" w14:textId="77777777" w:rsidR="00750A44" w:rsidRDefault="00750A44">
            <w:pPr>
              <w:spacing w:after="0" w:line="276" w:lineRule="auto"/>
              <w:rPr>
                <w:lang w:val="ru-RU"/>
              </w:rPr>
            </w:pPr>
          </w:p>
          <w:p w14:paraId="3BC4E92A" w14:textId="77777777" w:rsidR="00750A44" w:rsidRDefault="00750A44">
            <w:pPr>
              <w:spacing w:after="0" w:line="276" w:lineRule="auto"/>
              <w:rPr>
                <w:lang w:val="ru-RU"/>
              </w:rPr>
            </w:pPr>
          </w:p>
          <w:p w14:paraId="4D73C402" w14:textId="77777777" w:rsidR="00750A44" w:rsidRPr="00750A44" w:rsidRDefault="00750A44">
            <w:pPr>
              <w:spacing w:after="0" w:line="276" w:lineRule="auto"/>
              <w:rPr>
                <w:lang w:val="ru-RU"/>
              </w:rPr>
            </w:pPr>
          </w:p>
        </w:tc>
      </w:tr>
    </w:tbl>
    <w:p w14:paraId="648850F8" w14:textId="77777777" w:rsidR="006D4B5C" w:rsidRDefault="006D4B5C">
      <w:pPr>
        <w:sectPr w:rsidR="006D4B5C">
          <w:headerReference w:type="even" r:id="rId9"/>
          <w:headerReference w:type="default" r:id="rId10"/>
          <w:footerReference w:type="even" r:id="rId11"/>
          <w:footerReference w:type="default" r:id="rId12"/>
          <w:headerReference w:type="first" r:id="rId13"/>
          <w:footerReference w:type="first" r:id="rId14"/>
          <w:pgSz w:w="12240" w:h="15840"/>
          <w:pgMar w:top="1152" w:right="1440" w:bottom="1080" w:left="1440" w:header="432" w:footer="504" w:gutter="0"/>
          <w:cols w:space="720"/>
          <w:titlePg/>
          <w:docGrid w:linePitch="360"/>
        </w:sectPr>
      </w:pPr>
    </w:p>
    <w:p w14:paraId="5C97259D" w14:textId="77777777" w:rsidR="006D4B5C" w:rsidRDefault="00000000">
      <w:pPr>
        <w:pStyle w:val="Heading1"/>
      </w:pPr>
      <w:bookmarkStart w:id="0" w:name="_Toc234765457"/>
      <w:r>
        <w:rPr>
          <w:sz w:val="22"/>
        </w:rPr>
        <w:lastRenderedPageBreak/>
        <w:t>Executive Summary</w:t>
      </w:r>
      <w:bookmarkEnd w:id="0"/>
    </w:p>
    <w:p w14:paraId="2D8AEAFA" w14:textId="77777777" w:rsidR="006D4B5C" w:rsidRDefault="00000000">
      <w:pPr>
        <w:jc w:val="both"/>
      </w:pPr>
      <w:r>
        <w:t>This report critically evaluates emotional intelligence (EI) and mindfulness as complementary capabilities for improving performance, collaboration, well-being and inclusion. EI is not a single, uncontested construct. Mayer and Salovey’s Ability Model offers the clearest account of emotion-related reasoning; Goleman translates EI into observable workplace competencies; and Bar-On adds stress management, adaptability and well-being. Used together, the models provide a stronger basis for development than reliance on one self-report score.</w:t>
      </w:r>
    </w:p>
    <w:p w14:paraId="456544B9" w14:textId="77777777" w:rsidR="006D4B5C" w:rsidRDefault="00000000">
      <w:pPr>
        <w:jc w:val="both"/>
      </w:pPr>
      <w:r>
        <w:t>The evidence suggests that EI can improve communication, conflict management, leadership and decision quality, particularly in work involving interdependence and emotional labour. Mindfulness can strengthen attention and emotion regulation, but effects are generally modest and programmes should not substitute for fair workload, role clarity or supportive management. EI also has an ethical “dark side”: understanding emotions can be used to influence or manipulate, so capability must be tied to accountability and inclusive norms.</w:t>
      </w:r>
    </w:p>
    <w:p w14:paraId="590A471F" w14:textId="77777777" w:rsidR="0042571E" w:rsidRDefault="00000000">
      <w:pPr>
        <w:jc w:val="both"/>
      </w:pPr>
      <w:r>
        <w:t>Generational categories can help managers ask better questions, but they are weak predictors of individual behaviour. Age, career stage, culture, occupation and economic conditions often explain more than cohort labels. The organisation should therefore use age-inclusive, preference-based practices: structured recruitment, communication charters, regular developmental feedback, reciprocal mentoring, flexible career pathways and psychologically safe team routines. A measured, system-level approach is recommended for the September 2026 strategic planning cycle.</w:t>
      </w:r>
    </w:p>
    <w:p w14:paraId="7A5748E6" w14:textId="77777777" w:rsidR="006D4B5C" w:rsidRDefault="0042571E" w:rsidP="0042571E">
      <w:pPr>
        <w:spacing w:after="200" w:line="276" w:lineRule="auto"/>
      </w:pPr>
      <w:r>
        <w:br w:type="page"/>
      </w:r>
    </w:p>
    <w:sdt>
      <w:sdtPr>
        <w:id w:val="-486634232"/>
        <w:docPartObj>
          <w:docPartGallery w:val="Table of Contents"/>
          <w:docPartUnique/>
        </w:docPartObj>
      </w:sdtPr>
      <w:sdtEndPr>
        <w:rPr>
          <w:color w:val="auto"/>
          <w:sz w:val="22"/>
          <w:szCs w:val="22"/>
        </w:rPr>
      </w:sdtEndPr>
      <w:sdtContent>
        <w:p w14:paraId="0F71C3CD" w14:textId="22850344" w:rsidR="00750A44" w:rsidRDefault="00750A44">
          <w:pPr>
            <w:pStyle w:val="TOCHeading"/>
          </w:pPr>
          <w:r>
            <w:t>Contents</w:t>
          </w:r>
        </w:p>
        <w:p w14:paraId="3C179DBF" w14:textId="7B617E40" w:rsidR="00750A44" w:rsidRDefault="00750A44">
          <w:pPr>
            <w:pStyle w:val="TOC1"/>
            <w:tabs>
              <w:tab w:val="right" w:leader="dot" w:pos="9638"/>
            </w:tabs>
            <w:rPr>
              <w:rFonts w:asciiTheme="minorHAnsi" w:eastAsiaTheme="minorEastAsia" w:hAnsiTheme="minorHAnsi" w:cstheme="minorBidi"/>
              <w:noProof/>
              <w:kern w:val="2"/>
              <w:sz w:val="24"/>
              <w:szCs w:val="24"/>
              <w:lang w:bidi="ar-SA"/>
              <w14:ligatures w14:val="standardContextual"/>
            </w:rPr>
          </w:pPr>
          <w:r>
            <w:fldChar w:fldCharType="begin"/>
          </w:r>
          <w:r>
            <w:instrText xml:space="preserve"> TOC \o "1-3" \h \z \u </w:instrText>
          </w:r>
          <w:r>
            <w:fldChar w:fldCharType="separate"/>
          </w:r>
          <w:hyperlink w:anchor="_Toc234765457" w:history="1">
            <w:r w:rsidRPr="00AE7C14">
              <w:rPr>
                <w:rStyle w:val="Hyperlink"/>
                <w:noProof/>
              </w:rPr>
              <w:t>Executive Summary</w:t>
            </w:r>
            <w:r>
              <w:rPr>
                <w:noProof/>
                <w:webHidden/>
              </w:rPr>
              <w:tab/>
            </w:r>
            <w:r>
              <w:rPr>
                <w:noProof/>
                <w:webHidden/>
              </w:rPr>
              <w:fldChar w:fldCharType="begin"/>
            </w:r>
            <w:r>
              <w:rPr>
                <w:noProof/>
                <w:webHidden/>
              </w:rPr>
              <w:instrText xml:space="preserve"> PAGEREF _Toc234765457 \h </w:instrText>
            </w:r>
            <w:r>
              <w:rPr>
                <w:noProof/>
                <w:webHidden/>
              </w:rPr>
            </w:r>
            <w:r>
              <w:rPr>
                <w:noProof/>
                <w:webHidden/>
              </w:rPr>
              <w:fldChar w:fldCharType="separate"/>
            </w:r>
            <w:r>
              <w:rPr>
                <w:noProof/>
                <w:webHidden/>
              </w:rPr>
              <w:t>1</w:t>
            </w:r>
            <w:r>
              <w:rPr>
                <w:noProof/>
                <w:webHidden/>
              </w:rPr>
              <w:fldChar w:fldCharType="end"/>
            </w:r>
          </w:hyperlink>
        </w:p>
        <w:p w14:paraId="710B7CAE" w14:textId="2968B037" w:rsidR="00750A44" w:rsidRDefault="00750A44">
          <w:pPr>
            <w:pStyle w:val="TOC1"/>
            <w:tabs>
              <w:tab w:val="right" w:leader="dot" w:pos="9638"/>
            </w:tabs>
            <w:rPr>
              <w:rFonts w:asciiTheme="minorHAnsi" w:eastAsiaTheme="minorEastAsia" w:hAnsiTheme="minorHAnsi" w:cstheme="minorBidi"/>
              <w:noProof/>
              <w:kern w:val="2"/>
              <w:sz w:val="24"/>
              <w:szCs w:val="24"/>
              <w:lang w:bidi="ar-SA"/>
              <w14:ligatures w14:val="standardContextual"/>
            </w:rPr>
          </w:pPr>
          <w:hyperlink w:anchor="_Toc234765458" w:history="1">
            <w:r w:rsidRPr="00AE7C14">
              <w:rPr>
                <w:rStyle w:val="Hyperlink"/>
                <w:noProof/>
              </w:rPr>
              <w:t>1. Introduction</w:t>
            </w:r>
            <w:r>
              <w:rPr>
                <w:noProof/>
                <w:webHidden/>
              </w:rPr>
              <w:tab/>
            </w:r>
            <w:r>
              <w:rPr>
                <w:noProof/>
                <w:webHidden/>
              </w:rPr>
              <w:fldChar w:fldCharType="begin"/>
            </w:r>
            <w:r>
              <w:rPr>
                <w:noProof/>
                <w:webHidden/>
              </w:rPr>
              <w:instrText xml:space="preserve"> PAGEREF _Toc234765458 \h </w:instrText>
            </w:r>
            <w:r>
              <w:rPr>
                <w:noProof/>
                <w:webHidden/>
              </w:rPr>
            </w:r>
            <w:r>
              <w:rPr>
                <w:noProof/>
                <w:webHidden/>
              </w:rPr>
              <w:fldChar w:fldCharType="separate"/>
            </w:r>
            <w:r>
              <w:rPr>
                <w:noProof/>
                <w:webHidden/>
              </w:rPr>
              <w:t>3</w:t>
            </w:r>
            <w:r>
              <w:rPr>
                <w:noProof/>
                <w:webHidden/>
              </w:rPr>
              <w:fldChar w:fldCharType="end"/>
            </w:r>
          </w:hyperlink>
        </w:p>
        <w:p w14:paraId="60BB0650" w14:textId="2E53CCA1" w:rsidR="00750A44" w:rsidRDefault="00750A44">
          <w:pPr>
            <w:pStyle w:val="TOC1"/>
            <w:tabs>
              <w:tab w:val="right" w:leader="dot" w:pos="9638"/>
            </w:tabs>
            <w:rPr>
              <w:rFonts w:asciiTheme="minorHAnsi" w:eastAsiaTheme="minorEastAsia" w:hAnsiTheme="minorHAnsi" w:cstheme="minorBidi"/>
              <w:noProof/>
              <w:kern w:val="2"/>
              <w:sz w:val="24"/>
              <w:szCs w:val="24"/>
              <w:lang w:bidi="ar-SA"/>
              <w14:ligatures w14:val="standardContextual"/>
            </w:rPr>
          </w:pPr>
          <w:hyperlink w:anchor="_Toc234765459" w:history="1">
            <w:r w:rsidRPr="00AE7C14">
              <w:rPr>
                <w:rStyle w:val="Hyperlink"/>
                <w:noProof/>
              </w:rPr>
              <w:t>2. Task 1: Emotional Intelligence in the Workplace</w:t>
            </w:r>
            <w:r>
              <w:rPr>
                <w:noProof/>
                <w:webHidden/>
              </w:rPr>
              <w:tab/>
            </w:r>
            <w:r>
              <w:rPr>
                <w:noProof/>
                <w:webHidden/>
              </w:rPr>
              <w:fldChar w:fldCharType="begin"/>
            </w:r>
            <w:r>
              <w:rPr>
                <w:noProof/>
                <w:webHidden/>
              </w:rPr>
              <w:instrText xml:space="preserve"> PAGEREF _Toc234765459 \h </w:instrText>
            </w:r>
            <w:r>
              <w:rPr>
                <w:noProof/>
                <w:webHidden/>
              </w:rPr>
            </w:r>
            <w:r>
              <w:rPr>
                <w:noProof/>
                <w:webHidden/>
              </w:rPr>
              <w:fldChar w:fldCharType="separate"/>
            </w:r>
            <w:r>
              <w:rPr>
                <w:noProof/>
                <w:webHidden/>
              </w:rPr>
              <w:t>3</w:t>
            </w:r>
            <w:r>
              <w:rPr>
                <w:noProof/>
                <w:webHidden/>
              </w:rPr>
              <w:fldChar w:fldCharType="end"/>
            </w:r>
          </w:hyperlink>
        </w:p>
        <w:p w14:paraId="01EE0282" w14:textId="64031D98" w:rsidR="00750A44" w:rsidRDefault="00750A44">
          <w:pPr>
            <w:pStyle w:val="TOC2"/>
            <w:tabs>
              <w:tab w:val="right" w:leader="dot" w:pos="9638"/>
            </w:tabs>
            <w:rPr>
              <w:rFonts w:asciiTheme="minorHAnsi" w:eastAsiaTheme="minorEastAsia" w:hAnsiTheme="minorHAnsi" w:cstheme="minorBidi"/>
              <w:noProof/>
              <w:kern w:val="2"/>
              <w:sz w:val="24"/>
              <w:szCs w:val="24"/>
              <w:lang w:bidi="ar-SA"/>
              <w14:ligatures w14:val="standardContextual"/>
            </w:rPr>
          </w:pPr>
          <w:hyperlink w:anchor="_Toc234765460" w:history="1">
            <w:r w:rsidRPr="00AE7C14">
              <w:rPr>
                <w:rStyle w:val="Hyperlink"/>
                <w:noProof/>
              </w:rPr>
              <w:t>2.1 Conceptual foundations and model comparison</w:t>
            </w:r>
            <w:r>
              <w:rPr>
                <w:noProof/>
                <w:webHidden/>
              </w:rPr>
              <w:tab/>
            </w:r>
            <w:r>
              <w:rPr>
                <w:noProof/>
                <w:webHidden/>
              </w:rPr>
              <w:fldChar w:fldCharType="begin"/>
            </w:r>
            <w:r>
              <w:rPr>
                <w:noProof/>
                <w:webHidden/>
              </w:rPr>
              <w:instrText xml:space="preserve"> PAGEREF _Toc234765460 \h </w:instrText>
            </w:r>
            <w:r>
              <w:rPr>
                <w:noProof/>
                <w:webHidden/>
              </w:rPr>
            </w:r>
            <w:r>
              <w:rPr>
                <w:noProof/>
                <w:webHidden/>
              </w:rPr>
              <w:fldChar w:fldCharType="separate"/>
            </w:r>
            <w:r>
              <w:rPr>
                <w:noProof/>
                <w:webHidden/>
              </w:rPr>
              <w:t>3</w:t>
            </w:r>
            <w:r>
              <w:rPr>
                <w:noProof/>
                <w:webHidden/>
              </w:rPr>
              <w:fldChar w:fldCharType="end"/>
            </w:r>
          </w:hyperlink>
        </w:p>
        <w:p w14:paraId="22E2E7BB" w14:textId="393C968A" w:rsidR="00750A44" w:rsidRDefault="00750A44">
          <w:pPr>
            <w:pStyle w:val="TOC2"/>
            <w:tabs>
              <w:tab w:val="right" w:leader="dot" w:pos="9638"/>
            </w:tabs>
            <w:rPr>
              <w:rFonts w:asciiTheme="minorHAnsi" w:eastAsiaTheme="minorEastAsia" w:hAnsiTheme="minorHAnsi" w:cstheme="minorBidi"/>
              <w:noProof/>
              <w:kern w:val="2"/>
              <w:sz w:val="24"/>
              <w:szCs w:val="24"/>
              <w:lang w:bidi="ar-SA"/>
              <w14:ligatures w14:val="standardContextual"/>
            </w:rPr>
          </w:pPr>
          <w:hyperlink w:anchor="_Toc234765461" w:history="1">
            <w:r w:rsidRPr="00AE7C14">
              <w:rPr>
                <w:rStyle w:val="Hyperlink"/>
                <w:noProof/>
              </w:rPr>
              <w:t>2.2 Self-awareness, mindfulness and performance</w:t>
            </w:r>
            <w:r>
              <w:rPr>
                <w:noProof/>
                <w:webHidden/>
              </w:rPr>
              <w:tab/>
            </w:r>
            <w:r>
              <w:rPr>
                <w:noProof/>
                <w:webHidden/>
              </w:rPr>
              <w:fldChar w:fldCharType="begin"/>
            </w:r>
            <w:r>
              <w:rPr>
                <w:noProof/>
                <w:webHidden/>
              </w:rPr>
              <w:instrText xml:space="preserve"> PAGEREF _Toc234765461 \h </w:instrText>
            </w:r>
            <w:r>
              <w:rPr>
                <w:noProof/>
                <w:webHidden/>
              </w:rPr>
            </w:r>
            <w:r>
              <w:rPr>
                <w:noProof/>
                <w:webHidden/>
              </w:rPr>
              <w:fldChar w:fldCharType="separate"/>
            </w:r>
            <w:r>
              <w:rPr>
                <w:noProof/>
                <w:webHidden/>
              </w:rPr>
              <w:t>4</w:t>
            </w:r>
            <w:r>
              <w:rPr>
                <w:noProof/>
                <w:webHidden/>
              </w:rPr>
              <w:fldChar w:fldCharType="end"/>
            </w:r>
          </w:hyperlink>
        </w:p>
        <w:p w14:paraId="75E0B4BE" w14:textId="072702B5" w:rsidR="00750A44" w:rsidRDefault="00750A44">
          <w:pPr>
            <w:pStyle w:val="TOC2"/>
            <w:tabs>
              <w:tab w:val="right" w:leader="dot" w:pos="9638"/>
            </w:tabs>
            <w:rPr>
              <w:rFonts w:asciiTheme="minorHAnsi" w:eastAsiaTheme="minorEastAsia" w:hAnsiTheme="minorHAnsi" w:cstheme="minorBidi"/>
              <w:noProof/>
              <w:kern w:val="2"/>
              <w:sz w:val="24"/>
              <w:szCs w:val="24"/>
              <w:lang w:bidi="ar-SA"/>
              <w14:ligatures w14:val="standardContextual"/>
            </w:rPr>
          </w:pPr>
          <w:hyperlink w:anchor="_Toc234765462" w:history="1">
            <w:r w:rsidRPr="00AE7C14">
              <w:rPr>
                <w:rStyle w:val="Hyperlink"/>
                <w:noProof/>
              </w:rPr>
              <w:t>2.3 Self-management, well-being and decision-making</w:t>
            </w:r>
            <w:r>
              <w:rPr>
                <w:noProof/>
                <w:webHidden/>
              </w:rPr>
              <w:tab/>
            </w:r>
            <w:r>
              <w:rPr>
                <w:noProof/>
                <w:webHidden/>
              </w:rPr>
              <w:fldChar w:fldCharType="begin"/>
            </w:r>
            <w:r>
              <w:rPr>
                <w:noProof/>
                <w:webHidden/>
              </w:rPr>
              <w:instrText xml:space="preserve"> PAGEREF _Toc234765462 \h </w:instrText>
            </w:r>
            <w:r>
              <w:rPr>
                <w:noProof/>
                <w:webHidden/>
              </w:rPr>
            </w:r>
            <w:r>
              <w:rPr>
                <w:noProof/>
                <w:webHidden/>
              </w:rPr>
              <w:fldChar w:fldCharType="separate"/>
            </w:r>
            <w:r>
              <w:rPr>
                <w:noProof/>
                <w:webHidden/>
              </w:rPr>
              <w:t>5</w:t>
            </w:r>
            <w:r>
              <w:rPr>
                <w:noProof/>
                <w:webHidden/>
              </w:rPr>
              <w:fldChar w:fldCharType="end"/>
            </w:r>
          </w:hyperlink>
        </w:p>
        <w:p w14:paraId="4882DCA0" w14:textId="4BF6AB37" w:rsidR="00750A44" w:rsidRDefault="00750A44">
          <w:pPr>
            <w:pStyle w:val="TOC2"/>
            <w:tabs>
              <w:tab w:val="right" w:leader="dot" w:pos="9638"/>
            </w:tabs>
            <w:rPr>
              <w:rFonts w:asciiTheme="minorHAnsi" w:eastAsiaTheme="minorEastAsia" w:hAnsiTheme="minorHAnsi" w:cstheme="minorBidi"/>
              <w:noProof/>
              <w:kern w:val="2"/>
              <w:sz w:val="24"/>
              <w:szCs w:val="24"/>
              <w:lang w:bidi="ar-SA"/>
              <w14:ligatures w14:val="standardContextual"/>
            </w:rPr>
          </w:pPr>
          <w:hyperlink w:anchor="_Toc234765463" w:history="1">
            <w:r w:rsidRPr="00AE7C14">
              <w:rPr>
                <w:rStyle w:val="Hyperlink"/>
                <w:noProof/>
              </w:rPr>
              <w:t>2.4 Social awareness, communication and inclusive leadership</w:t>
            </w:r>
            <w:r>
              <w:rPr>
                <w:noProof/>
                <w:webHidden/>
              </w:rPr>
              <w:tab/>
            </w:r>
            <w:r>
              <w:rPr>
                <w:noProof/>
                <w:webHidden/>
              </w:rPr>
              <w:fldChar w:fldCharType="begin"/>
            </w:r>
            <w:r>
              <w:rPr>
                <w:noProof/>
                <w:webHidden/>
              </w:rPr>
              <w:instrText xml:space="preserve"> PAGEREF _Toc234765463 \h </w:instrText>
            </w:r>
            <w:r>
              <w:rPr>
                <w:noProof/>
                <w:webHidden/>
              </w:rPr>
            </w:r>
            <w:r>
              <w:rPr>
                <w:noProof/>
                <w:webHidden/>
              </w:rPr>
              <w:fldChar w:fldCharType="separate"/>
            </w:r>
            <w:r>
              <w:rPr>
                <w:noProof/>
                <w:webHidden/>
              </w:rPr>
              <w:t>5</w:t>
            </w:r>
            <w:r>
              <w:rPr>
                <w:noProof/>
                <w:webHidden/>
              </w:rPr>
              <w:fldChar w:fldCharType="end"/>
            </w:r>
          </w:hyperlink>
        </w:p>
        <w:p w14:paraId="5F56CCDA" w14:textId="69086983" w:rsidR="00750A44" w:rsidRDefault="00750A44">
          <w:pPr>
            <w:pStyle w:val="TOC2"/>
            <w:tabs>
              <w:tab w:val="right" w:leader="dot" w:pos="9638"/>
            </w:tabs>
            <w:rPr>
              <w:rFonts w:asciiTheme="minorHAnsi" w:eastAsiaTheme="minorEastAsia" w:hAnsiTheme="minorHAnsi" w:cstheme="minorBidi"/>
              <w:noProof/>
              <w:kern w:val="2"/>
              <w:sz w:val="24"/>
              <w:szCs w:val="24"/>
              <w:lang w:bidi="ar-SA"/>
              <w14:ligatures w14:val="standardContextual"/>
            </w:rPr>
          </w:pPr>
          <w:hyperlink w:anchor="_Toc234765464" w:history="1">
            <w:r w:rsidRPr="00AE7C14">
              <w:rPr>
                <w:rStyle w:val="Hyperlink"/>
                <w:noProof/>
              </w:rPr>
              <w:t>2.5 Relationship management, conflict and psychological safety</w:t>
            </w:r>
            <w:r>
              <w:rPr>
                <w:noProof/>
                <w:webHidden/>
              </w:rPr>
              <w:tab/>
            </w:r>
            <w:r>
              <w:rPr>
                <w:noProof/>
                <w:webHidden/>
              </w:rPr>
              <w:fldChar w:fldCharType="begin"/>
            </w:r>
            <w:r>
              <w:rPr>
                <w:noProof/>
                <w:webHidden/>
              </w:rPr>
              <w:instrText xml:space="preserve"> PAGEREF _Toc234765464 \h </w:instrText>
            </w:r>
            <w:r>
              <w:rPr>
                <w:noProof/>
                <w:webHidden/>
              </w:rPr>
            </w:r>
            <w:r>
              <w:rPr>
                <w:noProof/>
                <w:webHidden/>
              </w:rPr>
              <w:fldChar w:fldCharType="separate"/>
            </w:r>
            <w:r>
              <w:rPr>
                <w:noProof/>
                <w:webHidden/>
              </w:rPr>
              <w:t>6</w:t>
            </w:r>
            <w:r>
              <w:rPr>
                <w:noProof/>
                <w:webHidden/>
              </w:rPr>
              <w:fldChar w:fldCharType="end"/>
            </w:r>
          </w:hyperlink>
        </w:p>
        <w:p w14:paraId="1FFDA229" w14:textId="4DE39B45" w:rsidR="00750A44" w:rsidRDefault="00750A44">
          <w:pPr>
            <w:pStyle w:val="TOC2"/>
            <w:tabs>
              <w:tab w:val="right" w:leader="dot" w:pos="9638"/>
            </w:tabs>
            <w:rPr>
              <w:rFonts w:asciiTheme="minorHAnsi" w:eastAsiaTheme="minorEastAsia" w:hAnsiTheme="minorHAnsi" w:cstheme="minorBidi"/>
              <w:noProof/>
              <w:kern w:val="2"/>
              <w:sz w:val="24"/>
              <w:szCs w:val="24"/>
              <w:lang w:bidi="ar-SA"/>
              <w14:ligatures w14:val="standardContextual"/>
            </w:rPr>
          </w:pPr>
          <w:hyperlink w:anchor="_Toc234765465" w:history="1">
            <w:r w:rsidRPr="00AE7C14">
              <w:rPr>
                <w:rStyle w:val="Hyperlink"/>
                <w:noProof/>
              </w:rPr>
              <w:t>2.6 Critical limitations and organisational application</w:t>
            </w:r>
            <w:r>
              <w:rPr>
                <w:noProof/>
                <w:webHidden/>
              </w:rPr>
              <w:tab/>
            </w:r>
            <w:r>
              <w:rPr>
                <w:noProof/>
                <w:webHidden/>
              </w:rPr>
              <w:fldChar w:fldCharType="begin"/>
            </w:r>
            <w:r>
              <w:rPr>
                <w:noProof/>
                <w:webHidden/>
              </w:rPr>
              <w:instrText xml:space="preserve"> PAGEREF _Toc234765465 \h </w:instrText>
            </w:r>
            <w:r>
              <w:rPr>
                <w:noProof/>
                <w:webHidden/>
              </w:rPr>
            </w:r>
            <w:r>
              <w:rPr>
                <w:noProof/>
                <w:webHidden/>
              </w:rPr>
              <w:fldChar w:fldCharType="separate"/>
            </w:r>
            <w:r>
              <w:rPr>
                <w:noProof/>
                <w:webHidden/>
              </w:rPr>
              <w:t>6</w:t>
            </w:r>
            <w:r>
              <w:rPr>
                <w:noProof/>
                <w:webHidden/>
              </w:rPr>
              <w:fldChar w:fldCharType="end"/>
            </w:r>
          </w:hyperlink>
        </w:p>
        <w:p w14:paraId="6042C600" w14:textId="3858E18C" w:rsidR="00750A44" w:rsidRDefault="00750A44">
          <w:pPr>
            <w:pStyle w:val="TOC1"/>
            <w:tabs>
              <w:tab w:val="right" w:leader="dot" w:pos="9638"/>
            </w:tabs>
            <w:rPr>
              <w:rFonts w:asciiTheme="minorHAnsi" w:eastAsiaTheme="minorEastAsia" w:hAnsiTheme="minorHAnsi" w:cstheme="minorBidi"/>
              <w:noProof/>
              <w:kern w:val="2"/>
              <w:sz w:val="24"/>
              <w:szCs w:val="24"/>
              <w:lang w:bidi="ar-SA"/>
              <w14:ligatures w14:val="standardContextual"/>
            </w:rPr>
          </w:pPr>
          <w:hyperlink w:anchor="_Toc234765466" w:history="1">
            <w:r w:rsidRPr="00AE7C14">
              <w:rPr>
                <w:rStyle w:val="Hyperlink"/>
                <w:noProof/>
              </w:rPr>
              <w:t>3. Task 2: Managing a Multigenerational Workforce</w:t>
            </w:r>
            <w:r>
              <w:rPr>
                <w:noProof/>
                <w:webHidden/>
              </w:rPr>
              <w:tab/>
            </w:r>
            <w:r>
              <w:rPr>
                <w:noProof/>
                <w:webHidden/>
              </w:rPr>
              <w:fldChar w:fldCharType="begin"/>
            </w:r>
            <w:r>
              <w:rPr>
                <w:noProof/>
                <w:webHidden/>
              </w:rPr>
              <w:instrText xml:space="preserve"> PAGEREF _Toc234765466 \h </w:instrText>
            </w:r>
            <w:r>
              <w:rPr>
                <w:noProof/>
                <w:webHidden/>
              </w:rPr>
            </w:r>
            <w:r>
              <w:rPr>
                <w:noProof/>
                <w:webHidden/>
              </w:rPr>
              <w:fldChar w:fldCharType="separate"/>
            </w:r>
            <w:r>
              <w:rPr>
                <w:noProof/>
                <w:webHidden/>
              </w:rPr>
              <w:t>7</w:t>
            </w:r>
            <w:r>
              <w:rPr>
                <w:noProof/>
                <w:webHidden/>
              </w:rPr>
              <w:fldChar w:fldCharType="end"/>
            </w:r>
          </w:hyperlink>
        </w:p>
        <w:p w14:paraId="7CB2D64C" w14:textId="33235BFD" w:rsidR="00750A44" w:rsidRDefault="00750A44">
          <w:pPr>
            <w:pStyle w:val="TOC2"/>
            <w:tabs>
              <w:tab w:val="right" w:leader="dot" w:pos="9638"/>
            </w:tabs>
            <w:rPr>
              <w:rFonts w:asciiTheme="minorHAnsi" w:eastAsiaTheme="minorEastAsia" w:hAnsiTheme="minorHAnsi" w:cstheme="minorBidi"/>
              <w:noProof/>
              <w:kern w:val="2"/>
              <w:sz w:val="24"/>
              <w:szCs w:val="24"/>
              <w:lang w:bidi="ar-SA"/>
              <w14:ligatures w14:val="standardContextual"/>
            </w:rPr>
          </w:pPr>
          <w:hyperlink w:anchor="_Toc234765467" w:history="1">
            <w:r w:rsidRPr="00AE7C14">
              <w:rPr>
                <w:rStyle w:val="Hyperlink"/>
                <w:noProof/>
              </w:rPr>
              <w:t>3.1 A critical generational lens</w:t>
            </w:r>
            <w:r>
              <w:rPr>
                <w:noProof/>
                <w:webHidden/>
              </w:rPr>
              <w:tab/>
            </w:r>
            <w:r>
              <w:rPr>
                <w:noProof/>
                <w:webHidden/>
              </w:rPr>
              <w:fldChar w:fldCharType="begin"/>
            </w:r>
            <w:r>
              <w:rPr>
                <w:noProof/>
                <w:webHidden/>
              </w:rPr>
              <w:instrText xml:space="preserve"> PAGEREF _Toc234765467 \h </w:instrText>
            </w:r>
            <w:r>
              <w:rPr>
                <w:noProof/>
                <w:webHidden/>
              </w:rPr>
            </w:r>
            <w:r>
              <w:rPr>
                <w:noProof/>
                <w:webHidden/>
              </w:rPr>
              <w:fldChar w:fldCharType="separate"/>
            </w:r>
            <w:r>
              <w:rPr>
                <w:noProof/>
                <w:webHidden/>
              </w:rPr>
              <w:t>7</w:t>
            </w:r>
            <w:r>
              <w:rPr>
                <w:noProof/>
                <w:webHidden/>
              </w:rPr>
              <w:fldChar w:fldCharType="end"/>
            </w:r>
          </w:hyperlink>
        </w:p>
        <w:p w14:paraId="73D41BD1" w14:textId="2C2779CB" w:rsidR="00750A44" w:rsidRDefault="00750A44">
          <w:pPr>
            <w:pStyle w:val="TOC2"/>
            <w:tabs>
              <w:tab w:val="right" w:leader="dot" w:pos="9638"/>
            </w:tabs>
            <w:rPr>
              <w:rFonts w:asciiTheme="minorHAnsi" w:eastAsiaTheme="minorEastAsia" w:hAnsiTheme="minorHAnsi" w:cstheme="minorBidi"/>
              <w:noProof/>
              <w:kern w:val="2"/>
              <w:sz w:val="24"/>
              <w:szCs w:val="24"/>
              <w:lang w:bidi="ar-SA"/>
              <w14:ligatures w14:val="standardContextual"/>
            </w:rPr>
          </w:pPr>
          <w:hyperlink w:anchor="_Toc234765468" w:history="1">
            <w:r w:rsidRPr="00AE7C14">
              <w:rPr>
                <w:rStyle w:val="Hyperlink"/>
                <w:noProof/>
              </w:rPr>
              <w:t>3.2 Characteristics and expectations</w:t>
            </w:r>
            <w:r>
              <w:rPr>
                <w:noProof/>
                <w:webHidden/>
              </w:rPr>
              <w:tab/>
            </w:r>
            <w:r>
              <w:rPr>
                <w:noProof/>
                <w:webHidden/>
              </w:rPr>
              <w:fldChar w:fldCharType="begin"/>
            </w:r>
            <w:r>
              <w:rPr>
                <w:noProof/>
                <w:webHidden/>
              </w:rPr>
              <w:instrText xml:space="preserve"> PAGEREF _Toc234765468 \h </w:instrText>
            </w:r>
            <w:r>
              <w:rPr>
                <w:noProof/>
                <w:webHidden/>
              </w:rPr>
            </w:r>
            <w:r>
              <w:rPr>
                <w:noProof/>
                <w:webHidden/>
              </w:rPr>
              <w:fldChar w:fldCharType="separate"/>
            </w:r>
            <w:r>
              <w:rPr>
                <w:noProof/>
                <w:webHidden/>
              </w:rPr>
              <w:t>8</w:t>
            </w:r>
            <w:r>
              <w:rPr>
                <w:noProof/>
                <w:webHidden/>
              </w:rPr>
              <w:fldChar w:fldCharType="end"/>
            </w:r>
          </w:hyperlink>
        </w:p>
        <w:p w14:paraId="2B3C04A8" w14:textId="7A6CB52E" w:rsidR="00750A44" w:rsidRDefault="00750A44">
          <w:pPr>
            <w:pStyle w:val="TOC2"/>
            <w:tabs>
              <w:tab w:val="right" w:leader="dot" w:pos="9638"/>
            </w:tabs>
            <w:rPr>
              <w:rFonts w:asciiTheme="minorHAnsi" w:eastAsiaTheme="minorEastAsia" w:hAnsiTheme="minorHAnsi" w:cstheme="minorBidi"/>
              <w:noProof/>
              <w:kern w:val="2"/>
              <w:sz w:val="24"/>
              <w:szCs w:val="24"/>
              <w:lang w:bidi="ar-SA"/>
              <w14:ligatures w14:val="standardContextual"/>
            </w:rPr>
          </w:pPr>
          <w:hyperlink w:anchor="_Toc234765469" w:history="1">
            <w:r w:rsidRPr="00AE7C14">
              <w:rPr>
                <w:rStyle w:val="Hyperlink"/>
                <w:noProof/>
              </w:rPr>
              <w:t>3.3 Effects on organisational effectiveness</w:t>
            </w:r>
            <w:r>
              <w:rPr>
                <w:noProof/>
                <w:webHidden/>
              </w:rPr>
              <w:tab/>
            </w:r>
            <w:r>
              <w:rPr>
                <w:noProof/>
                <w:webHidden/>
              </w:rPr>
              <w:fldChar w:fldCharType="begin"/>
            </w:r>
            <w:r>
              <w:rPr>
                <w:noProof/>
                <w:webHidden/>
              </w:rPr>
              <w:instrText xml:space="preserve"> PAGEREF _Toc234765469 \h </w:instrText>
            </w:r>
            <w:r>
              <w:rPr>
                <w:noProof/>
                <w:webHidden/>
              </w:rPr>
            </w:r>
            <w:r>
              <w:rPr>
                <w:noProof/>
                <w:webHidden/>
              </w:rPr>
              <w:fldChar w:fldCharType="separate"/>
            </w:r>
            <w:r>
              <w:rPr>
                <w:noProof/>
                <w:webHidden/>
              </w:rPr>
              <w:t>8</w:t>
            </w:r>
            <w:r>
              <w:rPr>
                <w:noProof/>
                <w:webHidden/>
              </w:rPr>
              <w:fldChar w:fldCharType="end"/>
            </w:r>
          </w:hyperlink>
        </w:p>
        <w:p w14:paraId="388B71E1" w14:textId="51DDD80D" w:rsidR="00750A44" w:rsidRDefault="00750A44">
          <w:pPr>
            <w:pStyle w:val="TOC2"/>
            <w:tabs>
              <w:tab w:val="right" w:leader="dot" w:pos="9638"/>
            </w:tabs>
            <w:rPr>
              <w:rFonts w:asciiTheme="minorHAnsi" w:eastAsiaTheme="minorEastAsia" w:hAnsiTheme="minorHAnsi" w:cstheme="minorBidi"/>
              <w:noProof/>
              <w:kern w:val="2"/>
              <w:sz w:val="24"/>
              <w:szCs w:val="24"/>
              <w:lang w:bidi="ar-SA"/>
              <w14:ligatures w14:val="standardContextual"/>
            </w:rPr>
          </w:pPr>
          <w:hyperlink w:anchor="_Toc234765470" w:history="1">
            <w:r w:rsidRPr="00AE7C14">
              <w:rPr>
                <w:rStyle w:val="Hyperlink"/>
                <w:noProof/>
              </w:rPr>
              <w:t>3.4 Emotionally intelligent and mindful recruitment</w:t>
            </w:r>
            <w:r>
              <w:rPr>
                <w:noProof/>
                <w:webHidden/>
              </w:rPr>
              <w:tab/>
            </w:r>
            <w:r>
              <w:rPr>
                <w:noProof/>
                <w:webHidden/>
              </w:rPr>
              <w:fldChar w:fldCharType="begin"/>
            </w:r>
            <w:r>
              <w:rPr>
                <w:noProof/>
                <w:webHidden/>
              </w:rPr>
              <w:instrText xml:space="preserve"> PAGEREF _Toc234765470 \h </w:instrText>
            </w:r>
            <w:r>
              <w:rPr>
                <w:noProof/>
                <w:webHidden/>
              </w:rPr>
            </w:r>
            <w:r>
              <w:rPr>
                <w:noProof/>
                <w:webHidden/>
              </w:rPr>
              <w:fldChar w:fldCharType="separate"/>
            </w:r>
            <w:r>
              <w:rPr>
                <w:noProof/>
                <w:webHidden/>
              </w:rPr>
              <w:t>9</w:t>
            </w:r>
            <w:r>
              <w:rPr>
                <w:noProof/>
                <w:webHidden/>
              </w:rPr>
              <w:fldChar w:fldCharType="end"/>
            </w:r>
          </w:hyperlink>
        </w:p>
        <w:p w14:paraId="589C9E34" w14:textId="5A2BF194" w:rsidR="00750A44" w:rsidRDefault="00750A44">
          <w:pPr>
            <w:pStyle w:val="TOC2"/>
            <w:tabs>
              <w:tab w:val="right" w:leader="dot" w:pos="9638"/>
            </w:tabs>
            <w:rPr>
              <w:rFonts w:asciiTheme="minorHAnsi" w:eastAsiaTheme="minorEastAsia" w:hAnsiTheme="minorHAnsi" w:cstheme="minorBidi"/>
              <w:noProof/>
              <w:kern w:val="2"/>
              <w:sz w:val="24"/>
              <w:szCs w:val="24"/>
              <w:lang w:bidi="ar-SA"/>
              <w14:ligatures w14:val="standardContextual"/>
            </w:rPr>
          </w:pPr>
          <w:hyperlink w:anchor="_Toc234765471" w:history="1">
            <w:r w:rsidRPr="00AE7C14">
              <w:rPr>
                <w:rStyle w:val="Hyperlink"/>
                <w:noProof/>
              </w:rPr>
              <w:t>3.5 Emotionally intelligent and mindful management and retention</w:t>
            </w:r>
            <w:r>
              <w:rPr>
                <w:noProof/>
                <w:webHidden/>
              </w:rPr>
              <w:tab/>
            </w:r>
            <w:r>
              <w:rPr>
                <w:noProof/>
                <w:webHidden/>
              </w:rPr>
              <w:fldChar w:fldCharType="begin"/>
            </w:r>
            <w:r>
              <w:rPr>
                <w:noProof/>
                <w:webHidden/>
              </w:rPr>
              <w:instrText xml:space="preserve"> PAGEREF _Toc234765471 \h </w:instrText>
            </w:r>
            <w:r>
              <w:rPr>
                <w:noProof/>
                <w:webHidden/>
              </w:rPr>
            </w:r>
            <w:r>
              <w:rPr>
                <w:noProof/>
                <w:webHidden/>
              </w:rPr>
              <w:fldChar w:fldCharType="separate"/>
            </w:r>
            <w:r>
              <w:rPr>
                <w:noProof/>
                <w:webHidden/>
              </w:rPr>
              <w:t>9</w:t>
            </w:r>
            <w:r>
              <w:rPr>
                <w:noProof/>
                <w:webHidden/>
              </w:rPr>
              <w:fldChar w:fldCharType="end"/>
            </w:r>
          </w:hyperlink>
        </w:p>
        <w:p w14:paraId="0B6E0616" w14:textId="365D6F98" w:rsidR="00750A44" w:rsidRDefault="00750A44">
          <w:pPr>
            <w:pStyle w:val="TOC1"/>
            <w:tabs>
              <w:tab w:val="right" w:leader="dot" w:pos="9638"/>
            </w:tabs>
            <w:rPr>
              <w:rFonts w:asciiTheme="minorHAnsi" w:eastAsiaTheme="minorEastAsia" w:hAnsiTheme="minorHAnsi" w:cstheme="minorBidi"/>
              <w:noProof/>
              <w:kern w:val="2"/>
              <w:sz w:val="24"/>
              <w:szCs w:val="24"/>
              <w:lang w:bidi="ar-SA"/>
              <w14:ligatures w14:val="standardContextual"/>
            </w:rPr>
          </w:pPr>
          <w:hyperlink w:anchor="_Toc234765472" w:history="1">
            <w:r w:rsidRPr="00AE7C14">
              <w:rPr>
                <w:rStyle w:val="Hyperlink"/>
                <w:noProof/>
              </w:rPr>
              <w:t>4. Recommendations to the Senior Management Team</w:t>
            </w:r>
            <w:r>
              <w:rPr>
                <w:noProof/>
                <w:webHidden/>
              </w:rPr>
              <w:tab/>
            </w:r>
            <w:r>
              <w:rPr>
                <w:noProof/>
                <w:webHidden/>
              </w:rPr>
              <w:fldChar w:fldCharType="begin"/>
            </w:r>
            <w:r>
              <w:rPr>
                <w:noProof/>
                <w:webHidden/>
              </w:rPr>
              <w:instrText xml:space="preserve"> PAGEREF _Toc234765472 \h </w:instrText>
            </w:r>
            <w:r>
              <w:rPr>
                <w:noProof/>
                <w:webHidden/>
              </w:rPr>
            </w:r>
            <w:r>
              <w:rPr>
                <w:noProof/>
                <w:webHidden/>
              </w:rPr>
              <w:fldChar w:fldCharType="separate"/>
            </w:r>
            <w:r>
              <w:rPr>
                <w:noProof/>
                <w:webHidden/>
              </w:rPr>
              <w:t>10</w:t>
            </w:r>
            <w:r>
              <w:rPr>
                <w:noProof/>
                <w:webHidden/>
              </w:rPr>
              <w:fldChar w:fldCharType="end"/>
            </w:r>
          </w:hyperlink>
        </w:p>
        <w:p w14:paraId="16EC41A0" w14:textId="3A4A2B3D" w:rsidR="00750A44" w:rsidRDefault="00750A44">
          <w:pPr>
            <w:pStyle w:val="TOC1"/>
            <w:tabs>
              <w:tab w:val="right" w:leader="dot" w:pos="9638"/>
            </w:tabs>
            <w:rPr>
              <w:rFonts w:asciiTheme="minorHAnsi" w:eastAsiaTheme="minorEastAsia" w:hAnsiTheme="minorHAnsi" w:cstheme="minorBidi"/>
              <w:noProof/>
              <w:kern w:val="2"/>
              <w:sz w:val="24"/>
              <w:szCs w:val="24"/>
              <w:lang w:bidi="ar-SA"/>
              <w14:ligatures w14:val="standardContextual"/>
            </w:rPr>
          </w:pPr>
          <w:hyperlink w:anchor="_Toc234765473" w:history="1">
            <w:r w:rsidRPr="00AE7C14">
              <w:rPr>
                <w:rStyle w:val="Hyperlink"/>
                <w:noProof/>
              </w:rPr>
              <w:t>5. Conclusion</w:t>
            </w:r>
            <w:r>
              <w:rPr>
                <w:noProof/>
                <w:webHidden/>
              </w:rPr>
              <w:tab/>
            </w:r>
            <w:r>
              <w:rPr>
                <w:noProof/>
                <w:webHidden/>
              </w:rPr>
              <w:fldChar w:fldCharType="begin"/>
            </w:r>
            <w:r>
              <w:rPr>
                <w:noProof/>
                <w:webHidden/>
              </w:rPr>
              <w:instrText xml:space="preserve"> PAGEREF _Toc234765473 \h </w:instrText>
            </w:r>
            <w:r>
              <w:rPr>
                <w:noProof/>
                <w:webHidden/>
              </w:rPr>
            </w:r>
            <w:r>
              <w:rPr>
                <w:noProof/>
                <w:webHidden/>
              </w:rPr>
              <w:fldChar w:fldCharType="separate"/>
            </w:r>
            <w:r>
              <w:rPr>
                <w:noProof/>
                <w:webHidden/>
              </w:rPr>
              <w:t>11</w:t>
            </w:r>
            <w:r>
              <w:rPr>
                <w:noProof/>
                <w:webHidden/>
              </w:rPr>
              <w:fldChar w:fldCharType="end"/>
            </w:r>
          </w:hyperlink>
        </w:p>
        <w:p w14:paraId="009E637B" w14:textId="4D072538" w:rsidR="00750A44" w:rsidRDefault="00750A44">
          <w:pPr>
            <w:pStyle w:val="TOC1"/>
            <w:tabs>
              <w:tab w:val="right" w:leader="dot" w:pos="9638"/>
            </w:tabs>
            <w:rPr>
              <w:rFonts w:asciiTheme="minorHAnsi" w:eastAsiaTheme="minorEastAsia" w:hAnsiTheme="minorHAnsi" w:cstheme="minorBidi"/>
              <w:noProof/>
              <w:kern w:val="2"/>
              <w:sz w:val="24"/>
              <w:szCs w:val="24"/>
              <w:lang w:bidi="ar-SA"/>
              <w14:ligatures w14:val="standardContextual"/>
            </w:rPr>
          </w:pPr>
          <w:hyperlink w:anchor="_Toc234765474" w:history="1">
            <w:r w:rsidRPr="00AE7C14">
              <w:rPr>
                <w:rStyle w:val="Hyperlink"/>
                <w:noProof/>
              </w:rPr>
              <w:t>Reference List</w:t>
            </w:r>
            <w:r>
              <w:rPr>
                <w:noProof/>
                <w:webHidden/>
              </w:rPr>
              <w:tab/>
            </w:r>
            <w:r>
              <w:rPr>
                <w:noProof/>
                <w:webHidden/>
              </w:rPr>
              <w:fldChar w:fldCharType="begin"/>
            </w:r>
            <w:r>
              <w:rPr>
                <w:noProof/>
                <w:webHidden/>
              </w:rPr>
              <w:instrText xml:space="preserve"> PAGEREF _Toc234765474 \h </w:instrText>
            </w:r>
            <w:r>
              <w:rPr>
                <w:noProof/>
                <w:webHidden/>
              </w:rPr>
            </w:r>
            <w:r>
              <w:rPr>
                <w:noProof/>
                <w:webHidden/>
              </w:rPr>
              <w:fldChar w:fldCharType="separate"/>
            </w:r>
            <w:r>
              <w:rPr>
                <w:noProof/>
                <w:webHidden/>
              </w:rPr>
              <w:t>12</w:t>
            </w:r>
            <w:r>
              <w:rPr>
                <w:noProof/>
                <w:webHidden/>
              </w:rPr>
              <w:fldChar w:fldCharType="end"/>
            </w:r>
          </w:hyperlink>
        </w:p>
        <w:p w14:paraId="7C334A0A" w14:textId="575B1CAE" w:rsidR="00750A44" w:rsidRDefault="00750A44">
          <w:pPr>
            <w:rPr>
              <w:b/>
              <w:bCs/>
            </w:rPr>
          </w:pPr>
          <w:r>
            <w:rPr>
              <w:b/>
              <w:bCs/>
            </w:rPr>
            <w:fldChar w:fldCharType="end"/>
          </w:r>
        </w:p>
        <w:p w14:paraId="2C29D7F9" w14:textId="77777777" w:rsidR="00750A44" w:rsidRDefault="00750A44">
          <w:pPr>
            <w:spacing w:after="200" w:line="276" w:lineRule="auto"/>
            <w:rPr>
              <w:b/>
              <w:bCs/>
            </w:rPr>
          </w:pPr>
          <w:r>
            <w:rPr>
              <w:b/>
              <w:bCs/>
            </w:rPr>
            <w:br w:type="page"/>
          </w:r>
        </w:p>
        <w:p w14:paraId="1A7152D6" w14:textId="56AC5446" w:rsidR="00750A44" w:rsidRDefault="00750A44"/>
      </w:sdtContent>
    </w:sdt>
    <w:p w14:paraId="0D01299B" w14:textId="77777777" w:rsidR="006D4B5C" w:rsidRDefault="00000000">
      <w:pPr>
        <w:pStyle w:val="Heading1"/>
      </w:pPr>
      <w:bookmarkStart w:id="1" w:name="_Toc234765458"/>
      <w:r>
        <w:rPr>
          <w:sz w:val="22"/>
        </w:rPr>
        <w:t>1. Introduction</w:t>
      </w:r>
      <w:bookmarkEnd w:id="1"/>
    </w:p>
    <w:p w14:paraId="00A5D496" w14:textId="77777777" w:rsidR="006D4B5C" w:rsidRDefault="00000000">
      <w:pPr>
        <w:jc w:val="both"/>
      </w:pPr>
      <w:r>
        <w:t>The department’s improved morale, communication and conflict resolution provides a practical basis for examining how mindfulness and EI can support wider organisational priorities. This report addresses the Senior Management Team’s need for evidence-informed decisions on employee development, leadership capability and recruitment. Task 1 critically compares leading EI models and evaluates their application to performance, collaboration, well-being, communication, conflict, leadership and decision-making. Task 2 examines Generation X, Millennials and Generation Z, while challenging deterministic generational stereotypes. The central argument is that EI and mindfulness are valuable only when developed as observable, ethical behaviours and reinforced by psychologically safe systems rather than treated as individual “fixes” for structural problems.</w:t>
      </w:r>
    </w:p>
    <w:p w14:paraId="74D93796" w14:textId="77777777" w:rsidR="006D4B5C" w:rsidRDefault="00000000">
      <w:pPr>
        <w:pStyle w:val="Heading1"/>
      </w:pPr>
      <w:bookmarkStart w:id="2" w:name="_Toc234765459"/>
      <w:r>
        <w:rPr>
          <w:sz w:val="22"/>
        </w:rPr>
        <w:t>2. Task 1: Emotional Intelligence in the Workplace</w:t>
      </w:r>
      <w:bookmarkEnd w:id="2"/>
    </w:p>
    <w:p w14:paraId="4C365F11" w14:textId="77777777" w:rsidR="006D4B5C" w:rsidRDefault="00000000">
      <w:pPr>
        <w:pStyle w:val="Heading2"/>
      </w:pPr>
      <w:bookmarkStart w:id="3" w:name="_Toc234765460"/>
      <w:r>
        <w:rPr>
          <w:sz w:val="22"/>
        </w:rPr>
        <w:t>2.1 Conceptual foundations and model comparison</w:t>
      </w:r>
      <w:bookmarkEnd w:id="3"/>
    </w:p>
    <w:p w14:paraId="5CE9F201" w14:textId="77777777" w:rsidR="006D4B5C" w:rsidRDefault="00000000">
      <w:pPr>
        <w:jc w:val="both"/>
      </w:pPr>
      <w:r>
        <w:t>Emotional intelligence is best understood as a family of related constructs rather than a universally agreed trait. Mayer, Salovey and Caruso’s Ability Model defines EI as the capacity to perceive emotion, use emotion to facilitate thought, understand emotional meanings and manage emotion in oneself and others (Mayer, Salovey and Caruso, 2004). Its strength is conceptual precision: it treats EI as a form of reasoning that can, in principle, be assessed through performance tasks. However, “correct” answers to social-emotional problems may depend on culture and context, and test performance may not transfer automatically to workplace behaviour.</w:t>
      </w:r>
    </w:p>
    <w:p w14:paraId="15F6009C" w14:textId="77777777" w:rsidR="006D4B5C" w:rsidRDefault="00000000">
      <w:pPr>
        <w:jc w:val="both"/>
      </w:pPr>
      <w:r>
        <w:t>Goleman’s framework groups EI into self-awareness, self-management, social awareness and relationship management, expressed through competencies such as emotional self-control, empathy, influence and conflict management (Goleman, 1998). The language is accessible to managers and maps directly onto coaching and appraisal. Its breadth is also a weakness, because motivation, personality and leadership behaviours can become folded into EI. Meta-analytic evidence shows that mixed, self-reported EI predicts performance partly because it overlaps with established personality traits and self-efficacy (Joseph et al., 2015).</w:t>
      </w:r>
    </w:p>
    <w:p w14:paraId="198217E6" w14:textId="77777777" w:rsidR="006D4B5C" w:rsidRDefault="00000000">
      <w:pPr>
        <w:jc w:val="both"/>
      </w:pPr>
      <w:r>
        <w:t>Bar-On’s emotional-social intelligence model adds intrapersonal and interpersonal functioning, adaptability, stress management and general mood (Bar-On, 2006). This is useful when considering resilience and employee well-being, but it further blurs the boundary between emotional ability, personality and mental health. Consequently, the three models should not be treated as interchangeable. A defensible organisational approach would use the Ability Model to clarify emotion-related reasoning, Goleman to specify observable workplace behaviours, and Bar-</w:t>
      </w:r>
      <w:r>
        <w:lastRenderedPageBreak/>
        <w:t>On to identify stress and adaptability needs. No single score should be used for selection or promotion.</w:t>
      </w:r>
    </w:p>
    <w:p w14:paraId="2EDB8103" w14:textId="77777777" w:rsidR="006D4B5C" w:rsidRDefault="00000000">
      <w:pPr>
        <w:jc w:val="both"/>
      </w:pPr>
      <w:r>
        <w:t>The practical implication is that EI should be matched to job demands. Emotional cue recognition is particularly relevant in leadership, care, sales, customer service and interdependent teamwork, whereas technical roles may depend more heavily on cognitive expertise and process reliability. Even in emotionally intensive work, more EI is not automatically better: excessive monitoring of feelings can slow action, and organisational “display rules” may require employees to perform calmness while underlying causes remain unresolved. Côté (2014) therefore recommends attention to mechanisms and context rather than treating EI as a general-purpose predictor.</w:t>
      </w:r>
    </w:p>
    <w:p w14:paraId="35F11B3E" w14:textId="77777777" w:rsidR="006D4B5C" w:rsidRDefault="00000000">
      <w:pPr>
        <w:pStyle w:val="TableCaption"/>
      </w:pPr>
      <w:r>
        <w:t>Table 1. Critical comparison of leading emotional intelligence models</w:t>
      </w:r>
    </w:p>
    <w:tbl>
      <w:tblPr>
        <w:tblW w:w="0" w:type="auto"/>
        <w:jc w:val="center"/>
        <w:tblLayout w:type="fixed"/>
        <w:tblLook w:val="04A0" w:firstRow="1" w:lastRow="0" w:firstColumn="1" w:lastColumn="0" w:noHBand="0" w:noVBand="1"/>
      </w:tblPr>
      <w:tblGrid>
        <w:gridCol w:w="1944"/>
        <w:gridCol w:w="2664"/>
        <w:gridCol w:w="2736"/>
        <w:gridCol w:w="2736"/>
      </w:tblGrid>
      <w:tr w:rsidR="006D4B5C" w14:paraId="5629BE91" w14:textId="77777777">
        <w:trPr>
          <w:cantSplit/>
          <w:tblHeader/>
          <w:jc w:val="center"/>
        </w:trPr>
        <w:tc>
          <w:tcPr>
            <w:tcW w:w="1944" w:type="dxa"/>
            <w:shd w:val="clear" w:color="auto" w:fill="17365D"/>
            <w:tcMar>
              <w:top w:w="90" w:type="dxa"/>
              <w:left w:w="100" w:type="dxa"/>
              <w:bottom w:w="90" w:type="dxa"/>
              <w:right w:w="100" w:type="dxa"/>
            </w:tcMar>
            <w:vAlign w:val="center"/>
          </w:tcPr>
          <w:p w14:paraId="7DAEFA7A" w14:textId="77777777" w:rsidR="006D4B5C" w:rsidRDefault="00000000">
            <w:pPr>
              <w:spacing w:after="40"/>
            </w:pPr>
            <w:r>
              <w:rPr>
                <w:b/>
                <w:color w:val="FFFFFF"/>
                <w:sz w:val="21"/>
              </w:rPr>
              <w:t>Model</w:t>
            </w:r>
          </w:p>
        </w:tc>
        <w:tc>
          <w:tcPr>
            <w:tcW w:w="2664" w:type="dxa"/>
            <w:shd w:val="clear" w:color="auto" w:fill="17365D"/>
            <w:tcMar>
              <w:top w:w="90" w:type="dxa"/>
              <w:left w:w="100" w:type="dxa"/>
              <w:bottom w:w="90" w:type="dxa"/>
              <w:right w:w="100" w:type="dxa"/>
            </w:tcMar>
            <w:vAlign w:val="center"/>
          </w:tcPr>
          <w:p w14:paraId="3CCC1C2C" w14:textId="77777777" w:rsidR="006D4B5C" w:rsidRDefault="00000000">
            <w:pPr>
              <w:spacing w:after="40"/>
            </w:pPr>
            <w:r>
              <w:rPr>
                <w:b/>
                <w:color w:val="FFFFFF"/>
                <w:sz w:val="21"/>
              </w:rPr>
              <w:t>Core view</w:t>
            </w:r>
          </w:p>
        </w:tc>
        <w:tc>
          <w:tcPr>
            <w:tcW w:w="2736" w:type="dxa"/>
            <w:shd w:val="clear" w:color="auto" w:fill="17365D"/>
            <w:tcMar>
              <w:top w:w="90" w:type="dxa"/>
              <w:left w:w="100" w:type="dxa"/>
              <w:bottom w:w="90" w:type="dxa"/>
              <w:right w:w="100" w:type="dxa"/>
            </w:tcMar>
            <w:vAlign w:val="center"/>
          </w:tcPr>
          <w:p w14:paraId="7D619594" w14:textId="77777777" w:rsidR="006D4B5C" w:rsidRDefault="00000000">
            <w:pPr>
              <w:spacing w:after="40"/>
            </w:pPr>
            <w:r>
              <w:rPr>
                <w:b/>
                <w:color w:val="FFFFFF"/>
                <w:sz w:val="21"/>
              </w:rPr>
              <w:t>Organisational value</w:t>
            </w:r>
          </w:p>
        </w:tc>
        <w:tc>
          <w:tcPr>
            <w:tcW w:w="2736" w:type="dxa"/>
            <w:shd w:val="clear" w:color="auto" w:fill="17365D"/>
            <w:tcMar>
              <w:top w:w="90" w:type="dxa"/>
              <w:left w:w="100" w:type="dxa"/>
              <w:bottom w:w="90" w:type="dxa"/>
              <w:right w:w="100" w:type="dxa"/>
            </w:tcMar>
            <w:vAlign w:val="center"/>
          </w:tcPr>
          <w:p w14:paraId="23B4478D" w14:textId="77777777" w:rsidR="006D4B5C" w:rsidRDefault="00000000">
            <w:pPr>
              <w:spacing w:after="40"/>
            </w:pPr>
            <w:r>
              <w:rPr>
                <w:b/>
                <w:color w:val="FFFFFF"/>
                <w:sz w:val="21"/>
              </w:rPr>
              <w:t>Critical limitation</w:t>
            </w:r>
          </w:p>
        </w:tc>
      </w:tr>
      <w:tr w:rsidR="006D4B5C" w14:paraId="3669EF2D" w14:textId="77777777">
        <w:trPr>
          <w:cantSplit/>
          <w:jc w:val="center"/>
        </w:trPr>
        <w:tc>
          <w:tcPr>
            <w:tcW w:w="1944" w:type="dxa"/>
            <w:tcMar>
              <w:top w:w="90" w:type="dxa"/>
              <w:left w:w="100" w:type="dxa"/>
              <w:bottom w:w="90" w:type="dxa"/>
              <w:right w:w="100" w:type="dxa"/>
            </w:tcMar>
            <w:vAlign w:val="center"/>
          </w:tcPr>
          <w:p w14:paraId="1A80B26B" w14:textId="77777777" w:rsidR="006D4B5C" w:rsidRDefault="00000000">
            <w:pPr>
              <w:spacing w:after="40"/>
            </w:pPr>
            <w:r>
              <w:rPr>
                <w:color w:val="000000"/>
                <w:sz w:val="21"/>
              </w:rPr>
              <w:t>Mayer–Salovey Ability Model</w:t>
            </w:r>
          </w:p>
        </w:tc>
        <w:tc>
          <w:tcPr>
            <w:tcW w:w="2664" w:type="dxa"/>
            <w:tcMar>
              <w:top w:w="90" w:type="dxa"/>
              <w:left w:w="100" w:type="dxa"/>
              <w:bottom w:w="90" w:type="dxa"/>
              <w:right w:w="100" w:type="dxa"/>
            </w:tcMar>
            <w:vAlign w:val="center"/>
          </w:tcPr>
          <w:p w14:paraId="5649825E" w14:textId="77777777" w:rsidR="006D4B5C" w:rsidRDefault="00000000">
            <w:pPr>
              <w:spacing w:after="40"/>
            </w:pPr>
            <w:r>
              <w:rPr>
                <w:color w:val="000000"/>
                <w:sz w:val="21"/>
              </w:rPr>
              <w:t>Perceiving, using, understanding and managing emotion as a form of reasoning.</w:t>
            </w:r>
          </w:p>
        </w:tc>
        <w:tc>
          <w:tcPr>
            <w:tcW w:w="2736" w:type="dxa"/>
            <w:tcMar>
              <w:top w:w="90" w:type="dxa"/>
              <w:left w:w="100" w:type="dxa"/>
              <w:bottom w:w="90" w:type="dxa"/>
              <w:right w:w="100" w:type="dxa"/>
            </w:tcMar>
            <w:vAlign w:val="center"/>
          </w:tcPr>
          <w:p w14:paraId="5D1B45A2" w14:textId="77777777" w:rsidR="006D4B5C" w:rsidRDefault="00000000">
            <w:pPr>
              <w:spacing w:after="40"/>
            </w:pPr>
            <w:r>
              <w:rPr>
                <w:color w:val="000000"/>
                <w:sz w:val="21"/>
              </w:rPr>
              <w:t>Conceptual precision; supports performance-based assessment and targeted skill development.</w:t>
            </w:r>
          </w:p>
        </w:tc>
        <w:tc>
          <w:tcPr>
            <w:tcW w:w="2736" w:type="dxa"/>
            <w:tcMar>
              <w:top w:w="90" w:type="dxa"/>
              <w:left w:w="100" w:type="dxa"/>
              <w:bottom w:w="90" w:type="dxa"/>
              <w:right w:w="100" w:type="dxa"/>
            </w:tcMar>
            <w:vAlign w:val="center"/>
          </w:tcPr>
          <w:p w14:paraId="7A4B50DC" w14:textId="77777777" w:rsidR="006D4B5C" w:rsidRDefault="00000000">
            <w:pPr>
              <w:spacing w:after="40"/>
            </w:pPr>
            <w:r>
              <w:rPr>
                <w:color w:val="000000"/>
                <w:sz w:val="21"/>
              </w:rPr>
              <w:t>Scoring, cultural context and transfer from test performance to work behaviour remain contested.</w:t>
            </w:r>
          </w:p>
        </w:tc>
      </w:tr>
      <w:tr w:rsidR="006D4B5C" w14:paraId="2179A187" w14:textId="77777777">
        <w:trPr>
          <w:cantSplit/>
          <w:jc w:val="center"/>
        </w:trPr>
        <w:tc>
          <w:tcPr>
            <w:tcW w:w="1944" w:type="dxa"/>
            <w:shd w:val="clear" w:color="auto" w:fill="F3F6F9"/>
            <w:tcMar>
              <w:top w:w="90" w:type="dxa"/>
              <w:left w:w="100" w:type="dxa"/>
              <w:bottom w:w="90" w:type="dxa"/>
              <w:right w:w="100" w:type="dxa"/>
            </w:tcMar>
            <w:vAlign w:val="center"/>
          </w:tcPr>
          <w:p w14:paraId="19095084" w14:textId="77777777" w:rsidR="006D4B5C" w:rsidRDefault="00000000">
            <w:pPr>
              <w:spacing w:after="40"/>
            </w:pPr>
            <w:r>
              <w:rPr>
                <w:color w:val="000000"/>
                <w:sz w:val="21"/>
              </w:rPr>
              <w:t>Goleman framework</w:t>
            </w:r>
          </w:p>
        </w:tc>
        <w:tc>
          <w:tcPr>
            <w:tcW w:w="2664" w:type="dxa"/>
            <w:shd w:val="clear" w:color="auto" w:fill="F3F6F9"/>
            <w:tcMar>
              <w:top w:w="90" w:type="dxa"/>
              <w:left w:w="100" w:type="dxa"/>
              <w:bottom w:w="90" w:type="dxa"/>
              <w:right w:w="100" w:type="dxa"/>
            </w:tcMar>
            <w:vAlign w:val="center"/>
          </w:tcPr>
          <w:p w14:paraId="15629027" w14:textId="77777777" w:rsidR="006D4B5C" w:rsidRDefault="00000000">
            <w:pPr>
              <w:spacing w:after="40"/>
            </w:pPr>
            <w:r>
              <w:rPr>
                <w:color w:val="000000"/>
                <w:sz w:val="21"/>
              </w:rPr>
              <w:t>Self-awareness, self-management, social awareness and relationship management.</w:t>
            </w:r>
          </w:p>
        </w:tc>
        <w:tc>
          <w:tcPr>
            <w:tcW w:w="2736" w:type="dxa"/>
            <w:shd w:val="clear" w:color="auto" w:fill="F3F6F9"/>
            <w:tcMar>
              <w:top w:w="90" w:type="dxa"/>
              <w:left w:w="100" w:type="dxa"/>
              <w:bottom w:w="90" w:type="dxa"/>
              <w:right w:w="100" w:type="dxa"/>
            </w:tcMar>
            <w:vAlign w:val="center"/>
          </w:tcPr>
          <w:p w14:paraId="0140E47D" w14:textId="77777777" w:rsidR="006D4B5C" w:rsidRDefault="00000000">
            <w:pPr>
              <w:spacing w:after="40"/>
            </w:pPr>
            <w:r>
              <w:rPr>
                <w:color w:val="000000"/>
                <w:sz w:val="21"/>
              </w:rPr>
              <w:t>Accessible competency language for coaching, leadership development and appraisal.</w:t>
            </w:r>
          </w:p>
        </w:tc>
        <w:tc>
          <w:tcPr>
            <w:tcW w:w="2736" w:type="dxa"/>
            <w:shd w:val="clear" w:color="auto" w:fill="F3F6F9"/>
            <w:tcMar>
              <w:top w:w="90" w:type="dxa"/>
              <w:left w:w="100" w:type="dxa"/>
              <w:bottom w:w="90" w:type="dxa"/>
              <w:right w:w="100" w:type="dxa"/>
            </w:tcMar>
            <w:vAlign w:val="center"/>
          </w:tcPr>
          <w:p w14:paraId="318A4B5B" w14:textId="77777777" w:rsidR="006D4B5C" w:rsidRDefault="00000000">
            <w:pPr>
              <w:spacing w:after="40"/>
            </w:pPr>
            <w:r>
              <w:rPr>
                <w:color w:val="000000"/>
                <w:sz w:val="21"/>
              </w:rPr>
              <w:t>Broad “mixed” construct overlaps with motivation, personality and leadership behaviour.</w:t>
            </w:r>
          </w:p>
        </w:tc>
      </w:tr>
      <w:tr w:rsidR="006D4B5C" w14:paraId="015829F5" w14:textId="77777777">
        <w:trPr>
          <w:cantSplit/>
          <w:jc w:val="center"/>
        </w:trPr>
        <w:tc>
          <w:tcPr>
            <w:tcW w:w="1944" w:type="dxa"/>
            <w:tcMar>
              <w:top w:w="90" w:type="dxa"/>
              <w:left w:w="100" w:type="dxa"/>
              <w:bottom w:w="90" w:type="dxa"/>
              <w:right w:w="100" w:type="dxa"/>
            </w:tcMar>
            <w:vAlign w:val="center"/>
          </w:tcPr>
          <w:p w14:paraId="52367140" w14:textId="77777777" w:rsidR="006D4B5C" w:rsidRDefault="00000000">
            <w:pPr>
              <w:spacing w:after="40"/>
            </w:pPr>
            <w:r>
              <w:rPr>
                <w:color w:val="000000"/>
                <w:sz w:val="21"/>
              </w:rPr>
              <w:t>Bar-On ESI model</w:t>
            </w:r>
          </w:p>
        </w:tc>
        <w:tc>
          <w:tcPr>
            <w:tcW w:w="2664" w:type="dxa"/>
            <w:tcMar>
              <w:top w:w="90" w:type="dxa"/>
              <w:left w:w="100" w:type="dxa"/>
              <w:bottom w:w="90" w:type="dxa"/>
              <w:right w:w="100" w:type="dxa"/>
            </w:tcMar>
            <w:vAlign w:val="center"/>
          </w:tcPr>
          <w:p w14:paraId="0DA38519" w14:textId="77777777" w:rsidR="006D4B5C" w:rsidRDefault="00000000">
            <w:pPr>
              <w:spacing w:after="40"/>
            </w:pPr>
            <w:r>
              <w:rPr>
                <w:color w:val="000000"/>
                <w:sz w:val="21"/>
              </w:rPr>
              <w:t>Intrapersonal, interpersonal, adaptability, stress management and general mood domains.</w:t>
            </w:r>
          </w:p>
        </w:tc>
        <w:tc>
          <w:tcPr>
            <w:tcW w:w="2736" w:type="dxa"/>
            <w:tcMar>
              <w:top w:w="90" w:type="dxa"/>
              <w:left w:w="100" w:type="dxa"/>
              <w:bottom w:w="90" w:type="dxa"/>
              <w:right w:w="100" w:type="dxa"/>
            </w:tcMar>
            <w:vAlign w:val="center"/>
          </w:tcPr>
          <w:p w14:paraId="5535CDF9" w14:textId="77777777" w:rsidR="006D4B5C" w:rsidRDefault="00000000">
            <w:pPr>
              <w:spacing w:after="40"/>
            </w:pPr>
            <w:r>
              <w:rPr>
                <w:color w:val="000000"/>
                <w:sz w:val="21"/>
              </w:rPr>
              <w:t>Useful for resilience, well-being and adaptation to organisational change.</w:t>
            </w:r>
          </w:p>
        </w:tc>
        <w:tc>
          <w:tcPr>
            <w:tcW w:w="2736" w:type="dxa"/>
            <w:tcMar>
              <w:top w:w="90" w:type="dxa"/>
              <w:left w:w="100" w:type="dxa"/>
              <w:bottom w:w="90" w:type="dxa"/>
              <w:right w:w="100" w:type="dxa"/>
            </w:tcMar>
            <w:vAlign w:val="center"/>
          </w:tcPr>
          <w:p w14:paraId="0C2BA4A6" w14:textId="77777777" w:rsidR="006D4B5C" w:rsidRDefault="00000000">
            <w:pPr>
              <w:spacing w:after="40"/>
            </w:pPr>
            <w:r>
              <w:rPr>
                <w:color w:val="000000"/>
                <w:sz w:val="21"/>
              </w:rPr>
              <w:t>Heavy reliance on self-report and overlap with personality or mental-health constructs.</w:t>
            </w:r>
          </w:p>
        </w:tc>
      </w:tr>
    </w:tbl>
    <w:p w14:paraId="2E4E5194" w14:textId="77777777" w:rsidR="006D4B5C" w:rsidRDefault="00000000">
      <w:pPr>
        <w:pStyle w:val="Heading2"/>
      </w:pPr>
      <w:bookmarkStart w:id="4" w:name="_Toc234765461"/>
      <w:r>
        <w:rPr>
          <w:sz w:val="22"/>
        </w:rPr>
        <w:t>2.2 Self-awareness, mindfulness and performance</w:t>
      </w:r>
      <w:bookmarkEnd w:id="4"/>
    </w:p>
    <w:p w14:paraId="0D9C6FBD" w14:textId="77777777" w:rsidR="006D4B5C" w:rsidRDefault="00000000">
      <w:pPr>
        <w:jc w:val="both"/>
      </w:pPr>
      <w:r>
        <w:t>Self-awareness allows employees to identify emotions, triggers, strengths and limits before these shape conduct. In practice, an employee preparing for a difficult meeting can name the emotion being experienced, distinguish evidence from interpretation and notice whether fatigue, status anxiety or previous conflict is influencing judgement. This creates a choice point rather than an automatic reaction. Mindfulness supports this process by training present-moment attention and a less judgemental stance toward internal experience (Ashkanasy and Kay, 2023). A brief pause, breathing exercise or written “facts–feelings–assumptions” check can improve attentional control without requiring employees to suppress emotion.</w:t>
      </w:r>
    </w:p>
    <w:p w14:paraId="457763E3" w14:textId="77777777" w:rsidR="006D4B5C" w:rsidRDefault="00000000">
      <w:pPr>
        <w:jc w:val="both"/>
      </w:pPr>
      <w:r>
        <w:lastRenderedPageBreak/>
        <w:t>Performance benefits arise when awareness is connected to role behaviour. A customer-service employee who recognises rising frustration can adjust tone before damaging the interaction; a project manager who notices excessive optimism can seek disconfirming evidence before approving a schedule. Reflective logs, post-meeting reviews and behavioural feedback can develop this capability. Nevertheless, introspection is fallible. Self-ratings can be inflated and culturally shaped, so development should combine reflection with 360-degree evidence and observable outcomes.</w:t>
      </w:r>
    </w:p>
    <w:p w14:paraId="103FE2D5" w14:textId="77777777" w:rsidR="006D4B5C" w:rsidRDefault="00000000">
      <w:pPr>
        <w:pStyle w:val="Heading2"/>
      </w:pPr>
      <w:bookmarkStart w:id="5" w:name="_Toc234765462"/>
      <w:r>
        <w:rPr>
          <w:sz w:val="22"/>
        </w:rPr>
        <w:t>2.3 Self-management, well-being and decision-making</w:t>
      </w:r>
      <w:bookmarkEnd w:id="5"/>
    </w:p>
    <w:p w14:paraId="7DEDBBA0" w14:textId="77777777" w:rsidR="006D4B5C" w:rsidRDefault="00000000">
      <w:pPr>
        <w:jc w:val="both"/>
      </w:pPr>
      <w:r>
        <w:t>Self-management involves regulating attention, impulse and expression so that emotion informs rather than controls action. Reappraisal, deliberate pausing and solution-focused self-talk can help employees remain constructive under pressure. Bar-On’s emphasis on stress tolerance and adaptability is especially relevant during restructuring, technological change and high workloads. Appropriate regulation can reduce emotional contagion, protect concentration and support recovery; chronic suppression, by contrast, can increase strain and make communication appear inauthentic.</w:t>
      </w:r>
    </w:p>
    <w:p w14:paraId="2443D673" w14:textId="77777777" w:rsidR="006D4B5C" w:rsidRDefault="00000000">
      <w:pPr>
        <w:jc w:val="both"/>
      </w:pPr>
      <w:r>
        <w:t>Mindfulness-based workplace interventions show small-to-moderate improvements in stress, well-being and related outcomes, but findings are heterogeneous and many studies have methodological limitations (Vonderlin et al., 2020; Michaelsen et al., 2023). Mindfulness is therefore a support, not a substitute for manageable workloads, autonomy, fair treatment or access to professional help. It should be voluntary and delivered with privacy safeguards.</w:t>
      </w:r>
    </w:p>
    <w:p w14:paraId="5986ADDA" w14:textId="77777777" w:rsidR="006D4B5C" w:rsidRDefault="00000000">
      <w:pPr>
        <w:jc w:val="both"/>
      </w:pPr>
      <w:r>
        <w:t>Emotion also carries decision-relevant information. Concern may signal risk, enthusiasm may support creativity and empathy may reveal stakeholder consequences. Yet mood can distort risk perception, anchoring and confidence. A practical decision protocol is to identify the current emotion, record decision criteria, seek contrary data and delay irreversible choices when arousal is high. This integrates emotional information with analytic discipline. Notably, brief mindfulness can reduce motivation for routine tasks without reducing performance, illustrating why interventions must be matched to the work rather than presented as universally beneficial (Hafenbrack and Vohs, 2018).</w:t>
      </w:r>
    </w:p>
    <w:p w14:paraId="1EC86741" w14:textId="77777777" w:rsidR="006D4B5C" w:rsidRDefault="00000000">
      <w:pPr>
        <w:pStyle w:val="Heading2"/>
      </w:pPr>
      <w:bookmarkStart w:id="6" w:name="_Toc234765463"/>
      <w:r>
        <w:rPr>
          <w:sz w:val="22"/>
        </w:rPr>
        <w:t>2.4 Social awareness, communication and inclusive leadership</w:t>
      </w:r>
      <w:bookmarkEnd w:id="6"/>
    </w:p>
    <w:p w14:paraId="092DE10A" w14:textId="77777777" w:rsidR="006D4B5C" w:rsidRDefault="00000000">
      <w:pPr>
        <w:jc w:val="both"/>
      </w:pPr>
      <w:r>
        <w:t xml:space="preserve">Social awareness combines empathy with accurate interpretation of context. Employees apply it by listening for meaning, observing non-verbal cues, checking assumptions and adapting communication to the recipient. For example, a technically correct message may still fail if it ignores anxiety about job security or uses a channel that prevents questions. Emotionally intelligent communication therefore requires clarity, acknowledgement and verification: </w:t>
      </w:r>
      <w:r>
        <w:lastRenderedPageBreak/>
        <w:t>summarising what has been heard, asking rather than inferring, and explaining the rationale for decisions.</w:t>
      </w:r>
    </w:p>
    <w:p w14:paraId="401EE77E" w14:textId="77777777" w:rsidR="006D4B5C" w:rsidRDefault="00000000">
      <w:pPr>
        <w:jc w:val="both"/>
      </w:pPr>
      <w:r>
        <w:t>For leaders, empathy must be balanced with fairness and boundaries. Inclusive leadership creates both belonging and recognition of individual uniqueness (Randel et al., 2018). A leader can invite dissent, rotate airtime, notice whose contributions are ignored and respond non-defensively to bad news. Mindful listening helps the leader stay present rather than preparing a rebuttal. These behaviours enhance voice and trust, but empathy alone is insufficient; employees judge inclusion through resource allocation, promotion, workload and follow-through as well as interpersonal warmth.</w:t>
      </w:r>
    </w:p>
    <w:p w14:paraId="7CA3A2B6" w14:textId="77777777" w:rsidR="006D4B5C" w:rsidRDefault="00000000">
      <w:pPr>
        <w:pStyle w:val="Heading2"/>
      </w:pPr>
      <w:bookmarkStart w:id="7" w:name="_Toc234765464"/>
      <w:r>
        <w:rPr>
          <w:sz w:val="22"/>
        </w:rPr>
        <w:t>2.5 Relationship management, conflict and psychological safety</w:t>
      </w:r>
      <w:bookmarkEnd w:id="7"/>
    </w:p>
    <w:p w14:paraId="2CA62D6F" w14:textId="77777777" w:rsidR="006D4B5C" w:rsidRDefault="00000000">
      <w:pPr>
        <w:jc w:val="both"/>
      </w:pPr>
      <w:r>
        <w:t>Relationship management converts awareness into coordinated action. In conflict, emotionally intelligent employees distinguish task disagreement from personal threat, regulate escalation, describe behaviour without attributing motive and identify shared interests. A useful sequence is to pause, restate each perspective, specify the impact, agree the issue to be solved and document next steps. This preserves productive task conflict while reducing relationship conflict. The wider literature links EI with favourable work attitudes and leadership or team outcomes, although effects vary by measure and job context (Miao, Humphrey and Qian, 2017; Coronado-Maldonado and Benítez-Márquez, 2023).</w:t>
      </w:r>
    </w:p>
    <w:p w14:paraId="7E29C4FA" w14:textId="77777777" w:rsidR="006D4B5C" w:rsidRDefault="00000000">
      <w:pPr>
        <w:jc w:val="both"/>
      </w:pPr>
      <w:r>
        <w:t>These practices also support psychological safety: a shared belief that interpersonal risk-taking, such as admitting an error or challenging a plan, will not be punished. Leaders strengthen safety when they frame uncertainty honestly, ask for concerns, thank employees who speak up and respond consistently after mistakes (Edmondson and Bransby, 2023). Mindful meeting routines—an opening check-in, uninterrupted listening and a short reflection before closure—can reduce reactive exchanges. However, psychological safety is collective and systemic. It will not survive retaliation, inconsistent discipline or ignored concerns, regardless of individual EI.</w:t>
      </w:r>
    </w:p>
    <w:p w14:paraId="237699DE" w14:textId="77777777" w:rsidR="006D4B5C" w:rsidRDefault="00000000">
      <w:pPr>
        <w:pStyle w:val="Heading2"/>
      </w:pPr>
      <w:bookmarkStart w:id="8" w:name="_Toc234765465"/>
      <w:r>
        <w:rPr>
          <w:sz w:val="22"/>
        </w:rPr>
        <w:t>2.6 Critical limitations and organisational application</w:t>
      </w:r>
      <w:bookmarkEnd w:id="8"/>
    </w:p>
    <w:p w14:paraId="17F9949F" w14:textId="77777777" w:rsidR="006D4B5C" w:rsidRDefault="00000000">
      <w:pPr>
        <w:jc w:val="both"/>
      </w:pPr>
      <w:r>
        <w:t>EI should not be romanticised. Its predictive value is often modest, measurement remains contested and emotional display rules can transfer the burden of dysfunction onto employees. Training evidence indicates that EI can improve, but gains are more credible when programmes include practice, feedback and transfer to work rather than a one-off workshop (Mattingly and Kraiger, 2019). There is also a “dark side”: emotion-regulation knowledge can facilitate prosocial conduct or interpersonal deviance, depending on motives and context (Côté et al., 2011). Ethical standards, transparent decisions and consequences for manipulation are therefore essential.</w:t>
      </w:r>
    </w:p>
    <w:p w14:paraId="5CC7495D" w14:textId="77777777" w:rsidR="006D4B5C" w:rsidRDefault="00000000">
      <w:pPr>
        <w:jc w:val="both"/>
      </w:pPr>
      <w:r>
        <w:lastRenderedPageBreak/>
        <w:t>Cultural and neurodiversity considerations are equally important. Eye contact, emotional expressiveness, silence and directness do not carry identical meanings across people or settings. Managers should assess whether communication achieves clarity, respect and coordination rather than rewarding one preferred style. Development data must remain confidential, and accommodations should be available so that EI programmes do not penalise employees whose expression differs from dominant norms.</w:t>
      </w:r>
    </w:p>
    <w:p w14:paraId="64565810" w14:textId="77777777" w:rsidR="006D4B5C" w:rsidRDefault="00000000">
      <w:pPr>
        <w:jc w:val="both"/>
      </w:pPr>
      <w:r>
        <w:t>For the organisation, EI development should begin with role analysis and multiple sources of evidence. Employees should practise realistic scenarios—feedback, customer escalation, hybrid meetings and disagreement—then receive coaching on observable behaviour. Evaluation should track communication quality, conflict recurrence, speaking-up, well-being and relevant performance indicators. This approach treats EI as a learnable capability embedded in work systems, not as a personality label or universal explanation for performance.</w:t>
      </w:r>
    </w:p>
    <w:p w14:paraId="5F7D5180" w14:textId="77777777" w:rsidR="006D4B5C" w:rsidRDefault="00000000">
      <w:pPr>
        <w:pStyle w:val="Heading1"/>
      </w:pPr>
      <w:bookmarkStart w:id="9" w:name="_Toc234765466"/>
      <w:r>
        <w:rPr>
          <w:sz w:val="22"/>
        </w:rPr>
        <w:t>3. Task 2: Managing a Multigenerational Workforce</w:t>
      </w:r>
      <w:bookmarkEnd w:id="9"/>
    </w:p>
    <w:p w14:paraId="65AC86B8" w14:textId="77777777" w:rsidR="006D4B5C" w:rsidRDefault="00000000">
      <w:pPr>
        <w:pStyle w:val="Heading2"/>
      </w:pPr>
      <w:bookmarkStart w:id="10" w:name="_Toc234765467"/>
      <w:r>
        <w:rPr>
          <w:sz w:val="22"/>
        </w:rPr>
        <w:t>3.1 A critical generational lens</w:t>
      </w:r>
      <w:bookmarkEnd w:id="10"/>
    </w:p>
    <w:p w14:paraId="26B93E47" w14:textId="77777777" w:rsidR="006D4B5C" w:rsidRDefault="00000000">
      <w:pPr>
        <w:jc w:val="both"/>
      </w:pPr>
      <w:r>
        <w:t>Generation X is commonly defined as people born approximately 1965–1980, Millennials as 1981–1996 and Generation Z as 1997 onward, although boundaries vary. Such categories can summarise different historical exposures, but they are poor substitutes for individual assessment. Cross-sectional studies often confuse cohort with age and period effects. Rudolph et al. (2021) argue that popular generational claims are frequently unsupported, while Schröder (2024) finds that work motivation is better explained by age and historical period than by generation. Managers should therefore use the profiles below as hypotheses to test through local data and conversation, not as selection rules.</w:t>
      </w:r>
    </w:p>
    <w:p w14:paraId="2B96DFD1" w14:textId="77777777" w:rsidR="006D4B5C" w:rsidRDefault="00000000">
      <w:pPr>
        <w:pStyle w:val="TableCaption"/>
      </w:pPr>
      <w:r>
        <w:t>Table 2. Generational profiles as testable workplace hypotheses</w:t>
      </w:r>
    </w:p>
    <w:tbl>
      <w:tblPr>
        <w:tblW w:w="0" w:type="auto"/>
        <w:jc w:val="center"/>
        <w:tblLayout w:type="fixed"/>
        <w:tblLook w:val="04A0" w:firstRow="1" w:lastRow="0" w:firstColumn="1" w:lastColumn="0" w:noHBand="0" w:noVBand="1"/>
      </w:tblPr>
      <w:tblGrid>
        <w:gridCol w:w="1944"/>
        <w:gridCol w:w="3816"/>
        <w:gridCol w:w="4320"/>
      </w:tblGrid>
      <w:tr w:rsidR="006D4B5C" w14:paraId="0E025194" w14:textId="77777777">
        <w:trPr>
          <w:cantSplit/>
          <w:tblHeader/>
          <w:jc w:val="center"/>
        </w:trPr>
        <w:tc>
          <w:tcPr>
            <w:tcW w:w="1944" w:type="dxa"/>
            <w:shd w:val="clear" w:color="auto" w:fill="17365D"/>
            <w:tcMar>
              <w:top w:w="90" w:type="dxa"/>
              <w:left w:w="100" w:type="dxa"/>
              <w:bottom w:w="90" w:type="dxa"/>
              <w:right w:w="100" w:type="dxa"/>
            </w:tcMar>
            <w:vAlign w:val="center"/>
          </w:tcPr>
          <w:p w14:paraId="56152D57" w14:textId="77777777" w:rsidR="006D4B5C" w:rsidRDefault="00000000">
            <w:pPr>
              <w:spacing w:after="40"/>
            </w:pPr>
            <w:r>
              <w:rPr>
                <w:b/>
                <w:color w:val="FFFFFF"/>
                <w:sz w:val="21"/>
              </w:rPr>
              <w:t>Group</w:t>
            </w:r>
          </w:p>
        </w:tc>
        <w:tc>
          <w:tcPr>
            <w:tcW w:w="3816" w:type="dxa"/>
            <w:shd w:val="clear" w:color="auto" w:fill="17365D"/>
            <w:tcMar>
              <w:top w:w="90" w:type="dxa"/>
              <w:left w:w="100" w:type="dxa"/>
              <w:bottom w:w="90" w:type="dxa"/>
              <w:right w:w="100" w:type="dxa"/>
            </w:tcMar>
            <w:vAlign w:val="center"/>
          </w:tcPr>
          <w:p w14:paraId="05794956" w14:textId="77777777" w:rsidR="006D4B5C" w:rsidRDefault="00000000">
            <w:pPr>
              <w:spacing w:after="40"/>
            </w:pPr>
            <w:r>
              <w:rPr>
                <w:b/>
                <w:color w:val="FFFFFF"/>
                <w:sz w:val="21"/>
              </w:rPr>
              <w:t>Possible tendencies and expectations</w:t>
            </w:r>
          </w:p>
        </w:tc>
        <w:tc>
          <w:tcPr>
            <w:tcW w:w="4320" w:type="dxa"/>
            <w:shd w:val="clear" w:color="auto" w:fill="17365D"/>
            <w:tcMar>
              <w:top w:w="90" w:type="dxa"/>
              <w:left w:w="100" w:type="dxa"/>
              <w:bottom w:w="90" w:type="dxa"/>
              <w:right w:w="100" w:type="dxa"/>
            </w:tcMar>
            <w:vAlign w:val="center"/>
          </w:tcPr>
          <w:p w14:paraId="18FF1CD8" w14:textId="77777777" w:rsidR="006D4B5C" w:rsidRDefault="00000000">
            <w:pPr>
              <w:spacing w:after="40"/>
            </w:pPr>
            <w:r>
              <w:rPr>
                <w:b/>
                <w:color w:val="FFFFFF"/>
                <w:sz w:val="21"/>
              </w:rPr>
              <w:t>Evidence-informed management response</w:t>
            </w:r>
          </w:p>
        </w:tc>
      </w:tr>
      <w:tr w:rsidR="006D4B5C" w14:paraId="26F1A9F2" w14:textId="77777777">
        <w:trPr>
          <w:cantSplit/>
          <w:jc w:val="center"/>
        </w:trPr>
        <w:tc>
          <w:tcPr>
            <w:tcW w:w="1944" w:type="dxa"/>
            <w:tcMar>
              <w:top w:w="90" w:type="dxa"/>
              <w:left w:w="100" w:type="dxa"/>
              <w:bottom w:w="90" w:type="dxa"/>
              <w:right w:w="100" w:type="dxa"/>
            </w:tcMar>
            <w:vAlign w:val="center"/>
          </w:tcPr>
          <w:p w14:paraId="0A005CB5" w14:textId="77777777" w:rsidR="006D4B5C" w:rsidRDefault="00000000">
            <w:pPr>
              <w:spacing w:after="40"/>
            </w:pPr>
            <w:r>
              <w:rPr>
                <w:color w:val="000000"/>
                <w:sz w:val="21"/>
              </w:rPr>
              <w:t>Generation X</w:t>
            </w:r>
          </w:p>
        </w:tc>
        <w:tc>
          <w:tcPr>
            <w:tcW w:w="3816" w:type="dxa"/>
            <w:tcMar>
              <w:top w:w="90" w:type="dxa"/>
              <w:left w:w="100" w:type="dxa"/>
              <w:bottom w:w="90" w:type="dxa"/>
              <w:right w:w="100" w:type="dxa"/>
            </w:tcMar>
            <w:vAlign w:val="center"/>
          </w:tcPr>
          <w:p w14:paraId="4AF1393C" w14:textId="77777777" w:rsidR="006D4B5C" w:rsidRDefault="00000000">
            <w:pPr>
              <w:spacing w:after="40"/>
            </w:pPr>
            <w:r>
              <w:rPr>
                <w:color w:val="000000"/>
                <w:sz w:val="21"/>
              </w:rPr>
              <w:t>Autonomy, pragmatism, direct communication, accumulated expertise and experience of technological transition.</w:t>
            </w:r>
          </w:p>
        </w:tc>
        <w:tc>
          <w:tcPr>
            <w:tcW w:w="4320" w:type="dxa"/>
            <w:tcMar>
              <w:top w:w="90" w:type="dxa"/>
              <w:left w:w="100" w:type="dxa"/>
              <w:bottom w:w="90" w:type="dxa"/>
              <w:right w:w="100" w:type="dxa"/>
            </w:tcMar>
            <w:vAlign w:val="center"/>
          </w:tcPr>
          <w:p w14:paraId="232D9674" w14:textId="77777777" w:rsidR="006D4B5C" w:rsidRDefault="00000000">
            <w:pPr>
              <w:spacing w:after="40"/>
            </w:pPr>
            <w:r>
              <w:rPr>
                <w:color w:val="000000"/>
                <w:sz w:val="21"/>
              </w:rPr>
              <w:t>Respect expertise; offer current reskilling, flexibility and knowledge-sharing roles; avoid assumptions about digital ability or change resistance.</w:t>
            </w:r>
          </w:p>
        </w:tc>
      </w:tr>
      <w:tr w:rsidR="006D4B5C" w14:paraId="67ED18A6" w14:textId="77777777">
        <w:trPr>
          <w:cantSplit/>
          <w:jc w:val="center"/>
        </w:trPr>
        <w:tc>
          <w:tcPr>
            <w:tcW w:w="1944" w:type="dxa"/>
            <w:shd w:val="clear" w:color="auto" w:fill="F3F6F9"/>
            <w:tcMar>
              <w:top w:w="90" w:type="dxa"/>
              <w:left w:w="100" w:type="dxa"/>
              <w:bottom w:w="90" w:type="dxa"/>
              <w:right w:w="100" w:type="dxa"/>
            </w:tcMar>
            <w:vAlign w:val="center"/>
          </w:tcPr>
          <w:p w14:paraId="20117F89" w14:textId="77777777" w:rsidR="006D4B5C" w:rsidRDefault="00000000">
            <w:pPr>
              <w:spacing w:after="40"/>
            </w:pPr>
            <w:r>
              <w:rPr>
                <w:color w:val="000000"/>
                <w:sz w:val="21"/>
              </w:rPr>
              <w:t>Millennials / Gen Y</w:t>
            </w:r>
          </w:p>
        </w:tc>
        <w:tc>
          <w:tcPr>
            <w:tcW w:w="3816" w:type="dxa"/>
            <w:shd w:val="clear" w:color="auto" w:fill="F3F6F9"/>
            <w:tcMar>
              <w:top w:w="90" w:type="dxa"/>
              <w:left w:w="100" w:type="dxa"/>
              <w:bottom w:w="90" w:type="dxa"/>
              <w:right w:w="100" w:type="dxa"/>
            </w:tcMar>
            <w:vAlign w:val="center"/>
          </w:tcPr>
          <w:p w14:paraId="5A565D58" w14:textId="77777777" w:rsidR="006D4B5C" w:rsidRDefault="00000000">
            <w:pPr>
              <w:spacing w:after="40"/>
            </w:pPr>
            <w:r>
              <w:rPr>
                <w:color w:val="000000"/>
                <w:sz w:val="21"/>
              </w:rPr>
              <w:t>Collaboration, purposeful work, regular feedback, flexibility and development; many are now mid-career managers or carers.</w:t>
            </w:r>
          </w:p>
        </w:tc>
        <w:tc>
          <w:tcPr>
            <w:tcW w:w="4320" w:type="dxa"/>
            <w:shd w:val="clear" w:color="auto" w:fill="F3F6F9"/>
            <w:tcMar>
              <w:top w:w="90" w:type="dxa"/>
              <w:left w:w="100" w:type="dxa"/>
              <w:bottom w:w="90" w:type="dxa"/>
              <w:right w:w="100" w:type="dxa"/>
            </w:tcMar>
            <w:vAlign w:val="center"/>
          </w:tcPr>
          <w:p w14:paraId="3E47EA1C" w14:textId="77777777" w:rsidR="006D4B5C" w:rsidRDefault="00000000">
            <w:pPr>
              <w:spacing w:after="40"/>
            </w:pPr>
            <w:r>
              <w:rPr>
                <w:color w:val="000000"/>
                <w:sz w:val="21"/>
              </w:rPr>
              <w:t>Provide transparent pathways, coaching and equitable flexibility; recognise leadership responsibility and varied life-stage constraints.</w:t>
            </w:r>
          </w:p>
        </w:tc>
      </w:tr>
      <w:tr w:rsidR="006D4B5C" w14:paraId="10976A8C" w14:textId="77777777">
        <w:trPr>
          <w:cantSplit/>
          <w:jc w:val="center"/>
        </w:trPr>
        <w:tc>
          <w:tcPr>
            <w:tcW w:w="1944" w:type="dxa"/>
            <w:tcMar>
              <w:top w:w="90" w:type="dxa"/>
              <w:left w:w="100" w:type="dxa"/>
              <w:bottom w:w="90" w:type="dxa"/>
              <w:right w:w="100" w:type="dxa"/>
            </w:tcMar>
            <w:vAlign w:val="center"/>
          </w:tcPr>
          <w:p w14:paraId="0DD78867" w14:textId="77777777" w:rsidR="006D4B5C" w:rsidRDefault="00000000">
            <w:pPr>
              <w:spacing w:after="40"/>
            </w:pPr>
            <w:r>
              <w:rPr>
                <w:color w:val="000000"/>
                <w:sz w:val="21"/>
              </w:rPr>
              <w:lastRenderedPageBreak/>
              <w:t>Generation Z</w:t>
            </w:r>
          </w:p>
        </w:tc>
        <w:tc>
          <w:tcPr>
            <w:tcW w:w="3816" w:type="dxa"/>
            <w:tcMar>
              <w:top w:w="90" w:type="dxa"/>
              <w:left w:w="100" w:type="dxa"/>
              <w:bottom w:w="90" w:type="dxa"/>
              <w:right w:w="100" w:type="dxa"/>
            </w:tcMar>
            <w:vAlign w:val="center"/>
          </w:tcPr>
          <w:p w14:paraId="209880B5" w14:textId="77777777" w:rsidR="006D4B5C" w:rsidRDefault="00000000">
            <w:pPr>
              <w:spacing w:after="40"/>
            </w:pPr>
            <w:r>
              <w:rPr>
                <w:color w:val="000000"/>
                <w:sz w:val="21"/>
              </w:rPr>
              <w:t>Transparency, inclusion, well-being, frequent actionable feedback and extensive smartphone or AI exposure.</w:t>
            </w:r>
          </w:p>
        </w:tc>
        <w:tc>
          <w:tcPr>
            <w:tcW w:w="4320" w:type="dxa"/>
            <w:tcMar>
              <w:top w:w="90" w:type="dxa"/>
              <w:left w:w="100" w:type="dxa"/>
              <w:bottom w:w="90" w:type="dxa"/>
              <w:right w:w="100" w:type="dxa"/>
            </w:tcMar>
            <w:vAlign w:val="center"/>
          </w:tcPr>
          <w:p w14:paraId="158E5674" w14:textId="77777777" w:rsidR="006D4B5C" w:rsidRDefault="00000000">
            <w:pPr>
              <w:spacing w:after="40"/>
            </w:pPr>
            <w:r>
              <w:rPr>
                <w:color w:val="000000"/>
                <w:sz w:val="21"/>
              </w:rPr>
              <w:t>Use structured onboarding, clear expectations and human-skill development; strengthen digital judgement without assuming universal mastery.</w:t>
            </w:r>
          </w:p>
        </w:tc>
      </w:tr>
    </w:tbl>
    <w:p w14:paraId="1BDF3E80" w14:textId="77777777" w:rsidR="006D4B5C" w:rsidRDefault="00000000">
      <w:pPr>
        <w:spacing w:after="100"/>
      </w:pPr>
      <w:r>
        <w:rPr>
          <w:b/>
          <w:color w:val="17365D"/>
          <w:sz w:val="19"/>
        </w:rPr>
        <w:t xml:space="preserve">Note: </w:t>
      </w:r>
      <w:r>
        <w:rPr>
          <w:i/>
          <w:color w:val="666666"/>
          <w:sz w:val="19"/>
        </w:rPr>
        <w:t>These are prompts for inquiry, not diagnostic categories; they should be validated at individual, team and organisational levels (Rudolph et al., 2021; Schröder, 2024).</w:t>
      </w:r>
    </w:p>
    <w:p w14:paraId="5E6D6C78" w14:textId="77777777" w:rsidR="006D4B5C" w:rsidRDefault="00000000">
      <w:pPr>
        <w:pStyle w:val="Heading2"/>
      </w:pPr>
      <w:bookmarkStart w:id="11" w:name="_Toc234765468"/>
      <w:r>
        <w:rPr>
          <w:sz w:val="22"/>
        </w:rPr>
        <w:t>3.2 Characteristics and expectations</w:t>
      </w:r>
      <w:bookmarkEnd w:id="11"/>
    </w:p>
    <w:p w14:paraId="26E72BBC" w14:textId="77777777" w:rsidR="006D4B5C" w:rsidRDefault="00000000">
      <w:pPr>
        <w:jc w:val="both"/>
      </w:pPr>
      <w:r>
        <w:t>Generation X is often associated with autonomy, pragmatism, direct communication and experience of organisational and technological transition. Many members now hold specialist or leadership roles and may value discretion, flexibility, recognition of expertise and credible retirement or later-career options. The risk is assuming resistance to change or overlooking development because of age.</w:t>
      </w:r>
    </w:p>
    <w:p w14:paraId="0D85939B" w14:textId="77777777" w:rsidR="006D4B5C" w:rsidRDefault="00000000">
      <w:pPr>
        <w:jc w:val="both"/>
      </w:pPr>
      <w:r>
        <w:t>Millennials are frequently associated with collaboration, purposeful work, regular feedback, flexibility and digital confidence. Many are now mid-career employees or managers with caring responsibilities and expectations for progression. Labelling them “entitled” obscures variation and may hide legitimate concerns about workload, housing, career mobility or stalled advancement.</w:t>
      </w:r>
    </w:p>
    <w:p w14:paraId="587C5FA6" w14:textId="77777777" w:rsidR="006D4B5C" w:rsidRDefault="00000000">
      <w:pPr>
        <w:jc w:val="both"/>
      </w:pPr>
      <w:r>
        <w:t>Generation Z entered employment amid economic instability, remote or hybrid work and rapid adoption of smartphones and generative AI. Research identifies expectations for transparency, inclusion, well-being, frequent actionable feedback and concise multichannel communication, while also showing substantial diversity within the cohort (Janssen and Carradini, 2021; Leslie et al., 2021). Exposure to technology should not be equated with universal digital, critical-thinking or interpersonal competence. Studies reporting cohort differences in motivation remain context-specific rather than universal (Mahmoud et al., 2021). Recent global survey evidence suggests that younger workers increasingly prioritise stability, skills and well-being over rapid promotion, while extensive AI use coexists with digital fatigue (Deloitte, 2026).</w:t>
      </w:r>
    </w:p>
    <w:p w14:paraId="366E41F1" w14:textId="77777777" w:rsidR="006D4B5C" w:rsidRDefault="00000000">
      <w:pPr>
        <w:pStyle w:val="Heading2"/>
      </w:pPr>
      <w:bookmarkStart w:id="12" w:name="_Toc234765469"/>
      <w:r>
        <w:rPr>
          <w:sz w:val="22"/>
        </w:rPr>
        <w:t>3.3 Effects on organisational effectiveness</w:t>
      </w:r>
      <w:bookmarkEnd w:id="12"/>
    </w:p>
    <w:p w14:paraId="3EE47DD6" w14:textId="77777777" w:rsidR="006D4B5C" w:rsidRDefault="00000000">
      <w:pPr>
        <w:jc w:val="both"/>
      </w:pPr>
      <w:r>
        <w:t xml:space="preserve">Age diversity can improve effectiveness by combining tacit organisational knowledge, professional networks and contextual judgement with newer technical skills, market insight and experimentation. Mixed-age teams can strengthen problem-solving and continuity when knowledge is deliberately exchanged. They can also create friction. A concise instant message may be read as efficient by one employee and dismissive by another; frequent feedback may be experienced as </w:t>
      </w:r>
      <w:r>
        <w:lastRenderedPageBreak/>
        <w:t>support or micromanagement; preferences for hierarchy, flexibility and meeting etiquette may differ.</w:t>
      </w:r>
    </w:p>
    <w:p w14:paraId="5EBC58ED" w14:textId="77777777" w:rsidR="006D4B5C" w:rsidRDefault="00000000">
      <w:pPr>
        <w:jc w:val="both"/>
      </w:pPr>
      <w:r>
        <w:t>These tensions are not inherently generational. Role, personality, power, disability, culture and career stage interact with age. Organisational harm occurs when managers convert averages into stereotypes—for example, assuming older applicants lack digital ability or younger employees lack loyalty. This can damage selection validity, trust and legal compliance. Conversely, treating everyone identically can ignore genuine life-stage needs. The more productive principle is equitable flexibility: consistent standards, transparent decisions and reasonable choice in how outcomes are achieved.</w:t>
      </w:r>
    </w:p>
    <w:p w14:paraId="7AAC624C" w14:textId="77777777" w:rsidR="006D4B5C" w:rsidRDefault="00000000">
      <w:pPr>
        <w:pStyle w:val="Heading2"/>
      </w:pPr>
      <w:bookmarkStart w:id="13" w:name="_Toc234765470"/>
      <w:r>
        <w:rPr>
          <w:sz w:val="22"/>
        </w:rPr>
        <w:t>3.4 Emotionally intelligent and mindful recruitment</w:t>
      </w:r>
      <w:bookmarkEnd w:id="13"/>
    </w:p>
    <w:p w14:paraId="4243F485" w14:textId="77777777" w:rsidR="006D4B5C" w:rsidRDefault="00000000">
      <w:pPr>
        <w:jc w:val="both"/>
      </w:pPr>
      <w:r>
        <w:t>Recruitment should be skills-based and age-inclusive. Job advertisements should use neutral language, state essential capabilities, show diverse career stages and explain pay, flexibility, learning and performance expectations. Structured interviews with consistent questions and anchored scoring reduce the influence of “culture fit” impressions. Recruiters can use a mindful bias pause before decisions: identify the first impression, ask what evidence supports it, consider an alternative explanation and compare candidates against the same criteria. EI should be assessed through job-relevant behavioural scenarios, not broad self-report tests or assumptions based on age.</w:t>
      </w:r>
    </w:p>
    <w:p w14:paraId="44087659" w14:textId="77777777" w:rsidR="006D4B5C" w:rsidRDefault="00000000">
      <w:pPr>
        <w:jc w:val="both"/>
      </w:pPr>
      <w:r>
        <w:t>A realistic job preview is particularly important. Candidates across generations need accurate information about workload, technology, decision authority, development and hybrid-working norms. Providing several accessible communication channels broadens reach, but all applicants should receive equivalent information and opportunity. This aligns with a life-course approach to age inclusion rather than isolated benefits for one cohort (OECD, 2020).</w:t>
      </w:r>
    </w:p>
    <w:p w14:paraId="13B0FA9E" w14:textId="77777777" w:rsidR="006D4B5C" w:rsidRDefault="00000000">
      <w:pPr>
        <w:pStyle w:val="Heading2"/>
      </w:pPr>
      <w:bookmarkStart w:id="14" w:name="_Toc234765471"/>
      <w:r>
        <w:rPr>
          <w:sz w:val="22"/>
        </w:rPr>
        <w:t>3.5 Emotionally intelligent and mindful management and retention</w:t>
      </w:r>
      <w:bookmarkEnd w:id="14"/>
    </w:p>
    <w:p w14:paraId="078B416A" w14:textId="77777777" w:rsidR="006D4B5C" w:rsidRDefault="00000000">
      <w:pPr>
        <w:jc w:val="both"/>
      </w:pPr>
      <w:r>
        <w:t>Managers should replace generational guesswork with individual preference conversations. At onboarding and regular reviews, they can ask how the employee prefers to receive feedback, what enables concentration, which skills they want to build and what constraints affect work. Self-awareness helps managers notice affinity bias; self-regulation prevents defensiveness when expectations differ; empathy supports accurate listening; and relationship management turns differences into agreements.</w:t>
      </w:r>
    </w:p>
    <w:p w14:paraId="045933F6" w14:textId="77777777" w:rsidR="006D4B5C" w:rsidRDefault="00000000">
      <w:pPr>
        <w:jc w:val="both"/>
      </w:pPr>
      <w:r>
        <w:t xml:space="preserve">At team level, a communication charter can specify which channels are used for urgent, complex and reflective work, expected response times, meeting etiquette and how decisions are recorded. Regular developmental feedback should be brief, specific and two-way, with additional depth when required. Inclusive meeting practices—circulating material in advance, rotating facilitation, inviting </w:t>
      </w:r>
      <w:r>
        <w:lastRenderedPageBreak/>
        <w:t>written input and checking for unheard views—reduce status and age effects. Short mindfulness practices may be offered before high-conflict discussions, but participation should remain voluntary.</w:t>
      </w:r>
    </w:p>
    <w:p w14:paraId="6D2B1D89" w14:textId="77777777" w:rsidR="006D4B5C" w:rsidRDefault="00000000">
      <w:pPr>
        <w:jc w:val="both"/>
      </w:pPr>
      <w:r>
        <w:t>Reciprocal mentoring is stronger than a one-directional “older teaches younger” model. Employees can exchange institutional knowledge, stakeholder judgement, digital methods and emerging market insight while avoiding deficit assumptions. Cross-generational project pairs, after-action reviews and documented handovers protect continuity (OECD, 2024). Research on Millennials managing Generation Z highlights the importance of clear expectations and mutual adaptation rather than stereotype-based accommodation (Gabrielova and Buchko, 2021).</w:t>
      </w:r>
    </w:p>
    <w:p w14:paraId="2A190150" w14:textId="77777777" w:rsidR="006D4B5C" w:rsidRDefault="00000000">
      <w:pPr>
        <w:jc w:val="both"/>
      </w:pPr>
      <w:r>
        <w:t>Retention requires more than tailored communication. Employees across cohorts respond to fair pay, manageable work, competent leadership, learning and credible opportunity, although the preferred form may vary. The organisation should offer flexible benefits and working arrangements, lateral as well as vertical careers, continuous reskilling, recognition of expertise and routes for phased responsibility changes. Engagement, promotion, learning and turnover data should be reviewed by age and career stage to detect inequity, but individual decisions must remain evidence-based. EI and mindfulness can improve the quality of these conversations; they cannot compensate for inequitable rewards or broken career systems.</w:t>
      </w:r>
    </w:p>
    <w:p w14:paraId="1C542D4F" w14:textId="77777777" w:rsidR="006D4B5C" w:rsidRDefault="00000000">
      <w:pPr>
        <w:pStyle w:val="Heading1"/>
      </w:pPr>
      <w:bookmarkStart w:id="15" w:name="_Toc234765472"/>
      <w:r>
        <w:rPr>
          <w:sz w:val="22"/>
        </w:rPr>
        <w:t>4. Recommendations to the Senior Management Team</w:t>
      </w:r>
      <w:bookmarkEnd w:id="15"/>
    </w:p>
    <w:p w14:paraId="645B01F8" w14:textId="77777777" w:rsidR="006D4B5C" w:rsidRDefault="00000000">
      <w:pPr>
        <w:spacing w:after="100"/>
        <w:jc w:val="both"/>
      </w:pPr>
      <w:r>
        <w:rPr>
          <w:b/>
          <w:color w:val="17365D"/>
        </w:rPr>
        <w:t xml:space="preserve">1. Adopt an integrated EI framework. </w:t>
      </w:r>
      <w:r>
        <w:t>Use the Ability Model for emotion-related reasoning, Goleman’s competencies for observable behaviour and Bar-On’s domains for stress and adaptability. Do not use a single EI score for recruitment or promotion.</w:t>
      </w:r>
    </w:p>
    <w:p w14:paraId="126771DF" w14:textId="77777777" w:rsidR="006D4B5C" w:rsidRDefault="00000000">
      <w:pPr>
        <w:spacing w:after="100"/>
        <w:jc w:val="both"/>
      </w:pPr>
      <w:r>
        <w:rPr>
          <w:b/>
          <w:color w:val="17365D"/>
        </w:rPr>
        <w:t xml:space="preserve">2. Implement a six-month development cycle. </w:t>
      </w:r>
      <w:r>
        <w:t>Combine short learning modules with role-play, coaching, reflective practice and voluntary mindfulness. Require managers to demonstrate transfer through real feedback, conflict and decision scenarios.</w:t>
      </w:r>
    </w:p>
    <w:p w14:paraId="25882545" w14:textId="77777777" w:rsidR="006D4B5C" w:rsidRDefault="00000000">
      <w:pPr>
        <w:spacing w:after="100"/>
        <w:jc w:val="both"/>
      </w:pPr>
      <w:r>
        <w:rPr>
          <w:b/>
          <w:color w:val="17365D"/>
        </w:rPr>
        <w:t xml:space="preserve">3. Institutionalise psychological safety. </w:t>
      </w:r>
      <w:r>
        <w:t>Set standards for responding to challenge and error, protect non-retaliatory speaking-up, use structured inclusive meetings and review whether concerns receive visible action.</w:t>
      </w:r>
    </w:p>
    <w:p w14:paraId="730A96D0" w14:textId="77777777" w:rsidR="006D4B5C" w:rsidRDefault="00000000">
      <w:pPr>
        <w:spacing w:after="100"/>
        <w:jc w:val="both"/>
      </w:pPr>
      <w:r>
        <w:rPr>
          <w:b/>
          <w:color w:val="17365D"/>
        </w:rPr>
        <w:t xml:space="preserve">4. Build an age-inclusive talent system. </w:t>
      </w:r>
      <w:r>
        <w:t>Use skills-based recruitment, preference-based management, reciprocal mentoring, flexible career pathways and planned knowledge transfer rather than generation-specific tracks.</w:t>
      </w:r>
    </w:p>
    <w:p w14:paraId="7848A617" w14:textId="77777777" w:rsidR="006D4B5C" w:rsidRDefault="00000000">
      <w:pPr>
        <w:spacing w:after="100"/>
        <w:jc w:val="both"/>
      </w:pPr>
      <w:r>
        <w:rPr>
          <w:b/>
          <w:color w:val="17365D"/>
        </w:rPr>
        <w:t xml:space="preserve">5. Evaluate quarterly. </w:t>
      </w:r>
      <w:r>
        <w:t>Track behavioural EI, psychological safety, conflict recurrence, well-being, performance, internal mobility and retention. Segment results carefully, investigate causes and address workload, fairness or job design before prescribing individual resilience.</w:t>
      </w:r>
    </w:p>
    <w:p w14:paraId="1618BC5D" w14:textId="77777777" w:rsidR="006D4B5C" w:rsidRDefault="00000000">
      <w:pPr>
        <w:pStyle w:val="Heading1"/>
      </w:pPr>
      <w:bookmarkStart w:id="16" w:name="_Toc234765473"/>
      <w:r>
        <w:rPr>
          <w:sz w:val="22"/>
        </w:rPr>
        <w:lastRenderedPageBreak/>
        <w:t>5. Conclusion</w:t>
      </w:r>
      <w:bookmarkEnd w:id="16"/>
    </w:p>
    <w:p w14:paraId="4DFF06F0" w14:textId="77777777" w:rsidR="0042571E" w:rsidRDefault="00000000">
      <w:pPr>
        <w:jc w:val="both"/>
      </w:pPr>
      <w:r>
        <w:t>EI and mindfulness can strengthen performance, collaboration, well-being and inclusive leadership, but neither is a cure-all. Their value lies in helping employees notice emotion, regulate responses, understand others and manage relationships ethically. Generational diversity should be managed through evidence, dialogue and equitable flexibility, not stereotypes. Combining capability development with psychological safety, structured talent practices and evaluation can turn the department’s positive experience into a credible strategy for leadership, recruitment and retention.</w:t>
      </w:r>
    </w:p>
    <w:p w14:paraId="4BBA0625" w14:textId="77777777" w:rsidR="0042571E" w:rsidRDefault="0042571E">
      <w:pPr>
        <w:spacing w:after="200" w:line="276" w:lineRule="auto"/>
      </w:pPr>
      <w:r>
        <w:br w:type="page"/>
      </w:r>
    </w:p>
    <w:p w14:paraId="3A8A94EE" w14:textId="77777777" w:rsidR="006D4B5C" w:rsidRDefault="006D4B5C">
      <w:pPr>
        <w:jc w:val="both"/>
      </w:pPr>
    </w:p>
    <w:p w14:paraId="71803FFB" w14:textId="77777777" w:rsidR="006D4B5C" w:rsidRDefault="00000000">
      <w:pPr>
        <w:pStyle w:val="Heading1"/>
      </w:pPr>
      <w:bookmarkStart w:id="17" w:name="_Toc234765474"/>
      <w:r>
        <w:rPr>
          <w:sz w:val="22"/>
        </w:rPr>
        <w:t>Reference List</w:t>
      </w:r>
      <w:bookmarkEnd w:id="17"/>
    </w:p>
    <w:p w14:paraId="602371FF" w14:textId="77777777" w:rsidR="006D4B5C" w:rsidRDefault="00000000">
      <w:pPr>
        <w:spacing w:after="80"/>
        <w:ind w:left="720" w:hanging="720"/>
      </w:pPr>
      <w:r>
        <w:t xml:space="preserve">Ashkanasy, N.M. and Kay, A.A. (2023) ‘Mindfulness and emotion: a five-level analysis’, </w:t>
      </w:r>
      <w:r>
        <w:rPr>
          <w:i/>
        </w:rPr>
        <w:t>Journal of Management &amp; Organization</w:t>
      </w:r>
      <w:r>
        <w:t>, 29(3), pp. 406–424. Available at: https://doi.org/10.1017/jmo.2023.22.</w:t>
      </w:r>
    </w:p>
    <w:p w14:paraId="4AD9408B" w14:textId="77777777" w:rsidR="006D4B5C" w:rsidRDefault="00000000">
      <w:pPr>
        <w:spacing w:after="80"/>
        <w:ind w:left="720" w:hanging="720"/>
      </w:pPr>
      <w:r>
        <w:t xml:space="preserve">Bar-On, R. (2006) ‘The Bar-On model of emotional-social intelligence (ESI)’, </w:t>
      </w:r>
      <w:r>
        <w:rPr>
          <w:i/>
        </w:rPr>
        <w:t>Psicothema</w:t>
      </w:r>
      <w:r>
        <w:t>, 18(Suppl.), pp. 13–25.</w:t>
      </w:r>
    </w:p>
    <w:p w14:paraId="0B8DE679" w14:textId="77777777" w:rsidR="006D4B5C" w:rsidRDefault="00000000">
      <w:pPr>
        <w:spacing w:after="80"/>
        <w:ind w:left="720" w:hanging="720"/>
      </w:pPr>
      <w:r>
        <w:t xml:space="preserve">Coronado-Maldonado, I. and Benítez-Márquez, M.-D. (2023) ‘Emotional intelligence, leadership, and work teams: a hybrid literature review’, </w:t>
      </w:r>
      <w:r>
        <w:rPr>
          <w:i/>
        </w:rPr>
        <w:t>Heliyon</w:t>
      </w:r>
      <w:r>
        <w:t>, 9(10), article e20356. Available at: https://doi.org/10.1016/j.heliyon.2023.e20356.</w:t>
      </w:r>
    </w:p>
    <w:p w14:paraId="5DCF587E" w14:textId="77777777" w:rsidR="006D4B5C" w:rsidRDefault="00000000">
      <w:pPr>
        <w:spacing w:after="80"/>
        <w:ind w:left="720" w:hanging="720"/>
      </w:pPr>
      <w:r>
        <w:t xml:space="preserve">Côté, S. (2014) ‘Emotional intelligence in organizations’, </w:t>
      </w:r>
      <w:r>
        <w:rPr>
          <w:i/>
        </w:rPr>
        <w:t>Annual Review of Organizational Psychology and Organizational Behavior</w:t>
      </w:r>
      <w:r>
        <w:t>, 1, pp. 459–488. Available at: https://doi.org/10.1146/annurev-orgpsych-031413-091233.</w:t>
      </w:r>
    </w:p>
    <w:p w14:paraId="7682BDE0" w14:textId="77777777" w:rsidR="006D4B5C" w:rsidRDefault="00000000">
      <w:pPr>
        <w:spacing w:after="80"/>
        <w:ind w:left="720" w:hanging="720"/>
      </w:pPr>
      <w:r>
        <w:t xml:space="preserve">Côté, S., DeCelles, K.A., McCarthy, J.M., Van Kleef, G.A. and Hideg, I. (2011) ‘The Jekyll and Hyde of emotional intelligence: emotion-regulation knowledge facilitates both prosocial and interpersonally deviant behavior’, </w:t>
      </w:r>
      <w:r>
        <w:rPr>
          <w:i/>
        </w:rPr>
        <w:t>Psychological Science</w:t>
      </w:r>
      <w:r>
        <w:t>, 22(8), pp. 1073–1080. Available at: https://doi.org/10.1177/0956797611416251.</w:t>
      </w:r>
    </w:p>
    <w:p w14:paraId="10BB2DFE" w14:textId="77777777" w:rsidR="006D4B5C" w:rsidRDefault="00000000">
      <w:pPr>
        <w:spacing w:after="80"/>
        <w:ind w:left="720" w:hanging="720"/>
      </w:pPr>
      <w:r>
        <w:t xml:space="preserve">Deloitte (2026) </w:t>
      </w:r>
      <w:r>
        <w:rPr>
          <w:i/>
        </w:rPr>
        <w:t>2026 Gen Z and Millennial survey: progress on their own terms</w:t>
      </w:r>
      <w:r>
        <w:t>. Available at: https://www.deloitte.com/content/dam/assets-shared/docs/campaigns/2026/2026-genz-millennial-survey.pdf (Accessed: 12 July 2026).</w:t>
      </w:r>
    </w:p>
    <w:p w14:paraId="77E0273C" w14:textId="77777777" w:rsidR="006D4B5C" w:rsidRDefault="00000000">
      <w:pPr>
        <w:spacing w:after="80"/>
        <w:ind w:left="720" w:hanging="720"/>
      </w:pPr>
      <w:r>
        <w:t xml:space="preserve">Edmondson, A.C. and Bransby, D.P. (2023) ‘Psychological safety comes of age: observed themes in an established literature’, </w:t>
      </w:r>
      <w:r>
        <w:rPr>
          <w:i/>
        </w:rPr>
        <w:t>Annual Review of Organizational Psychology and Organizational Behavior</w:t>
      </w:r>
      <w:r>
        <w:t>, 10, pp. 55–78. Available at: https://doi.org/10.1146/annurev-orgpsych-120920-055217.</w:t>
      </w:r>
    </w:p>
    <w:p w14:paraId="6D4E3150" w14:textId="77777777" w:rsidR="006D4B5C" w:rsidRDefault="00000000">
      <w:pPr>
        <w:spacing w:after="80"/>
        <w:ind w:left="720" w:hanging="720"/>
      </w:pPr>
      <w:r>
        <w:t xml:space="preserve">Gabrielova, K. and Buchko, A.A. (2021) ‘Here comes Generation Z: Millennials as managers’, </w:t>
      </w:r>
      <w:r>
        <w:rPr>
          <w:i/>
        </w:rPr>
        <w:t>Business Horizons</w:t>
      </w:r>
      <w:r>
        <w:t>, 64(4), pp. 489–499. Available at: https://doi.org/10.1016/j.bushor.2021.02.013.</w:t>
      </w:r>
    </w:p>
    <w:p w14:paraId="6BC6C877" w14:textId="77777777" w:rsidR="006D4B5C" w:rsidRDefault="00000000">
      <w:pPr>
        <w:spacing w:after="80"/>
        <w:ind w:left="720" w:hanging="720"/>
      </w:pPr>
      <w:r>
        <w:t xml:space="preserve">Goleman, D. (1998) </w:t>
      </w:r>
      <w:r>
        <w:rPr>
          <w:i/>
        </w:rPr>
        <w:t>Working with emotional intelligence</w:t>
      </w:r>
      <w:r>
        <w:t>. London: Bloomsbury.</w:t>
      </w:r>
    </w:p>
    <w:p w14:paraId="4405678E" w14:textId="77777777" w:rsidR="006D4B5C" w:rsidRDefault="00000000">
      <w:pPr>
        <w:spacing w:after="80"/>
        <w:ind w:left="720" w:hanging="720"/>
      </w:pPr>
      <w:r>
        <w:t xml:space="preserve">Hafenbrack, A.C. and Vohs, K.D. (2018) ‘Mindfulness meditation impairs task motivation but not performance’, </w:t>
      </w:r>
      <w:r>
        <w:rPr>
          <w:i/>
        </w:rPr>
        <w:t>Organizational Behavior and Human Decision Processes</w:t>
      </w:r>
      <w:r>
        <w:t>, 147, pp. 1–15. Available at: https://doi.org/10.1016/j.obhdp.2018.05.001.</w:t>
      </w:r>
    </w:p>
    <w:p w14:paraId="1E6282D6" w14:textId="77777777" w:rsidR="006D4B5C" w:rsidRDefault="00000000">
      <w:pPr>
        <w:spacing w:after="80"/>
        <w:ind w:left="720" w:hanging="720"/>
      </w:pPr>
      <w:r>
        <w:lastRenderedPageBreak/>
        <w:t xml:space="preserve">Janssen, D. and Carradini, S. (2021) ‘Generation Z workplace communication habits and expectations’, </w:t>
      </w:r>
      <w:r>
        <w:rPr>
          <w:i/>
        </w:rPr>
        <w:t>IEEE Transactions on Professional Communication</w:t>
      </w:r>
      <w:r>
        <w:t>, 64(2), pp. 137–153. Available at: https://doi.org/10.1109/TPC.2021.3069288.</w:t>
      </w:r>
    </w:p>
    <w:p w14:paraId="444213D3" w14:textId="77777777" w:rsidR="006D4B5C" w:rsidRDefault="00000000">
      <w:pPr>
        <w:spacing w:after="80"/>
        <w:ind w:left="720" w:hanging="720"/>
      </w:pPr>
      <w:r>
        <w:t xml:space="preserve">Joseph, D.L., Jin, J., Newman, D.A. and O’Boyle, E.H. (2015) ‘Why does self-reported emotional intelligence predict job performance? A meta-analytic investigation of mixed EI’, </w:t>
      </w:r>
      <w:r>
        <w:rPr>
          <w:i/>
        </w:rPr>
        <w:t>Journal of Applied Psychology</w:t>
      </w:r>
      <w:r>
        <w:t>, 100(2), pp. 298–342. Available at: https://doi.org/10.1037/a0037681.</w:t>
      </w:r>
    </w:p>
    <w:p w14:paraId="35FF5574" w14:textId="77777777" w:rsidR="006D4B5C" w:rsidRDefault="00000000">
      <w:pPr>
        <w:spacing w:after="80"/>
        <w:ind w:left="720" w:hanging="720"/>
      </w:pPr>
      <w:r>
        <w:t xml:space="preserve">Leslie, B., Anderson, C., Bickham, C., Horman, J., Overly, A., Gentry, C., Callahan, C. and King, J. (2021) ‘Generation Z perceptions of a positive workplace environment’, </w:t>
      </w:r>
      <w:r>
        <w:rPr>
          <w:i/>
        </w:rPr>
        <w:t>Employee Responsibilities and Rights Journal</w:t>
      </w:r>
      <w:r>
        <w:t>, 33(3), pp. 171–187. Available at: https://doi.org/10.1007/s10672-021-09366-2.</w:t>
      </w:r>
    </w:p>
    <w:p w14:paraId="1F7E07C7" w14:textId="77777777" w:rsidR="006D4B5C" w:rsidRDefault="00000000">
      <w:pPr>
        <w:spacing w:after="80"/>
        <w:ind w:left="720" w:hanging="720"/>
      </w:pPr>
      <w:r>
        <w:t xml:space="preserve">Mahmoud, A.B., Fuxman, L., Mohr, I., Reisel, W.D. and Grigoriou, N. (2021) ‘“We aren’t your reincarnation!” Workplace motivation across X, Y and Z generations’, </w:t>
      </w:r>
      <w:r>
        <w:rPr>
          <w:i/>
        </w:rPr>
        <w:t>International Journal of Manpower</w:t>
      </w:r>
      <w:r>
        <w:t>, 42(1), pp. 193–209. Available at: https://doi.org/10.1108/IJM-09-2019-0448.</w:t>
      </w:r>
    </w:p>
    <w:p w14:paraId="40FD1F74" w14:textId="77777777" w:rsidR="006D4B5C" w:rsidRDefault="00000000">
      <w:pPr>
        <w:spacing w:after="80"/>
        <w:ind w:left="720" w:hanging="720"/>
      </w:pPr>
      <w:r>
        <w:t xml:space="preserve">Mattingly, V. and Kraiger, K. (2019) ‘Can emotional intelligence be trained? A meta-analytical investigation’, </w:t>
      </w:r>
      <w:r>
        <w:rPr>
          <w:i/>
        </w:rPr>
        <w:t>Human Resource Management Review</w:t>
      </w:r>
      <w:r>
        <w:t>, 29(2), pp. 140–155. Available at: https://doi.org/10.1016/j.hrmr.2018.03.002.</w:t>
      </w:r>
    </w:p>
    <w:p w14:paraId="49AC8DE4" w14:textId="77777777" w:rsidR="006D4B5C" w:rsidRDefault="00000000">
      <w:pPr>
        <w:spacing w:after="80"/>
        <w:ind w:left="720" w:hanging="720"/>
      </w:pPr>
      <w:r>
        <w:t xml:space="preserve">Mayer, J.D., Salovey, P. and Caruso, D.R. (2004) ‘Emotional intelligence: theory, findings, and implications’, </w:t>
      </w:r>
      <w:r>
        <w:rPr>
          <w:i/>
        </w:rPr>
        <w:t>Psychological Inquiry</w:t>
      </w:r>
      <w:r>
        <w:t>, 15(3), pp. 197–215. Available at: https://doi.org/10.1207/S15327965PLI1503_02.</w:t>
      </w:r>
    </w:p>
    <w:p w14:paraId="7BCC3B1E" w14:textId="77777777" w:rsidR="006D4B5C" w:rsidRDefault="00000000">
      <w:pPr>
        <w:spacing w:after="80"/>
        <w:ind w:left="720" w:hanging="720"/>
      </w:pPr>
      <w:r>
        <w:t xml:space="preserve">Miao, C., Humphrey, R.H. and Qian, S. (2017) ‘A meta-analysis of emotional intelligence and work attitudes’, </w:t>
      </w:r>
      <w:r>
        <w:rPr>
          <w:i/>
        </w:rPr>
        <w:t>Journal of Occupational and Organizational Psychology</w:t>
      </w:r>
      <w:r>
        <w:t>, 90(2), pp. 177–202. Available at: https://doi.org/10.1111/joop.12167.</w:t>
      </w:r>
    </w:p>
    <w:p w14:paraId="6504DF30" w14:textId="77777777" w:rsidR="006D4B5C" w:rsidRDefault="00000000">
      <w:pPr>
        <w:spacing w:after="80"/>
        <w:ind w:left="720" w:hanging="720"/>
      </w:pPr>
      <w:r>
        <w:t xml:space="preserve">Michaelsen, M.M., Graser, J., Onescheit, M., Tuma, M.P., Werdecker, L., Pieper, D. and Esch, T. (2023) ‘Mindfulness-based and mindfulness-informed interventions at the workplace: a systematic review and meta-regression analysis of RCTs’, </w:t>
      </w:r>
      <w:r>
        <w:rPr>
          <w:i/>
        </w:rPr>
        <w:t>Mindfulness</w:t>
      </w:r>
      <w:r>
        <w:t>, 14(6), pp. 1271–1304. Available at: https://doi.org/10.1007/s12671-023-02130-7.</w:t>
      </w:r>
    </w:p>
    <w:p w14:paraId="06F326DB" w14:textId="77777777" w:rsidR="006D4B5C" w:rsidRDefault="00000000">
      <w:pPr>
        <w:spacing w:after="80"/>
        <w:ind w:left="720" w:hanging="720"/>
      </w:pPr>
      <w:r>
        <w:t xml:space="preserve">OECD (2020) </w:t>
      </w:r>
      <w:r>
        <w:rPr>
          <w:i/>
        </w:rPr>
        <w:t>Promoting an age-inclusive workforce: living, learning and earning longer</w:t>
      </w:r>
      <w:r>
        <w:t>. Available at: https://doi.org/10.1787/59752153-en (Accessed: 12 July 2026).</w:t>
      </w:r>
    </w:p>
    <w:p w14:paraId="3926610C" w14:textId="77777777" w:rsidR="006D4B5C" w:rsidRDefault="00000000">
      <w:pPr>
        <w:spacing w:after="80"/>
        <w:ind w:left="720" w:hanging="720"/>
      </w:pPr>
      <w:r>
        <w:t xml:space="preserve">OECD (2024) </w:t>
      </w:r>
      <w:r>
        <w:rPr>
          <w:i/>
        </w:rPr>
        <w:t>Facilitating knowledge transfer between generations</w:t>
      </w:r>
      <w:r>
        <w:t>. Available at: https://www.oecd.org/content/dam/oecd/en/topics/policy-issues/ageing-and-employment/Facilitating-knowledge-transfer-between-generations.pdf (Accessed: 12 July 2026).</w:t>
      </w:r>
    </w:p>
    <w:p w14:paraId="1065D9C3" w14:textId="77777777" w:rsidR="006D4B5C" w:rsidRDefault="00000000">
      <w:pPr>
        <w:spacing w:after="80"/>
        <w:ind w:left="720" w:hanging="720"/>
      </w:pPr>
      <w:r>
        <w:t xml:space="preserve">Randel, A.E., Galvin, B.M., Shore, L.M., Ehrhart, K.H., Chung, B.G., Dean, M.A. and Kedharnath, U. (2018) ‘Inclusive leadership: realizing positive outcomes through belongingness and </w:t>
      </w:r>
      <w:r>
        <w:lastRenderedPageBreak/>
        <w:t xml:space="preserve">being valued for uniqueness’, </w:t>
      </w:r>
      <w:r>
        <w:rPr>
          <w:i/>
        </w:rPr>
        <w:t>Human Resource Management Review</w:t>
      </w:r>
      <w:r>
        <w:t>, 28(2), pp. 190–203. Available at: https://doi.org/10.1016/j.hrmr.2017.07.002.</w:t>
      </w:r>
    </w:p>
    <w:p w14:paraId="2E5FBD7F" w14:textId="77777777" w:rsidR="006D4B5C" w:rsidRDefault="00000000">
      <w:pPr>
        <w:spacing w:after="80"/>
        <w:ind w:left="720" w:hanging="720"/>
      </w:pPr>
      <w:r>
        <w:t xml:space="preserve">Rudolph, C.W., Rauvola, R.S., Costanza, D.P. and Zacher, H. (2021) ‘Generations and generational differences: debunking myths in organizational science and practice and paving new paths forward’, </w:t>
      </w:r>
      <w:r>
        <w:rPr>
          <w:i/>
        </w:rPr>
        <w:t>Journal of Business and Psychology</w:t>
      </w:r>
      <w:r>
        <w:t>, 36(6), pp. 945–967. Available at: https://doi.org/10.1007/s10869-020-09715-2.</w:t>
      </w:r>
    </w:p>
    <w:p w14:paraId="29F578B2" w14:textId="77777777" w:rsidR="006D4B5C" w:rsidRDefault="00000000">
      <w:pPr>
        <w:spacing w:after="80"/>
        <w:ind w:left="720" w:hanging="720"/>
      </w:pPr>
      <w:r>
        <w:t xml:space="preserve">Schröder, M. (2024) ‘Work motivation is not generational but depends on age and period’, </w:t>
      </w:r>
      <w:r>
        <w:rPr>
          <w:i/>
        </w:rPr>
        <w:t>Journal of Business and Psychology</w:t>
      </w:r>
      <w:r>
        <w:t>, 39(4), pp. 897–908. Available at: https://doi.org/10.1007/s10869-023-09921-8.</w:t>
      </w:r>
    </w:p>
    <w:p w14:paraId="49240A0C" w14:textId="77777777" w:rsidR="006D4B5C" w:rsidRDefault="00000000">
      <w:pPr>
        <w:spacing w:after="80"/>
        <w:ind w:left="720" w:hanging="720"/>
      </w:pPr>
      <w:r>
        <w:t xml:space="preserve">Vonderlin, R., Biermann, M., Bohus, M. and Lyssenko, L. (2020) ‘Mindfulness-based programs in the workplace: a meta-analysis of randomized controlled trials’, </w:t>
      </w:r>
      <w:r>
        <w:rPr>
          <w:i/>
        </w:rPr>
        <w:t>Mindfulness</w:t>
      </w:r>
      <w:r>
        <w:t>, 11(7), pp. 1579–1598. Available at: https://doi.org/10.1007/s12671-020-01328-3.</w:t>
      </w:r>
    </w:p>
    <w:sectPr w:rsidR="006D4B5C" w:rsidSect="00034616">
      <w:headerReference w:type="default" r:id="rId15"/>
      <w:footerReference w:type="default" r:id="rId16"/>
      <w:pgSz w:w="12240" w:h="15840"/>
      <w:pgMar w:top="1037" w:right="1296" w:bottom="1037" w:left="1296" w:header="432" w:footer="504"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6B0D6F" w14:textId="77777777" w:rsidR="00C9233F" w:rsidRDefault="00C9233F">
      <w:pPr>
        <w:spacing w:after="0" w:line="240" w:lineRule="auto"/>
      </w:pPr>
      <w:r>
        <w:separator/>
      </w:r>
    </w:p>
  </w:endnote>
  <w:endnote w:type="continuationSeparator" w:id="0">
    <w:p w14:paraId="581E6138" w14:textId="77777777" w:rsidR="00C9233F" w:rsidRDefault="00C923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08552E" w14:textId="77777777" w:rsidR="00A42891" w:rsidRDefault="00A428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F5718E" w14:textId="77777777" w:rsidR="00A42891" w:rsidRDefault="00A428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88A741" w14:textId="77777777" w:rsidR="00A42891" w:rsidRDefault="00A4289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9385798"/>
      <w:docPartObj>
        <w:docPartGallery w:val="Page Numbers (Bottom of Page)"/>
        <w:docPartUnique/>
      </w:docPartObj>
    </w:sdtPr>
    <w:sdtContent>
      <w:p w14:paraId="6912661D" w14:textId="77777777" w:rsidR="006D4B5C" w:rsidRDefault="0042571E">
        <w:pPr>
          <w:pStyle w:val="Footer"/>
          <w:spacing w:before="40"/>
          <w:jc w:val="center"/>
        </w:pPr>
        <w:r>
          <w:rPr>
            <w:noProof/>
          </w:rPr>
          <mc:AlternateContent>
            <mc:Choice Requires="wps">
              <w:drawing>
                <wp:anchor distT="0" distB="0" distL="114300" distR="114300" simplePos="0" relativeHeight="251659264" behindDoc="0" locked="0" layoutInCell="1" allowOverlap="1" wp14:anchorId="6F568540" wp14:editId="67630655">
                  <wp:simplePos x="0" y="0"/>
                  <wp:positionH relativeFrom="page">
                    <wp:align>right</wp:align>
                  </wp:positionH>
                  <wp:positionV relativeFrom="page">
                    <wp:align>bottom</wp:align>
                  </wp:positionV>
                  <wp:extent cx="2125980" cy="2054860"/>
                  <wp:effectExtent l="7620" t="0" r="0" b="2540"/>
                  <wp:wrapNone/>
                  <wp:docPr id="1047533891" name="Isosceles Tri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5980" cy="2054860"/>
                          </a:xfrm>
                          <a:prstGeom prst="triangle">
                            <a:avLst>
                              <a:gd name="adj" fmla="val 100000"/>
                            </a:avLst>
                          </a:prstGeom>
                          <a:solidFill>
                            <a:srgbClr val="D2EAF1"/>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9FAEEE" w14:textId="77777777" w:rsidR="0042571E" w:rsidRDefault="0042571E">
                              <w:pPr>
                                <w:jc w:val="center"/>
                                <w:rPr>
                                  <w:szCs w:val="72"/>
                                </w:rPr>
                              </w:pPr>
                              <w:r>
                                <w:fldChar w:fldCharType="begin"/>
                              </w:r>
                              <w:r>
                                <w:instrText>PAGE    \* MERGEFORMAT</w:instrText>
                              </w:r>
                              <w:r>
                                <w:fldChar w:fldCharType="separate"/>
                              </w:r>
                              <w:r>
                                <w:rPr>
                                  <w:color w:val="FFFFFF" w:themeColor="background1"/>
                                  <w:sz w:val="72"/>
                                  <w:szCs w:val="72"/>
                                </w:rPr>
                                <w:t>2</w:t>
                              </w:r>
                              <w:r>
                                <w:rPr>
                                  <w:color w:val="FFFFFF" w:themeColor="background1"/>
                                  <w:sz w:val="72"/>
                                  <w:szCs w:val="72"/>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F568540"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26" type="#_x0000_t5" style="position:absolute;left:0;text-align:left;margin-left:116.2pt;margin-top:0;width:167.4pt;height:161.8pt;z-index:251659264;visibility:visible;mso-wrap-style:square;mso-width-percent:0;mso-height-percent:0;mso-wrap-distance-left:9pt;mso-wrap-distance-top:0;mso-wrap-distance-right:9pt;mso-wrap-distance-bottom:0;mso-position-horizontal:right;mso-position-horizontal-relative:page;mso-position-vertical:bottom;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" adj="21600" fillcolor="#d2eaf1" stroked="f">
                  <v:textbox>
                    <w:txbxContent>
                      <w:p w14:paraId="199FAEEE" w14:textId="77777777" w:rsidR="0042571E" w:rsidRDefault="0042571E">
                        <w:pPr>
                          <w:jc w:val="center"/>
                          <w:rPr>
                            <w:szCs w:val="72"/>
                          </w:rPr>
                        </w:pPr>
                        <w:r>
                          <w:fldChar w:fldCharType="begin"/>
                        </w:r>
                        <w:r>
                          <w:instrText>PAGE    \* MERGEFORMAT</w:instrText>
                        </w:r>
                        <w:r>
                          <w:fldChar w:fldCharType="separate"/>
                        </w:r>
                        <w:r>
                          <w:rPr>
                            <w:color w:val="FFFFFF" w:themeColor="background1"/>
                            <w:sz w:val="72"/>
                            <w:szCs w:val="72"/>
                          </w:rPr>
                          <w:t>2</w:t>
                        </w:r>
                        <w:r>
                          <w:rPr>
                            <w:color w:val="FFFFFF" w:themeColor="background1"/>
                            <w:sz w:val="72"/>
                            <w:szCs w:val="72"/>
                          </w:rPr>
                          <w:fldChar w:fldCharType="end"/>
                        </w:r>
                      </w:p>
                    </w:txbxContent>
                  </v:textbox>
                  <w10:wrap anchorx="page" anchory="page"/>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FC4D05" w14:textId="77777777" w:rsidR="00C9233F" w:rsidRDefault="00C9233F">
      <w:pPr>
        <w:spacing w:after="0" w:line="240" w:lineRule="auto"/>
      </w:pPr>
      <w:r>
        <w:separator/>
      </w:r>
    </w:p>
  </w:footnote>
  <w:footnote w:type="continuationSeparator" w:id="0">
    <w:p w14:paraId="3038F541" w14:textId="77777777" w:rsidR="00C9233F" w:rsidRDefault="00C923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F2D71" w14:textId="77777777" w:rsidR="00A42891" w:rsidRDefault="00A428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A823C" w14:textId="77777777" w:rsidR="00A42891" w:rsidRDefault="00A428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698A55" w14:textId="77777777" w:rsidR="00A42891" w:rsidRDefault="00A4289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6965D" w14:textId="77777777" w:rsidR="006D4B5C" w:rsidRPr="0042571E" w:rsidRDefault="0042571E" w:rsidP="0042571E">
    <w:pPr>
      <w:pStyle w:val="Header"/>
    </w:pPr>
    <w:r>
      <w:rPr>
        <w:color w:val="000000"/>
        <w:sz w:val="21"/>
      </w:rPr>
      <w:t>Yehor Kulikov (2417098)</w:t>
    </w:r>
    <w:r w:rsidR="00CB434F">
      <w:rPr>
        <w:color w:val="000000"/>
        <w:sz w:val="21"/>
      </w:rPr>
      <w:t xml:space="preserve">                                                                                                        July 2026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49967763">
    <w:abstractNumId w:val="8"/>
  </w:num>
  <w:num w:numId="2" w16cid:durableId="1433359125">
    <w:abstractNumId w:val="6"/>
  </w:num>
  <w:num w:numId="3" w16cid:durableId="1408571181">
    <w:abstractNumId w:val="5"/>
  </w:num>
  <w:num w:numId="4" w16cid:durableId="1291590881">
    <w:abstractNumId w:val="4"/>
  </w:num>
  <w:num w:numId="5" w16cid:durableId="1045253550">
    <w:abstractNumId w:val="7"/>
  </w:num>
  <w:num w:numId="6" w16cid:durableId="2040355764">
    <w:abstractNumId w:val="3"/>
  </w:num>
  <w:num w:numId="7" w16cid:durableId="873620660">
    <w:abstractNumId w:val="2"/>
  </w:num>
  <w:num w:numId="8" w16cid:durableId="1909071604">
    <w:abstractNumId w:val="1"/>
  </w:num>
  <w:num w:numId="9" w16cid:durableId="12053623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A3D81"/>
    <w:rsid w:val="0042571E"/>
    <w:rsid w:val="006D4B5C"/>
    <w:rsid w:val="00750A44"/>
    <w:rsid w:val="00A42891"/>
    <w:rsid w:val="00AA1D8D"/>
    <w:rsid w:val="00B47730"/>
    <w:rsid w:val="00C9233F"/>
    <w:rsid w:val="00CB0664"/>
    <w:rsid w:val="00CB434F"/>
    <w:rsid w:val="00D74FCD"/>
    <w:rsid w:val="00ED3D59"/>
    <w:rsid w:val="00FC693F"/>
  </w:rsids>
  <m:mathPr>
    <m:mathFont m:val="Cambria Math"/>
    <m:brkBin m:val="before"/>
    <m:brkBinSub m:val="--"/>
    <m:smallFrac m:val="0"/>
    <m:dispDef/>
    <m:lMargin m:val="0"/>
    <m:rMargin m:val="0"/>
    <m:defJc m:val="centerGroup"/>
    <m:wrapIndent m:val="1440"/>
    <m:intLim m:val="subSup"/>
    <m:naryLim m:val="undOvr"/>
  </m:mathPr>
  <w:themeFontLang w:val="en-GB" w:eastAsia="en-GB" w:bidi="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C3DCA37"/>
  <w14:defaultImageDpi w14:val="300"/>
  <w15:docId w15:val="{B435D2C5-7605-4214-9531-03DE63768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en-GB"/>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style>
  <w:style w:type="paragraph" w:styleId="Heading1">
    <w:name w:val="heading 1"/>
    <w:basedOn w:val="Normal"/>
    <w:next w:val="Normal"/>
    <w:link w:val="Heading1Char"/>
    <w:uiPriority w:val="9"/>
    <w:qFormat/>
    <w:rsid w:val="00FC693F"/>
    <w:pPr>
      <w:keepNext/>
      <w:keepLines/>
      <w:spacing w:before="240" w:after="80"/>
      <w:outlineLvl w:val="0"/>
    </w:pPr>
    <w:rPr>
      <w:b/>
      <w:bCs/>
      <w:color w:val="17365D"/>
      <w:sz w:val="30"/>
      <w:szCs w:val="28"/>
    </w:rPr>
  </w:style>
  <w:style w:type="paragraph" w:styleId="Heading2">
    <w:name w:val="heading 2"/>
    <w:basedOn w:val="Normal"/>
    <w:next w:val="Normal"/>
    <w:link w:val="Heading2Char"/>
    <w:uiPriority w:val="9"/>
    <w:unhideWhenUsed/>
    <w:qFormat/>
    <w:rsid w:val="00FC693F"/>
    <w:pPr>
      <w:keepNext/>
      <w:keepLines/>
      <w:spacing w:before="160" w:after="80"/>
      <w:outlineLvl w:val="1"/>
    </w:pPr>
    <w:rPr>
      <w:b/>
      <w:bCs/>
      <w:color w:val="2F5597"/>
      <w:sz w:val="25"/>
      <w:szCs w:val="26"/>
    </w:rPr>
  </w:style>
  <w:style w:type="paragraph" w:styleId="Heading3">
    <w:name w:val="heading 3"/>
    <w:basedOn w:val="Normal"/>
    <w:next w:val="Normal"/>
    <w:link w:val="Heading3Char"/>
    <w:uiPriority w:val="9"/>
    <w:unhideWhenUsed/>
    <w:qFormat/>
    <w:rsid w:val="00FC693F"/>
    <w:pPr>
      <w:keepNext/>
      <w:keepLines/>
      <w:spacing w:before="160" w:after="80"/>
      <w:outlineLvl w:val="2"/>
    </w:pPr>
    <w:rPr>
      <w:b/>
      <w:bCs/>
      <w:color w:val="2F5597"/>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rPr>
      <w:rFonts w:ascii="Arial" w:eastAsia="Arial" w:hAnsi="Arial" w:cs="Arial"/>
      <w:lang w:val="en-GB" w:eastAsia="en-GB" w:bidi="en-GB"/>
    </w:rPr>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rPr>
      <w:rFonts w:ascii="Arial" w:eastAsia="Arial" w:hAnsi="Arial" w:cs="Arial"/>
      <w:lang w:val="en-GB" w:eastAsia="en-GB" w:bidi="en-GB"/>
    </w:rPr>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Arial" w:eastAsia="Arial" w:hAnsi="Arial" w:cs="Arial"/>
      <w:b/>
      <w:bCs/>
      <w:color w:val="365F91" w:themeColor="accent1" w:themeShade="BF"/>
      <w:sz w:val="28"/>
      <w:szCs w:val="28"/>
      <w:lang w:val="en-GB" w:eastAsia="en-GB" w:bidi="en-GB"/>
    </w:rPr>
  </w:style>
  <w:style w:type="character" w:customStyle="1" w:styleId="Heading2Char">
    <w:name w:val="Heading 2 Char"/>
    <w:basedOn w:val="DefaultParagraphFont"/>
    <w:link w:val="Heading2"/>
    <w:uiPriority w:val="9"/>
    <w:rsid w:val="00FC693F"/>
    <w:rPr>
      <w:rFonts w:ascii="Arial" w:eastAsia="Arial" w:hAnsi="Arial" w:cs="Arial"/>
      <w:b/>
      <w:bCs/>
      <w:color w:val="4F81BD" w:themeColor="accent1"/>
      <w:sz w:val="26"/>
      <w:szCs w:val="26"/>
      <w:lang w:val="en-GB" w:eastAsia="en-GB" w:bidi="en-GB"/>
    </w:rPr>
  </w:style>
  <w:style w:type="character" w:customStyle="1" w:styleId="Heading3Char">
    <w:name w:val="Heading 3 Char"/>
    <w:basedOn w:val="DefaultParagraphFont"/>
    <w:link w:val="Heading3"/>
    <w:uiPriority w:val="9"/>
    <w:rsid w:val="00FC693F"/>
    <w:rPr>
      <w:rFonts w:ascii="Arial" w:eastAsia="Arial" w:hAnsi="Arial" w:cs="Arial"/>
      <w:b/>
      <w:bCs/>
      <w:color w:val="4F81BD" w:themeColor="accent1"/>
      <w:lang w:val="en-GB" w:eastAsia="en-GB" w:bidi="en-GB"/>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Arial" w:eastAsia="Arial" w:hAnsi="Arial" w:cs="Arial"/>
      <w:color w:val="17365D" w:themeColor="text2" w:themeShade="BF"/>
      <w:spacing w:val="5"/>
      <w:kern w:val="28"/>
      <w:sz w:val="52"/>
      <w:szCs w:val="52"/>
      <w:lang w:val="en-GB" w:eastAsia="en-GB" w:bidi="en-GB"/>
    </w:rPr>
  </w:style>
  <w:style w:type="paragraph" w:styleId="Subtitle">
    <w:name w:val="Subtitle"/>
    <w:basedOn w:val="Normal"/>
    <w:next w:val="Normal"/>
    <w:link w:val="SubtitleChar"/>
    <w:uiPriority w:val="11"/>
    <w:qFormat/>
    <w:rsid w:val="00FC693F"/>
    <w:pPr>
      <w:numPr>
        <w:ilvl w:val="1"/>
      </w:numPr>
    </w:pPr>
    <w:rPr>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Arial" w:eastAsia="Arial" w:hAnsi="Arial" w:cs="Arial"/>
      <w:i/>
      <w:iCs/>
      <w:color w:val="4F81BD" w:themeColor="accent1"/>
      <w:spacing w:val="15"/>
      <w:sz w:val="24"/>
      <w:szCs w:val="24"/>
      <w:lang w:val="en-GB" w:eastAsia="en-GB" w:bidi="en-GB"/>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rPr>
      <w:rFonts w:ascii="Arial" w:eastAsia="Arial" w:hAnsi="Arial" w:cs="Arial"/>
      <w:lang w:val="en-GB" w:eastAsia="en-GB" w:bidi="en-GB"/>
    </w:rPr>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rPr>
      <w:rFonts w:ascii="Arial" w:eastAsia="Arial" w:hAnsi="Arial" w:cs="Arial"/>
      <w:lang w:val="en-GB" w:eastAsia="en-GB" w:bidi="en-GB"/>
    </w:rPr>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rFonts w:ascii="Arial" w:eastAsia="Arial" w:hAnsi="Arial" w:cs="Arial"/>
      <w:sz w:val="16"/>
      <w:szCs w:val="16"/>
      <w:lang w:val="en-GB" w:eastAsia="en-GB" w:bidi="en-GB"/>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sz w:val="20"/>
      <w:szCs w:val="20"/>
    </w:rPr>
  </w:style>
  <w:style w:type="character" w:customStyle="1" w:styleId="MacroTextChar">
    <w:name w:val="Macro Text Char"/>
    <w:basedOn w:val="DefaultParagraphFont"/>
    <w:link w:val="MacroText"/>
    <w:uiPriority w:val="99"/>
    <w:rsid w:val="0029639D"/>
    <w:rPr>
      <w:rFonts w:ascii="Arial" w:eastAsia="Arial" w:hAnsi="Arial" w:cs="Arial"/>
      <w:sz w:val="20"/>
      <w:szCs w:val="20"/>
      <w:lang w:val="en-GB" w:eastAsia="en-GB" w:bidi="en-GB"/>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rFonts w:ascii="Arial" w:eastAsia="Arial" w:hAnsi="Arial" w:cs="Arial"/>
      <w:i/>
      <w:iCs/>
      <w:color w:val="000000" w:themeColor="text1"/>
      <w:lang w:val="en-GB" w:eastAsia="en-GB" w:bidi="en-GB"/>
    </w:rPr>
  </w:style>
  <w:style w:type="character" w:customStyle="1" w:styleId="Heading4Char">
    <w:name w:val="Heading 4 Char"/>
    <w:basedOn w:val="DefaultParagraphFont"/>
    <w:link w:val="Heading4"/>
    <w:uiPriority w:val="9"/>
    <w:semiHidden/>
    <w:rsid w:val="00FC693F"/>
    <w:rPr>
      <w:rFonts w:ascii="Arial" w:eastAsia="Arial" w:hAnsi="Arial" w:cs="Arial"/>
      <w:b/>
      <w:bCs/>
      <w:i/>
      <w:iCs/>
      <w:color w:val="4F81BD" w:themeColor="accent1"/>
      <w:lang w:val="en-GB" w:eastAsia="en-GB" w:bidi="en-GB"/>
    </w:rPr>
  </w:style>
  <w:style w:type="character" w:customStyle="1" w:styleId="Heading5Char">
    <w:name w:val="Heading 5 Char"/>
    <w:basedOn w:val="DefaultParagraphFont"/>
    <w:link w:val="Heading5"/>
    <w:uiPriority w:val="9"/>
    <w:semiHidden/>
    <w:rsid w:val="00FC693F"/>
    <w:rPr>
      <w:rFonts w:ascii="Arial" w:eastAsia="Arial" w:hAnsi="Arial" w:cs="Arial"/>
      <w:color w:val="243F60" w:themeColor="accent1" w:themeShade="7F"/>
      <w:lang w:val="en-GB" w:eastAsia="en-GB" w:bidi="en-GB"/>
    </w:rPr>
  </w:style>
  <w:style w:type="character" w:customStyle="1" w:styleId="Heading6Char">
    <w:name w:val="Heading 6 Char"/>
    <w:basedOn w:val="DefaultParagraphFont"/>
    <w:link w:val="Heading6"/>
    <w:uiPriority w:val="9"/>
    <w:semiHidden/>
    <w:rsid w:val="00FC693F"/>
    <w:rPr>
      <w:rFonts w:ascii="Arial" w:eastAsia="Arial" w:hAnsi="Arial" w:cs="Arial"/>
      <w:i/>
      <w:iCs/>
      <w:color w:val="243F60" w:themeColor="accent1" w:themeShade="7F"/>
      <w:lang w:val="en-GB" w:eastAsia="en-GB" w:bidi="en-GB"/>
    </w:rPr>
  </w:style>
  <w:style w:type="character" w:customStyle="1" w:styleId="Heading7Char">
    <w:name w:val="Heading 7 Char"/>
    <w:basedOn w:val="DefaultParagraphFont"/>
    <w:link w:val="Heading7"/>
    <w:uiPriority w:val="9"/>
    <w:semiHidden/>
    <w:rsid w:val="00FC693F"/>
    <w:rPr>
      <w:rFonts w:ascii="Arial" w:eastAsia="Arial" w:hAnsi="Arial" w:cs="Arial"/>
      <w:i/>
      <w:iCs/>
      <w:color w:val="404040" w:themeColor="text1" w:themeTint="BF"/>
      <w:lang w:val="en-GB" w:eastAsia="en-GB" w:bidi="en-GB"/>
    </w:rPr>
  </w:style>
  <w:style w:type="character" w:customStyle="1" w:styleId="Heading8Char">
    <w:name w:val="Heading 8 Char"/>
    <w:basedOn w:val="DefaultParagraphFont"/>
    <w:link w:val="Heading8"/>
    <w:uiPriority w:val="9"/>
    <w:semiHidden/>
    <w:rsid w:val="00FC693F"/>
    <w:rPr>
      <w:rFonts w:ascii="Arial" w:eastAsia="Arial" w:hAnsi="Arial" w:cs="Arial"/>
      <w:color w:val="4F81BD" w:themeColor="accent1"/>
      <w:sz w:val="20"/>
      <w:szCs w:val="20"/>
      <w:lang w:val="en-GB" w:eastAsia="en-GB" w:bidi="en-GB"/>
    </w:rPr>
  </w:style>
  <w:style w:type="character" w:customStyle="1" w:styleId="Heading9Char">
    <w:name w:val="Heading 9 Char"/>
    <w:basedOn w:val="DefaultParagraphFont"/>
    <w:link w:val="Heading9"/>
    <w:uiPriority w:val="9"/>
    <w:semiHidden/>
    <w:rsid w:val="00FC693F"/>
    <w:rPr>
      <w:rFonts w:ascii="Arial" w:eastAsia="Arial" w:hAnsi="Arial" w:cs="Arial"/>
      <w:i/>
      <w:iCs/>
      <w:color w:val="404040" w:themeColor="text1" w:themeTint="BF"/>
      <w:sz w:val="20"/>
      <w:szCs w:val="20"/>
      <w:lang w:val="en-GB" w:eastAsia="en-GB" w:bidi="en-GB"/>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rFonts w:ascii="Arial" w:eastAsia="Arial" w:hAnsi="Arial" w:cs="Arial"/>
      <w:b/>
      <w:bCs/>
      <w:lang w:val="en-GB" w:eastAsia="en-GB" w:bidi="en-GB"/>
    </w:rPr>
  </w:style>
  <w:style w:type="character" w:styleId="Emphasis">
    <w:name w:val="Emphasis"/>
    <w:basedOn w:val="DefaultParagraphFont"/>
    <w:uiPriority w:val="20"/>
    <w:qFormat/>
    <w:rsid w:val="00FC693F"/>
    <w:rPr>
      <w:rFonts w:ascii="Arial" w:eastAsia="Arial" w:hAnsi="Arial" w:cs="Arial"/>
      <w:i/>
      <w:iCs/>
      <w:lang w:val="en-GB" w:eastAsia="en-GB" w:bidi="en-GB"/>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rFonts w:ascii="Arial" w:eastAsia="Arial" w:hAnsi="Arial" w:cs="Arial"/>
      <w:b/>
      <w:bCs/>
      <w:i/>
      <w:iCs/>
      <w:color w:val="4F81BD" w:themeColor="accent1"/>
      <w:lang w:val="en-GB" w:eastAsia="en-GB" w:bidi="en-GB"/>
    </w:rPr>
  </w:style>
  <w:style w:type="character" w:styleId="SubtleEmphasis">
    <w:name w:val="Subtle Emphasis"/>
    <w:basedOn w:val="DefaultParagraphFont"/>
    <w:uiPriority w:val="19"/>
    <w:qFormat/>
    <w:rsid w:val="00FC693F"/>
    <w:rPr>
      <w:rFonts w:ascii="Arial" w:eastAsia="Arial" w:hAnsi="Arial" w:cs="Arial"/>
      <w:i/>
      <w:iCs/>
      <w:color w:val="808080" w:themeColor="text1" w:themeTint="7F"/>
      <w:lang w:val="en-GB" w:eastAsia="en-GB" w:bidi="en-GB"/>
    </w:rPr>
  </w:style>
  <w:style w:type="character" w:styleId="IntenseEmphasis">
    <w:name w:val="Intense Emphasis"/>
    <w:basedOn w:val="DefaultParagraphFont"/>
    <w:uiPriority w:val="21"/>
    <w:qFormat/>
    <w:rsid w:val="00FC693F"/>
    <w:rPr>
      <w:rFonts w:ascii="Arial" w:eastAsia="Arial" w:hAnsi="Arial" w:cs="Arial"/>
      <w:b/>
      <w:bCs/>
      <w:i/>
      <w:iCs/>
      <w:color w:val="4F81BD" w:themeColor="accent1"/>
      <w:lang w:val="en-GB" w:eastAsia="en-GB" w:bidi="en-GB"/>
    </w:rPr>
  </w:style>
  <w:style w:type="character" w:styleId="SubtleReference">
    <w:name w:val="Subtle Reference"/>
    <w:basedOn w:val="DefaultParagraphFont"/>
    <w:uiPriority w:val="31"/>
    <w:qFormat/>
    <w:rsid w:val="00FC693F"/>
    <w:rPr>
      <w:rFonts w:ascii="Arial" w:eastAsia="Arial" w:hAnsi="Arial" w:cs="Arial"/>
      <w:smallCaps/>
      <w:color w:val="C0504D" w:themeColor="accent2"/>
      <w:u w:val="single"/>
      <w:lang w:val="en-GB" w:eastAsia="en-GB" w:bidi="en-GB"/>
    </w:rPr>
  </w:style>
  <w:style w:type="character" w:styleId="IntenseReference">
    <w:name w:val="Intense Reference"/>
    <w:basedOn w:val="DefaultParagraphFont"/>
    <w:uiPriority w:val="32"/>
    <w:qFormat/>
    <w:rsid w:val="00FC693F"/>
    <w:rPr>
      <w:rFonts w:ascii="Arial" w:eastAsia="Arial" w:hAnsi="Arial" w:cs="Arial"/>
      <w:b/>
      <w:bCs/>
      <w:smallCaps/>
      <w:color w:val="C0504D" w:themeColor="accent2"/>
      <w:spacing w:val="5"/>
      <w:u w:val="single"/>
      <w:lang w:val="en-GB" w:eastAsia="en-GB" w:bidi="en-GB"/>
    </w:rPr>
  </w:style>
  <w:style w:type="character" w:styleId="BookTitle">
    <w:name w:val="Book Title"/>
    <w:basedOn w:val="DefaultParagraphFont"/>
    <w:uiPriority w:val="33"/>
    <w:qFormat/>
    <w:rsid w:val="00FC693F"/>
    <w:rPr>
      <w:rFonts w:ascii="Arial" w:eastAsia="Arial" w:hAnsi="Arial" w:cs="Arial"/>
      <w:b/>
      <w:bCs/>
      <w:smallCaps/>
      <w:spacing w:val="5"/>
      <w:lang w:val="en-GB" w:eastAsia="en-GB" w:bidi="en-GB"/>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rFonts w:ascii="Arial" w:eastAsia="Arial" w:hAnsi="Arial" w:cs="Arial"/>
        <w:b/>
        <w:bCs/>
        <w:lang w:val="en-GB" w:eastAsia="en-GB" w:bidi="en-GB"/>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rFonts w:ascii="Arial" w:eastAsia="Arial" w:hAnsi="Arial" w:cs="Arial"/>
        <w:b/>
        <w:bCs/>
        <w:lang w:val="en-GB" w:eastAsia="en-GB" w:bidi="en-GB"/>
      </w:rPr>
      <w:tblPr/>
      <w:tcPr>
        <w:tcBorders>
          <w:top w:val="single" w:sz="8" w:space="0" w:color="000000" w:themeColor="text1"/>
          <w:left w:val="nil"/>
          <w:bottom w:val="single" w:sz="8" w:space="0" w:color="000000" w:themeColor="text1"/>
          <w:right w:val="nil"/>
          <w:insideH w:val="nil"/>
          <w:insideV w:val="nil"/>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rFonts w:ascii="Arial" w:eastAsia="Arial" w:hAnsi="Arial" w:cs="Arial"/>
        <w:b/>
        <w:bCs/>
        <w:lang w:val="en-GB" w:eastAsia="en-GB" w:bidi="en-GB"/>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rFonts w:ascii="Arial" w:eastAsia="Arial" w:hAnsi="Arial" w:cs="Arial"/>
        <w:b/>
        <w:bCs/>
        <w:lang w:val="en-GB" w:eastAsia="en-GB" w:bidi="en-GB"/>
      </w:rPr>
      <w:tblPr/>
      <w:tcPr>
        <w:tcBorders>
          <w:top w:val="single" w:sz="8" w:space="0" w:color="4F81BD" w:themeColor="accent1"/>
          <w:left w:val="nil"/>
          <w:bottom w:val="single" w:sz="8" w:space="0" w:color="4F81BD" w:themeColor="accent1"/>
          <w:right w:val="nil"/>
          <w:insideH w:val="nil"/>
          <w:insideV w:val="nil"/>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rFonts w:ascii="Arial" w:eastAsia="Arial" w:hAnsi="Arial" w:cs="Arial"/>
        <w:b/>
        <w:bCs/>
        <w:lang w:val="en-GB" w:eastAsia="en-GB" w:bidi="en-GB"/>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rFonts w:ascii="Arial" w:eastAsia="Arial" w:hAnsi="Arial" w:cs="Arial"/>
        <w:b/>
        <w:bCs/>
        <w:lang w:val="en-GB" w:eastAsia="en-GB" w:bidi="en-GB"/>
      </w:rPr>
      <w:tblPr/>
      <w:tcPr>
        <w:tcBorders>
          <w:top w:val="single" w:sz="8" w:space="0" w:color="C0504D" w:themeColor="accent2"/>
          <w:left w:val="nil"/>
          <w:bottom w:val="single" w:sz="8" w:space="0" w:color="C0504D" w:themeColor="accent2"/>
          <w:right w:val="nil"/>
          <w:insideH w:val="nil"/>
          <w:insideV w:val="nil"/>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rFonts w:ascii="Arial" w:eastAsia="Arial" w:hAnsi="Arial" w:cs="Arial"/>
        <w:b/>
        <w:bCs/>
        <w:lang w:val="en-GB" w:eastAsia="en-GB" w:bidi="en-GB"/>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rFonts w:ascii="Arial" w:eastAsia="Arial" w:hAnsi="Arial" w:cs="Arial"/>
        <w:b/>
        <w:bCs/>
        <w:lang w:val="en-GB" w:eastAsia="en-GB" w:bidi="en-GB"/>
      </w:rPr>
      <w:tblPr/>
      <w:tcPr>
        <w:tcBorders>
          <w:top w:val="single" w:sz="8" w:space="0" w:color="9BBB59" w:themeColor="accent3"/>
          <w:left w:val="nil"/>
          <w:bottom w:val="single" w:sz="8" w:space="0" w:color="9BBB59" w:themeColor="accent3"/>
          <w:right w:val="nil"/>
          <w:insideH w:val="nil"/>
          <w:insideV w:val="nil"/>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rFonts w:ascii="Arial" w:eastAsia="Arial" w:hAnsi="Arial" w:cs="Arial"/>
        <w:b/>
        <w:bCs/>
        <w:lang w:val="en-GB" w:eastAsia="en-GB" w:bidi="en-GB"/>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rFonts w:ascii="Arial" w:eastAsia="Arial" w:hAnsi="Arial" w:cs="Arial"/>
        <w:b/>
        <w:bCs/>
        <w:lang w:val="en-GB" w:eastAsia="en-GB" w:bidi="en-GB"/>
      </w:rPr>
      <w:tblPr/>
      <w:tcPr>
        <w:tcBorders>
          <w:top w:val="single" w:sz="8" w:space="0" w:color="8064A2" w:themeColor="accent4"/>
          <w:left w:val="nil"/>
          <w:bottom w:val="single" w:sz="8" w:space="0" w:color="8064A2" w:themeColor="accent4"/>
          <w:right w:val="nil"/>
          <w:insideH w:val="nil"/>
          <w:insideV w:val="nil"/>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rFonts w:ascii="Arial" w:eastAsia="Arial" w:hAnsi="Arial" w:cs="Arial"/>
        <w:b/>
        <w:bCs/>
        <w:lang w:val="en-GB" w:eastAsia="en-GB" w:bidi="en-GB"/>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rFonts w:ascii="Arial" w:eastAsia="Arial" w:hAnsi="Arial" w:cs="Arial"/>
        <w:b/>
        <w:bCs/>
        <w:lang w:val="en-GB" w:eastAsia="en-GB" w:bidi="en-GB"/>
      </w:rPr>
      <w:tblPr/>
      <w:tcPr>
        <w:tcBorders>
          <w:top w:val="single" w:sz="8" w:space="0" w:color="4BACC6" w:themeColor="accent5"/>
          <w:left w:val="nil"/>
          <w:bottom w:val="single" w:sz="8" w:space="0" w:color="4BACC6" w:themeColor="accent5"/>
          <w:right w:val="nil"/>
          <w:insideH w:val="nil"/>
          <w:insideV w:val="nil"/>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rFonts w:ascii="Arial" w:eastAsia="Arial" w:hAnsi="Arial" w:cs="Arial"/>
        <w:b/>
        <w:bCs/>
        <w:lang w:val="en-GB" w:eastAsia="en-GB" w:bidi="en-GB"/>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rFonts w:ascii="Arial" w:eastAsia="Arial" w:hAnsi="Arial" w:cs="Arial"/>
        <w:b/>
        <w:bCs/>
        <w:lang w:val="en-GB" w:eastAsia="en-GB" w:bidi="en-GB"/>
      </w:rPr>
      <w:tblPr/>
      <w:tcPr>
        <w:tcBorders>
          <w:top w:val="single" w:sz="8" w:space="0" w:color="F79646" w:themeColor="accent6"/>
          <w:left w:val="nil"/>
          <w:bottom w:val="single" w:sz="8" w:space="0" w:color="F79646" w:themeColor="accent6"/>
          <w:right w:val="nil"/>
          <w:insideH w:val="nil"/>
          <w:insideV w:val="nil"/>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rFonts w:ascii="Arial" w:eastAsia="Arial" w:hAnsi="Arial" w:cs="Arial"/>
        <w:b/>
        <w:bCs/>
        <w:color w:val="FFFFFF" w:themeColor="background1"/>
        <w:lang w:val="en-GB" w:eastAsia="en-GB" w:bidi="en-GB"/>
      </w:rPr>
      <w:tblPr/>
      <w:tcPr>
        <w:shd w:val="clear" w:color="auto" w:fill="000000" w:themeFill="text1"/>
      </w:tcPr>
    </w:tblStylePr>
    <w:tblStylePr w:type="lastRow">
      <w:pPr>
        <w:spacing w:before="0" w:after="0" w:line="240" w:lineRule="auto"/>
      </w:pPr>
      <w:rPr>
        <w:rFonts w:ascii="Arial" w:eastAsia="Arial" w:hAnsi="Arial" w:cs="Arial"/>
        <w:b/>
        <w:bCs/>
        <w:lang w:val="en-GB" w:eastAsia="en-GB" w:bidi="en-GB"/>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rFonts w:ascii="Arial" w:eastAsia="Arial" w:hAnsi="Arial" w:cs="Arial"/>
        <w:b/>
        <w:bCs/>
        <w:color w:val="FFFFFF" w:themeColor="background1"/>
        <w:lang w:val="en-GB" w:eastAsia="en-GB" w:bidi="en-GB"/>
      </w:rPr>
      <w:tblPr/>
      <w:tcPr>
        <w:shd w:val="clear" w:color="auto" w:fill="4F81BD" w:themeFill="accent1"/>
      </w:tcPr>
    </w:tblStylePr>
    <w:tblStylePr w:type="lastRow">
      <w:pPr>
        <w:spacing w:before="0" w:after="0" w:line="240" w:lineRule="auto"/>
      </w:pPr>
      <w:rPr>
        <w:rFonts w:ascii="Arial" w:eastAsia="Arial" w:hAnsi="Arial" w:cs="Arial"/>
        <w:b/>
        <w:bCs/>
        <w:lang w:val="en-GB" w:eastAsia="en-GB" w:bidi="en-GB"/>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rFonts w:ascii="Arial" w:eastAsia="Arial" w:hAnsi="Arial" w:cs="Arial"/>
        <w:b/>
        <w:bCs/>
        <w:color w:val="FFFFFF" w:themeColor="background1"/>
        <w:lang w:val="en-GB" w:eastAsia="en-GB" w:bidi="en-GB"/>
      </w:rPr>
      <w:tblPr/>
      <w:tcPr>
        <w:shd w:val="clear" w:color="auto" w:fill="C0504D" w:themeFill="accent2"/>
      </w:tcPr>
    </w:tblStylePr>
    <w:tblStylePr w:type="lastRow">
      <w:pPr>
        <w:spacing w:before="0" w:after="0" w:line="240" w:lineRule="auto"/>
      </w:pPr>
      <w:rPr>
        <w:rFonts w:ascii="Arial" w:eastAsia="Arial" w:hAnsi="Arial" w:cs="Arial"/>
        <w:b/>
        <w:bCs/>
        <w:lang w:val="en-GB" w:eastAsia="en-GB" w:bidi="en-GB"/>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rFonts w:ascii="Arial" w:eastAsia="Arial" w:hAnsi="Arial" w:cs="Arial"/>
        <w:b/>
        <w:bCs/>
        <w:color w:val="FFFFFF" w:themeColor="background1"/>
        <w:lang w:val="en-GB" w:eastAsia="en-GB" w:bidi="en-GB"/>
      </w:rPr>
      <w:tblPr/>
      <w:tcPr>
        <w:shd w:val="clear" w:color="auto" w:fill="9BBB59" w:themeFill="accent3"/>
      </w:tcPr>
    </w:tblStylePr>
    <w:tblStylePr w:type="lastRow">
      <w:pPr>
        <w:spacing w:before="0" w:after="0" w:line="240" w:lineRule="auto"/>
      </w:pPr>
      <w:rPr>
        <w:rFonts w:ascii="Arial" w:eastAsia="Arial" w:hAnsi="Arial" w:cs="Arial"/>
        <w:b/>
        <w:bCs/>
        <w:lang w:val="en-GB" w:eastAsia="en-GB" w:bidi="en-GB"/>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rFonts w:ascii="Arial" w:eastAsia="Arial" w:hAnsi="Arial" w:cs="Arial"/>
        <w:b/>
        <w:bCs/>
        <w:color w:val="FFFFFF" w:themeColor="background1"/>
        <w:lang w:val="en-GB" w:eastAsia="en-GB" w:bidi="en-GB"/>
      </w:rPr>
      <w:tblPr/>
      <w:tcPr>
        <w:shd w:val="clear" w:color="auto" w:fill="8064A2" w:themeFill="accent4"/>
      </w:tcPr>
    </w:tblStylePr>
    <w:tblStylePr w:type="lastRow">
      <w:pPr>
        <w:spacing w:before="0" w:after="0" w:line="240" w:lineRule="auto"/>
      </w:pPr>
      <w:rPr>
        <w:rFonts w:ascii="Arial" w:eastAsia="Arial" w:hAnsi="Arial" w:cs="Arial"/>
        <w:b/>
        <w:bCs/>
        <w:lang w:val="en-GB" w:eastAsia="en-GB" w:bidi="en-GB"/>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rFonts w:ascii="Arial" w:eastAsia="Arial" w:hAnsi="Arial" w:cs="Arial"/>
        <w:b/>
        <w:bCs/>
        <w:color w:val="FFFFFF" w:themeColor="background1"/>
        <w:lang w:val="en-GB" w:eastAsia="en-GB" w:bidi="en-GB"/>
      </w:rPr>
      <w:tblPr/>
      <w:tcPr>
        <w:shd w:val="clear" w:color="auto" w:fill="4BACC6" w:themeFill="accent5"/>
      </w:tcPr>
    </w:tblStylePr>
    <w:tblStylePr w:type="lastRow">
      <w:pPr>
        <w:spacing w:before="0" w:after="0" w:line="240" w:lineRule="auto"/>
      </w:pPr>
      <w:rPr>
        <w:rFonts w:ascii="Arial" w:eastAsia="Arial" w:hAnsi="Arial" w:cs="Arial"/>
        <w:b/>
        <w:bCs/>
        <w:lang w:val="en-GB" w:eastAsia="en-GB" w:bidi="en-GB"/>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rFonts w:ascii="Arial" w:eastAsia="Arial" w:hAnsi="Arial" w:cs="Arial"/>
        <w:b/>
        <w:bCs/>
        <w:color w:val="FFFFFF" w:themeColor="background1"/>
        <w:lang w:val="en-GB" w:eastAsia="en-GB" w:bidi="en-GB"/>
      </w:rPr>
      <w:tblPr/>
      <w:tcPr>
        <w:shd w:val="clear" w:color="auto" w:fill="F79646" w:themeFill="accent6"/>
      </w:tcPr>
    </w:tblStylePr>
    <w:tblStylePr w:type="lastRow">
      <w:pPr>
        <w:spacing w:before="0" w:after="0" w:line="240" w:lineRule="auto"/>
      </w:pPr>
      <w:rPr>
        <w:rFonts w:ascii="Arial" w:eastAsia="Arial" w:hAnsi="Arial" w:cs="Arial"/>
        <w:b/>
        <w:bCs/>
        <w:lang w:val="en-GB" w:eastAsia="en-GB" w:bidi="en-GB"/>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Arial" w:eastAsia="Arial" w:hAnsi="Arial" w:cs="Arial"/>
        <w:b/>
        <w:bCs/>
        <w:lang w:val="en-GB" w:eastAsia="en-GB" w:bidi="en-GB"/>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Arial" w:eastAsia="Arial" w:hAnsi="Arial" w:cs="Arial"/>
        <w:b/>
        <w:bCs/>
        <w:lang w:val="en-GB" w:eastAsia="en-GB" w:bidi="en-GB"/>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Arial" w:eastAsia="Arial" w:hAnsi="Arial" w:cs="Arial"/>
        <w:b/>
        <w:bCs/>
        <w:lang w:val="en-GB" w:eastAsia="en-GB" w:bidi="en-GB"/>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Arial" w:eastAsia="Arial" w:hAnsi="Arial" w:cs="Arial"/>
        <w:b/>
        <w:bCs/>
        <w:lang w:val="en-GB" w:eastAsia="en-GB" w:bidi="en-GB"/>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Arial" w:eastAsia="Arial" w:hAnsi="Arial" w:cs="Arial"/>
        <w:b/>
        <w:bCs/>
        <w:lang w:val="en-GB" w:eastAsia="en-GB" w:bidi="en-GB"/>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Arial" w:eastAsia="Arial" w:hAnsi="Arial" w:cs="Arial"/>
        <w:b/>
        <w:bCs/>
        <w:lang w:val="en-GB" w:eastAsia="en-GB" w:bidi="en-GB"/>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Arial" w:eastAsia="Arial" w:hAnsi="Arial" w:cs="Arial"/>
        <w:b/>
        <w:bCs/>
        <w:lang w:val="en-GB" w:eastAsia="en-GB" w:bidi="en-GB"/>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Arial" w:eastAsia="Arial" w:hAnsi="Arial" w:cs="Arial"/>
        <w:b/>
        <w:bCs/>
        <w:lang w:val="en-GB" w:eastAsia="en-GB" w:bidi="en-GB"/>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Arial" w:eastAsia="Arial" w:hAnsi="Arial" w:cs="Arial"/>
        <w:b/>
        <w:bCs/>
        <w:lang w:val="en-GB" w:eastAsia="en-GB" w:bidi="en-GB"/>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Arial" w:eastAsia="Arial" w:hAnsi="Arial" w:cs="Arial"/>
        <w:b/>
        <w:bCs/>
        <w:lang w:val="en-GB" w:eastAsia="en-GB" w:bidi="en-GB"/>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Arial" w:eastAsia="Arial" w:hAnsi="Arial" w:cs="Arial"/>
        <w:b/>
        <w:bCs/>
        <w:lang w:val="en-GB" w:eastAsia="en-GB" w:bidi="en-GB"/>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Arial" w:eastAsia="Arial" w:hAnsi="Arial" w:cs="Arial"/>
        <w:b/>
        <w:bCs/>
        <w:lang w:val="en-GB" w:eastAsia="en-GB" w:bidi="en-GB"/>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Arial" w:eastAsia="Arial" w:hAnsi="Arial" w:cs="Arial"/>
        <w:b/>
        <w:bCs/>
        <w:lang w:val="en-GB" w:eastAsia="en-GB" w:bidi="en-GB"/>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Arial" w:eastAsia="Arial" w:hAnsi="Arial" w:cs="Arial"/>
        <w:b/>
        <w:bCs/>
        <w:lang w:val="en-GB" w:eastAsia="en-GB" w:bidi="en-GB"/>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rFonts w:ascii="Arial" w:eastAsia="Arial" w:hAnsi="Arial" w:cs="Arial"/>
        <w:b/>
        <w:bCs/>
        <w:color w:val="FFFFFF" w:themeColor="background1"/>
        <w:lang w:val="en-GB" w:eastAsia="en-GB" w:bidi="en-GB"/>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rFonts w:ascii="Arial" w:eastAsia="Arial" w:hAnsi="Arial" w:cs="Arial"/>
        <w:b/>
        <w:bCs/>
        <w:lang w:val="en-GB" w:eastAsia="en-GB" w:bidi="en-GB"/>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rFonts w:ascii="Arial" w:eastAsia="Arial" w:hAnsi="Arial" w:cs="Arial"/>
        <w:b/>
        <w:bCs/>
        <w:color w:val="FFFFFF" w:themeColor="background1"/>
        <w:lang w:val="en-GB" w:eastAsia="en-GB" w:bidi="en-GB"/>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rFonts w:ascii="Arial" w:eastAsia="Arial" w:hAnsi="Arial" w:cs="Arial"/>
        <w:b/>
        <w:bCs/>
        <w:lang w:val="en-GB" w:eastAsia="en-GB" w:bidi="en-GB"/>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rFonts w:ascii="Arial" w:eastAsia="Arial" w:hAnsi="Arial" w:cs="Arial"/>
        <w:b/>
        <w:bCs/>
        <w:color w:val="FFFFFF" w:themeColor="background1"/>
        <w:lang w:val="en-GB" w:eastAsia="en-GB" w:bidi="en-GB"/>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rFonts w:ascii="Arial" w:eastAsia="Arial" w:hAnsi="Arial" w:cs="Arial"/>
        <w:b/>
        <w:bCs/>
        <w:lang w:val="en-GB" w:eastAsia="en-GB" w:bidi="en-GB"/>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rFonts w:ascii="Arial" w:eastAsia="Arial" w:hAnsi="Arial" w:cs="Arial"/>
        <w:b/>
        <w:bCs/>
        <w:color w:val="FFFFFF" w:themeColor="background1"/>
        <w:lang w:val="en-GB" w:eastAsia="en-GB" w:bidi="en-GB"/>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rFonts w:ascii="Arial" w:eastAsia="Arial" w:hAnsi="Arial" w:cs="Arial"/>
        <w:b/>
        <w:bCs/>
        <w:lang w:val="en-GB" w:eastAsia="en-GB" w:bidi="en-GB"/>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rFonts w:ascii="Arial" w:eastAsia="Arial" w:hAnsi="Arial" w:cs="Arial"/>
        <w:b/>
        <w:bCs/>
        <w:color w:val="FFFFFF" w:themeColor="background1"/>
        <w:lang w:val="en-GB" w:eastAsia="en-GB" w:bidi="en-GB"/>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rFonts w:ascii="Arial" w:eastAsia="Arial" w:hAnsi="Arial" w:cs="Arial"/>
        <w:b/>
        <w:bCs/>
        <w:lang w:val="en-GB" w:eastAsia="en-GB" w:bidi="en-GB"/>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rFonts w:ascii="Arial" w:eastAsia="Arial" w:hAnsi="Arial" w:cs="Arial"/>
        <w:b/>
        <w:bCs/>
        <w:color w:val="FFFFFF" w:themeColor="background1"/>
        <w:lang w:val="en-GB" w:eastAsia="en-GB" w:bidi="en-GB"/>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rFonts w:ascii="Arial" w:eastAsia="Arial" w:hAnsi="Arial" w:cs="Arial"/>
        <w:b/>
        <w:bCs/>
        <w:lang w:val="en-GB" w:eastAsia="en-GB" w:bidi="en-GB"/>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rFonts w:ascii="Arial" w:eastAsia="Arial" w:hAnsi="Arial" w:cs="Arial"/>
        <w:b/>
        <w:bCs/>
        <w:color w:val="FFFFFF" w:themeColor="background1"/>
        <w:lang w:val="en-GB" w:eastAsia="en-GB" w:bidi="en-GB"/>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rFonts w:ascii="Arial" w:eastAsia="Arial" w:hAnsi="Arial" w:cs="Arial"/>
        <w:b/>
        <w:bCs/>
        <w:lang w:val="en-GB" w:eastAsia="en-GB" w:bidi="en-GB"/>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rFonts w:ascii="Arial" w:eastAsia="Arial" w:hAnsi="Arial" w:cs="Arial"/>
        <w:b/>
        <w:bCs/>
        <w:color w:val="FFFFFF" w:themeColor="background1"/>
        <w:lang w:val="en-GB" w:eastAsia="en-GB" w:bidi="en-GB"/>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rFonts w:ascii="Arial" w:eastAsia="Arial" w:hAnsi="Arial" w:cs="Arial"/>
        <w:color w:val="auto"/>
        <w:lang w:val="en-GB" w:eastAsia="en-GB" w:bidi="en-GB"/>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rFonts w:ascii="Arial" w:eastAsia="Arial" w:hAnsi="Arial" w:cs="Arial"/>
        <w:b/>
        <w:bCs/>
        <w:color w:val="FFFFFF" w:themeColor="background1"/>
        <w:lang w:val="en-GB" w:eastAsia="en-GB" w:bidi="en-GB"/>
      </w:rPr>
      <w:tblPr/>
      <w:tcPr>
        <w:tcBorders>
          <w:top w:val="nil"/>
          <w:left w:val="nil"/>
          <w:bottom w:val="single" w:sz="18" w:space="0" w:color="auto"/>
          <w:right w:val="nil"/>
          <w:insideH w:val="nil"/>
          <w:insideV w:val="nil"/>
        </w:tcBorders>
        <w:shd w:val="clear" w:color="auto" w:fill="000000" w:themeFill="text1"/>
      </w:tcPr>
    </w:tblStylePr>
    <w:tblStylePr w:type="lastCol">
      <w:rPr>
        <w:rFonts w:ascii="Arial" w:eastAsia="Arial" w:hAnsi="Arial" w:cs="Arial"/>
        <w:b/>
        <w:bCs/>
        <w:color w:val="FFFFFF" w:themeColor="background1"/>
        <w:lang w:val="en-GB" w:eastAsia="en-GB" w:bidi="en-GB"/>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rFonts w:ascii="Arial" w:eastAsia="Arial" w:hAnsi="Arial" w:cs="Arial"/>
        <w:color w:val="FFFFFF" w:themeColor="background1"/>
        <w:lang w:val="en-GB" w:eastAsia="en-GB" w:bidi="en-GB"/>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rFonts w:ascii="Arial" w:eastAsia="Arial" w:hAnsi="Arial" w:cs="Arial"/>
        <w:b/>
        <w:bCs/>
        <w:color w:val="FFFFFF" w:themeColor="background1"/>
        <w:lang w:val="en-GB" w:eastAsia="en-GB" w:bidi="en-GB"/>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rFonts w:ascii="Arial" w:eastAsia="Arial" w:hAnsi="Arial" w:cs="Arial"/>
        <w:color w:val="auto"/>
        <w:lang w:val="en-GB" w:eastAsia="en-GB" w:bidi="en-GB"/>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rFonts w:ascii="Arial" w:eastAsia="Arial" w:hAnsi="Arial" w:cs="Arial"/>
        <w:b/>
        <w:bCs/>
        <w:color w:val="FFFFFF" w:themeColor="background1"/>
        <w:lang w:val="en-GB" w:eastAsia="en-GB" w:bidi="en-GB"/>
      </w:rPr>
      <w:tblPr/>
      <w:tcPr>
        <w:tcBorders>
          <w:top w:val="nil"/>
          <w:left w:val="nil"/>
          <w:bottom w:val="single" w:sz="18" w:space="0" w:color="auto"/>
          <w:right w:val="nil"/>
          <w:insideH w:val="nil"/>
          <w:insideV w:val="nil"/>
        </w:tcBorders>
        <w:shd w:val="clear" w:color="auto" w:fill="4F81BD" w:themeFill="accent1"/>
      </w:tcPr>
    </w:tblStylePr>
    <w:tblStylePr w:type="lastCol">
      <w:rPr>
        <w:rFonts w:ascii="Arial" w:eastAsia="Arial" w:hAnsi="Arial" w:cs="Arial"/>
        <w:b/>
        <w:bCs/>
        <w:color w:val="FFFFFF" w:themeColor="background1"/>
        <w:lang w:val="en-GB" w:eastAsia="en-GB" w:bidi="en-GB"/>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rFonts w:ascii="Arial" w:eastAsia="Arial" w:hAnsi="Arial" w:cs="Arial"/>
        <w:color w:val="FFFFFF" w:themeColor="background1"/>
        <w:lang w:val="en-GB" w:eastAsia="en-GB" w:bidi="en-GB"/>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rFonts w:ascii="Arial" w:eastAsia="Arial" w:hAnsi="Arial" w:cs="Arial"/>
        <w:b/>
        <w:bCs/>
        <w:color w:val="FFFFFF" w:themeColor="background1"/>
        <w:lang w:val="en-GB" w:eastAsia="en-GB" w:bidi="en-GB"/>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rFonts w:ascii="Arial" w:eastAsia="Arial" w:hAnsi="Arial" w:cs="Arial"/>
        <w:color w:val="auto"/>
        <w:lang w:val="en-GB" w:eastAsia="en-GB" w:bidi="en-GB"/>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rFonts w:ascii="Arial" w:eastAsia="Arial" w:hAnsi="Arial" w:cs="Arial"/>
        <w:b/>
        <w:bCs/>
        <w:color w:val="FFFFFF" w:themeColor="background1"/>
        <w:lang w:val="en-GB" w:eastAsia="en-GB" w:bidi="en-GB"/>
      </w:rPr>
      <w:tblPr/>
      <w:tcPr>
        <w:tcBorders>
          <w:top w:val="nil"/>
          <w:left w:val="nil"/>
          <w:bottom w:val="single" w:sz="18" w:space="0" w:color="auto"/>
          <w:right w:val="nil"/>
          <w:insideH w:val="nil"/>
          <w:insideV w:val="nil"/>
        </w:tcBorders>
        <w:shd w:val="clear" w:color="auto" w:fill="C0504D" w:themeFill="accent2"/>
      </w:tcPr>
    </w:tblStylePr>
    <w:tblStylePr w:type="lastCol">
      <w:rPr>
        <w:rFonts w:ascii="Arial" w:eastAsia="Arial" w:hAnsi="Arial" w:cs="Arial"/>
        <w:b/>
        <w:bCs/>
        <w:color w:val="FFFFFF" w:themeColor="background1"/>
        <w:lang w:val="en-GB" w:eastAsia="en-GB" w:bidi="en-GB"/>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rFonts w:ascii="Arial" w:eastAsia="Arial" w:hAnsi="Arial" w:cs="Arial"/>
        <w:color w:val="FFFFFF" w:themeColor="background1"/>
        <w:lang w:val="en-GB" w:eastAsia="en-GB" w:bidi="en-GB"/>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rFonts w:ascii="Arial" w:eastAsia="Arial" w:hAnsi="Arial" w:cs="Arial"/>
        <w:b/>
        <w:bCs/>
        <w:color w:val="FFFFFF" w:themeColor="background1"/>
        <w:lang w:val="en-GB" w:eastAsia="en-GB" w:bidi="en-GB"/>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rFonts w:ascii="Arial" w:eastAsia="Arial" w:hAnsi="Arial" w:cs="Arial"/>
        <w:color w:val="auto"/>
        <w:lang w:val="en-GB" w:eastAsia="en-GB" w:bidi="en-GB"/>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rFonts w:ascii="Arial" w:eastAsia="Arial" w:hAnsi="Arial" w:cs="Arial"/>
        <w:b/>
        <w:bCs/>
        <w:color w:val="FFFFFF" w:themeColor="background1"/>
        <w:lang w:val="en-GB" w:eastAsia="en-GB" w:bidi="en-GB"/>
      </w:rPr>
      <w:tblPr/>
      <w:tcPr>
        <w:tcBorders>
          <w:top w:val="nil"/>
          <w:left w:val="nil"/>
          <w:bottom w:val="single" w:sz="18" w:space="0" w:color="auto"/>
          <w:right w:val="nil"/>
          <w:insideH w:val="nil"/>
          <w:insideV w:val="nil"/>
        </w:tcBorders>
        <w:shd w:val="clear" w:color="auto" w:fill="9BBB59" w:themeFill="accent3"/>
      </w:tcPr>
    </w:tblStylePr>
    <w:tblStylePr w:type="lastCol">
      <w:rPr>
        <w:rFonts w:ascii="Arial" w:eastAsia="Arial" w:hAnsi="Arial" w:cs="Arial"/>
        <w:b/>
        <w:bCs/>
        <w:color w:val="FFFFFF" w:themeColor="background1"/>
        <w:lang w:val="en-GB" w:eastAsia="en-GB" w:bidi="en-GB"/>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rFonts w:ascii="Arial" w:eastAsia="Arial" w:hAnsi="Arial" w:cs="Arial"/>
        <w:color w:val="FFFFFF" w:themeColor="background1"/>
        <w:lang w:val="en-GB" w:eastAsia="en-GB" w:bidi="en-GB"/>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rFonts w:ascii="Arial" w:eastAsia="Arial" w:hAnsi="Arial" w:cs="Arial"/>
        <w:b/>
        <w:bCs/>
        <w:color w:val="FFFFFF" w:themeColor="background1"/>
        <w:lang w:val="en-GB" w:eastAsia="en-GB" w:bidi="en-GB"/>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rFonts w:ascii="Arial" w:eastAsia="Arial" w:hAnsi="Arial" w:cs="Arial"/>
        <w:color w:val="auto"/>
        <w:lang w:val="en-GB" w:eastAsia="en-GB" w:bidi="en-GB"/>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rFonts w:ascii="Arial" w:eastAsia="Arial" w:hAnsi="Arial" w:cs="Arial"/>
        <w:b/>
        <w:bCs/>
        <w:color w:val="FFFFFF" w:themeColor="background1"/>
        <w:lang w:val="en-GB" w:eastAsia="en-GB" w:bidi="en-GB"/>
      </w:rPr>
      <w:tblPr/>
      <w:tcPr>
        <w:tcBorders>
          <w:top w:val="nil"/>
          <w:left w:val="nil"/>
          <w:bottom w:val="single" w:sz="18" w:space="0" w:color="auto"/>
          <w:right w:val="nil"/>
          <w:insideH w:val="nil"/>
          <w:insideV w:val="nil"/>
        </w:tcBorders>
        <w:shd w:val="clear" w:color="auto" w:fill="8064A2" w:themeFill="accent4"/>
      </w:tcPr>
    </w:tblStylePr>
    <w:tblStylePr w:type="lastCol">
      <w:rPr>
        <w:rFonts w:ascii="Arial" w:eastAsia="Arial" w:hAnsi="Arial" w:cs="Arial"/>
        <w:b/>
        <w:bCs/>
        <w:color w:val="FFFFFF" w:themeColor="background1"/>
        <w:lang w:val="en-GB" w:eastAsia="en-GB" w:bidi="en-GB"/>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rFonts w:ascii="Arial" w:eastAsia="Arial" w:hAnsi="Arial" w:cs="Arial"/>
        <w:color w:val="FFFFFF" w:themeColor="background1"/>
        <w:lang w:val="en-GB" w:eastAsia="en-GB" w:bidi="en-GB"/>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rFonts w:ascii="Arial" w:eastAsia="Arial" w:hAnsi="Arial" w:cs="Arial"/>
        <w:b/>
        <w:bCs/>
        <w:color w:val="FFFFFF" w:themeColor="background1"/>
        <w:lang w:val="en-GB" w:eastAsia="en-GB" w:bidi="en-GB"/>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rFonts w:ascii="Arial" w:eastAsia="Arial" w:hAnsi="Arial" w:cs="Arial"/>
        <w:color w:val="auto"/>
        <w:lang w:val="en-GB" w:eastAsia="en-GB" w:bidi="en-GB"/>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rFonts w:ascii="Arial" w:eastAsia="Arial" w:hAnsi="Arial" w:cs="Arial"/>
        <w:b/>
        <w:bCs/>
        <w:color w:val="FFFFFF" w:themeColor="background1"/>
        <w:lang w:val="en-GB" w:eastAsia="en-GB" w:bidi="en-GB"/>
      </w:rPr>
      <w:tblPr/>
      <w:tcPr>
        <w:tcBorders>
          <w:top w:val="nil"/>
          <w:left w:val="nil"/>
          <w:bottom w:val="single" w:sz="18" w:space="0" w:color="auto"/>
          <w:right w:val="nil"/>
          <w:insideH w:val="nil"/>
          <w:insideV w:val="nil"/>
        </w:tcBorders>
        <w:shd w:val="clear" w:color="auto" w:fill="4BACC6" w:themeFill="accent5"/>
      </w:tcPr>
    </w:tblStylePr>
    <w:tblStylePr w:type="lastCol">
      <w:rPr>
        <w:rFonts w:ascii="Arial" w:eastAsia="Arial" w:hAnsi="Arial" w:cs="Arial"/>
        <w:b/>
        <w:bCs/>
        <w:color w:val="FFFFFF" w:themeColor="background1"/>
        <w:lang w:val="en-GB" w:eastAsia="en-GB" w:bidi="en-GB"/>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rFonts w:ascii="Arial" w:eastAsia="Arial" w:hAnsi="Arial" w:cs="Arial"/>
        <w:color w:val="FFFFFF" w:themeColor="background1"/>
        <w:lang w:val="en-GB" w:eastAsia="en-GB" w:bidi="en-GB"/>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rFonts w:ascii="Arial" w:eastAsia="Arial" w:hAnsi="Arial" w:cs="Arial"/>
        <w:b/>
        <w:bCs/>
        <w:color w:val="FFFFFF" w:themeColor="background1"/>
        <w:lang w:val="en-GB" w:eastAsia="en-GB" w:bidi="en-GB"/>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rFonts w:ascii="Arial" w:eastAsia="Arial" w:hAnsi="Arial" w:cs="Arial"/>
        <w:color w:val="auto"/>
        <w:lang w:val="en-GB" w:eastAsia="en-GB" w:bidi="en-GB"/>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rFonts w:ascii="Arial" w:eastAsia="Arial" w:hAnsi="Arial" w:cs="Arial"/>
        <w:b/>
        <w:bCs/>
        <w:color w:val="FFFFFF" w:themeColor="background1"/>
        <w:lang w:val="en-GB" w:eastAsia="en-GB" w:bidi="en-GB"/>
      </w:rPr>
      <w:tblPr/>
      <w:tcPr>
        <w:tcBorders>
          <w:top w:val="nil"/>
          <w:left w:val="nil"/>
          <w:bottom w:val="single" w:sz="18" w:space="0" w:color="auto"/>
          <w:right w:val="nil"/>
          <w:insideH w:val="nil"/>
          <w:insideV w:val="nil"/>
        </w:tcBorders>
        <w:shd w:val="clear" w:color="auto" w:fill="F79646" w:themeFill="accent6"/>
      </w:tcPr>
    </w:tblStylePr>
    <w:tblStylePr w:type="lastCol">
      <w:rPr>
        <w:rFonts w:ascii="Arial" w:eastAsia="Arial" w:hAnsi="Arial" w:cs="Arial"/>
        <w:b/>
        <w:bCs/>
        <w:color w:val="FFFFFF" w:themeColor="background1"/>
        <w:lang w:val="en-GB" w:eastAsia="en-GB" w:bidi="en-GB"/>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rFonts w:ascii="Arial" w:eastAsia="Arial" w:hAnsi="Arial" w:cs="Arial"/>
        <w:color w:val="FFFFFF" w:themeColor="background1"/>
        <w:lang w:val="en-GB" w:eastAsia="en-GB" w:bidi="en-GB"/>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Arial" w:eastAsia="Arial" w:hAnsi="Arial" w:cs="Arial"/>
        <w:lang w:val="en-GB" w:eastAsia="en-GB" w:bidi="en-GB"/>
      </w:rPr>
      <w:tblPr/>
      <w:tcPr>
        <w:tcBorders>
          <w:top w:val="nil"/>
          <w:bottom w:val="single" w:sz="8" w:space="0" w:color="000000" w:themeColor="text1"/>
        </w:tcBorders>
      </w:tcPr>
    </w:tblStylePr>
    <w:tblStylePr w:type="lastRow">
      <w:rPr>
        <w:rFonts w:ascii="Arial" w:eastAsia="Arial" w:hAnsi="Arial" w:cs="Arial"/>
        <w:b/>
        <w:bCs/>
        <w:color w:val="1F497D" w:themeColor="text2"/>
        <w:lang w:val="en-GB" w:eastAsia="en-GB" w:bidi="en-GB"/>
      </w:rPr>
      <w:tblPr/>
      <w:tcPr>
        <w:tcBorders>
          <w:top w:val="single" w:sz="8" w:space="0" w:color="000000" w:themeColor="text1"/>
          <w:bottom w:val="single" w:sz="8" w:space="0" w:color="000000" w:themeColor="text1"/>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Arial" w:eastAsia="Arial" w:hAnsi="Arial" w:cs="Arial"/>
        <w:lang w:val="en-GB" w:eastAsia="en-GB" w:bidi="en-GB"/>
      </w:rPr>
      <w:tblPr/>
      <w:tcPr>
        <w:tcBorders>
          <w:top w:val="nil"/>
          <w:bottom w:val="single" w:sz="8" w:space="0" w:color="4F81BD" w:themeColor="accent1"/>
        </w:tcBorders>
      </w:tcPr>
    </w:tblStylePr>
    <w:tblStylePr w:type="lastRow">
      <w:rPr>
        <w:rFonts w:ascii="Arial" w:eastAsia="Arial" w:hAnsi="Arial" w:cs="Arial"/>
        <w:b/>
        <w:bCs/>
        <w:color w:val="1F497D" w:themeColor="text2"/>
        <w:lang w:val="en-GB" w:eastAsia="en-GB" w:bidi="en-GB"/>
      </w:rPr>
      <w:tblPr/>
      <w:tcPr>
        <w:tcBorders>
          <w:top w:val="single" w:sz="8" w:space="0" w:color="4F81BD" w:themeColor="accent1"/>
          <w:bottom w:val="single" w:sz="8" w:space="0" w:color="4F81BD" w:themeColor="accent1"/>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Arial" w:eastAsia="Arial" w:hAnsi="Arial" w:cs="Arial"/>
        <w:lang w:val="en-GB" w:eastAsia="en-GB" w:bidi="en-GB"/>
      </w:rPr>
      <w:tblPr/>
      <w:tcPr>
        <w:tcBorders>
          <w:top w:val="nil"/>
          <w:bottom w:val="single" w:sz="8" w:space="0" w:color="C0504D" w:themeColor="accent2"/>
        </w:tcBorders>
      </w:tcPr>
    </w:tblStylePr>
    <w:tblStylePr w:type="lastRow">
      <w:rPr>
        <w:rFonts w:ascii="Arial" w:eastAsia="Arial" w:hAnsi="Arial" w:cs="Arial"/>
        <w:b/>
        <w:bCs/>
        <w:color w:val="1F497D" w:themeColor="text2"/>
        <w:lang w:val="en-GB" w:eastAsia="en-GB" w:bidi="en-GB"/>
      </w:rPr>
      <w:tblPr/>
      <w:tcPr>
        <w:tcBorders>
          <w:top w:val="single" w:sz="8" w:space="0" w:color="C0504D" w:themeColor="accent2"/>
          <w:bottom w:val="single" w:sz="8" w:space="0" w:color="C0504D" w:themeColor="accent2"/>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Arial" w:eastAsia="Arial" w:hAnsi="Arial" w:cs="Arial"/>
        <w:lang w:val="en-GB" w:eastAsia="en-GB" w:bidi="en-GB"/>
      </w:rPr>
      <w:tblPr/>
      <w:tcPr>
        <w:tcBorders>
          <w:top w:val="nil"/>
          <w:bottom w:val="single" w:sz="8" w:space="0" w:color="9BBB59" w:themeColor="accent3"/>
        </w:tcBorders>
      </w:tcPr>
    </w:tblStylePr>
    <w:tblStylePr w:type="lastRow">
      <w:rPr>
        <w:rFonts w:ascii="Arial" w:eastAsia="Arial" w:hAnsi="Arial" w:cs="Arial"/>
        <w:b/>
        <w:bCs/>
        <w:color w:val="1F497D" w:themeColor="text2"/>
        <w:lang w:val="en-GB" w:eastAsia="en-GB" w:bidi="en-GB"/>
      </w:rPr>
      <w:tblPr/>
      <w:tcPr>
        <w:tcBorders>
          <w:top w:val="single" w:sz="8" w:space="0" w:color="9BBB59" w:themeColor="accent3"/>
          <w:bottom w:val="single" w:sz="8" w:space="0" w:color="9BBB59" w:themeColor="accent3"/>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Arial" w:eastAsia="Arial" w:hAnsi="Arial" w:cs="Arial"/>
        <w:lang w:val="en-GB" w:eastAsia="en-GB" w:bidi="en-GB"/>
      </w:rPr>
      <w:tblPr/>
      <w:tcPr>
        <w:tcBorders>
          <w:top w:val="nil"/>
          <w:bottom w:val="single" w:sz="8" w:space="0" w:color="8064A2" w:themeColor="accent4"/>
        </w:tcBorders>
      </w:tcPr>
    </w:tblStylePr>
    <w:tblStylePr w:type="lastRow">
      <w:rPr>
        <w:rFonts w:ascii="Arial" w:eastAsia="Arial" w:hAnsi="Arial" w:cs="Arial"/>
        <w:b/>
        <w:bCs/>
        <w:color w:val="1F497D" w:themeColor="text2"/>
        <w:lang w:val="en-GB" w:eastAsia="en-GB" w:bidi="en-GB"/>
      </w:rPr>
      <w:tblPr/>
      <w:tcPr>
        <w:tcBorders>
          <w:top w:val="single" w:sz="8" w:space="0" w:color="8064A2" w:themeColor="accent4"/>
          <w:bottom w:val="single" w:sz="8" w:space="0" w:color="8064A2" w:themeColor="accent4"/>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Arial" w:eastAsia="Arial" w:hAnsi="Arial" w:cs="Arial"/>
        <w:lang w:val="en-GB" w:eastAsia="en-GB" w:bidi="en-GB"/>
      </w:rPr>
      <w:tblPr/>
      <w:tcPr>
        <w:tcBorders>
          <w:top w:val="nil"/>
          <w:bottom w:val="single" w:sz="8" w:space="0" w:color="4BACC6" w:themeColor="accent5"/>
        </w:tcBorders>
      </w:tcPr>
    </w:tblStylePr>
    <w:tblStylePr w:type="lastRow">
      <w:rPr>
        <w:rFonts w:ascii="Arial" w:eastAsia="Arial" w:hAnsi="Arial" w:cs="Arial"/>
        <w:b/>
        <w:bCs/>
        <w:color w:val="1F497D" w:themeColor="text2"/>
        <w:lang w:val="en-GB" w:eastAsia="en-GB" w:bidi="en-GB"/>
      </w:rPr>
      <w:tblPr/>
      <w:tcPr>
        <w:tcBorders>
          <w:top w:val="single" w:sz="8" w:space="0" w:color="4BACC6" w:themeColor="accent5"/>
          <w:bottom w:val="single" w:sz="8" w:space="0" w:color="4BACC6" w:themeColor="accent5"/>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Arial" w:eastAsia="Arial" w:hAnsi="Arial" w:cs="Arial"/>
        <w:lang w:val="en-GB" w:eastAsia="en-GB" w:bidi="en-GB"/>
      </w:rPr>
      <w:tblPr/>
      <w:tcPr>
        <w:tcBorders>
          <w:top w:val="nil"/>
          <w:bottom w:val="single" w:sz="8" w:space="0" w:color="F79646" w:themeColor="accent6"/>
        </w:tcBorders>
      </w:tcPr>
    </w:tblStylePr>
    <w:tblStylePr w:type="lastRow">
      <w:rPr>
        <w:rFonts w:ascii="Arial" w:eastAsia="Arial" w:hAnsi="Arial" w:cs="Arial"/>
        <w:b/>
        <w:bCs/>
        <w:color w:val="1F497D" w:themeColor="text2"/>
        <w:lang w:val="en-GB" w:eastAsia="en-GB" w:bidi="en-GB"/>
      </w:rPr>
      <w:tblPr/>
      <w:tcPr>
        <w:tcBorders>
          <w:top w:val="single" w:sz="8" w:space="0" w:color="F79646" w:themeColor="accent6"/>
          <w:bottom w:val="single" w:sz="8" w:space="0" w:color="F79646" w:themeColor="accent6"/>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rFonts w:ascii="Arial" w:eastAsia="Arial" w:hAnsi="Arial" w:cs="Arial"/>
        <w:sz w:val="24"/>
        <w:szCs w:val="24"/>
        <w:lang w:val="en-GB" w:eastAsia="en-GB" w:bidi="en-GB"/>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rFonts w:ascii="Arial" w:eastAsia="Arial" w:hAnsi="Arial" w:cs="Arial"/>
        <w:sz w:val="24"/>
        <w:szCs w:val="24"/>
        <w:lang w:val="en-GB" w:eastAsia="en-GB" w:bidi="en-GB"/>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rFonts w:ascii="Arial" w:eastAsia="Arial" w:hAnsi="Arial" w:cs="Arial"/>
        <w:sz w:val="24"/>
        <w:szCs w:val="24"/>
        <w:lang w:val="en-GB" w:eastAsia="en-GB" w:bidi="en-GB"/>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rFonts w:ascii="Arial" w:eastAsia="Arial" w:hAnsi="Arial" w:cs="Arial"/>
        <w:sz w:val="24"/>
        <w:szCs w:val="24"/>
        <w:lang w:val="en-GB" w:eastAsia="en-GB" w:bidi="en-GB"/>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rFonts w:ascii="Arial" w:eastAsia="Arial" w:hAnsi="Arial" w:cs="Arial"/>
        <w:sz w:val="24"/>
        <w:szCs w:val="24"/>
        <w:lang w:val="en-GB" w:eastAsia="en-GB" w:bidi="en-GB"/>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rFonts w:ascii="Arial" w:eastAsia="Arial" w:hAnsi="Arial" w:cs="Arial"/>
        <w:sz w:val="24"/>
        <w:szCs w:val="24"/>
        <w:lang w:val="en-GB" w:eastAsia="en-GB" w:bidi="en-GB"/>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rFonts w:ascii="Arial" w:eastAsia="Arial" w:hAnsi="Arial" w:cs="Arial"/>
        <w:sz w:val="24"/>
        <w:szCs w:val="24"/>
        <w:lang w:val="en-GB" w:eastAsia="en-GB" w:bidi="en-GB"/>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rFonts w:ascii="Arial" w:eastAsia="Arial" w:hAnsi="Arial" w:cs="Arial"/>
        <w:b/>
        <w:bCs/>
        <w:lang w:val="en-GB" w:eastAsia="en-GB" w:bidi="en-GB"/>
      </w:rPr>
    </w:tblStylePr>
    <w:tblStylePr w:type="lastRow">
      <w:rPr>
        <w:rFonts w:ascii="Arial" w:eastAsia="Arial" w:hAnsi="Arial" w:cs="Arial"/>
        <w:b/>
        <w:bCs/>
        <w:lang w:val="en-GB" w:eastAsia="en-GB" w:bidi="en-GB"/>
      </w:rPr>
      <w:tblPr/>
      <w:tcPr>
        <w:tcBorders>
          <w:top w:val="single" w:sz="18" w:space="0" w:color="404040" w:themeColor="text1" w:themeTint="BF"/>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rFonts w:ascii="Arial" w:eastAsia="Arial" w:hAnsi="Arial" w:cs="Arial"/>
        <w:b/>
        <w:bCs/>
        <w:lang w:val="en-GB" w:eastAsia="en-GB" w:bidi="en-GB"/>
      </w:rPr>
    </w:tblStylePr>
    <w:tblStylePr w:type="lastRow">
      <w:rPr>
        <w:rFonts w:ascii="Arial" w:eastAsia="Arial" w:hAnsi="Arial" w:cs="Arial"/>
        <w:b/>
        <w:bCs/>
        <w:lang w:val="en-GB" w:eastAsia="en-GB" w:bidi="en-GB"/>
      </w:rPr>
      <w:tblPr/>
      <w:tcPr>
        <w:tcBorders>
          <w:top w:val="single" w:sz="18" w:space="0" w:color="7BA0CD" w:themeColor="accent1" w:themeTint="BF"/>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rFonts w:ascii="Arial" w:eastAsia="Arial" w:hAnsi="Arial" w:cs="Arial"/>
        <w:b/>
        <w:bCs/>
        <w:lang w:val="en-GB" w:eastAsia="en-GB" w:bidi="en-GB"/>
      </w:rPr>
    </w:tblStylePr>
    <w:tblStylePr w:type="lastRow">
      <w:rPr>
        <w:rFonts w:ascii="Arial" w:eastAsia="Arial" w:hAnsi="Arial" w:cs="Arial"/>
        <w:b/>
        <w:bCs/>
        <w:lang w:val="en-GB" w:eastAsia="en-GB" w:bidi="en-GB"/>
      </w:rPr>
      <w:tblPr/>
      <w:tcPr>
        <w:tcBorders>
          <w:top w:val="single" w:sz="18" w:space="0" w:color="CF7B79" w:themeColor="accent2" w:themeTint="BF"/>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rFonts w:ascii="Arial" w:eastAsia="Arial" w:hAnsi="Arial" w:cs="Arial"/>
        <w:b/>
        <w:bCs/>
        <w:lang w:val="en-GB" w:eastAsia="en-GB" w:bidi="en-GB"/>
      </w:rPr>
    </w:tblStylePr>
    <w:tblStylePr w:type="lastRow">
      <w:rPr>
        <w:rFonts w:ascii="Arial" w:eastAsia="Arial" w:hAnsi="Arial" w:cs="Arial"/>
        <w:b/>
        <w:bCs/>
        <w:lang w:val="en-GB" w:eastAsia="en-GB" w:bidi="en-GB"/>
      </w:rPr>
      <w:tblPr/>
      <w:tcPr>
        <w:tcBorders>
          <w:top w:val="single" w:sz="18" w:space="0" w:color="B3CC82" w:themeColor="accent3" w:themeTint="BF"/>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rFonts w:ascii="Arial" w:eastAsia="Arial" w:hAnsi="Arial" w:cs="Arial"/>
        <w:b/>
        <w:bCs/>
        <w:lang w:val="en-GB" w:eastAsia="en-GB" w:bidi="en-GB"/>
      </w:rPr>
    </w:tblStylePr>
    <w:tblStylePr w:type="lastRow">
      <w:rPr>
        <w:rFonts w:ascii="Arial" w:eastAsia="Arial" w:hAnsi="Arial" w:cs="Arial"/>
        <w:b/>
        <w:bCs/>
        <w:lang w:val="en-GB" w:eastAsia="en-GB" w:bidi="en-GB"/>
      </w:rPr>
      <w:tblPr/>
      <w:tcPr>
        <w:tcBorders>
          <w:top w:val="single" w:sz="18" w:space="0" w:color="9F8AB9" w:themeColor="accent4" w:themeTint="BF"/>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rFonts w:ascii="Arial" w:eastAsia="Arial" w:hAnsi="Arial" w:cs="Arial"/>
        <w:b/>
        <w:bCs/>
        <w:lang w:val="en-GB" w:eastAsia="en-GB" w:bidi="en-GB"/>
      </w:rPr>
    </w:tblStylePr>
    <w:tblStylePr w:type="lastRow">
      <w:rPr>
        <w:rFonts w:ascii="Arial" w:eastAsia="Arial" w:hAnsi="Arial" w:cs="Arial"/>
        <w:b/>
        <w:bCs/>
        <w:lang w:val="en-GB" w:eastAsia="en-GB" w:bidi="en-GB"/>
      </w:rPr>
      <w:tblPr/>
      <w:tcPr>
        <w:tcBorders>
          <w:top w:val="single" w:sz="18" w:space="0" w:color="78C0D4" w:themeColor="accent5" w:themeTint="BF"/>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rFonts w:ascii="Arial" w:eastAsia="Arial" w:hAnsi="Arial" w:cs="Arial"/>
        <w:b/>
        <w:bCs/>
        <w:lang w:val="en-GB" w:eastAsia="en-GB" w:bidi="en-GB"/>
      </w:rPr>
    </w:tblStylePr>
    <w:tblStylePr w:type="lastRow">
      <w:rPr>
        <w:rFonts w:ascii="Arial" w:eastAsia="Arial" w:hAnsi="Arial" w:cs="Arial"/>
        <w:b/>
        <w:bCs/>
        <w:lang w:val="en-GB" w:eastAsia="en-GB" w:bidi="en-GB"/>
      </w:rPr>
      <w:tblPr/>
      <w:tcPr>
        <w:tcBorders>
          <w:top w:val="single" w:sz="18" w:space="0" w:color="F9B074" w:themeColor="accent6" w:themeTint="BF"/>
        </w:tcBorders>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rFonts w:ascii="Arial" w:eastAsia="Arial" w:hAnsi="Arial" w:cs="Arial"/>
        <w:b/>
        <w:bCs/>
        <w:color w:val="000000" w:themeColor="text1"/>
        <w:lang w:val="en-GB" w:eastAsia="en-GB" w:bidi="en-GB"/>
      </w:rPr>
      <w:tblPr/>
      <w:tcPr>
        <w:shd w:val="clear" w:color="auto" w:fill="E6E6E6" w:themeFill="text1" w:themeFillTint="19"/>
      </w:tcPr>
    </w:tblStylePr>
    <w:tblStylePr w:type="lastRow">
      <w:rPr>
        <w:rFonts w:ascii="Arial" w:eastAsia="Arial" w:hAnsi="Arial" w:cs="Arial"/>
        <w:b/>
        <w:bCs/>
        <w:color w:val="000000" w:themeColor="text1"/>
        <w:lang w:val="en-GB" w:eastAsia="en-GB" w:bidi="en-GB"/>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rFonts w:ascii="Arial" w:eastAsia="Arial" w:hAnsi="Arial" w:cs="Arial"/>
        <w:b/>
        <w:bCs/>
        <w:color w:val="000000" w:themeColor="text1"/>
        <w:lang w:val="en-GB" w:eastAsia="en-GB" w:bidi="en-GB"/>
      </w:rPr>
      <w:tblPr/>
      <w:tcPr>
        <w:tcBorders>
          <w:top w:val="nil"/>
          <w:left w:val="nil"/>
          <w:bottom w:val="nil"/>
          <w:right w:val="nil"/>
          <w:insideH w:val="nil"/>
          <w:insideV w:val="nil"/>
        </w:tcBorders>
        <w:shd w:val="clear" w:color="auto" w:fill="FFFFFF" w:themeFill="background1"/>
      </w:tcPr>
    </w:tblStylePr>
    <w:tblStylePr w:type="lastCol">
      <w:rPr>
        <w:rFonts w:ascii="Arial" w:eastAsia="Arial" w:hAnsi="Arial" w:cs="Arial"/>
        <w:b w:val="0"/>
        <w:bCs w:val="0"/>
        <w:color w:val="000000" w:themeColor="text1"/>
        <w:lang w:val="en-GB" w:eastAsia="en-GB" w:bidi="en-GB"/>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rFonts w:ascii="Arial" w:eastAsia="Arial" w:hAnsi="Arial" w:cs="Arial"/>
        <w:b/>
        <w:bCs/>
        <w:color w:val="000000" w:themeColor="text1"/>
        <w:lang w:val="en-GB" w:eastAsia="en-GB" w:bidi="en-GB"/>
      </w:rPr>
      <w:tblPr/>
      <w:tcPr>
        <w:shd w:val="clear" w:color="auto" w:fill="EDF2F8" w:themeFill="accent1" w:themeFillTint="19"/>
      </w:tcPr>
    </w:tblStylePr>
    <w:tblStylePr w:type="lastRow">
      <w:rPr>
        <w:rFonts w:ascii="Arial" w:eastAsia="Arial" w:hAnsi="Arial" w:cs="Arial"/>
        <w:b/>
        <w:bCs/>
        <w:color w:val="000000" w:themeColor="text1"/>
        <w:lang w:val="en-GB" w:eastAsia="en-GB" w:bidi="en-GB"/>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rFonts w:ascii="Arial" w:eastAsia="Arial" w:hAnsi="Arial" w:cs="Arial"/>
        <w:b/>
        <w:bCs/>
        <w:color w:val="000000" w:themeColor="text1"/>
        <w:lang w:val="en-GB" w:eastAsia="en-GB" w:bidi="en-GB"/>
      </w:rPr>
      <w:tblPr/>
      <w:tcPr>
        <w:tcBorders>
          <w:top w:val="nil"/>
          <w:left w:val="nil"/>
          <w:bottom w:val="nil"/>
          <w:right w:val="nil"/>
          <w:insideH w:val="nil"/>
          <w:insideV w:val="nil"/>
        </w:tcBorders>
        <w:shd w:val="clear" w:color="auto" w:fill="FFFFFF" w:themeFill="background1"/>
      </w:tcPr>
    </w:tblStylePr>
    <w:tblStylePr w:type="lastCol">
      <w:rPr>
        <w:rFonts w:ascii="Arial" w:eastAsia="Arial" w:hAnsi="Arial" w:cs="Arial"/>
        <w:b w:val="0"/>
        <w:bCs w:val="0"/>
        <w:color w:val="000000" w:themeColor="text1"/>
        <w:lang w:val="en-GB" w:eastAsia="en-GB" w:bidi="en-GB"/>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rFonts w:ascii="Arial" w:eastAsia="Arial" w:hAnsi="Arial" w:cs="Arial"/>
        <w:b/>
        <w:bCs/>
        <w:color w:val="000000" w:themeColor="text1"/>
        <w:lang w:val="en-GB" w:eastAsia="en-GB" w:bidi="en-GB"/>
      </w:rPr>
      <w:tblPr/>
      <w:tcPr>
        <w:shd w:val="clear" w:color="auto" w:fill="F8EDED" w:themeFill="accent2" w:themeFillTint="19"/>
      </w:tcPr>
    </w:tblStylePr>
    <w:tblStylePr w:type="lastRow">
      <w:rPr>
        <w:rFonts w:ascii="Arial" w:eastAsia="Arial" w:hAnsi="Arial" w:cs="Arial"/>
        <w:b/>
        <w:bCs/>
        <w:color w:val="000000" w:themeColor="text1"/>
        <w:lang w:val="en-GB" w:eastAsia="en-GB" w:bidi="en-GB"/>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rFonts w:ascii="Arial" w:eastAsia="Arial" w:hAnsi="Arial" w:cs="Arial"/>
        <w:b/>
        <w:bCs/>
        <w:color w:val="000000" w:themeColor="text1"/>
        <w:lang w:val="en-GB" w:eastAsia="en-GB" w:bidi="en-GB"/>
      </w:rPr>
      <w:tblPr/>
      <w:tcPr>
        <w:tcBorders>
          <w:top w:val="nil"/>
          <w:left w:val="nil"/>
          <w:bottom w:val="nil"/>
          <w:right w:val="nil"/>
          <w:insideH w:val="nil"/>
          <w:insideV w:val="nil"/>
        </w:tcBorders>
        <w:shd w:val="clear" w:color="auto" w:fill="FFFFFF" w:themeFill="background1"/>
      </w:tcPr>
    </w:tblStylePr>
    <w:tblStylePr w:type="lastCol">
      <w:rPr>
        <w:rFonts w:ascii="Arial" w:eastAsia="Arial" w:hAnsi="Arial" w:cs="Arial"/>
        <w:b w:val="0"/>
        <w:bCs w:val="0"/>
        <w:color w:val="000000" w:themeColor="text1"/>
        <w:lang w:val="en-GB" w:eastAsia="en-GB" w:bidi="en-GB"/>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rFonts w:ascii="Arial" w:eastAsia="Arial" w:hAnsi="Arial" w:cs="Arial"/>
        <w:b/>
        <w:bCs/>
        <w:color w:val="000000" w:themeColor="text1"/>
        <w:lang w:val="en-GB" w:eastAsia="en-GB" w:bidi="en-GB"/>
      </w:rPr>
      <w:tblPr/>
      <w:tcPr>
        <w:shd w:val="clear" w:color="auto" w:fill="F5F8EE" w:themeFill="accent3" w:themeFillTint="19"/>
      </w:tcPr>
    </w:tblStylePr>
    <w:tblStylePr w:type="lastRow">
      <w:rPr>
        <w:rFonts w:ascii="Arial" w:eastAsia="Arial" w:hAnsi="Arial" w:cs="Arial"/>
        <w:b/>
        <w:bCs/>
        <w:color w:val="000000" w:themeColor="text1"/>
        <w:lang w:val="en-GB" w:eastAsia="en-GB" w:bidi="en-GB"/>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rFonts w:ascii="Arial" w:eastAsia="Arial" w:hAnsi="Arial" w:cs="Arial"/>
        <w:b/>
        <w:bCs/>
        <w:color w:val="000000" w:themeColor="text1"/>
        <w:lang w:val="en-GB" w:eastAsia="en-GB" w:bidi="en-GB"/>
      </w:rPr>
      <w:tblPr/>
      <w:tcPr>
        <w:tcBorders>
          <w:top w:val="nil"/>
          <w:left w:val="nil"/>
          <w:bottom w:val="nil"/>
          <w:right w:val="nil"/>
          <w:insideH w:val="nil"/>
          <w:insideV w:val="nil"/>
        </w:tcBorders>
        <w:shd w:val="clear" w:color="auto" w:fill="FFFFFF" w:themeFill="background1"/>
      </w:tcPr>
    </w:tblStylePr>
    <w:tblStylePr w:type="lastCol">
      <w:rPr>
        <w:rFonts w:ascii="Arial" w:eastAsia="Arial" w:hAnsi="Arial" w:cs="Arial"/>
        <w:b w:val="0"/>
        <w:bCs w:val="0"/>
        <w:color w:val="000000" w:themeColor="text1"/>
        <w:lang w:val="en-GB" w:eastAsia="en-GB" w:bidi="en-GB"/>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rFonts w:ascii="Arial" w:eastAsia="Arial" w:hAnsi="Arial" w:cs="Arial"/>
        <w:b/>
        <w:bCs/>
        <w:color w:val="000000" w:themeColor="text1"/>
        <w:lang w:val="en-GB" w:eastAsia="en-GB" w:bidi="en-GB"/>
      </w:rPr>
      <w:tblPr/>
      <w:tcPr>
        <w:shd w:val="clear" w:color="auto" w:fill="F2EFF6" w:themeFill="accent4" w:themeFillTint="19"/>
      </w:tcPr>
    </w:tblStylePr>
    <w:tblStylePr w:type="lastRow">
      <w:rPr>
        <w:rFonts w:ascii="Arial" w:eastAsia="Arial" w:hAnsi="Arial" w:cs="Arial"/>
        <w:b/>
        <w:bCs/>
        <w:color w:val="000000" w:themeColor="text1"/>
        <w:lang w:val="en-GB" w:eastAsia="en-GB" w:bidi="en-GB"/>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rFonts w:ascii="Arial" w:eastAsia="Arial" w:hAnsi="Arial" w:cs="Arial"/>
        <w:b/>
        <w:bCs/>
        <w:color w:val="000000" w:themeColor="text1"/>
        <w:lang w:val="en-GB" w:eastAsia="en-GB" w:bidi="en-GB"/>
      </w:rPr>
      <w:tblPr/>
      <w:tcPr>
        <w:tcBorders>
          <w:top w:val="nil"/>
          <w:left w:val="nil"/>
          <w:bottom w:val="nil"/>
          <w:right w:val="nil"/>
          <w:insideH w:val="nil"/>
          <w:insideV w:val="nil"/>
        </w:tcBorders>
        <w:shd w:val="clear" w:color="auto" w:fill="FFFFFF" w:themeFill="background1"/>
      </w:tcPr>
    </w:tblStylePr>
    <w:tblStylePr w:type="lastCol">
      <w:rPr>
        <w:rFonts w:ascii="Arial" w:eastAsia="Arial" w:hAnsi="Arial" w:cs="Arial"/>
        <w:b w:val="0"/>
        <w:bCs w:val="0"/>
        <w:color w:val="000000" w:themeColor="text1"/>
        <w:lang w:val="en-GB" w:eastAsia="en-GB" w:bidi="en-GB"/>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rFonts w:ascii="Arial" w:eastAsia="Arial" w:hAnsi="Arial" w:cs="Arial"/>
        <w:b/>
        <w:bCs/>
        <w:color w:val="000000" w:themeColor="text1"/>
        <w:lang w:val="en-GB" w:eastAsia="en-GB" w:bidi="en-GB"/>
      </w:rPr>
      <w:tblPr/>
      <w:tcPr>
        <w:shd w:val="clear" w:color="auto" w:fill="EDF6F9" w:themeFill="accent5" w:themeFillTint="19"/>
      </w:tcPr>
    </w:tblStylePr>
    <w:tblStylePr w:type="lastRow">
      <w:rPr>
        <w:rFonts w:ascii="Arial" w:eastAsia="Arial" w:hAnsi="Arial" w:cs="Arial"/>
        <w:b/>
        <w:bCs/>
        <w:color w:val="000000" w:themeColor="text1"/>
        <w:lang w:val="en-GB" w:eastAsia="en-GB" w:bidi="en-GB"/>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rFonts w:ascii="Arial" w:eastAsia="Arial" w:hAnsi="Arial" w:cs="Arial"/>
        <w:b/>
        <w:bCs/>
        <w:color w:val="000000" w:themeColor="text1"/>
        <w:lang w:val="en-GB" w:eastAsia="en-GB" w:bidi="en-GB"/>
      </w:rPr>
      <w:tblPr/>
      <w:tcPr>
        <w:tcBorders>
          <w:top w:val="nil"/>
          <w:left w:val="nil"/>
          <w:bottom w:val="nil"/>
          <w:right w:val="nil"/>
          <w:insideH w:val="nil"/>
          <w:insideV w:val="nil"/>
        </w:tcBorders>
        <w:shd w:val="clear" w:color="auto" w:fill="FFFFFF" w:themeFill="background1"/>
      </w:tcPr>
    </w:tblStylePr>
    <w:tblStylePr w:type="lastCol">
      <w:rPr>
        <w:rFonts w:ascii="Arial" w:eastAsia="Arial" w:hAnsi="Arial" w:cs="Arial"/>
        <w:b w:val="0"/>
        <w:bCs w:val="0"/>
        <w:color w:val="000000" w:themeColor="text1"/>
        <w:lang w:val="en-GB" w:eastAsia="en-GB" w:bidi="en-GB"/>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rFonts w:ascii="Arial" w:eastAsia="Arial" w:hAnsi="Arial" w:cs="Arial"/>
        <w:b/>
        <w:bCs/>
        <w:color w:val="000000" w:themeColor="text1"/>
        <w:lang w:val="en-GB" w:eastAsia="en-GB" w:bidi="en-GB"/>
      </w:rPr>
      <w:tblPr/>
      <w:tcPr>
        <w:shd w:val="clear" w:color="auto" w:fill="FEF4EC" w:themeFill="accent6" w:themeFillTint="19"/>
      </w:tcPr>
    </w:tblStylePr>
    <w:tblStylePr w:type="lastRow">
      <w:rPr>
        <w:rFonts w:ascii="Arial" w:eastAsia="Arial" w:hAnsi="Arial" w:cs="Arial"/>
        <w:b/>
        <w:bCs/>
        <w:color w:val="000000" w:themeColor="text1"/>
        <w:lang w:val="en-GB" w:eastAsia="en-GB" w:bidi="en-GB"/>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rFonts w:ascii="Arial" w:eastAsia="Arial" w:hAnsi="Arial" w:cs="Arial"/>
        <w:b/>
        <w:bCs/>
        <w:color w:val="000000" w:themeColor="text1"/>
        <w:lang w:val="en-GB" w:eastAsia="en-GB" w:bidi="en-GB"/>
      </w:rPr>
      <w:tblPr/>
      <w:tcPr>
        <w:tcBorders>
          <w:top w:val="nil"/>
          <w:left w:val="nil"/>
          <w:bottom w:val="nil"/>
          <w:right w:val="nil"/>
          <w:insideH w:val="nil"/>
          <w:insideV w:val="nil"/>
        </w:tcBorders>
        <w:shd w:val="clear" w:color="auto" w:fill="FFFFFF" w:themeFill="background1"/>
      </w:tcPr>
    </w:tblStylePr>
    <w:tblStylePr w:type="lastCol">
      <w:rPr>
        <w:rFonts w:ascii="Arial" w:eastAsia="Arial" w:hAnsi="Arial" w:cs="Arial"/>
        <w:b w:val="0"/>
        <w:bCs w:val="0"/>
        <w:color w:val="000000" w:themeColor="text1"/>
        <w:lang w:val="en-GB" w:eastAsia="en-GB" w:bidi="en-GB"/>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rFonts w:ascii="Arial" w:eastAsia="Arial" w:hAnsi="Arial" w:cs="Arial"/>
        <w:b/>
        <w:bCs/>
        <w:i w:val="0"/>
        <w:iCs w:val="0"/>
        <w:color w:val="FFFFFF" w:themeColor="background1"/>
        <w:lang w:val="en-GB" w:eastAsia="en-GB" w:bidi="en-GB"/>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rFonts w:ascii="Arial" w:eastAsia="Arial" w:hAnsi="Arial" w:cs="Arial"/>
        <w:b/>
        <w:bCs/>
        <w:i w:val="0"/>
        <w:iCs w:val="0"/>
        <w:color w:val="FFFFFF" w:themeColor="background1"/>
        <w:lang w:val="en-GB" w:eastAsia="en-GB" w:bidi="en-GB"/>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rFonts w:ascii="Arial" w:eastAsia="Arial" w:hAnsi="Arial" w:cs="Arial"/>
        <w:b/>
        <w:bCs/>
        <w:i w:val="0"/>
        <w:iCs w:val="0"/>
        <w:color w:val="FFFFFF" w:themeColor="background1"/>
        <w:lang w:val="en-GB" w:eastAsia="en-GB" w:bidi="en-GB"/>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rFonts w:ascii="Arial" w:eastAsia="Arial" w:hAnsi="Arial" w:cs="Arial"/>
        <w:b/>
        <w:bCs/>
        <w:i w:val="0"/>
        <w:iCs w:val="0"/>
        <w:color w:val="FFFFFF" w:themeColor="background1"/>
        <w:lang w:val="en-GB" w:eastAsia="en-GB" w:bidi="en-GB"/>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rFonts w:ascii="Arial" w:eastAsia="Arial" w:hAnsi="Arial" w:cs="Arial"/>
        <w:b/>
        <w:bCs/>
        <w:i w:val="0"/>
        <w:iCs w:val="0"/>
        <w:color w:val="FFFFFF" w:themeColor="background1"/>
        <w:lang w:val="en-GB" w:eastAsia="en-GB" w:bidi="en-GB"/>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rFonts w:ascii="Arial" w:eastAsia="Arial" w:hAnsi="Arial" w:cs="Arial"/>
        <w:b/>
        <w:bCs/>
        <w:i w:val="0"/>
        <w:iCs w:val="0"/>
        <w:color w:val="FFFFFF" w:themeColor="background1"/>
        <w:lang w:val="en-GB" w:eastAsia="en-GB" w:bidi="en-GB"/>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rFonts w:ascii="Arial" w:eastAsia="Arial" w:hAnsi="Arial" w:cs="Arial"/>
        <w:b/>
        <w:bCs/>
        <w:i w:val="0"/>
        <w:iCs w:val="0"/>
        <w:color w:val="FFFFFF" w:themeColor="background1"/>
        <w:lang w:val="en-GB" w:eastAsia="en-GB" w:bidi="en-GB"/>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rFonts w:ascii="Arial" w:eastAsia="Arial" w:hAnsi="Arial" w:cs="Arial"/>
        <w:b/>
        <w:bCs/>
        <w:i w:val="0"/>
        <w:iCs w:val="0"/>
        <w:color w:val="FFFFFF" w:themeColor="background1"/>
        <w:lang w:val="en-GB" w:eastAsia="en-GB" w:bidi="en-GB"/>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rFonts w:ascii="Arial" w:eastAsia="Arial" w:hAnsi="Arial" w:cs="Arial"/>
        <w:b/>
        <w:bCs/>
        <w:i w:val="0"/>
        <w:iCs w:val="0"/>
        <w:color w:val="FFFFFF" w:themeColor="background1"/>
        <w:lang w:val="en-GB" w:eastAsia="en-GB" w:bidi="en-GB"/>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rFonts w:ascii="Arial" w:eastAsia="Arial" w:hAnsi="Arial" w:cs="Arial"/>
        <w:b/>
        <w:bCs/>
        <w:i w:val="0"/>
        <w:iCs w:val="0"/>
        <w:color w:val="FFFFFF" w:themeColor="background1"/>
        <w:lang w:val="en-GB" w:eastAsia="en-GB" w:bidi="en-GB"/>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rFonts w:ascii="Arial" w:eastAsia="Arial" w:hAnsi="Arial" w:cs="Arial"/>
        <w:b/>
        <w:bCs/>
        <w:i w:val="0"/>
        <w:iCs w:val="0"/>
        <w:color w:val="FFFFFF" w:themeColor="background1"/>
        <w:lang w:val="en-GB" w:eastAsia="en-GB" w:bidi="en-GB"/>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rFonts w:ascii="Arial" w:eastAsia="Arial" w:hAnsi="Arial" w:cs="Arial"/>
        <w:b/>
        <w:bCs/>
        <w:i w:val="0"/>
        <w:iCs w:val="0"/>
        <w:color w:val="FFFFFF" w:themeColor="background1"/>
        <w:lang w:val="en-GB" w:eastAsia="en-GB" w:bidi="en-GB"/>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rFonts w:ascii="Arial" w:eastAsia="Arial" w:hAnsi="Arial" w:cs="Arial"/>
        <w:b/>
        <w:bCs/>
        <w:i w:val="0"/>
        <w:iCs w:val="0"/>
        <w:color w:val="FFFFFF" w:themeColor="background1"/>
        <w:lang w:val="en-GB" w:eastAsia="en-GB" w:bidi="en-GB"/>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rFonts w:ascii="Arial" w:eastAsia="Arial" w:hAnsi="Arial" w:cs="Arial"/>
        <w:b/>
        <w:bCs/>
        <w:i w:val="0"/>
        <w:iCs w:val="0"/>
        <w:color w:val="FFFFFF" w:themeColor="background1"/>
        <w:lang w:val="en-GB" w:eastAsia="en-GB" w:bidi="en-GB"/>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rFonts w:ascii="Arial" w:eastAsia="Arial" w:hAnsi="Arial" w:cs="Arial"/>
        <w:b/>
        <w:bCs/>
        <w:i w:val="0"/>
        <w:iCs w:val="0"/>
        <w:color w:val="FFFFFF" w:themeColor="background1"/>
        <w:lang w:val="en-GB" w:eastAsia="en-GB" w:bidi="en-GB"/>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rFonts w:ascii="Arial" w:eastAsia="Arial" w:hAnsi="Arial" w:cs="Arial"/>
        <w:b/>
        <w:bCs/>
        <w:i w:val="0"/>
        <w:iCs w:val="0"/>
        <w:color w:val="FFFFFF" w:themeColor="background1"/>
        <w:lang w:val="en-GB" w:eastAsia="en-GB" w:bidi="en-GB"/>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rFonts w:ascii="Arial" w:eastAsia="Arial" w:hAnsi="Arial" w:cs="Arial"/>
        <w:b/>
        <w:bCs/>
        <w:i w:val="0"/>
        <w:iCs w:val="0"/>
        <w:color w:val="FFFFFF" w:themeColor="background1"/>
        <w:lang w:val="en-GB" w:eastAsia="en-GB" w:bidi="en-GB"/>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rFonts w:ascii="Arial" w:eastAsia="Arial" w:hAnsi="Arial" w:cs="Arial"/>
        <w:b/>
        <w:bCs/>
        <w:i w:val="0"/>
        <w:iCs w:val="0"/>
        <w:color w:val="FFFFFF" w:themeColor="background1"/>
        <w:lang w:val="en-GB" w:eastAsia="en-GB" w:bidi="en-GB"/>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rFonts w:ascii="Arial" w:eastAsia="Arial" w:hAnsi="Arial" w:cs="Arial"/>
        <w:b/>
        <w:bCs/>
        <w:i w:val="0"/>
        <w:iCs w:val="0"/>
        <w:color w:val="FFFFFF" w:themeColor="background1"/>
        <w:lang w:val="en-GB" w:eastAsia="en-GB" w:bidi="en-GB"/>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rFonts w:ascii="Arial" w:eastAsia="Arial" w:hAnsi="Arial" w:cs="Arial"/>
        <w:b/>
        <w:bCs/>
        <w:i w:val="0"/>
        <w:iCs w:val="0"/>
        <w:color w:val="FFFFFF" w:themeColor="background1"/>
        <w:lang w:val="en-GB" w:eastAsia="en-GB" w:bidi="en-GB"/>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rFonts w:ascii="Arial" w:eastAsia="Arial" w:hAnsi="Arial" w:cs="Arial"/>
        <w:b/>
        <w:bCs/>
        <w:i w:val="0"/>
        <w:iCs w:val="0"/>
        <w:color w:val="FFFFFF" w:themeColor="background1"/>
        <w:lang w:val="en-GB" w:eastAsia="en-GB" w:bidi="en-GB"/>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rFonts w:ascii="Arial" w:eastAsia="Arial" w:hAnsi="Arial" w:cs="Arial"/>
        <w:b/>
        <w:bCs/>
        <w:i w:val="0"/>
        <w:iCs w:val="0"/>
        <w:color w:val="FFFFFF" w:themeColor="background1"/>
        <w:lang w:val="en-GB" w:eastAsia="en-GB" w:bidi="en-GB"/>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rFonts w:ascii="Arial" w:eastAsia="Arial" w:hAnsi="Arial" w:cs="Arial"/>
        <w:b/>
        <w:bCs/>
        <w:i w:val="0"/>
        <w:iCs w:val="0"/>
        <w:color w:val="FFFFFF" w:themeColor="background1"/>
        <w:lang w:val="en-GB" w:eastAsia="en-GB" w:bidi="en-GB"/>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rFonts w:ascii="Arial" w:eastAsia="Arial" w:hAnsi="Arial" w:cs="Arial"/>
        <w:b/>
        <w:bCs/>
        <w:i w:val="0"/>
        <w:iCs w:val="0"/>
        <w:color w:val="FFFFFF" w:themeColor="background1"/>
        <w:lang w:val="en-GB" w:eastAsia="en-GB" w:bidi="en-GB"/>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rFonts w:ascii="Arial" w:eastAsia="Arial" w:hAnsi="Arial" w:cs="Arial"/>
        <w:b/>
        <w:bCs/>
        <w:i w:val="0"/>
        <w:iCs w:val="0"/>
        <w:color w:val="FFFFFF" w:themeColor="background1"/>
        <w:lang w:val="en-GB" w:eastAsia="en-GB" w:bidi="en-GB"/>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rFonts w:ascii="Arial" w:eastAsia="Arial" w:hAnsi="Arial" w:cs="Arial"/>
        <w:b/>
        <w:bCs/>
        <w:i w:val="0"/>
        <w:iCs w:val="0"/>
        <w:color w:val="FFFFFF" w:themeColor="background1"/>
        <w:lang w:val="en-GB" w:eastAsia="en-GB" w:bidi="en-GB"/>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rFonts w:ascii="Arial" w:eastAsia="Arial" w:hAnsi="Arial" w:cs="Arial"/>
        <w:b/>
        <w:bCs/>
        <w:i w:val="0"/>
        <w:iCs w:val="0"/>
        <w:color w:val="FFFFFF" w:themeColor="background1"/>
        <w:lang w:val="en-GB" w:eastAsia="en-GB" w:bidi="en-GB"/>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rFonts w:ascii="Arial" w:eastAsia="Arial" w:hAnsi="Arial" w:cs="Arial"/>
        <w:b/>
        <w:bCs/>
        <w:i w:val="0"/>
        <w:iCs w:val="0"/>
        <w:color w:val="FFFFFF" w:themeColor="background1"/>
        <w:lang w:val="en-GB" w:eastAsia="en-GB" w:bidi="en-GB"/>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rFonts w:ascii="Arial" w:eastAsia="Arial" w:hAnsi="Arial" w:cs="Arial"/>
        <w:b/>
        <w:bCs/>
        <w:lang w:val="en-GB" w:eastAsia="en-GB" w:bidi="en-GB"/>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rFonts w:ascii="Arial" w:eastAsia="Arial" w:hAnsi="Arial" w:cs="Arial"/>
        <w:b/>
        <w:bCs/>
        <w:lang w:val="en-GB" w:eastAsia="en-GB" w:bidi="en-GB"/>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rFonts w:ascii="Arial" w:eastAsia="Arial" w:hAnsi="Arial" w:cs="Arial"/>
        <w:b/>
        <w:bCs/>
        <w:lang w:val="en-GB" w:eastAsia="en-GB" w:bidi="en-GB"/>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rFonts w:ascii="Arial" w:eastAsia="Arial" w:hAnsi="Arial" w:cs="Arial"/>
        <w:b/>
        <w:bCs/>
        <w:lang w:val="en-GB" w:eastAsia="en-GB" w:bidi="en-GB"/>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rFonts w:ascii="Arial" w:eastAsia="Arial" w:hAnsi="Arial" w:cs="Arial"/>
        <w:b/>
        <w:bCs/>
        <w:lang w:val="en-GB" w:eastAsia="en-GB" w:bidi="en-GB"/>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rFonts w:ascii="Arial" w:eastAsia="Arial" w:hAnsi="Arial" w:cs="Arial"/>
        <w:b/>
        <w:bCs/>
        <w:lang w:val="en-GB" w:eastAsia="en-GB" w:bidi="en-GB"/>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rFonts w:ascii="Arial" w:eastAsia="Arial" w:hAnsi="Arial" w:cs="Arial"/>
        <w:b/>
        <w:bCs/>
        <w:lang w:val="en-GB" w:eastAsia="en-GB" w:bidi="en-GB"/>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rFonts w:ascii="Arial" w:eastAsia="Arial" w:hAnsi="Arial" w:cs="Arial"/>
        <w:b/>
        <w:bCs/>
        <w:lang w:val="en-GB" w:eastAsia="en-GB" w:bidi="en-GB"/>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rFonts w:ascii="Arial" w:eastAsia="Arial" w:hAnsi="Arial" w:cs="Arial"/>
        <w:b/>
        <w:bCs/>
        <w:color w:val="FFFFFF" w:themeColor="background1"/>
        <w:lang w:val="en-GB" w:eastAsia="en-GB" w:bidi="en-GB"/>
      </w:rPr>
      <w:tblPr/>
      <w:tcPr>
        <w:tcBorders>
          <w:top w:val="single" w:sz="6" w:space="0" w:color="FFFFFF" w:themeColor="background1"/>
        </w:tcBorders>
        <w:shd w:val="clear" w:color="auto" w:fill="000000" w:themeFill="text1" w:themeFillShade="99"/>
      </w:tcPr>
    </w:tblStylePr>
    <w:tblStylePr w:type="firstCol">
      <w:rPr>
        <w:rFonts w:ascii="Arial" w:eastAsia="Arial" w:hAnsi="Arial" w:cs="Arial"/>
        <w:color w:val="FFFFFF" w:themeColor="background1"/>
        <w:lang w:val="en-GB" w:eastAsia="en-GB" w:bidi="en-GB"/>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rFonts w:ascii="Arial" w:eastAsia="Arial" w:hAnsi="Arial" w:cs="Arial"/>
        <w:color w:val="FFFFFF" w:themeColor="background1"/>
        <w:lang w:val="en-GB" w:eastAsia="en-GB" w:bidi="en-GB"/>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rFonts w:ascii="Arial" w:eastAsia="Arial" w:hAnsi="Arial" w:cs="Arial"/>
        <w:color w:val="000000" w:themeColor="text1"/>
        <w:lang w:val="en-GB" w:eastAsia="en-GB" w:bidi="en-GB"/>
      </w:rPr>
    </w:tblStylePr>
    <w:tblStylePr w:type="nwCell">
      <w:rPr>
        <w:rFonts w:ascii="Arial" w:eastAsia="Arial" w:hAnsi="Arial" w:cs="Arial"/>
        <w:color w:val="000000" w:themeColor="text1"/>
        <w:lang w:val="en-GB" w:eastAsia="en-GB" w:bidi="en-GB"/>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rFonts w:ascii="Arial" w:eastAsia="Arial" w:hAnsi="Arial" w:cs="Arial"/>
        <w:b/>
        <w:bCs/>
        <w:lang w:val="en-GB" w:eastAsia="en-GB" w:bidi="en-GB"/>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rFonts w:ascii="Arial" w:eastAsia="Arial" w:hAnsi="Arial" w:cs="Arial"/>
        <w:b/>
        <w:bCs/>
        <w:color w:val="FFFFFF" w:themeColor="background1"/>
        <w:lang w:val="en-GB" w:eastAsia="en-GB" w:bidi="en-GB"/>
      </w:rPr>
      <w:tblPr/>
      <w:tcPr>
        <w:tcBorders>
          <w:top w:val="single" w:sz="6" w:space="0" w:color="FFFFFF" w:themeColor="background1"/>
        </w:tcBorders>
        <w:shd w:val="clear" w:color="auto" w:fill="2C4C74" w:themeFill="accent1" w:themeFillShade="99"/>
      </w:tcPr>
    </w:tblStylePr>
    <w:tblStylePr w:type="firstCol">
      <w:rPr>
        <w:rFonts w:ascii="Arial" w:eastAsia="Arial" w:hAnsi="Arial" w:cs="Arial"/>
        <w:color w:val="FFFFFF" w:themeColor="background1"/>
        <w:lang w:val="en-GB" w:eastAsia="en-GB" w:bidi="en-GB"/>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rFonts w:ascii="Arial" w:eastAsia="Arial" w:hAnsi="Arial" w:cs="Arial"/>
        <w:color w:val="FFFFFF" w:themeColor="background1"/>
        <w:lang w:val="en-GB" w:eastAsia="en-GB" w:bidi="en-GB"/>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rFonts w:ascii="Arial" w:eastAsia="Arial" w:hAnsi="Arial" w:cs="Arial"/>
        <w:color w:val="000000" w:themeColor="text1"/>
        <w:lang w:val="en-GB" w:eastAsia="en-GB" w:bidi="en-GB"/>
      </w:rPr>
    </w:tblStylePr>
    <w:tblStylePr w:type="nwCell">
      <w:rPr>
        <w:rFonts w:ascii="Arial" w:eastAsia="Arial" w:hAnsi="Arial" w:cs="Arial"/>
        <w:color w:val="000000" w:themeColor="text1"/>
        <w:lang w:val="en-GB" w:eastAsia="en-GB" w:bidi="en-GB"/>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rFonts w:ascii="Arial" w:eastAsia="Arial" w:hAnsi="Arial" w:cs="Arial"/>
        <w:b/>
        <w:bCs/>
        <w:lang w:val="en-GB" w:eastAsia="en-GB" w:bidi="en-GB"/>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rFonts w:ascii="Arial" w:eastAsia="Arial" w:hAnsi="Arial" w:cs="Arial"/>
        <w:b/>
        <w:bCs/>
        <w:color w:val="FFFFFF" w:themeColor="background1"/>
        <w:lang w:val="en-GB" w:eastAsia="en-GB" w:bidi="en-GB"/>
      </w:rPr>
      <w:tblPr/>
      <w:tcPr>
        <w:tcBorders>
          <w:top w:val="single" w:sz="6" w:space="0" w:color="FFFFFF" w:themeColor="background1"/>
        </w:tcBorders>
        <w:shd w:val="clear" w:color="auto" w:fill="772C2A" w:themeFill="accent2" w:themeFillShade="99"/>
      </w:tcPr>
    </w:tblStylePr>
    <w:tblStylePr w:type="firstCol">
      <w:rPr>
        <w:rFonts w:ascii="Arial" w:eastAsia="Arial" w:hAnsi="Arial" w:cs="Arial"/>
        <w:color w:val="FFFFFF" w:themeColor="background1"/>
        <w:lang w:val="en-GB" w:eastAsia="en-GB" w:bidi="en-GB"/>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rFonts w:ascii="Arial" w:eastAsia="Arial" w:hAnsi="Arial" w:cs="Arial"/>
        <w:color w:val="FFFFFF" w:themeColor="background1"/>
        <w:lang w:val="en-GB" w:eastAsia="en-GB" w:bidi="en-GB"/>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rFonts w:ascii="Arial" w:eastAsia="Arial" w:hAnsi="Arial" w:cs="Arial"/>
        <w:color w:val="000000" w:themeColor="text1"/>
        <w:lang w:val="en-GB" w:eastAsia="en-GB" w:bidi="en-GB"/>
      </w:rPr>
    </w:tblStylePr>
    <w:tblStylePr w:type="nwCell">
      <w:rPr>
        <w:rFonts w:ascii="Arial" w:eastAsia="Arial" w:hAnsi="Arial" w:cs="Arial"/>
        <w:color w:val="000000" w:themeColor="text1"/>
        <w:lang w:val="en-GB" w:eastAsia="en-GB" w:bidi="en-GB"/>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rFonts w:ascii="Arial" w:eastAsia="Arial" w:hAnsi="Arial" w:cs="Arial"/>
        <w:b/>
        <w:bCs/>
        <w:lang w:val="en-GB" w:eastAsia="en-GB" w:bidi="en-GB"/>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rFonts w:ascii="Arial" w:eastAsia="Arial" w:hAnsi="Arial" w:cs="Arial"/>
        <w:b/>
        <w:bCs/>
        <w:color w:val="FFFFFF" w:themeColor="background1"/>
        <w:lang w:val="en-GB" w:eastAsia="en-GB" w:bidi="en-GB"/>
      </w:rPr>
      <w:tblPr/>
      <w:tcPr>
        <w:tcBorders>
          <w:top w:val="single" w:sz="6" w:space="0" w:color="FFFFFF" w:themeColor="background1"/>
        </w:tcBorders>
        <w:shd w:val="clear" w:color="auto" w:fill="5E7530" w:themeFill="accent3" w:themeFillShade="99"/>
      </w:tcPr>
    </w:tblStylePr>
    <w:tblStylePr w:type="firstCol">
      <w:rPr>
        <w:rFonts w:ascii="Arial" w:eastAsia="Arial" w:hAnsi="Arial" w:cs="Arial"/>
        <w:color w:val="FFFFFF" w:themeColor="background1"/>
        <w:lang w:val="en-GB" w:eastAsia="en-GB" w:bidi="en-GB"/>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rFonts w:ascii="Arial" w:eastAsia="Arial" w:hAnsi="Arial" w:cs="Arial"/>
        <w:color w:val="FFFFFF" w:themeColor="background1"/>
        <w:lang w:val="en-GB" w:eastAsia="en-GB" w:bidi="en-GB"/>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rFonts w:ascii="Arial" w:eastAsia="Arial" w:hAnsi="Arial" w:cs="Arial"/>
        <w:b/>
        <w:bCs/>
        <w:lang w:val="en-GB" w:eastAsia="en-GB" w:bidi="en-GB"/>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rFonts w:ascii="Arial" w:eastAsia="Arial" w:hAnsi="Arial" w:cs="Arial"/>
        <w:b/>
        <w:bCs/>
        <w:color w:val="FFFFFF" w:themeColor="background1"/>
        <w:lang w:val="en-GB" w:eastAsia="en-GB" w:bidi="en-GB"/>
      </w:rPr>
      <w:tblPr/>
      <w:tcPr>
        <w:tcBorders>
          <w:top w:val="single" w:sz="6" w:space="0" w:color="FFFFFF" w:themeColor="background1"/>
        </w:tcBorders>
        <w:shd w:val="clear" w:color="auto" w:fill="4C3B62" w:themeFill="accent4" w:themeFillShade="99"/>
      </w:tcPr>
    </w:tblStylePr>
    <w:tblStylePr w:type="firstCol">
      <w:rPr>
        <w:rFonts w:ascii="Arial" w:eastAsia="Arial" w:hAnsi="Arial" w:cs="Arial"/>
        <w:color w:val="FFFFFF" w:themeColor="background1"/>
        <w:lang w:val="en-GB" w:eastAsia="en-GB" w:bidi="en-GB"/>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rFonts w:ascii="Arial" w:eastAsia="Arial" w:hAnsi="Arial" w:cs="Arial"/>
        <w:color w:val="FFFFFF" w:themeColor="background1"/>
        <w:lang w:val="en-GB" w:eastAsia="en-GB" w:bidi="en-GB"/>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rFonts w:ascii="Arial" w:eastAsia="Arial" w:hAnsi="Arial" w:cs="Arial"/>
        <w:color w:val="000000" w:themeColor="text1"/>
        <w:lang w:val="en-GB" w:eastAsia="en-GB" w:bidi="en-GB"/>
      </w:rPr>
    </w:tblStylePr>
    <w:tblStylePr w:type="nwCell">
      <w:rPr>
        <w:rFonts w:ascii="Arial" w:eastAsia="Arial" w:hAnsi="Arial" w:cs="Arial"/>
        <w:color w:val="000000" w:themeColor="text1"/>
        <w:lang w:val="en-GB" w:eastAsia="en-GB" w:bidi="en-GB"/>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rFonts w:ascii="Arial" w:eastAsia="Arial" w:hAnsi="Arial" w:cs="Arial"/>
        <w:b/>
        <w:bCs/>
        <w:lang w:val="en-GB" w:eastAsia="en-GB" w:bidi="en-GB"/>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rFonts w:ascii="Arial" w:eastAsia="Arial" w:hAnsi="Arial" w:cs="Arial"/>
        <w:b/>
        <w:bCs/>
        <w:color w:val="FFFFFF" w:themeColor="background1"/>
        <w:lang w:val="en-GB" w:eastAsia="en-GB" w:bidi="en-GB"/>
      </w:rPr>
      <w:tblPr/>
      <w:tcPr>
        <w:tcBorders>
          <w:top w:val="single" w:sz="6" w:space="0" w:color="FFFFFF" w:themeColor="background1"/>
        </w:tcBorders>
        <w:shd w:val="clear" w:color="auto" w:fill="276A7C" w:themeFill="accent5" w:themeFillShade="99"/>
      </w:tcPr>
    </w:tblStylePr>
    <w:tblStylePr w:type="firstCol">
      <w:rPr>
        <w:rFonts w:ascii="Arial" w:eastAsia="Arial" w:hAnsi="Arial" w:cs="Arial"/>
        <w:color w:val="FFFFFF" w:themeColor="background1"/>
        <w:lang w:val="en-GB" w:eastAsia="en-GB" w:bidi="en-GB"/>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rFonts w:ascii="Arial" w:eastAsia="Arial" w:hAnsi="Arial" w:cs="Arial"/>
        <w:color w:val="FFFFFF" w:themeColor="background1"/>
        <w:lang w:val="en-GB" w:eastAsia="en-GB" w:bidi="en-GB"/>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rFonts w:ascii="Arial" w:eastAsia="Arial" w:hAnsi="Arial" w:cs="Arial"/>
        <w:color w:val="000000" w:themeColor="text1"/>
        <w:lang w:val="en-GB" w:eastAsia="en-GB" w:bidi="en-GB"/>
      </w:rPr>
    </w:tblStylePr>
    <w:tblStylePr w:type="nwCell">
      <w:rPr>
        <w:rFonts w:ascii="Arial" w:eastAsia="Arial" w:hAnsi="Arial" w:cs="Arial"/>
        <w:color w:val="000000" w:themeColor="text1"/>
        <w:lang w:val="en-GB" w:eastAsia="en-GB" w:bidi="en-GB"/>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rFonts w:ascii="Arial" w:eastAsia="Arial" w:hAnsi="Arial" w:cs="Arial"/>
        <w:b/>
        <w:bCs/>
        <w:lang w:val="en-GB" w:eastAsia="en-GB" w:bidi="en-GB"/>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rFonts w:ascii="Arial" w:eastAsia="Arial" w:hAnsi="Arial" w:cs="Arial"/>
        <w:b/>
        <w:bCs/>
        <w:color w:val="FFFFFF" w:themeColor="background1"/>
        <w:lang w:val="en-GB" w:eastAsia="en-GB" w:bidi="en-GB"/>
      </w:rPr>
      <w:tblPr/>
      <w:tcPr>
        <w:tcBorders>
          <w:top w:val="single" w:sz="6" w:space="0" w:color="FFFFFF" w:themeColor="background1"/>
        </w:tcBorders>
        <w:shd w:val="clear" w:color="auto" w:fill="B65608" w:themeFill="accent6" w:themeFillShade="99"/>
      </w:tcPr>
    </w:tblStylePr>
    <w:tblStylePr w:type="firstCol">
      <w:rPr>
        <w:rFonts w:ascii="Arial" w:eastAsia="Arial" w:hAnsi="Arial" w:cs="Arial"/>
        <w:color w:val="FFFFFF" w:themeColor="background1"/>
        <w:lang w:val="en-GB" w:eastAsia="en-GB" w:bidi="en-GB"/>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rFonts w:ascii="Arial" w:eastAsia="Arial" w:hAnsi="Arial" w:cs="Arial"/>
        <w:color w:val="FFFFFF" w:themeColor="background1"/>
        <w:lang w:val="en-GB" w:eastAsia="en-GB" w:bidi="en-GB"/>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rFonts w:ascii="Arial" w:eastAsia="Arial" w:hAnsi="Arial" w:cs="Arial"/>
        <w:color w:val="000000" w:themeColor="text1"/>
        <w:lang w:val="en-GB" w:eastAsia="en-GB" w:bidi="en-GB"/>
      </w:rPr>
    </w:tblStylePr>
    <w:tblStylePr w:type="nwCell">
      <w:rPr>
        <w:rFonts w:ascii="Arial" w:eastAsia="Arial" w:hAnsi="Arial" w:cs="Arial"/>
        <w:color w:val="000000" w:themeColor="text1"/>
        <w:lang w:val="en-GB" w:eastAsia="en-GB" w:bidi="en-GB"/>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rFonts w:ascii="Arial" w:eastAsia="Arial" w:hAnsi="Arial" w:cs="Arial"/>
        <w:b/>
        <w:bCs/>
        <w:color w:val="FFFFFF" w:themeColor="background1"/>
        <w:lang w:val="en-GB" w:eastAsia="en-GB" w:bidi="en-GB"/>
      </w:rPr>
      <w:tblPr/>
      <w:tcPr>
        <w:tcBorders>
          <w:bottom w:val="single" w:sz="12" w:space="0" w:color="FFFFFF" w:themeColor="background1"/>
        </w:tcBorders>
        <w:shd w:val="clear" w:color="auto" w:fill="9E3A38" w:themeFill="accent2" w:themeFillShade="CC"/>
      </w:tcPr>
    </w:tblStylePr>
    <w:tblStylePr w:type="lastRow">
      <w:rPr>
        <w:rFonts w:ascii="Arial" w:eastAsia="Arial" w:hAnsi="Arial" w:cs="Arial"/>
        <w:b/>
        <w:bCs/>
        <w:color w:val="9E3A38" w:themeColor="accent2" w:themeShade="CC"/>
        <w:lang w:val="en-GB" w:eastAsia="en-GB" w:bidi="en-GB"/>
      </w:rPr>
      <w:tblPr/>
      <w:tcPr>
        <w:tcBorders>
          <w:top w:val="single" w:sz="12" w:space="0" w:color="000000" w:themeColor="text1"/>
        </w:tcBorders>
        <w:shd w:val="clear" w:color="auto" w:fill="FFFFFF" w:themeFill="background1"/>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rFonts w:ascii="Arial" w:eastAsia="Arial" w:hAnsi="Arial" w:cs="Arial"/>
        <w:b/>
        <w:bCs/>
        <w:color w:val="FFFFFF" w:themeColor="background1"/>
        <w:lang w:val="en-GB" w:eastAsia="en-GB" w:bidi="en-GB"/>
      </w:rPr>
      <w:tblPr/>
      <w:tcPr>
        <w:tcBorders>
          <w:bottom w:val="single" w:sz="12" w:space="0" w:color="FFFFFF" w:themeColor="background1"/>
        </w:tcBorders>
        <w:shd w:val="clear" w:color="auto" w:fill="9E3A38" w:themeFill="accent2" w:themeFillShade="CC"/>
      </w:tcPr>
    </w:tblStylePr>
    <w:tblStylePr w:type="lastRow">
      <w:rPr>
        <w:rFonts w:ascii="Arial" w:eastAsia="Arial" w:hAnsi="Arial" w:cs="Arial"/>
        <w:b/>
        <w:bCs/>
        <w:color w:val="9E3A38" w:themeColor="accent2" w:themeShade="CC"/>
        <w:lang w:val="en-GB" w:eastAsia="en-GB" w:bidi="en-GB"/>
      </w:rPr>
      <w:tblPr/>
      <w:tcPr>
        <w:tcBorders>
          <w:top w:val="single" w:sz="12" w:space="0" w:color="000000" w:themeColor="text1"/>
        </w:tcBorders>
        <w:shd w:val="clear" w:color="auto" w:fill="FFFFFF" w:themeFill="background1"/>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rFonts w:ascii="Arial" w:eastAsia="Arial" w:hAnsi="Arial" w:cs="Arial"/>
        <w:b/>
        <w:bCs/>
        <w:color w:val="FFFFFF" w:themeColor="background1"/>
        <w:lang w:val="en-GB" w:eastAsia="en-GB" w:bidi="en-GB"/>
      </w:rPr>
      <w:tblPr/>
      <w:tcPr>
        <w:tcBorders>
          <w:bottom w:val="single" w:sz="12" w:space="0" w:color="FFFFFF" w:themeColor="background1"/>
        </w:tcBorders>
        <w:shd w:val="clear" w:color="auto" w:fill="9E3A38" w:themeFill="accent2" w:themeFillShade="CC"/>
      </w:tcPr>
    </w:tblStylePr>
    <w:tblStylePr w:type="lastRow">
      <w:rPr>
        <w:rFonts w:ascii="Arial" w:eastAsia="Arial" w:hAnsi="Arial" w:cs="Arial"/>
        <w:b/>
        <w:bCs/>
        <w:color w:val="9E3A38" w:themeColor="accent2" w:themeShade="CC"/>
        <w:lang w:val="en-GB" w:eastAsia="en-GB" w:bidi="en-GB"/>
      </w:rPr>
      <w:tblPr/>
      <w:tcPr>
        <w:tcBorders>
          <w:top w:val="single" w:sz="12" w:space="0" w:color="000000" w:themeColor="text1"/>
        </w:tcBorders>
        <w:shd w:val="clear" w:color="auto" w:fill="FFFFFF" w:themeFill="background1"/>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rFonts w:ascii="Arial" w:eastAsia="Arial" w:hAnsi="Arial" w:cs="Arial"/>
        <w:b/>
        <w:bCs/>
        <w:color w:val="FFFFFF" w:themeColor="background1"/>
        <w:lang w:val="en-GB" w:eastAsia="en-GB" w:bidi="en-GB"/>
      </w:rPr>
      <w:tblPr/>
      <w:tcPr>
        <w:tcBorders>
          <w:bottom w:val="single" w:sz="12" w:space="0" w:color="FFFFFF" w:themeColor="background1"/>
        </w:tcBorders>
        <w:shd w:val="clear" w:color="auto" w:fill="664E82" w:themeFill="accent4" w:themeFillShade="CC"/>
      </w:tcPr>
    </w:tblStylePr>
    <w:tblStylePr w:type="lastRow">
      <w:rPr>
        <w:rFonts w:ascii="Arial" w:eastAsia="Arial" w:hAnsi="Arial" w:cs="Arial"/>
        <w:b/>
        <w:bCs/>
        <w:color w:val="664E82" w:themeColor="accent4" w:themeShade="CC"/>
        <w:lang w:val="en-GB" w:eastAsia="en-GB" w:bidi="en-GB"/>
      </w:rPr>
      <w:tblPr/>
      <w:tcPr>
        <w:tcBorders>
          <w:top w:val="single" w:sz="12" w:space="0" w:color="000000" w:themeColor="text1"/>
        </w:tcBorders>
        <w:shd w:val="clear" w:color="auto" w:fill="FFFFFF" w:themeFill="background1"/>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rFonts w:ascii="Arial" w:eastAsia="Arial" w:hAnsi="Arial" w:cs="Arial"/>
        <w:b/>
        <w:bCs/>
        <w:color w:val="FFFFFF" w:themeColor="background1"/>
        <w:lang w:val="en-GB" w:eastAsia="en-GB" w:bidi="en-GB"/>
      </w:rPr>
      <w:tblPr/>
      <w:tcPr>
        <w:tcBorders>
          <w:bottom w:val="single" w:sz="12" w:space="0" w:color="FFFFFF" w:themeColor="background1"/>
        </w:tcBorders>
        <w:shd w:val="clear" w:color="auto" w:fill="7E9C40" w:themeFill="accent3" w:themeFillShade="CC"/>
      </w:tcPr>
    </w:tblStylePr>
    <w:tblStylePr w:type="lastRow">
      <w:rPr>
        <w:rFonts w:ascii="Arial" w:eastAsia="Arial" w:hAnsi="Arial" w:cs="Arial"/>
        <w:b/>
        <w:bCs/>
        <w:color w:val="7E9C40" w:themeColor="accent3" w:themeShade="CC"/>
        <w:lang w:val="en-GB" w:eastAsia="en-GB" w:bidi="en-GB"/>
      </w:rPr>
      <w:tblPr/>
      <w:tcPr>
        <w:tcBorders>
          <w:top w:val="single" w:sz="12" w:space="0" w:color="000000" w:themeColor="text1"/>
        </w:tcBorders>
        <w:shd w:val="clear" w:color="auto" w:fill="FFFFFF" w:themeFill="background1"/>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rFonts w:ascii="Arial" w:eastAsia="Arial" w:hAnsi="Arial" w:cs="Arial"/>
        <w:b/>
        <w:bCs/>
        <w:color w:val="FFFFFF" w:themeColor="background1"/>
        <w:lang w:val="en-GB" w:eastAsia="en-GB" w:bidi="en-GB"/>
      </w:rPr>
      <w:tblPr/>
      <w:tcPr>
        <w:tcBorders>
          <w:bottom w:val="single" w:sz="12" w:space="0" w:color="FFFFFF" w:themeColor="background1"/>
        </w:tcBorders>
        <w:shd w:val="clear" w:color="auto" w:fill="F2730A" w:themeFill="accent6" w:themeFillShade="CC"/>
      </w:tcPr>
    </w:tblStylePr>
    <w:tblStylePr w:type="lastRow">
      <w:rPr>
        <w:rFonts w:ascii="Arial" w:eastAsia="Arial" w:hAnsi="Arial" w:cs="Arial"/>
        <w:b/>
        <w:bCs/>
        <w:color w:val="F2730A" w:themeColor="accent6" w:themeShade="CC"/>
        <w:lang w:val="en-GB" w:eastAsia="en-GB" w:bidi="en-GB"/>
      </w:rPr>
      <w:tblPr/>
      <w:tcPr>
        <w:tcBorders>
          <w:top w:val="single" w:sz="12" w:space="0" w:color="000000" w:themeColor="text1"/>
        </w:tcBorders>
        <w:shd w:val="clear" w:color="auto" w:fill="FFFFFF" w:themeFill="background1"/>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rFonts w:ascii="Arial" w:eastAsia="Arial" w:hAnsi="Arial" w:cs="Arial"/>
        <w:b/>
        <w:bCs/>
        <w:color w:val="FFFFFF" w:themeColor="background1"/>
        <w:lang w:val="en-GB" w:eastAsia="en-GB" w:bidi="en-GB"/>
      </w:rPr>
      <w:tblPr/>
      <w:tcPr>
        <w:tcBorders>
          <w:bottom w:val="single" w:sz="12" w:space="0" w:color="FFFFFF" w:themeColor="background1"/>
        </w:tcBorders>
        <w:shd w:val="clear" w:color="auto" w:fill="348DA5" w:themeFill="accent5" w:themeFillShade="CC"/>
      </w:tcPr>
    </w:tblStylePr>
    <w:tblStylePr w:type="lastRow">
      <w:rPr>
        <w:rFonts w:ascii="Arial" w:eastAsia="Arial" w:hAnsi="Arial" w:cs="Arial"/>
        <w:b/>
        <w:bCs/>
        <w:color w:val="348DA5" w:themeColor="accent5" w:themeShade="CC"/>
        <w:lang w:val="en-GB" w:eastAsia="en-GB" w:bidi="en-GB"/>
      </w:rPr>
      <w:tblPr/>
      <w:tcPr>
        <w:tcBorders>
          <w:top w:val="single" w:sz="12" w:space="0" w:color="000000" w:themeColor="text1"/>
        </w:tcBorders>
        <w:shd w:val="clear" w:color="auto" w:fill="FFFFFF" w:themeFill="background1"/>
      </w:tcPr>
    </w:tblStylePr>
    <w:tblStylePr w:type="firstCol">
      <w:rPr>
        <w:rFonts w:ascii="Arial" w:eastAsia="Arial" w:hAnsi="Arial" w:cs="Arial"/>
        <w:b/>
        <w:bCs/>
        <w:lang w:val="en-GB" w:eastAsia="en-GB" w:bidi="en-GB"/>
      </w:rPr>
    </w:tblStylePr>
    <w:tblStylePr w:type="lastCol">
      <w:rPr>
        <w:rFonts w:ascii="Arial" w:eastAsia="Arial" w:hAnsi="Arial" w:cs="Arial"/>
        <w:b/>
        <w:bCs/>
        <w:lang w:val="en-GB" w:eastAsia="en-GB" w:bidi="en-GB"/>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rFonts w:ascii="Arial" w:eastAsia="Arial" w:hAnsi="Arial" w:cs="Arial"/>
        <w:b/>
        <w:bCs/>
        <w:lang w:val="en-GB" w:eastAsia="en-GB" w:bidi="en-GB"/>
      </w:rPr>
      <w:tblPr/>
      <w:tcPr>
        <w:shd w:val="clear" w:color="auto" w:fill="999999" w:themeFill="text1" w:themeFillTint="66"/>
      </w:tcPr>
    </w:tblStylePr>
    <w:tblStylePr w:type="lastRow">
      <w:rPr>
        <w:rFonts w:ascii="Arial" w:eastAsia="Arial" w:hAnsi="Arial" w:cs="Arial"/>
        <w:b/>
        <w:bCs/>
        <w:color w:val="000000" w:themeColor="text1"/>
        <w:lang w:val="en-GB" w:eastAsia="en-GB" w:bidi="en-GB"/>
      </w:rPr>
      <w:tblPr/>
      <w:tcPr>
        <w:shd w:val="clear" w:color="auto" w:fill="999999" w:themeFill="text1" w:themeFillTint="66"/>
      </w:tcPr>
    </w:tblStylePr>
    <w:tblStylePr w:type="firstCol">
      <w:rPr>
        <w:rFonts w:ascii="Arial" w:eastAsia="Arial" w:hAnsi="Arial" w:cs="Arial"/>
        <w:color w:val="FFFFFF" w:themeColor="background1"/>
        <w:lang w:val="en-GB" w:eastAsia="en-GB" w:bidi="en-GB"/>
      </w:rPr>
      <w:tblPr/>
      <w:tcPr>
        <w:shd w:val="clear" w:color="auto" w:fill="000000" w:themeFill="text1" w:themeFillShade="BF"/>
      </w:tcPr>
    </w:tblStylePr>
    <w:tblStylePr w:type="lastCol">
      <w:rPr>
        <w:rFonts w:ascii="Arial" w:eastAsia="Arial" w:hAnsi="Arial" w:cs="Arial"/>
        <w:color w:val="FFFFFF" w:themeColor="background1"/>
        <w:lang w:val="en-GB" w:eastAsia="en-GB" w:bidi="en-GB"/>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rFonts w:ascii="Arial" w:eastAsia="Arial" w:hAnsi="Arial" w:cs="Arial"/>
        <w:b/>
        <w:bCs/>
        <w:lang w:val="en-GB" w:eastAsia="en-GB" w:bidi="en-GB"/>
      </w:rPr>
      <w:tblPr/>
      <w:tcPr>
        <w:shd w:val="clear" w:color="auto" w:fill="B8CCE4" w:themeFill="accent1" w:themeFillTint="66"/>
      </w:tcPr>
    </w:tblStylePr>
    <w:tblStylePr w:type="lastRow">
      <w:rPr>
        <w:rFonts w:ascii="Arial" w:eastAsia="Arial" w:hAnsi="Arial" w:cs="Arial"/>
        <w:b/>
        <w:bCs/>
        <w:color w:val="000000" w:themeColor="text1"/>
        <w:lang w:val="en-GB" w:eastAsia="en-GB" w:bidi="en-GB"/>
      </w:rPr>
      <w:tblPr/>
      <w:tcPr>
        <w:shd w:val="clear" w:color="auto" w:fill="B8CCE4" w:themeFill="accent1" w:themeFillTint="66"/>
      </w:tcPr>
    </w:tblStylePr>
    <w:tblStylePr w:type="firstCol">
      <w:rPr>
        <w:rFonts w:ascii="Arial" w:eastAsia="Arial" w:hAnsi="Arial" w:cs="Arial"/>
        <w:color w:val="FFFFFF" w:themeColor="background1"/>
        <w:lang w:val="en-GB" w:eastAsia="en-GB" w:bidi="en-GB"/>
      </w:rPr>
      <w:tblPr/>
      <w:tcPr>
        <w:shd w:val="clear" w:color="auto" w:fill="365F91" w:themeFill="accent1" w:themeFillShade="BF"/>
      </w:tcPr>
    </w:tblStylePr>
    <w:tblStylePr w:type="lastCol">
      <w:rPr>
        <w:rFonts w:ascii="Arial" w:eastAsia="Arial" w:hAnsi="Arial" w:cs="Arial"/>
        <w:color w:val="FFFFFF" w:themeColor="background1"/>
        <w:lang w:val="en-GB" w:eastAsia="en-GB" w:bidi="en-GB"/>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rFonts w:ascii="Arial" w:eastAsia="Arial" w:hAnsi="Arial" w:cs="Arial"/>
        <w:b/>
        <w:bCs/>
        <w:lang w:val="en-GB" w:eastAsia="en-GB" w:bidi="en-GB"/>
      </w:rPr>
      <w:tblPr/>
      <w:tcPr>
        <w:shd w:val="clear" w:color="auto" w:fill="E5B8B7" w:themeFill="accent2" w:themeFillTint="66"/>
      </w:tcPr>
    </w:tblStylePr>
    <w:tblStylePr w:type="lastRow">
      <w:rPr>
        <w:rFonts w:ascii="Arial" w:eastAsia="Arial" w:hAnsi="Arial" w:cs="Arial"/>
        <w:b/>
        <w:bCs/>
        <w:color w:val="000000" w:themeColor="text1"/>
        <w:lang w:val="en-GB" w:eastAsia="en-GB" w:bidi="en-GB"/>
      </w:rPr>
      <w:tblPr/>
      <w:tcPr>
        <w:shd w:val="clear" w:color="auto" w:fill="E5B8B7" w:themeFill="accent2" w:themeFillTint="66"/>
      </w:tcPr>
    </w:tblStylePr>
    <w:tblStylePr w:type="firstCol">
      <w:rPr>
        <w:rFonts w:ascii="Arial" w:eastAsia="Arial" w:hAnsi="Arial" w:cs="Arial"/>
        <w:color w:val="FFFFFF" w:themeColor="background1"/>
        <w:lang w:val="en-GB" w:eastAsia="en-GB" w:bidi="en-GB"/>
      </w:rPr>
      <w:tblPr/>
      <w:tcPr>
        <w:shd w:val="clear" w:color="auto" w:fill="943634" w:themeFill="accent2" w:themeFillShade="BF"/>
      </w:tcPr>
    </w:tblStylePr>
    <w:tblStylePr w:type="lastCol">
      <w:rPr>
        <w:rFonts w:ascii="Arial" w:eastAsia="Arial" w:hAnsi="Arial" w:cs="Arial"/>
        <w:color w:val="FFFFFF" w:themeColor="background1"/>
        <w:lang w:val="en-GB" w:eastAsia="en-GB" w:bidi="en-GB"/>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rFonts w:ascii="Arial" w:eastAsia="Arial" w:hAnsi="Arial" w:cs="Arial"/>
        <w:b/>
        <w:bCs/>
        <w:lang w:val="en-GB" w:eastAsia="en-GB" w:bidi="en-GB"/>
      </w:rPr>
      <w:tblPr/>
      <w:tcPr>
        <w:shd w:val="clear" w:color="auto" w:fill="D6E3BC" w:themeFill="accent3" w:themeFillTint="66"/>
      </w:tcPr>
    </w:tblStylePr>
    <w:tblStylePr w:type="lastRow">
      <w:rPr>
        <w:rFonts w:ascii="Arial" w:eastAsia="Arial" w:hAnsi="Arial" w:cs="Arial"/>
        <w:b/>
        <w:bCs/>
        <w:color w:val="000000" w:themeColor="text1"/>
        <w:lang w:val="en-GB" w:eastAsia="en-GB" w:bidi="en-GB"/>
      </w:rPr>
      <w:tblPr/>
      <w:tcPr>
        <w:shd w:val="clear" w:color="auto" w:fill="D6E3BC" w:themeFill="accent3" w:themeFillTint="66"/>
      </w:tcPr>
    </w:tblStylePr>
    <w:tblStylePr w:type="firstCol">
      <w:rPr>
        <w:rFonts w:ascii="Arial" w:eastAsia="Arial" w:hAnsi="Arial" w:cs="Arial"/>
        <w:color w:val="FFFFFF" w:themeColor="background1"/>
        <w:lang w:val="en-GB" w:eastAsia="en-GB" w:bidi="en-GB"/>
      </w:rPr>
      <w:tblPr/>
      <w:tcPr>
        <w:shd w:val="clear" w:color="auto" w:fill="76923C" w:themeFill="accent3" w:themeFillShade="BF"/>
      </w:tcPr>
    </w:tblStylePr>
    <w:tblStylePr w:type="lastCol">
      <w:rPr>
        <w:rFonts w:ascii="Arial" w:eastAsia="Arial" w:hAnsi="Arial" w:cs="Arial"/>
        <w:color w:val="FFFFFF" w:themeColor="background1"/>
        <w:lang w:val="en-GB" w:eastAsia="en-GB" w:bidi="en-GB"/>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rFonts w:ascii="Arial" w:eastAsia="Arial" w:hAnsi="Arial" w:cs="Arial"/>
        <w:b/>
        <w:bCs/>
        <w:lang w:val="en-GB" w:eastAsia="en-GB" w:bidi="en-GB"/>
      </w:rPr>
      <w:tblPr/>
      <w:tcPr>
        <w:shd w:val="clear" w:color="auto" w:fill="CCC0D9" w:themeFill="accent4" w:themeFillTint="66"/>
      </w:tcPr>
    </w:tblStylePr>
    <w:tblStylePr w:type="lastRow">
      <w:rPr>
        <w:rFonts w:ascii="Arial" w:eastAsia="Arial" w:hAnsi="Arial" w:cs="Arial"/>
        <w:b/>
        <w:bCs/>
        <w:color w:val="000000" w:themeColor="text1"/>
        <w:lang w:val="en-GB" w:eastAsia="en-GB" w:bidi="en-GB"/>
      </w:rPr>
      <w:tblPr/>
      <w:tcPr>
        <w:shd w:val="clear" w:color="auto" w:fill="CCC0D9" w:themeFill="accent4" w:themeFillTint="66"/>
      </w:tcPr>
    </w:tblStylePr>
    <w:tblStylePr w:type="firstCol">
      <w:rPr>
        <w:rFonts w:ascii="Arial" w:eastAsia="Arial" w:hAnsi="Arial" w:cs="Arial"/>
        <w:color w:val="FFFFFF" w:themeColor="background1"/>
        <w:lang w:val="en-GB" w:eastAsia="en-GB" w:bidi="en-GB"/>
      </w:rPr>
      <w:tblPr/>
      <w:tcPr>
        <w:shd w:val="clear" w:color="auto" w:fill="5F497A" w:themeFill="accent4" w:themeFillShade="BF"/>
      </w:tcPr>
    </w:tblStylePr>
    <w:tblStylePr w:type="lastCol">
      <w:rPr>
        <w:rFonts w:ascii="Arial" w:eastAsia="Arial" w:hAnsi="Arial" w:cs="Arial"/>
        <w:color w:val="FFFFFF" w:themeColor="background1"/>
        <w:lang w:val="en-GB" w:eastAsia="en-GB" w:bidi="en-GB"/>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rFonts w:ascii="Arial" w:eastAsia="Arial" w:hAnsi="Arial" w:cs="Arial"/>
        <w:b/>
        <w:bCs/>
        <w:lang w:val="en-GB" w:eastAsia="en-GB" w:bidi="en-GB"/>
      </w:rPr>
      <w:tblPr/>
      <w:tcPr>
        <w:shd w:val="clear" w:color="auto" w:fill="B6DDE8" w:themeFill="accent5" w:themeFillTint="66"/>
      </w:tcPr>
    </w:tblStylePr>
    <w:tblStylePr w:type="lastRow">
      <w:rPr>
        <w:rFonts w:ascii="Arial" w:eastAsia="Arial" w:hAnsi="Arial" w:cs="Arial"/>
        <w:b/>
        <w:bCs/>
        <w:color w:val="000000" w:themeColor="text1"/>
        <w:lang w:val="en-GB" w:eastAsia="en-GB" w:bidi="en-GB"/>
      </w:rPr>
      <w:tblPr/>
      <w:tcPr>
        <w:shd w:val="clear" w:color="auto" w:fill="B6DDE8" w:themeFill="accent5" w:themeFillTint="66"/>
      </w:tcPr>
    </w:tblStylePr>
    <w:tblStylePr w:type="firstCol">
      <w:rPr>
        <w:rFonts w:ascii="Arial" w:eastAsia="Arial" w:hAnsi="Arial" w:cs="Arial"/>
        <w:color w:val="FFFFFF" w:themeColor="background1"/>
        <w:lang w:val="en-GB" w:eastAsia="en-GB" w:bidi="en-GB"/>
      </w:rPr>
      <w:tblPr/>
      <w:tcPr>
        <w:shd w:val="clear" w:color="auto" w:fill="31849B" w:themeFill="accent5" w:themeFillShade="BF"/>
      </w:tcPr>
    </w:tblStylePr>
    <w:tblStylePr w:type="lastCol">
      <w:rPr>
        <w:rFonts w:ascii="Arial" w:eastAsia="Arial" w:hAnsi="Arial" w:cs="Arial"/>
        <w:color w:val="FFFFFF" w:themeColor="background1"/>
        <w:lang w:val="en-GB" w:eastAsia="en-GB" w:bidi="en-GB"/>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rFonts w:ascii="Arial" w:eastAsia="Arial" w:hAnsi="Arial" w:cs="Arial"/>
        <w:b/>
        <w:bCs/>
        <w:lang w:val="en-GB" w:eastAsia="en-GB" w:bidi="en-GB"/>
      </w:rPr>
      <w:tblPr/>
      <w:tcPr>
        <w:shd w:val="clear" w:color="auto" w:fill="FBD4B4" w:themeFill="accent6" w:themeFillTint="66"/>
      </w:tcPr>
    </w:tblStylePr>
    <w:tblStylePr w:type="lastRow">
      <w:rPr>
        <w:rFonts w:ascii="Arial" w:eastAsia="Arial" w:hAnsi="Arial" w:cs="Arial"/>
        <w:b/>
        <w:bCs/>
        <w:color w:val="000000" w:themeColor="text1"/>
        <w:lang w:val="en-GB" w:eastAsia="en-GB" w:bidi="en-GB"/>
      </w:rPr>
      <w:tblPr/>
      <w:tcPr>
        <w:shd w:val="clear" w:color="auto" w:fill="FBD4B4" w:themeFill="accent6" w:themeFillTint="66"/>
      </w:tcPr>
    </w:tblStylePr>
    <w:tblStylePr w:type="firstCol">
      <w:rPr>
        <w:rFonts w:ascii="Arial" w:eastAsia="Arial" w:hAnsi="Arial" w:cs="Arial"/>
        <w:color w:val="FFFFFF" w:themeColor="background1"/>
        <w:lang w:val="en-GB" w:eastAsia="en-GB" w:bidi="en-GB"/>
      </w:rPr>
      <w:tblPr/>
      <w:tcPr>
        <w:shd w:val="clear" w:color="auto" w:fill="E36C0A" w:themeFill="accent6" w:themeFillShade="BF"/>
      </w:tcPr>
    </w:tblStylePr>
    <w:tblStylePr w:type="lastCol">
      <w:rPr>
        <w:rFonts w:ascii="Arial" w:eastAsia="Arial" w:hAnsi="Arial" w:cs="Arial"/>
        <w:color w:val="FFFFFF" w:themeColor="background1"/>
        <w:lang w:val="en-GB" w:eastAsia="en-GB" w:bidi="en-GB"/>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Caption">
    <w:name w:val="Table Caption"/>
    <w:pPr>
      <w:keepNext/>
      <w:spacing w:before="120" w:after="80"/>
    </w:pPr>
    <w:rPr>
      <w:b/>
      <w:color w:val="17365D"/>
      <w:sz w:val="21"/>
    </w:rPr>
  </w:style>
  <w:style w:type="paragraph" w:styleId="TOC1">
    <w:name w:val="toc 1"/>
    <w:basedOn w:val="Normal"/>
    <w:next w:val="Normal"/>
    <w:autoRedefine/>
    <w:uiPriority w:val="39"/>
    <w:unhideWhenUsed/>
    <w:rsid w:val="00CB434F"/>
    <w:pPr>
      <w:spacing w:after="100"/>
    </w:pPr>
  </w:style>
  <w:style w:type="paragraph" w:styleId="TOC2">
    <w:name w:val="toc 2"/>
    <w:basedOn w:val="Normal"/>
    <w:next w:val="Normal"/>
    <w:autoRedefine/>
    <w:uiPriority w:val="39"/>
    <w:unhideWhenUsed/>
    <w:rsid w:val="00CB434F"/>
    <w:pPr>
      <w:spacing w:after="100"/>
      <w:ind w:left="220"/>
    </w:pPr>
  </w:style>
  <w:style w:type="character" w:styleId="Hyperlink">
    <w:name w:val="Hyperlink"/>
    <w:basedOn w:val="DefaultParagraphFont"/>
    <w:uiPriority w:val="99"/>
    <w:unhideWhenUsed/>
    <w:rsid w:val="00CB434F"/>
    <w:rPr>
      <w:rFonts w:ascii="Arial" w:eastAsia="Arial" w:hAnsi="Arial" w:cs="Arial"/>
      <w:color w:val="0000FF" w:themeColor="hyperlink"/>
      <w:u w:val="single"/>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eader" Target="header4.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15</Pages>
  <Words>4743</Words>
  <Characters>27040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Emotional Intelligence, Mindfulness and Managing a Multigenerational Workforce</vt:lpstr>
    </vt:vector>
  </TitlesOfParts>
  <Manager/>
  <Company/>
  <LinksUpToDate>false</LinksUpToDate>
  <CharactersWithSpaces>31720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Emotional Intelligence, Mindfulness and Managing a Multigenerational Workforce</dc:title>
  <dc:subject>Formal academic report to the Senior Management Team</dc:subject>
  <dc:creator>[Insert full name]</dc:creator>
  <cp:keywords>emotional intelligence, mindfulness, multigenerational workforce, psychological safety, inclusive leadership</cp:keywords>
  <dc:description>generated by python-docx</dc:description>
  <cp:lastModifiedBy>Yehor Kulikov (2417098)</cp:lastModifiedBy>
  <cp:revision>3</cp:revision>
  <dcterms:created xsi:type="dcterms:W3CDTF">2013-12-23T23:15:00Z</dcterms:created>
  <dcterms:modified xsi:type="dcterms:W3CDTF">2026-07-12T15:17:00Z</dcterms:modified>
  <cp:category/>
  <dc:language>en-GB</dc:language>
</cp:coreProperties>
</file>