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516DC73" w14:textId="77777777" w:rsidR="006B50B9" w:rsidRPr="0057020E" w:rsidRDefault="006B50B9" w:rsidP="0057020E">
      <w:pPr>
        <w:spacing w:line="360" w:lineRule="auto"/>
        <w:jc w:val="both"/>
        <w:rPr>
          <w:rFonts w:ascii="Arial" w:hAnsi="Arial" w:cs="Arial"/>
          <w:b/>
        </w:rPr>
      </w:pPr>
    </w:p>
    <w:p w14:paraId="5F0AA1B2" w14:textId="77777777" w:rsidR="006B50B9" w:rsidRPr="0057020E" w:rsidRDefault="006B50B9" w:rsidP="0057020E">
      <w:pPr>
        <w:spacing w:line="360" w:lineRule="auto"/>
        <w:jc w:val="both"/>
        <w:rPr>
          <w:rFonts w:ascii="Arial" w:hAnsi="Arial" w:cs="Arial"/>
          <w:b/>
        </w:rPr>
      </w:pPr>
    </w:p>
    <w:p w14:paraId="35EA1842" w14:textId="77777777" w:rsidR="006B50B9" w:rsidRPr="0057020E" w:rsidRDefault="006B50B9" w:rsidP="0057020E">
      <w:pPr>
        <w:spacing w:line="360" w:lineRule="auto"/>
        <w:jc w:val="both"/>
        <w:rPr>
          <w:rFonts w:ascii="Arial" w:hAnsi="Arial" w:cs="Arial"/>
          <w:b/>
        </w:rPr>
      </w:pPr>
    </w:p>
    <w:p w14:paraId="70B179B6" w14:textId="77777777" w:rsidR="006B50B9" w:rsidRPr="0057020E" w:rsidRDefault="006B50B9" w:rsidP="0057020E">
      <w:pPr>
        <w:spacing w:line="360" w:lineRule="auto"/>
        <w:jc w:val="both"/>
        <w:rPr>
          <w:rFonts w:ascii="Arial" w:hAnsi="Arial" w:cs="Arial"/>
          <w:b/>
        </w:rPr>
      </w:pPr>
    </w:p>
    <w:p w14:paraId="4FD34B7C" w14:textId="15E0ABF3" w:rsidR="00AA04DF" w:rsidRDefault="00AA04DF" w:rsidP="00AA04DF">
      <w:pPr>
        <w:spacing w:line="360" w:lineRule="auto"/>
        <w:jc w:val="center"/>
        <w:rPr>
          <w:rFonts w:ascii="Arial" w:hAnsi="Arial" w:cs="Arial"/>
          <w:b/>
          <w:bCs/>
          <w:i/>
          <w:sz w:val="44"/>
          <w:szCs w:val="44"/>
          <w:u w:val="single"/>
        </w:rPr>
      </w:pPr>
      <w:r>
        <w:rPr>
          <w:rFonts w:ascii="Arial" w:hAnsi="Arial" w:cs="Arial"/>
          <w:b/>
          <w:bCs/>
          <w:i/>
          <w:sz w:val="44"/>
          <w:szCs w:val="44"/>
          <w:u w:val="single"/>
        </w:rPr>
        <w:t xml:space="preserve">Module </w:t>
      </w:r>
      <w:proofErr w:type="spellStart"/>
      <w:r>
        <w:rPr>
          <w:rFonts w:ascii="Arial" w:hAnsi="Arial" w:cs="Arial"/>
          <w:b/>
          <w:bCs/>
          <w:i/>
          <w:sz w:val="44"/>
          <w:szCs w:val="44"/>
          <w:u w:val="single"/>
        </w:rPr>
        <w:t>title</w:t>
      </w:r>
      <w:proofErr w:type="gramStart"/>
      <w:r>
        <w:rPr>
          <w:rFonts w:ascii="Arial" w:hAnsi="Arial" w:cs="Arial"/>
          <w:b/>
          <w:bCs/>
          <w:i/>
          <w:sz w:val="44"/>
          <w:szCs w:val="44"/>
          <w:u w:val="single"/>
        </w:rPr>
        <w:t>:Managing</w:t>
      </w:r>
      <w:proofErr w:type="spellEnd"/>
      <w:proofErr w:type="gramEnd"/>
      <w:r>
        <w:rPr>
          <w:rFonts w:ascii="Arial" w:hAnsi="Arial" w:cs="Arial"/>
          <w:b/>
          <w:bCs/>
          <w:i/>
          <w:sz w:val="44"/>
          <w:szCs w:val="44"/>
          <w:u w:val="single"/>
        </w:rPr>
        <w:t xml:space="preserve"> People</w:t>
      </w:r>
    </w:p>
    <w:p w14:paraId="7803B66D" w14:textId="5C428B64" w:rsidR="00AA04DF" w:rsidRDefault="00AA04DF" w:rsidP="00AA04DF">
      <w:pPr>
        <w:spacing w:line="360" w:lineRule="auto"/>
        <w:jc w:val="center"/>
        <w:rPr>
          <w:rFonts w:ascii="Arial" w:hAnsi="Arial" w:cs="Arial"/>
          <w:b/>
          <w:bCs/>
          <w:i/>
          <w:sz w:val="44"/>
          <w:szCs w:val="44"/>
          <w:u w:val="single"/>
        </w:rPr>
      </w:pPr>
      <w:r>
        <w:rPr>
          <w:rFonts w:ascii="Arial" w:hAnsi="Arial" w:cs="Arial"/>
          <w:b/>
          <w:bCs/>
          <w:i/>
          <w:sz w:val="44"/>
          <w:szCs w:val="44"/>
          <w:u w:val="single"/>
        </w:rPr>
        <w:t>Module code</w:t>
      </w:r>
      <w:proofErr w:type="gramStart"/>
      <w:r>
        <w:rPr>
          <w:rFonts w:ascii="Arial" w:hAnsi="Arial" w:cs="Arial"/>
          <w:b/>
          <w:bCs/>
          <w:i/>
          <w:sz w:val="44"/>
          <w:szCs w:val="44"/>
          <w:u w:val="single"/>
        </w:rPr>
        <w:t>:LCBB5004</w:t>
      </w:r>
      <w:proofErr w:type="gramEnd"/>
    </w:p>
    <w:p w14:paraId="417A6065" w14:textId="77777777" w:rsidR="00AA04DF" w:rsidRDefault="00AA04DF" w:rsidP="00AA04DF">
      <w:pPr>
        <w:spacing w:line="360" w:lineRule="auto"/>
        <w:jc w:val="center"/>
        <w:rPr>
          <w:rFonts w:ascii="Arial" w:hAnsi="Arial" w:cs="Arial"/>
          <w:b/>
          <w:bCs/>
          <w:i/>
          <w:sz w:val="44"/>
          <w:szCs w:val="44"/>
          <w:u w:val="single"/>
        </w:rPr>
      </w:pPr>
      <w:r>
        <w:rPr>
          <w:rFonts w:ascii="Arial" w:hAnsi="Arial" w:cs="Arial"/>
          <w:b/>
          <w:bCs/>
          <w:i/>
          <w:sz w:val="44"/>
          <w:szCs w:val="44"/>
          <w:u w:val="single"/>
        </w:rPr>
        <w:t xml:space="preserve">Student </w:t>
      </w:r>
      <w:proofErr w:type="spellStart"/>
      <w:r>
        <w:rPr>
          <w:rFonts w:ascii="Arial" w:hAnsi="Arial" w:cs="Arial"/>
          <w:b/>
          <w:bCs/>
          <w:i/>
          <w:sz w:val="44"/>
          <w:szCs w:val="44"/>
          <w:u w:val="single"/>
        </w:rPr>
        <w:t>name</w:t>
      </w:r>
      <w:proofErr w:type="gramStart"/>
      <w:r>
        <w:rPr>
          <w:rFonts w:ascii="Arial" w:hAnsi="Arial" w:cs="Arial"/>
          <w:b/>
          <w:bCs/>
          <w:i/>
          <w:sz w:val="44"/>
          <w:szCs w:val="44"/>
          <w:u w:val="single"/>
        </w:rPr>
        <w:t>:Elena</w:t>
      </w:r>
      <w:proofErr w:type="spellEnd"/>
      <w:proofErr w:type="gramEnd"/>
      <w:r>
        <w:rPr>
          <w:rFonts w:ascii="Arial" w:hAnsi="Arial" w:cs="Arial"/>
          <w:b/>
          <w:bCs/>
          <w:i/>
          <w:sz w:val="44"/>
          <w:szCs w:val="44"/>
          <w:u w:val="single"/>
        </w:rPr>
        <w:t xml:space="preserve"> Alexandra </w:t>
      </w:r>
      <w:proofErr w:type="spellStart"/>
      <w:r>
        <w:rPr>
          <w:rFonts w:ascii="Arial" w:hAnsi="Arial" w:cs="Arial"/>
          <w:b/>
          <w:bCs/>
          <w:i/>
          <w:sz w:val="44"/>
          <w:szCs w:val="44"/>
          <w:u w:val="single"/>
        </w:rPr>
        <w:t>Antochi</w:t>
      </w:r>
      <w:proofErr w:type="spellEnd"/>
    </w:p>
    <w:p w14:paraId="0ED0D2A5" w14:textId="77777777" w:rsidR="00AA04DF" w:rsidRDefault="00AA04DF" w:rsidP="00AA04DF">
      <w:pPr>
        <w:spacing w:line="360" w:lineRule="auto"/>
        <w:jc w:val="center"/>
        <w:rPr>
          <w:rFonts w:ascii="Arial" w:hAnsi="Arial" w:cs="Arial"/>
          <w:b/>
          <w:bCs/>
          <w:i/>
          <w:sz w:val="44"/>
          <w:szCs w:val="44"/>
          <w:u w:val="single"/>
        </w:rPr>
      </w:pPr>
      <w:r>
        <w:rPr>
          <w:rFonts w:ascii="Arial" w:hAnsi="Arial" w:cs="Arial"/>
          <w:b/>
          <w:bCs/>
          <w:i/>
          <w:sz w:val="44"/>
          <w:szCs w:val="44"/>
          <w:u w:val="single"/>
        </w:rPr>
        <w:t>Student ID</w:t>
      </w:r>
      <w:proofErr w:type="gramStart"/>
      <w:r>
        <w:rPr>
          <w:rFonts w:ascii="Arial" w:hAnsi="Arial" w:cs="Arial"/>
          <w:b/>
          <w:bCs/>
          <w:i/>
          <w:sz w:val="44"/>
          <w:szCs w:val="44"/>
          <w:u w:val="single"/>
        </w:rPr>
        <w:t>:2013040</w:t>
      </w:r>
      <w:proofErr w:type="gramEnd"/>
    </w:p>
    <w:p w14:paraId="7C2DB025" w14:textId="42223930" w:rsidR="00AA04DF" w:rsidRDefault="00AA04DF" w:rsidP="00AA04DF">
      <w:pPr>
        <w:spacing w:line="360" w:lineRule="auto"/>
        <w:jc w:val="center"/>
        <w:rPr>
          <w:rFonts w:ascii="Arial" w:hAnsi="Arial" w:cs="Arial"/>
          <w:b/>
          <w:bCs/>
          <w:sz w:val="36"/>
          <w:szCs w:val="36"/>
        </w:rPr>
      </w:pPr>
      <w:r>
        <w:rPr>
          <w:rFonts w:ascii="Arial" w:hAnsi="Arial" w:cs="Arial"/>
          <w:b/>
          <w:bCs/>
          <w:i/>
          <w:sz w:val="44"/>
          <w:szCs w:val="44"/>
          <w:u w:val="single"/>
        </w:rPr>
        <w:t xml:space="preserve">Lecturer </w:t>
      </w:r>
      <w:proofErr w:type="spellStart"/>
      <w:r>
        <w:rPr>
          <w:rFonts w:ascii="Arial" w:hAnsi="Arial" w:cs="Arial"/>
          <w:b/>
          <w:bCs/>
          <w:i/>
          <w:sz w:val="44"/>
          <w:szCs w:val="44"/>
          <w:u w:val="single"/>
        </w:rPr>
        <w:t>name:Dr.Charles</w:t>
      </w:r>
      <w:proofErr w:type="spellEnd"/>
      <w:r>
        <w:rPr>
          <w:rFonts w:ascii="Arial" w:hAnsi="Arial" w:cs="Arial"/>
          <w:b/>
          <w:bCs/>
          <w:i/>
          <w:sz w:val="44"/>
          <w:szCs w:val="44"/>
          <w:u w:val="single"/>
        </w:rPr>
        <w:t xml:space="preserve"> Oham</w:t>
      </w:r>
      <w:bookmarkStart w:id="0" w:name="_GoBack"/>
      <w:bookmarkEnd w:id="0"/>
    </w:p>
    <w:p w14:paraId="37509BE2" w14:textId="649A0A9A" w:rsidR="00AA04DF" w:rsidRPr="0057020E" w:rsidRDefault="00AA04DF" w:rsidP="00AA04DF">
      <w:pPr>
        <w:spacing w:line="360" w:lineRule="auto"/>
        <w:jc w:val="center"/>
        <w:rPr>
          <w:rFonts w:ascii="Arial" w:hAnsi="Arial" w:cs="Arial"/>
          <w:b/>
          <w:sz w:val="36"/>
          <w:szCs w:val="36"/>
        </w:rPr>
      </w:pPr>
    </w:p>
    <w:p w14:paraId="4078DAF8" w14:textId="77777777" w:rsidR="002C047D" w:rsidRPr="0057020E" w:rsidRDefault="004301C1" w:rsidP="0057020E">
      <w:pPr>
        <w:spacing w:line="360" w:lineRule="auto"/>
        <w:jc w:val="center"/>
        <w:rPr>
          <w:rFonts w:ascii="Arial" w:hAnsi="Arial" w:cs="Arial"/>
          <w:b/>
        </w:rPr>
      </w:pPr>
      <w:r w:rsidRPr="0057020E">
        <w:rPr>
          <w:rFonts w:ascii="Arial" w:hAnsi="Arial" w:cs="Arial"/>
          <w:b/>
        </w:rPr>
        <w:t>Cases in favour and against flexible working</w:t>
      </w:r>
    </w:p>
    <w:p w14:paraId="7775284B" w14:textId="77777777" w:rsidR="002C047D" w:rsidRPr="0057020E" w:rsidRDefault="004301C1" w:rsidP="0057020E">
      <w:pPr>
        <w:spacing w:line="360" w:lineRule="auto"/>
        <w:jc w:val="both"/>
        <w:rPr>
          <w:rFonts w:ascii="Arial" w:hAnsi="Arial" w:cs="Arial"/>
          <w:b/>
        </w:rPr>
      </w:pPr>
      <w:r w:rsidRPr="0057020E">
        <w:rPr>
          <w:rFonts w:ascii="Arial" w:hAnsi="Arial" w:cs="Arial"/>
          <w:b/>
        </w:rPr>
        <w:br w:type="page"/>
      </w:r>
    </w:p>
    <w:p w14:paraId="6497BB08" w14:textId="77777777" w:rsidR="002C047D" w:rsidRPr="0057020E" w:rsidRDefault="004301C1" w:rsidP="0057020E">
      <w:pPr>
        <w:spacing w:line="360" w:lineRule="auto"/>
        <w:jc w:val="both"/>
        <w:rPr>
          <w:rFonts w:ascii="Arial" w:hAnsi="Arial" w:cs="Arial"/>
          <w:b/>
        </w:rPr>
      </w:pPr>
      <w:r w:rsidRPr="0057020E">
        <w:rPr>
          <w:rFonts w:ascii="Arial" w:hAnsi="Arial" w:cs="Arial"/>
          <w:b/>
        </w:rPr>
        <w:lastRenderedPageBreak/>
        <w:t xml:space="preserve"> </w:t>
      </w:r>
    </w:p>
    <w:sdt>
      <w:sdtPr>
        <w:rPr>
          <w:rFonts w:ascii="Arial" w:eastAsiaTheme="minorHAnsi" w:hAnsi="Arial" w:cs="Arial"/>
          <w:b w:val="0"/>
          <w:bCs w:val="0"/>
          <w:color w:val="auto"/>
          <w:sz w:val="22"/>
          <w:szCs w:val="22"/>
          <w:lang w:val="en-GB"/>
        </w:rPr>
        <w:id w:val="24279004"/>
        <w:docPartObj>
          <w:docPartGallery w:val="Table of Contents"/>
          <w:docPartUnique/>
        </w:docPartObj>
      </w:sdtPr>
      <w:sdtEndPr/>
      <w:sdtContent>
        <w:p w14:paraId="2BEF106D" w14:textId="77777777" w:rsidR="002C047D" w:rsidRPr="0057020E" w:rsidRDefault="004301C1" w:rsidP="0057020E">
          <w:pPr>
            <w:pStyle w:val="TOCHeading"/>
            <w:spacing w:after="200" w:line="360" w:lineRule="auto"/>
            <w:jc w:val="both"/>
            <w:rPr>
              <w:rFonts w:ascii="Arial" w:hAnsi="Arial" w:cs="Arial"/>
              <w:sz w:val="22"/>
              <w:szCs w:val="22"/>
            </w:rPr>
          </w:pPr>
          <w:r w:rsidRPr="0057020E">
            <w:rPr>
              <w:rFonts w:ascii="Arial" w:hAnsi="Arial" w:cs="Arial"/>
              <w:color w:val="000000" w:themeColor="text1"/>
              <w:sz w:val="22"/>
              <w:szCs w:val="22"/>
            </w:rPr>
            <w:t>Table of Contents</w:t>
          </w:r>
        </w:p>
        <w:p w14:paraId="0D55FC5E" w14:textId="61A625DF" w:rsidR="002C047D" w:rsidRPr="0057020E" w:rsidRDefault="000A7416" w:rsidP="0057020E">
          <w:pPr>
            <w:pStyle w:val="TOC1"/>
            <w:tabs>
              <w:tab w:val="right" w:leader="dot" w:pos="9016"/>
            </w:tabs>
            <w:spacing w:after="200" w:line="360" w:lineRule="auto"/>
            <w:jc w:val="both"/>
            <w:rPr>
              <w:rFonts w:ascii="Arial" w:hAnsi="Arial" w:cs="Arial"/>
              <w:noProof/>
            </w:rPr>
          </w:pPr>
          <w:r w:rsidRPr="0057020E">
            <w:rPr>
              <w:rFonts w:ascii="Arial" w:hAnsi="Arial" w:cs="Arial"/>
            </w:rPr>
            <w:fldChar w:fldCharType="begin"/>
          </w:r>
          <w:r w:rsidR="004301C1" w:rsidRPr="0057020E">
            <w:rPr>
              <w:rFonts w:ascii="Arial" w:hAnsi="Arial" w:cs="Arial"/>
            </w:rPr>
            <w:instrText xml:space="preserve"> TOC \o "1-3" \h \z \u </w:instrText>
          </w:r>
          <w:r w:rsidRPr="0057020E">
            <w:rPr>
              <w:rFonts w:ascii="Arial" w:hAnsi="Arial" w:cs="Arial"/>
            </w:rPr>
            <w:fldChar w:fldCharType="separate"/>
          </w:r>
          <w:hyperlink w:anchor="_Toc99756552" w:history="1">
            <w:r w:rsidR="004301C1" w:rsidRPr="0057020E">
              <w:rPr>
                <w:rStyle w:val="Hyperlink"/>
                <w:rFonts w:ascii="Arial" w:hAnsi="Arial" w:cs="Arial"/>
                <w:noProof/>
              </w:rPr>
              <w:t>Introduction</w:t>
            </w:r>
            <w:r w:rsidR="004301C1" w:rsidRPr="0057020E">
              <w:rPr>
                <w:rFonts w:ascii="Arial" w:hAnsi="Arial" w:cs="Arial"/>
                <w:noProof/>
                <w:webHidden/>
              </w:rPr>
              <w:tab/>
            </w:r>
            <w:r w:rsidRPr="0057020E">
              <w:rPr>
                <w:rFonts w:ascii="Arial" w:hAnsi="Arial" w:cs="Arial"/>
                <w:noProof/>
                <w:webHidden/>
              </w:rPr>
              <w:fldChar w:fldCharType="begin"/>
            </w:r>
            <w:r w:rsidR="004301C1" w:rsidRPr="0057020E">
              <w:rPr>
                <w:rFonts w:ascii="Arial" w:hAnsi="Arial" w:cs="Arial"/>
                <w:noProof/>
                <w:webHidden/>
              </w:rPr>
              <w:instrText xml:space="preserve"> PAGEREF _Toc99756552 \h </w:instrText>
            </w:r>
            <w:r w:rsidRPr="0057020E">
              <w:rPr>
                <w:rFonts w:ascii="Arial" w:hAnsi="Arial" w:cs="Arial"/>
                <w:noProof/>
                <w:webHidden/>
              </w:rPr>
            </w:r>
            <w:r w:rsidRPr="0057020E">
              <w:rPr>
                <w:rFonts w:ascii="Arial" w:hAnsi="Arial" w:cs="Arial"/>
                <w:noProof/>
                <w:webHidden/>
              </w:rPr>
              <w:fldChar w:fldCharType="separate"/>
            </w:r>
            <w:r w:rsidR="0057020E">
              <w:rPr>
                <w:rFonts w:ascii="Arial" w:hAnsi="Arial" w:cs="Arial"/>
                <w:noProof/>
                <w:webHidden/>
              </w:rPr>
              <w:t>3</w:t>
            </w:r>
            <w:r w:rsidRPr="0057020E">
              <w:rPr>
                <w:rFonts w:ascii="Arial" w:hAnsi="Arial" w:cs="Arial"/>
                <w:noProof/>
                <w:webHidden/>
              </w:rPr>
              <w:fldChar w:fldCharType="end"/>
            </w:r>
          </w:hyperlink>
        </w:p>
        <w:p w14:paraId="36BF62AA" w14:textId="6D6662EB" w:rsidR="002C047D" w:rsidRPr="0057020E" w:rsidRDefault="0038738E" w:rsidP="0057020E">
          <w:pPr>
            <w:pStyle w:val="TOC1"/>
            <w:tabs>
              <w:tab w:val="right" w:leader="dot" w:pos="9016"/>
            </w:tabs>
            <w:spacing w:after="200" w:line="360" w:lineRule="auto"/>
            <w:jc w:val="both"/>
            <w:rPr>
              <w:rFonts w:ascii="Arial" w:hAnsi="Arial" w:cs="Arial"/>
              <w:noProof/>
            </w:rPr>
          </w:pPr>
          <w:hyperlink w:anchor="_Toc99756553" w:history="1">
            <w:r w:rsidR="004301C1" w:rsidRPr="0057020E">
              <w:rPr>
                <w:rStyle w:val="Hyperlink"/>
                <w:rFonts w:ascii="Arial" w:hAnsi="Arial" w:cs="Arial"/>
                <w:noProof/>
              </w:rPr>
              <w:t>In favour of flexible working: inclusion and diversity</w:t>
            </w:r>
            <w:r w:rsidR="004301C1" w:rsidRPr="0057020E">
              <w:rPr>
                <w:rFonts w:ascii="Arial" w:hAnsi="Arial" w:cs="Arial"/>
                <w:noProof/>
                <w:webHidden/>
              </w:rPr>
              <w:tab/>
            </w:r>
            <w:r w:rsidR="000A7416" w:rsidRPr="0057020E">
              <w:rPr>
                <w:rFonts w:ascii="Arial" w:hAnsi="Arial" w:cs="Arial"/>
                <w:noProof/>
                <w:webHidden/>
              </w:rPr>
              <w:fldChar w:fldCharType="begin"/>
            </w:r>
            <w:r w:rsidR="004301C1" w:rsidRPr="0057020E">
              <w:rPr>
                <w:rFonts w:ascii="Arial" w:hAnsi="Arial" w:cs="Arial"/>
                <w:noProof/>
                <w:webHidden/>
              </w:rPr>
              <w:instrText xml:space="preserve"> PAGEREF _Toc99756553 \h </w:instrText>
            </w:r>
            <w:r w:rsidR="000A7416" w:rsidRPr="0057020E">
              <w:rPr>
                <w:rFonts w:ascii="Arial" w:hAnsi="Arial" w:cs="Arial"/>
                <w:noProof/>
                <w:webHidden/>
              </w:rPr>
            </w:r>
            <w:r w:rsidR="000A7416" w:rsidRPr="0057020E">
              <w:rPr>
                <w:rFonts w:ascii="Arial" w:hAnsi="Arial" w:cs="Arial"/>
                <w:noProof/>
                <w:webHidden/>
              </w:rPr>
              <w:fldChar w:fldCharType="separate"/>
            </w:r>
            <w:r w:rsidR="0057020E">
              <w:rPr>
                <w:rFonts w:ascii="Arial" w:hAnsi="Arial" w:cs="Arial"/>
                <w:noProof/>
                <w:webHidden/>
              </w:rPr>
              <w:t>4</w:t>
            </w:r>
            <w:r w:rsidR="000A7416" w:rsidRPr="0057020E">
              <w:rPr>
                <w:rFonts w:ascii="Arial" w:hAnsi="Arial" w:cs="Arial"/>
                <w:noProof/>
                <w:webHidden/>
              </w:rPr>
              <w:fldChar w:fldCharType="end"/>
            </w:r>
          </w:hyperlink>
        </w:p>
        <w:p w14:paraId="6738D64B" w14:textId="71B77E9B" w:rsidR="002C047D" w:rsidRPr="0057020E" w:rsidRDefault="0038738E" w:rsidP="0057020E">
          <w:pPr>
            <w:pStyle w:val="TOC1"/>
            <w:tabs>
              <w:tab w:val="right" w:leader="dot" w:pos="9016"/>
            </w:tabs>
            <w:spacing w:after="200" w:line="360" w:lineRule="auto"/>
            <w:jc w:val="both"/>
            <w:rPr>
              <w:rFonts w:ascii="Arial" w:hAnsi="Arial" w:cs="Arial"/>
              <w:noProof/>
            </w:rPr>
          </w:pPr>
          <w:hyperlink w:anchor="_Toc99756554" w:history="1">
            <w:r w:rsidR="004301C1" w:rsidRPr="0057020E">
              <w:rPr>
                <w:rStyle w:val="Hyperlink"/>
                <w:rFonts w:ascii="Arial" w:hAnsi="Arial" w:cs="Arial"/>
                <w:noProof/>
              </w:rPr>
              <w:t>Role of human resources in promoting inclusion and diversity</w:t>
            </w:r>
            <w:r w:rsidR="004301C1" w:rsidRPr="0057020E">
              <w:rPr>
                <w:rFonts w:ascii="Arial" w:hAnsi="Arial" w:cs="Arial"/>
                <w:noProof/>
                <w:webHidden/>
              </w:rPr>
              <w:tab/>
            </w:r>
            <w:r w:rsidR="000A7416" w:rsidRPr="0057020E">
              <w:rPr>
                <w:rFonts w:ascii="Arial" w:hAnsi="Arial" w:cs="Arial"/>
                <w:noProof/>
                <w:webHidden/>
              </w:rPr>
              <w:fldChar w:fldCharType="begin"/>
            </w:r>
            <w:r w:rsidR="004301C1" w:rsidRPr="0057020E">
              <w:rPr>
                <w:rFonts w:ascii="Arial" w:hAnsi="Arial" w:cs="Arial"/>
                <w:noProof/>
                <w:webHidden/>
              </w:rPr>
              <w:instrText xml:space="preserve"> PAGEREF _Toc99756554 \h </w:instrText>
            </w:r>
            <w:r w:rsidR="000A7416" w:rsidRPr="0057020E">
              <w:rPr>
                <w:rFonts w:ascii="Arial" w:hAnsi="Arial" w:cs="Arial"/>
                <w:noProof/>
                <w:webHidden/>
              </w:rPr>
            </w:r>
            <w:r w:rsidR="000A7416" w:rsidRPr="0057020E">
              <w:rPr>
                <w:rFonts w:ascii="Arial" w:hAnsi="Arial" w:cs="Arial"/>
                <w:noProof/>
                <w:webHidden/>
              </w:rPr>
              <w:fldChar w:fldCharType="separate"/>
            </w:r>
            <w:r w:rsidR="0057020E">
              <w:rPr>
                <w:rFonts w:ascii="Arial" w:hAnsi="Arial" w:cs="Arial"/>
                <w:noProof/>
                <w:webHidden/>
              </w:rPr>
              <w:t>6</w:t>
            </w:r>
            <w:r w:rsidR="000A7416" w:rsidRPr="0057020E">
              <w:rPr>
                <w:rFonts w:ascii="Arial" w:hAnsi="Arial" w:cs="Arial"/>
                <w:noProof/>
                <w:webHidden/>
              </w:rPr>
              <w:fldChar w:fldCharType="end"/>
            </w:r>
          </w:hyperlink>
        </w:p>
        <w:p w14:paraId="0A81E07A" w14:textId="13E61D33" w:rsidR="002C047D" w:rsidRPr="0057020E" w:rsidRDefault="0038738E" w:rsidP="0057020E">
          <w:pPr>
            <w:pStyle w:val="TOC1"/>
            <w:tabs>
              <w:tab w:val="right" w:leader="dot" w:pos="9016"/>
            </w:tabs>
            <w:spacing w:after="200" w:line="360" w:lineRule="auto"/>
            <w:jc w:val="both"/>
            <w:rPr>
              <w:rFonts w:ascii="Arial" w:hAnsi="Arial" w:cs="Arial"/>
              <w:noProof/>
            </w:rPr>
          </w:pPr>
          <w:hyperlink w:anchor="_Toc99756555" w:history="1">
            <w:r w:rsidR="004301C1" w:rsidRPr="0057020E">
              <w:rPr>
                <w:rStyle w:val="Hyperlink"/>
                <w:rFonts w:ascii="Arial" w:hAnsi="Arial" w:cs="Arial"/>
                <w:noProof/>
              </w:rPr>
              <w:t>Against flexible working: inequality</w:t>
            </w:r>
            <w:r w:rsidR="004301C1" w:rsidRPr="0057020E">
              <w:rPr>
                <w:rFonts w:ascii="Arial" w:hAnsi="Arial" w:cs="Arial"/>
                <w:noProof/>
                <w:webHidden/>
              </w:rPr>
              <w:tab/>
            </w:r>
            <w:r w:rsidR="000A7416" w:rsidRPr="0057020E">
              <w:rPr>
                <w:rFonts w:ascii="Arial" w:hAnsi="Arial" w:cs="Arial"/>
                <w:noProof/>
                <w:webHidden/>
              </w:rPr>
              <w:fldChar w:fldCharType="begin"/>
            </w:r>
            <w:r w:rsidR="004301C1" w:rsidRPr="0057020E">
              <w:rPr>
                <w:rFonts w:ascii="Arial" w:hAnsi="Arial" w:cs="Arial"/>
                <w:noProof/>
                <w:webHidden/>
              </w:rPr>
              <w:instrText xml:space="preserve"> PAGEREF _Toc99756555 \h </w:instrText>
            </w:r>
            <w:r w:rsidR="000A7416" w:rsidRPr="0057020E">
              <w:rPr>
                <w:rFonts w:ascii="Arial" w:hAnsi="Arial" w:cs="Arial"/>
                <w:noProof/>
                <w:webHidden/>
              </w:rPr>
            </w:r>
            <w:r w:rsidR="000A7416" w:rsidRPr="0057020E">
              <w:rPr>
                <w:rFonts w:ascii="Arial" w:hAnsi="Arial" w:cs="Arial"/>
                <w:noProof/>
                <w:webHidden/>
              </w:rPr>
              <w:fldChar w:fldCharType="separate"/>
            </w:r>
            <w:r w:rsidR="0057020E">
              <w:rPr>
                <w:rFonts w:ascii="Arial" w:hAnsi="Arial" w:cs="Arial"/>
                <w:noProof/>
                <w:webHidden/>
              </w:rPr>
              <w:t>8</w:t>
            </w:r>
            <w:r w:rsidR="000A7416" w:rsidRPr="0057020E">
              <w:rPr>
                <w:rFonts w:ascii="Arial" w:hAnsi="Arial" w:cs="Arial"/>
                <w:noProof/>
                <w:webHidden/>
              </w:rPr>
              <w:fldChar w:fldCharType="end"/>
            </w:r>
          </w:hyperlink>
        </w:p>
        <w:p w14:paraId="338D6B02" w14:textId="212EF3C2" w:rsidR="002C047D" w:rsidRPr="0057020E" w:rsidRDefault="0038738E" w:rsidP="0057020E">
          <w:pPr>
            <w:pStyle w:val="TOC1"/>
            <w:tabs>
              <w:tab w:val="right" w:leader="dot" w:pos="9016"/>
            </w:tabs>
            <w:spacing w:after="200" w:line="360" w:lineRule="auto"/>
            <w:jc w:val="both"/>
            <w:rPr>
              <w:rFonts w:ascii="Arial" w:hAnsi="Arial" w:cs="Arial"/>
              <w:noProof/>
            </w:rPr>
          </w:pPr>
          <w:hyperlink w:anchor="_Toc99756556" w:history="1">
            <w:r w:rsidR="004301C1" w:rsidRPr="0057020E">
              <w:rPr>
                <w:rStyle w:val="Hyperlink"/>
                <w:rFonts w:ascii="Arial" w:hAnsi="Arial" w:cs="Arial"/>
                <w:noProof/>
              </w:rPr>
              <w:t>Role of human resources in addressing inequality</w:t>
            </w:r>
            <w:r w:rsidR="004301C1" w:rsidRPr="0057020E">
              <w:rPr>
                <w:rFonts w:ascii="Arial" w:hAnsi="Arial" w:cs="Arial"/>
                <w:noProof/>
                <w:webHidden/>
              </w:rPr>
              <w:tab/>
            </w:r>
            <w:r w:rsidR="000A7416" w:rsidRPr="0057020E">
              <w:rPr>
                <w:rFonts w:ascii="Arial" w:hAnsi="Arial" w:cs="Arial"/>
                <w:noProof/>
                <w:webHidden/>
              </w:rPr>
              <w:fldChar w:fldCharType="begin"/>
            </w:r>
            <w:r w:rsidR="004301C1" w:rsidRPr="0057020E">
              <w:rPr>
                <w:rFonts w:ascii="Arial" w:hAnsi="Arial" w:cs="Arial"/>
                <w:noProof/>
                <w:webHidden/>
              </w:rPr>
              <w:instrText xml:space="preserve"> PAGEREF _Toc99756556 \h </w:instrText>
            </w:r>
            <w:r w:rsidR="000A7416" w:rsidRPr="0057020E">
              <w:rPr>
                <w:rFonts w:ascii="Arial" w:hAnsi="Arial" w:cs="Arial"/>
                <w:noProof/>
                <w:webHidden/>
              </w:rPr>
            </w:r>
            <w:r w:rsidR="000A7416" w:rsidRPr="0057020E">
              <w:rPr>
                <w:rFonts w:ascii="Arial" w:hAnsi="Arial" w:cs="Arial"/>
                <w:noProof/>
                <w:webHidden/>
              </w:rPr>
              <w:fldChar w:fldCharType="separate"/>
            </w:r>
            <w:r w:rsidR="0057020E">
              <w:rPr>
                <w:rFonts w:ascii="Arial" w:hAnsi="Arial" w:cs="Arial"/>
                <w:noProof/>
                <w:webHidden/>
              </w:rPr>
              <w:t>10</w:t>
            </w:r>
            <w:r w:rsidR="000A7416" w:rsidRPr="0057020E">
              <w:rPr>
                <w:rFonts w:ascii="Arial" w:hAnsi="Arial" w:cs="Arial"/>
                <w:noProof/>
                <w:webHidden/>
              </w:rPr>
              <w:fldChar w:fldCharType="end"/>
            </w:r>
          </w:hyperlink>
        </w:p>
        <w:p w14:paraId="534EF887" w14:textId="2A031EC1" w:rsidR="002C047D" w:rsidRPr="0057020E" w:rsidRDefault="0038738E" w:rsidP="0057020E">
          <w:pPr>
            <w:pStyle w:val="TOC1"/>
            <w:tabs>
              <w:tab w:val="right" w:leader="dot" w:pos="9016"/>
            </w:tabs>
            <w:spacing w:after="200" w:line="360" w:lineRule="auto"/>
            <w:jc w:val="both"/>
            <w:rPr>
              <w:rFonts w:ascii="Arial" w:hAnsi="Arial" w:cs="Arial"/>
              <w:noProof/>
            </w:rPr>
          </w:pPr>
          <w:hyperlink w:anchor="_Toc99756557" w:history="1">
            <w:r w:rsidR="004301C1" w:rsidRPr="0057020E">
              <w:rPr>
                <w:rStyle w:val="Hyperlink"/>
                <w:rFonts w:ascii="Arial" w:hAnsi="Arial" w:cs="Arial"/>
                <w:noProof/>
              </w:rPr>
              <w:t>Conclusion</w:t>
            </w:r>
            <w:r w:rsidR="004301C1" w:rsidRPr="0057020E">
              <w:rPr>
                <w:rFonts w:ascii="Arial" w:hAnsi="Arial" w:cs="Arial"/>
                <w:noProof/>
                <w:webHidden/>
              </w:rPr>
              <w:tab/>
            </w:r>
            <w:r w:rsidR="000A7416" w:rsidRPr="0057020E">
              <w:rPr>
                <w:rFonts w:ascii="Arial" w:hAnsi="Arial" w:cs="Arial"/>
                <w:noProof/>
                <w:webHidden/>
              </w:rPr>
              <w:fldChar w:fldCharType="begin"/>
            </w:r>
            <w:r w:rsidR="004301C1" w:rsidRPr="0057020E">
              <w:rPr>
                <w:rFonts w:ascii="Arial" w:hAnsi="Arial" w:cs="Arial"/>
                <w:noProof/>
                <w:webHidden/>
              </w:rPr>
              <w:instrText xml:space="preserve"> PAGEREF _Toc99756557 \h </w:instrText>
            </w:r>
            <w:r w:rsidR="000A7416" w:rsidRPr="0057020E">
              <w:rPr>
                <w:rFonts w:ascii="Arial" w:hAnsi="Arial" w:cs="Arial"/>
                <w:noProof/>
                <w:webHidden/>
              </w:rPr>
            </w:r>
            <w:r w:rsidR="000A7416" w:rsidRPr="0057020E">
              <w:rPr>
                <w:rFonts w:ascii="Arial" w:hAnsi="Arial" w:cs="Arial"/>
                <w:noProof/>
                <w:webHidden/>
              </w:rPr>
              <w:fldChar w:fldCharType="separate"/>
            </w:r>
            <w:r w:rsidR="0057020E">
              <w:rPr>
                <w:rFonts w:ascii="Arial" w:hAnsi="Arial" w:cs="Arial"/>
                <w:noProof/>
                <w:webHidden/>
              </w:rPr>
              <w:t>12</w:t>
            </w:r>
            <w:r w:rsidR="000A7416" w:rsidRPr="0057020E">
              <w:rPr>
                <w:rFonts w:ascii="Arial" w:hAnsi="Arial" w:cs="Arial"/>
                <w:noProof/>
                <w:webHidden/>
              </w:rPr>
              <w:fldChar w:fldCharType="end"/>
            </w:r>
          </w:hyperlink>
        </w:p>
        <w:p w14:paraId="17A133DA" w14:textId="150319E3" w:rsidR="002C047D" w:rsidRPr="0057020E" w:rsidRDefault="0038738E" w:rsidP="0057020E">
          <w:pPr>
            <w:pStyle w:val="TOC1"/>
            <w:tabs>
              <w:tab w:val="right" w:leader="dot" w:pos="9016"/>
            </w:tabs>
            <w:spacing w:after="200" w:line="360" w:lineRule="auto"/>
            <w:jc w:val="both"/>
            <w:rPr>
              <w:rFonts w:ascii="Arial" w:hAnsi="Arial" w:cs="Arial"/>
              <w:noProof/>
            </w:rPr>
          </w:pPr>
          <w:hyperlink w:anchor="_Toc99756558" w:history="1">
            <w:r w:rsidR="004301C1" w:rsidRPr="0057020E">
              <w:rPr>
                <w:rStyle w:val="Hyperlink"/>
                <w:rFonts w:ascii="Arial" w:hAnsi="Arial" w:cs="Arial"/>
                <w:noProof/>
              </w:rPr>
              <w:t>Reference List</w:t>
            </w:r>
            <w:r w:rsidR="004301C1" w:rsidRPr="0057020E">
              <w:rPr>
                <w:rFonts w:ascii="Arial" w:hAnsi="Arial" w:cs="Arial"/>
                <w:noProof/>
                <w:webHidden/>
              </w:rPr>
              <w:tab/>
            </w:r>
            <w:r w:rsidR="000A7416" w:rsidRPr="0057020E">
              <w:rPr>
                <w:rFonts w:ascii="Arial" w:hAnsi="Arial" w:cs="Arial"/>
                <w:noProof/>
                <w:webHidden/>
              </w:rPr>
              <w:fldChar w:fldCharType="begin"/>
            </w:r>
            <w:r w:rsidR="004301C1" w:rsidRPr="0057020E">
              <w:rPr>
                <w:rFonts w:ascii="Arial" w:hAnsi="Arial" w:cs="Arial"/>
                <w:noProof/>
                <w:webHidden/>
              </w:rPr>
              <w:instrText xml:space="preserve"> PAGEREF _Toc99756558 \h </w:instrText>
            </w:r>
            <w:r w:rsidR="000A7416" w:rsidRPr="0057020E">
              <w:rPr>
                <w:rFonts w:ascii="Arial" w:hAnsi="Arial" w:cs="Arial"/>
                <w:noProof/>
                <w:webHidden/>
              </w:rPr>
            </w:r>
            <w:r w:rsidR="000A7416" w:rsidRPr="0057020E">
              <w:rPr>
                <w:rFonts w:ascii="Arial" w:hAnsi="Arial" w:cs="Arial"/>
                <w:noProof/>
                <w:webHidden/>
              </w:rPr>
              <w:fldChar w:fldCharType="separate"/>
            </w:r>
            <w:r w:rsidR="0057020E">
              <w:rPr>
                <w:rFonts w:ascii="Arial" w:hAnsi="Arial" w:cs="Arial"/>
                <w:noProof/>
                <w:webHidden/>
              </w:rPr>
              <w:t>13</w:t>
            </w:r>
            <w:r w:rsidR="000A7416" w:rsidRPr="0057020E">
              <w:rPr>
                <w:rFonts w:ascii="Arial" w:hAnsi="Arial" w:cs="Arial"/>
                <w:noProof/>
                <w:webHidden/>
              </w:rPr>
              <w:fldChar w:fldCharType="end"/>
            </w:r>
          </w:hyperlink>
        </w:p>
        <w:p w14:paraId="1E4EFFC0" w14:textId="77777777" w:rsidR="002C047D" w:rsidRPr="0057020E" w:rsidRDefault="000A7416" w:rsidP="0057020E">
          <w:pPr>
            <w:spacing w:line="360" w:lineRule="auto"/>
            <w:jc w:val="both"/>
            <w:rPr>
              <w:rFonts w:ascii="Arial" w:hAnsi="Arial" w:cs="Arial"/>
            </w:rPr>
          </w:pPr>
          <w:r w:rsidRPr="0057020E">
            <w:rPr>
              <w:rFonts w:ascii="Arial" w:hAnsi="Arial" w:cs="Arial"/>
            </w:rPr>
            <w:fldChar w:fldCharType="end"/>
          </w:r>
        </w:p>
      </w:sdtContent>
    </w:sdt>
    <w:p w14:paraId="57B61C26" w14:textId="77777777" w:rsidR="00B566E5" w:rsidRPr="0057020E" w:rsidRDefault="004301C1" w:rsidP="0057020E">
      <w:pPr>
        <w:spacing w:line="360" w:lineRule="auto"/>
        <w:jc w:val="both"/>
        <w:rPr>
          <w:rFonts w:ascii="Arial" w:hAnsi="Arial" w:cs="Arial"/>
          <w:b/>
        </w:rPr>
      </w:pPr>
      <w:r w:rsidRPr="0057020E">
        <w:rPr>
          <w:rFonts w:ascii="Arial" w:hAnsi="Arial" w:cs="Arial"/>
          <w:b/>
        </w:rPr>
        <w:br w:type="page"/>
      </w:r>
    </w:p>
    <w:p w14:paraId="0062CEE0" w14:textId="77777777" w:rsidR="00BD4435" w:rsidRPr="0057020E" w:rsidRDefault="004301C1" w:rsidP="0057020E">
      <w:pPr>
        <w:pStyle w:val="Heading1"/>
        <w:spacing w:after="200" w:line="360" w:lineRule="auto"/>
        <w:jc w:val="both"/>
        <w:rPr>
          <w:rFonts w:ascii="Arial" w:hAnsi="Arial" w:cs="Arial"/>
          <w:sz w:val="22"/>
          <w:szCs w:val="22"/>
        </w:rPr>
      </w:pPr>
      <w:bookmarkStart w:id="1" w:name="_Toc99756552"/>
      <w:r w:rsidRPr="0057020E">
        <w:rPr>
          <w:rFonts w:ascii="Arial" w:hAnsi="Arial" w:cs="Arial"/>
          <w:sz w:val="22"/>
          <w:szCs w:val="22"/>
        </w:rPr>
        <w:lastRenderedPageBreak/>
        <w:t>Introduction</w:t>
      </w:r>
      <w:bookmarkEnd w:id="1"/>
    </w:p>
    <w:p w14:paraId="69A71E85" w14:textId="77777777" w:rsidR="00D573AE" w:rsidRPr="0057020E" w:rsidRDefault="004301C1" w:rsidP="0057020E">
      <w:pPr>
        <w:spacing w:line="360" w:lineRule="auto"/>
        <w:jc w:val="both"/>
        <w:rPr>
          <w:rFonts w:ascii="Arial" w:hAnsi="Arial" w:cs="Arial"/>
        </w:rPr>
      </w:pPr>
      <w:r w:rsidRPr="0057020E">
        <w:rPr>
          <w:rFonts w:ascii="Arial" w:hAnsi="Arial" w:cs="Arial"/>
        </w:rPr>
        <w:t>Flexible working or flexible working arrangements (FWAs)</w:t>
      </w:r>
      <w:r w:rsidR="00822815" w:rsidRPr="0057020E">
        <w:rPr>
          <w:rFonts w:ascii="Arial" w:hAnsi="Arial" w:cs="Arial"/>
        </w:rPr>
        <w:t xml:space="preserve"> serves the purpose </w:t>
      </w:r>
      <w:r w:rsidR="00D70FDD" w:rsidRPr="0057020E">
        <w:rPr>
          <w:rFonts w:ascii="Arial" w:hAnsi="Arial" w:cs="Arial"/>
        </w:rPr>
        <w:t>of employee empowerment by enabli</w:t>
      </w:r>
      <w:r w:rsidR="003C6512" w:rsidRPr="0057020E">
        <w:rPr>
          <w:rFonts w:ascii="Arial" w:hAnsi="Arial" w:cs="Arial"/>
        </w:rPr>
        <w:t xml:space="preserve">ng them to opt primarily for the place and time of working. </w:t>
      </w:r>
      <w:r w:rsidR="000D0240" w:rsidRPr="0057020E">
        <w:rPr>
          <w:rFonts w:ascii="Arial" w:hAnsi="Arial" w:cs="Arial"/>
        </w:rPr>
        <w:t>There are several cases in favour of flexible working, especially in terms of managing work-life balance</w:t>
      </w:r>
      <w:r w:rsidR="00F130BC" w:rsidRPr="0057020E">
        <w:rPr>
          <w:rFonts w:ascii="Arial" w:hAnsi="Arial" w:cs="Arial"/>
        </w:rPr>
        <w:t xml:space="preserve"> or promoting gender diversity. However, as in most organisations</w:t>
      </w:r>
      <w:r w:rsidR="00D2348C" w:rsidRPr="0057020E">
        <w:rPr>
          <w:rFonts w:ascii="Arial" w:hAnsi="Arial" w:cs="Arial"/>
        </w:rPr>
        <w:t xml:space="preserve">, </w:t>
      </w:r>
      <w:r w:rsidR="00841598" w:rsidRPr="0057020E">
        <w:rPr>
          <w:rFonts w:ascii="Arial" w:hAnsi="Arial" w:cs="Arial"/>
        </w:rPr>
        <w:t xml:space="preserve">participation </w:t>
      </w:r>
      <w:r w:rsidR="00D2348C" w:rsidRPr="0057020E">
        <w:rPr>
          <w:rFonts w:ascii="Arial" w:hAnsi="Arial" w:cs="Arial"/>
        </w:rPr>
        <w:t xml:space="preserve">is measured </w:t>
      </w:r>
      <w:r w:rsidR="00841598" w:rsidRPr="0057020E">
        <w:rPr>
          <w:rFonts w:ascii="Arial" w:hAnsi="Arial" w:cs="Arial"/>
        </w:rPr>
        <w:t xml:space="preserve">through the contribution to economic gains, and </w:t>
      </w:r>
      <w:r w:rsidR="0026572C" w:rsidRPr="0057020E">
        <w:rPr>
          <w:rFonts w:ascii="Arial" w:hAnsi="Arial" w:cs="Arial"/>
        </w:rPr>
        <w:t xml:space="preserve">flexible working </w:t>
      </w:r>
      <w:r w:rsidR="009D6B2D" w:rsidRPr="0057020E">
        <w:rPr>
          <w:rFonts w:ascii="Arial" w:hAnsi="Arial" w:cs="Arial"/>
        </w:rPr>
        <w:t>is fraught with possibilities of promoting inequality</w:t>
      </w:r>
      <w:r w:rsidR="00A379CA" w:rsidRPr="0057020E">
        <w:rPr>
          <w:rFonts w:ascii="Arial" w:hAnsi="Arial" w:cs="Arial"/>
        </w:rPr>
        <w:t xml:space="preserve">. Here, this </w:t>
      </w:r>
      <w:r w:rsidR="00804712" w:rsidRPr="0057020E">
        <w:rPr>
          <w:rFonts w:ascii="Arial" w:hAnsi="Arial" w:cs="Arial"/>
        </w:rPr>
        <w:t>report</w:t>
      </w:r>
      <w:r w:rsidR="00A379CA" w:rsidRPr="0057020E">
        <w:rPr>
          <w:rFonts w:ascii="Arial" w:hAnsi="Arial" w:cs="Arial"/>
        </w:rPr>
        <w:t xml:space="preserve"> aims to </w:t>
      </w:r>
      <w:r w:rsidR="00321BC7" w:rsidRPr="0057020E">
        <w:rPr>
          <w:rFonts w:ascii="Arial" w:hAnsi="Arial" w:cs="Arial"/>
        </w:rPr>
        <w:t xml:space="preserve">undertake both cases to note the ways flexible learning can promote both diversity/inclusion and inequality. </w:t>
      </w:r>
      <w:r w:rsidR="00946715" w:rsidRPr="0057020E">
        <w:rPr>
          <w:rFonts w:ascii="Arial" w:hAnsi="Arial" w:cs="Arial"/>
        </w:rPr>
        <w:t xml:space="preserve">Moreover, through the critical exploration of those ways, this </w:t>
      </w:r>
      <w:r w:rsidR="00804712" w:rsidRPr="0057020E">
        <w:rPr>
          <w:rFonts w:ascii="Arial" w:hAnsi="Arial" w:cs="Arial"/>
        </w:rPr>
        <w:t>report</w:t>
      </w:r>
      <w:r w:rsidR="00946715" w:rsidRPr="0057020E">
        <w:rPr>
          <w:rFonts w:ascii="Arial" w:hAnsi="Arial" w:cs="Arial"/>
        </w:rPr>
        <w:t xml:space="preserve"> suggests the role human resources (HR) has to play in promoting inclusion and diversity and addressing the concerns of inequality. </w:t>
      </w:r>
    </w:p>
    <w:p w14:paraId="16188C51" w14:textId="77777777" w:rsidR="0057020E" w:rsidRPr="0057020E" w:rsidRDefault="0057020E" w:rsidP="0057020E">
      <w:pPr>
        <w:spacing w:line="360" w:lineRule="auto"/>
        <w:jc w:val="both"/>
        <w:rPr>
          <w:rFonts w:ascii="Arial" w:eastAsiaTheme="majorEastAsia" w:hAnsi="Arial" w:cs="Arial"/>
          <w:b/>
          <w:bCs/>
          <w:color w:val="000000" w:themeColor="text1"/>
        </w:rPr>
      </w:pPr>
      <w:bookmarkStart w:id="2" w:name="_Toc99756553"/>
      <w:r w:rsidRPr="0057020E">
        <w:rPr>
          <w:rFonts w:ascii="Arial" w:hAnsi="Arial" w:cs="Arial"/>
        </w:rPr>
        <w:br w:type="page"/>
      </w:r>
    </w:p>
    <w:p w14:paraId="4B4AC888" w14:textId="6DE8C69E" w:rsidR="007C1965" w:rsidRPr="0057020E" w:rsidRDefault="004301C1" w:rsidP="0057020E">
      <w:pPr>
        <w:pStyle w:val="Heading1"/>
        <w:spacing w:after="200" w:line="360" w:lineRule="auto"/>
        <w:jc w:val="both"/>
        <w:rPr>
          <w:rFonts w:ascii="Arial" w:hAnsi="Arial" w:cs="Arial"/>
          <w:sz w:val="22"/>
          <w:szCs w:val="22"/>
        </w:rPr>
      </w:pPr>
      <w:r w:rsidRPr="0057020E">
        <w:rPr>
          <w:rFonts w:ascii="Arial" w:hAnsi="Arial" w:cs="Arial"/>
          <w:sz w:val="22"/>
          <w:szCs w:val="22"/>
        </w:rPr>
        <w:lastRenderedPageBreak/>
        <w:t>In favour of flexible working: inclusion and div</w:t>
      </w:r>
      <w:r w:rsidR="00573F05" w:rsidRPr="0057020E">
        <w:rPr>
          <w:rFonts w:ascii="Arial" w:hAnsi="Arial" w:cs="Arial"/>
          <w:sz w:val="22"/>
          <w:szCs w:val="22"/>
        </w:rPr>
        <w:t>ersity</w:t>
      </w:r>
      <w:bookmarkEnd w:id="2"/>
    </w:p>
    <w:p w14:paraId="13D3E8F7" w14:textId="77777777" w:rsidR="0057020E" w:rsidRPr="0057020E" w:rsidRDefault="004301C1" w:rsidP="0057020E">
      <w:pPr>
        <w:spacing w:line="360" w:lineRule="auto"/>
        <w:jc w:val="both"/>
        <w:rPr>
          <w:rFonts w:ascii="Arial" w:hAnsi="Arial" w:cs="Arial"/>
        </w:rPr>
      </w:pPr>
      <w:r w:rsidRPr="0057020E">
        <w:rPr>
          <w:rFonts w:ascii="Arial" w:hAnsi="Arial" w:cs="Arial"/>
        </w:rPr>
        <w:t xml:space="preserve">The conventional workplace can prevent diversity, equity, and inclusion (DEI) in various ways. For instance, </w:t>
      </w:r>
      <w:r w:rsidR="002B4A03" w:rsidRPr="0057020E">
        <w:rPr>
          <w:rFonts w:ascii="Arial" w:hAnsi="Arial" w:cs="Arial"/>
        </w:rPr>
        <w:t xml:space="preserve">scholars like </w:t>
      </w:r>
      <w:r w:rsidR="003F47F2" w:rsidRPr="0057020E">
        <w:rPr>
          <w:rFonts w:ascii="Arial" w:hAnsi="Arial" w:cs="Arial"/>
        </w:rPr>
        <w:t xml:space="preserve">McCluney </w:t>
      </w:r>
      <w:r w:rsidR="003F47F2" w:rsidRPr="0057020E">
        <w:rPr>
          <w:rFonts w:ascii="Arial" w:hAnsi="Arial" w:cs="Arial"/>
          <w:i/>
        </w:rPr>
        <w:t>et al</w:t>
      </w:r>
      <w:r w:rsidR="003F47F2" w:rsidRPr="0057020E">
        <w:rPr>
          <w:rFonts w:ascii="Arial" w:hAnsi="Arial" w:cs="Arial"/>
        </w:rPr>
        <w:t xml:space="preserve">. </w:t>
      </w:r>
      <w:r w:rsidR="002B4A03" w:rsidRPr="0057020E">
        <w:rPr>
          <w:rFonts w:ascii="Arial" w:hAnsi="Arial" w:cs="Arial"/>
        </w:rPr>
        <w:t>(</w:t>
      </w:r>
      <w:r w:rsidR="003F47F2" w:rsidRPr="0057020E">
        <w:rPr>
          <w:rFonts w:ascii="Arial" w:hAnsi="Arial" w:cs="Arial"/>
        </w:rPr>
        <w:t>2020</w:t>
      </w:r>
      <w:r w:rsidR="002B4A03" w:rsidRPr="0057020E">
        <w:rPr>
          <w:rFonts w:ascii="Arial" w:hAnsi="Arial" w:cs="Arial"/>
        </w:rPr>
        <w:t xml:space="preserve">) note the presence of systemic or structural racism in the workplace, despite being outlawed by the Equality Act in the UK. </w:t>
      </w:r>
      <w:r w:rsidR="00B61AA9" w:rsidRPr="0057020E">
        <w:rPr>
          <w:rFonts w:ascii="Arial" w:hAnsi="Arial" w:cs="Arial"/>
        </w:rPr>
        <w:t xml:space="preserve">The categories that consolidate this structural racism </w:t>
      </w:r>
      <w:r w:rsidR="00237A39" w:rsidRPr="0057020E">
        <w:rPr>
          <w:rFonts w:ascii="Arial" w:hAnsi="Arial" w:cs="Arial"/>
        </w:rPr>
        <w:t xml:space="preserve">through various forms of discrimination </w:t>
      </w:r>
      <w:r w:rsidR="00B61AA9" w:rsidRPr="0057020E">
        <w:rPr>
          <w:rFonts w:ascii="Arial" w:hAnsi="Arial" w:cs="Arial"/>
        </w:rPr>
        <w:t xml:space="preserve">present in the workplace include </w:t>
      </w:r>
      <w:r w:rsidR="00E77CD4" w:rsidRPr="0057020E">
        <w:rPr>
          <w:rFonts w:ascii="Arial" w:hAnsi="Arial" w:cs="Arial"/>
        </w:rPr>
        <w:t xml:space="preserve">immigration status, disability, gender, and age. </w:t>
      </w:r>
      <w:r w:rsidR="00237A39" w:rsidRPr="0057020E">
        <w:rPr>
          <w:rFonts w:ascii="Arial" w:hAnsi="Arial" w:cs="Arial"/>
        </w:rPr>
        <w:t>T</w:t>
      </w:r>
      <w:r w:rsidR="00E77CD4" w:rsidRPr="0057020E">
        <w:rPr>
          <w:rFonts w:ascii="Arial" w:hAnsi="Arial" w:cs="Arial"/>
        </w:rPr>
        <w:t>he major conce</w:t>
      </w:r>
      <w:r w:rsidR="00237A39" w:rsidRPr="0057020E">
        <w:rPr>
          <w:rFonts w:ascii="Arial" w:hAnsi="Arial" w:cs="Arial"/>
        </w:rPr>
        <w:t>rn</w:t>
      </w:r>
      <w:r w:rsidR="00E77CD4" w:rsidRPr="0057020E">
        <w:rPr>
          <w:rFonts w:ascii="Arial" w:hAnsi="Arial" w:cs="Arial"/>
        </w:rPr>
        <w:t xml:space="preserve"> that </w:t>
      </w:r>
      <w:r w:rsidR="00193F8B" w:rsidRPr="0057020E">
        <w:rPr>
          <w:rFonts w:ascii="Arial" w:hAnsi="Arial" w:cs="Arial"/>
        </w:rPr>
        <w:t xml:space="preserve">is used to build opinion in favour FWAs is the persistent gender pay gap (GPG) in conventional workplaces. </w:t>
      </w:r>
      <w:r w:rsidR="00237A39" w:rsidRPr="0057020E">
        <w:rPr>
          <w:rFonts w:ascii="Arial" w:hAnsi="Arial" w:cs="Arial"/>
        </w:rPr>
        <w:t xml:space="preserve">It is noted by </w:t>
      </w:r>
      <w:r w:rsidR="00637901" w:rsidRPr="0057020E">
        <w:rPr>
          <w:rFonts w:ascii="Arial" w:hAnsi="Arial" w:cs="Arial"/>
        </w:rPr>
        <w:t xml:space="preserve">Chung and Van der Lippe </w:t>
      </w:r>
      <w:r w:rsidR="00237A39" w:rsidRPr="0057020E">
        <w:rPr>
          <w:rFonts w:ascii="Arial" w:hAnsi="Arial" w:cs="Arial"/>
        </w:rPr>
        <w:t>(</w:t>
      </w:r>
      <w:r w:rsidR="00637901" w:rsidRPr="0057020E">
        <w:rPr>
          <w:rFonts w:ascii="Arial" w:hAnsi="Arial" w:cs="Arial"/>
        </w:rPr>
        <w:t>2020</w:t>
      </w:r>
      <w:r w:rsidR="00237A39" w:rsidRPr="0057020E">
        <w:rPr>
          <w:rFonts w:ascii="Arial" w:hAnsi="Arial" w:cs="Arial"/>
        </w:rPr>
        <w:t xml:space="preserve">) that better use of FWAs can help in mitigating the GPG </w:t>
      </w:r>
      <w:r w:rsidR="00637901" w:rsidRPr="0057020E">
        <w:rPr>
          <w:rFonts w:ascii="Arial" w:hAnsi="Arial" w:cs="Arial"/>
        </w:rPr>
        <w:t xml:space="preserve">persistent in workplaces across the UK. </w:t>
      </w:r>
    </w:p>
    <w:p w14:paraId="0EFBE712" w14:textId="3DD4EFAB" w:rsidR="006E120E" w:rsidRPr="0057020E" w:rsidRDefault="00637901" w:rsidP="0057020E">
      <w:pPr>
        <w:spacing w:line="360" w:lineRule="auto"/>
        <w:jc w:val="both"/>
        <w:rPr>
          <w:rFonts w:ascii="Arial" w:hAnsi="Arial" w:cs="Arial"/>
        </w:rPr>
      </w:pPr>
      <w:r w:rsidRPr="0057020E">
        <w:rPr>
          <w:rFonts w:ascii="Arial" w:hAnsi="Arial" w:cs="Arial"/>
        </w:rPr>
        <w:t xml:space="preserve">It has been seen </w:t>
      </w:r>
      <w:r w:rsidR="0057020E" w:rsidRPr="0057020E">
        <w:rPr>
          <w:rFonts w:ascii="Arial" w:hAnsi="Arial" w:cs="Arial"/>
        </w:rPr>
        <w:t>those mothers</w:t>
      </w:r>
      <w:r w:rsidRPr="0057020E">
        <w:rPr>
          <w:rFonts w:ascii="Arial" w:hAnsi="Arial" w:cs="Arial"/>
        </w:rPr>
        <w:t xml:space="preserve"> with the obligation to raise children face immense barriers in terms of participating in work where their major concerns are associated with disrupted work-life balance and the inability to secure the same pay as their male counterparts. </w:t>
      </w:r>
      <w:r w:rsidR="007D0205" w:rsidRPr="0057020E">
        <w:rPr>
          <w:rFonts w:ascii="Arial" w:hAnsi="Arial" w:cs="Arial"/>
        </w:rPr>
        <w:t xml:space="preserve">Moreover, this concern with pay gaps seems to aggravate with the </w:t>
      </w:r>
      <w:r w:rsidR="006148CE" w:rsidRPr="0057020E">
        <w:rPr>
          <w:rFonts w:ascii="Arial" w:hAnsi="Arial" w:cs="Arial"/>
        </w:rPr>
        <w:t xml:space="preserve">rise of the gig economy. For instance, a study on the ridesharing services on Uber in the US shows the presence of 7% gender earnings gaps (Costa Dias </w:t>
      </w:r>
      <w:r w:rsidR="006148CE" w:rsidRPr="0057020E">
        <w:rPr>
          <w:rFonts w:ascii="Arial" w:hAnsi="Arial" w:cs="Arial"/>
          <w:i/>
        </w:rPr>
        <w:t>et al</w:t>
      </w:r>
      <w:r w:rsidR="006148CE" w:rsidRPr="0057020E">
        <w:rPr>
          <w:rFonts w:ascii="Arial" w:hAnsi="Arial" w:cs="Arial"/>
        </w:rPr>
        <w:t xml:space="preserve">. 2020). </w:t>
      </w:r>
      <w:r w:rsidR="00EE0FF1" w:rsidRPr="0057020E">
        <w:rPr>
          <w:rFonts w:ascii="Arial" w:hAnsi="Arial" w:cs="Arial"/>
        </w:rPr>
        <w:t xml:space="preserve">The situation worsened further after the advent of the Covid-19 pandemic </w:t>
      </w:r>
      <w:r w:rsidR="00C91319" w:rsidRPr="0057020E">
        <w:rPr>
          <w:rFonts w:ascii="Arial" w:hAnsi="Arial" w:cs="Arial"/>
        </w:rPr>
        <w:t>where it has become difficult to ensure family-sustaining jobs out of redundancy. Considering these factors, it is important to note tha</w:t>
      </w:r>
      <w:r w:rsidR="004301C1" w:rsidRPr="0057020E">
        <w:rPr>
          <w:rFonts w:ascii="Arial" w:hAnsi="Arial" w:cs="Arial"/>
        </w:rPr>
        <w:t xml:space="preserve">t FWAs include adequate solutions to all these problems. </w:t>
      </w:r>
    </w:p>
    <w:p w14:paraId="70DC52F6" w14:textId="77777777" w:rsidR="00A8712C" w:rsidRPr="0057020E" w:rsidRDefault="004301C1" w:rsidP="0057020E">
      <w:pPr>
        <w:spacing w:line="360" w:lineRule="auto"/>
        <w:jc w:val="both"/>
        <w:rPr>
          <w:rFonts w:ascii="Arial" w:hAnsi="Arial" w:cs="Arial"/>
        </w:rPr>
      </w:pPr>
      <w:r w:rsidRPr="0057020E">
        <w:rPr>
          <w:rFonts w:ascii="Arial" w:hAnsi="Arial" w:cs="Arial"/>
        </w:rPr>
        <w:t xml:space="preserve">According to </w:t>
      </w:r>
      <w:r w:rsidR="00804712" w:rsidRPr="0057020E">
        <w:rPr>
          <w:rFonts w:ascii="Arial" w:hAnsi="Arial" w:cs="Arial"/>
        </w:rPr>
        <w:t xml:space="preserve">Milligan </w:t>
      </w:r>
      <w:r w:rsidRPr="0057020E">
        <w:rPr>
          <w:rFonts w:ascii="Arial" w:hAnsi="Arial" w:cs="Arial"/>
        </w:rPr>
        <w:t>(</w:t>
      </w:r>
      <w:r w:rsidR="00804712" w:rsidRPr="0057020E">
        <w:rPr>
          <w:rFonts w:ascii="Arial" w:hAnsi="Arial" w:cs="Arial"/>
        </w:rPr>
        <w:t>2021</w:t>
      </w:r>
      <w:r w:rsidRPr="0057020E">
        <w:rPr>
          <w:rFonts w:ascii="Arial" w:hAnsi="Arial" w:cs="Arial"/>
        </w:rPr>
        <w:t xml:space="preserve">), the primary aspect associated with FWAs that can ensure the sustenance of jobs </w:t>
      </w:r>
      <w:r w:rsidR="00F25A89" w:rsidRPr="0057020E">
        <w:rPr>
          <w:rFonts w:ascii="Arial" w:hAnsi="Arial" w:cs="Arial"/>
        </w:rPr>
        <w:t xml:space="preserve">in the face of unprecedented calamities like Covid-19 is remote working. The author further notes that </w:t>
      </w:r>
      <w:r w:rsidR="008D6E93" w:rsidRPr="0057020E">
        <w:rPr>
          <w:rFonts w:ascii="Arial" w:hAnsi="Arial" w:cs="Arial"/>
        </w:rPr>
        <w:t xml:space="preserve">the growing acceptance of the work from home (WFH) model facilitates inclusive participation based on gender, disability, and race. </w:t>
      </w:r>
      <w:r w:rsidR="00753071" w:rsidRPr="0057020E">
        <w:rPr>
          <w:rFonts w:ascii="Arial" w:hAnsi="Arial" w:cs="Arial"/>
        </w:rPr>
        <w:t xml:space="preserve">As noted in </w:t>
      </w:r>
      <w:r w:rsidR="00273D0B" w:rsidRPr="0057020E">
        <w:rPr>
          <w:rFonts w:ascii="Arial" w:hAnsi="Arial" w:cs="Arial"/>
        </w:rPr>
        <w:t xml:space="preserve">Kemsley </w:t>
      </w:r>
      <w:r w:rsidR="00753071" w:rsidRPr="0057020E">
        <w:rPr>
          <w:rFonts w:ascii="Arial" w:hAnsi="Arial" w:cs="Arial"/>
        </w:rPr>
        <w:t>(</w:t>
      </w:r>
      <w:r w:rsidR="00273D0B" w:rsidRPr="0057020E">
        <w:rPr>
          <w:rFonts w:ascii="Arial" w:hAnsi="Arial" w:cs="Arial"/>
        </w:rPr>
        <w:t>2022</w:t>
      </w:r>
      <w:r w:rsidR="00753071" w:rsidRPr="0057020E">
        <w:rPr>
          <w:rFonts w:ascii="Arial" w:hAnsi="Arial" w:cs="Arial"/>
        </w:rPr>
        <w:t xml:space="preserve">), though the concept of WFH is already existent in the marketing field, the complete transition to remote working that FWAs can foster is beneficial for employers regarding their productivity concerns since it ensures access to a diverse pool of underappreciated talents. </w:t>
      </w:r>
      <w:r w:rsidR="00A61BFD" w:rsidRPr="0057020E">
        <w:rPr>
          <w:rFonts w:ascii="Arial" w:hAnsi="Arial" w:cs="Arial"/>
        </w:rPr>
        <w:t xml:space="preserve">FWAs in terms of remote working can promote DEI in terms of exposing mothers to immense opportunities for participating in the workforce. The hybrid workforce as a result of flexible working </w:t>
      </w:r>
      <w:r w:rsidR="00CA789A" w:rsidRPr="0057020E">
        <w:rPr>
          <w:rFonts w:ascii="Arial" w:hAnsi="Arial" w:cs="Arial"/>
        </w:rPr>
        <w:t xml:space="preserve">is also helpful for employers in terms of increasing their creative potential. </w:t>
      </w:r>
    </w:p>
    <w:p w14:paraId="4F6794C3" w14:textId="77777777" w:rsidR="00804712" w:rsidRPr="0057020E" w:rsidRDefault="004301C1" w:rsidP="0057020E">
      <w:pPr>
        <w:spacing w:line="360" w:lineRule="auto"/>
        <w:jc w:val="both"/>
        <w:rPr>
          <w:rFonts w:ascii="Arial" w:hAnsi="Arial" w:cs="Arial"/>
        </w:rPr>
      </w:pPr>
      <w:r w:rsidRPr="0057020E">
        <w:rPr>
          <w:rFonts w:ascii="Arial" w:hAnsi="Arial" w:cs="Arial"/>
        </w:rPr>
        <w:t xml:space="preserve">As an example, this report wishes to cite the example of HSBC Holdings Plc, the British investment bank, for its unflinching commitment to DEI and the way they are realising that through FWAs. </w:t>
      </w:r>
      <w:r w:rsidR="007126C7" w:rsidRPr="0057020E">
        <w:rPr>
          <w:rFonts w:ascii="Arial" w:hAnsi="Arial" w:cs="Arial"/>
        </w:rPr>
        <w:t>It begins with the recognition of the personal circumstances of each employee, which suggests that, through FWAs</w:t>
      </w:r>
      <w:r w:rsidR="00F809CC" w:rsidRPr="0057020E">
        <w:rPr>
          <w:rFonts w:ascii="Arial" w:hAnsi="Arial" w:cs="Arial"/>
        </w:rPr>
        <w:t xml:space="preserve">, </w:t>
      </w:r>
      <w:r w:rsidR="0041642B" w:rsidRPr="0057020E">
        <w:rPr>
          <w:rFonts w:ascii="Arial" w:hAnsi="Arial" w:cs="Arial"/>
        </w:rPr>
        <w:t>they empower the employees by enabl</w:t>
      </w:r>
      <w:r w:rsidR="00DD0F6C" w:rsidRPr="0057020E">
        <w:rPr>
          <w:rFonts w:ascii="Arial" w:hAnsi="Arial" w:cs="Arial"/>
        </w:rPr>
        <w:t xml:space="preserve">ing them to choose their working hours. </w:t>
      </w:r>
      <w:r w:rsidR="00E12E16" w:rsidRPr="0057020E">
        <w:rPr>
          <w:rFonts w:ascii="Arial" w:hAnsi="Arial" w:cs="Arial"/>
        </w:rPr>
        <w:t>Their commitment to inclusivity becomes evident from their recruitment process where they recruit talents based on their merits and ensure that they get access to an open, supportive, and inclusive work environment</w:t>
      </w:r>
      <w:r w:rsidR="009B0EB4" w:rsidRPr="0057020E">
        <w:rPr>
          <w:rFonts w:ascii="Arial" w:hAnsi="Arial" w:cs="Arial"/>
        </w:rPr>
        <w:t xml:space="preserve"> (</w:t>
      </w:r>
      <w:r w:rsidR="00451EE2" w:rsidRPr="0057020E">
        <w:rPr>
          <w:rFonts w:ascii="Arial" w:hAnsi="Arial" w:cs="Arial"/>
        </w:rPr>
        <w:t>HSBC, n.d.</w:t>
      </w:r>
      <w:r w:rsidR="009B0EB4" w:rsidRPr="0057020E">
        <w:rPr>
          <w:rFonts w:ascii="Arial" w:hAnsi="Arial" w:cs="Arial"/>
        </w:rPr>
        <w:t xml:space="preserve">). </w:t>
      </w:r>
      <w:r w:rsidR="00761539" w:rsidRPr="0057020E">
        <w:rPr>
          <w:rFonts w:ascii="Arial" w:hAnsi="Arial" w:cs="Arial"/>
        </w:rPr>
        <w:lastRenderedPageBreak/>
        <w:t xml:space="preserve">Moreover, since HSBC is a multinational entity, they are adaptive to the people in the respective contexts where they recruit from local communities based on their merits to accomplish what the organisation considers a sustainable success. </w:t>
      </w:r>
      <w:r w:rsidR="00F84454" w:rsidRPr="0057020E">
        <w:rPr>
          <w:rFonts w:ascii="Arial" w:hAnsi="Arial" w:cs="Arial"/>
        </w:rPr>
        <w:t xml:space="preserve">They ensure DEI not only in terms of gender, ethnicity, or race </w:t>
      </w:r>
      <w:r w:rsidR="00D46813" w:rsidRPr="0057020E">
        <w:rPr>
          <w:rFonts w:ascii="Arial" w:hAnsi="Arial" w:cs="Arial"/>
        </w:rPr>
        <w:t xml:space="preserve">but also by showing tolerance and respect </w:t>
      </w:r>
      <w:r w:rsidR="0041656D" w:rsidRPr="0057020E">
        <w:rPr>
          <w:rFonts w:ascii="Arial" w:hAnsi="Arial" w:cs="Arial"/>
        </w:rPr>
        <w:t>for the responsibilities, lifestyles, and way</w:t>
      </w:r>
      <w:r w:rsidR="00451EE2" w:rsidRPr="0057020E">
        <w:rPr>
          <w:rFonts w:ascii="Arial" w:hAnsi="Arial" w:cs="Arial"/>
        </w:rPr>
        <w:t xml:space="preserve">s of thinking of the employees (HSBC, n.d.). </w:t>
      </w:r>
    </w:p>
    <w:p w14:paraId="53C2DE2C" w14:textId="5B2F5B93" w:rsidR="00585321" w:rsidRPr="0057020E" w:rsidRDefault="004301C1" w:rsidP="0057020E">
      <w:pPr>
        <w:spacing w:line="360" w:lineRule="auto"/>
        <w:jc w:val="both"/>
        <w:rPr>
          <w:rFonts w:ascii="Arial" w:hAnsi="Arial" w:cs="Arial"/>
        </w:rPr>
      </w:pPr>
      <w:r w:rsidRPr="0057020E">
        <w:rPr>
          <w:rFonts w:ascii="Arial" w:hAnsi="Arial" w:cs="Arial"/>
        </w:rPr>
        <w:t xml:space="preserve">It is evident from the discussions up to </w:t>
      </w:r>
      <w:r w:rsidR="0057020E" w:rsidRPr="0057020E">
        <w:rPr>
          <w:rFonts w:ascii="Arial" w:hAnsi="Arial" w:cs="Arial"/>
        </w:rPr>
        <w:t>know</w:t>
      </w:r>
      <w:r w:rsidRPr="0057020E">
        <w:rPr>
          <w:rFonts w:ascii="Arial" w:hAnsi="Arial" w:cs="Arial"/>
        </w:rPr>
        <w:t xml:space="preserve"> that one of the principal </w:t>
      </w:r>
      <w:r w:rsidR="00022889" w:rsidRPr="0057020E">
        <w:rPr>
          <w:rFonts w:ascii="Arial" w:hAnsi="Arial" w:cs="Arial"/>
        </w:rPr>
        <w:t>reasons</w:t>
      </w:r>
      <w:r w:rsidRPr="0057020E">
        <w:rPr>
          <w:rFonts w:ascii="Arial" w:hAnsi="Arial" w:cs="Arial"/>
        </w:rPr>
        <w:t xml:space="preserve"> to encourage FWAs in workplaces is related to its association with WFH, which increases access to diverse talent pools.</w:t>
      </w:r>
      <w:r w:rsidR="00022889" w:rsidRPr="0057020E">
        <w:rPr>
          <w:rFonts w:ascii="Arial" w:hAnsi="Arial" w:cs="Arial"/>
        </w:rPr>
        <w:t xml:space="preserve"> Moreover, FWAs hold the idea of a hybrid workplace where people can be connected irrespective of their gender, race, sexual orientation, and ethnicity. </w:t>
      </w:r>
      <w:r w:rsidR="00844431" w:rsidRPr="0057020E">
        <w:rPr>
          <w:rFonts w:ascii="Arial" w:hAnsi="Arial" w:cs="Arial"/>
        </w:rPr>
        <w:t xml:space="preserve">Flexible working can play a significant role to eradicate the gender earnings gap in conventional workplaces. </w:t>
      </w:r>
      <w:r w:rsidRPr="0057020E">
        <w:rPr>
          <w:rFonts w:ascii="Arial" w:hAnsi="Arial" w:cs="Arial"/>
        </w:rPr>
        <w:t xml:space="preserve"> </w:t>
      </w:r>
    </w:p>
    <w:p w14:paraId="15867DC2" w14:textId="77777777" w:rsidR="0057020E" w:rsidRPr="0057020E" w:rsidRDefault="0057020E" w:rsidP="0057020E">
      <w:pPr>
        <w:spacing w:line="360" w:lineRule="auto"/>
        <w:jc w:val="both"/>
        <w:rPr>
          <w:rFonts w:ascii="Arial" w:eastAsiaTheme="majorEastAsia" w:hAnsi="Arial" w:cs="Arial"/>
          <w:b/>
          <w:bCs/>
          <w:color w:val="000000" w:themeColor="text1"/>
        </w:rPr>
      </w:pPr>
      <w:bookmarkStart w:id="3" w:name="_Toc99756554"/>
      <w:r w:rsidRPr="0057020E">
        <w:rPr>
          <w:rFonts w:ascii="Arial" w:hAnsi="Arial" w:cs="Arial"/>
        </w:rPr>
        <w:br w:type="page"/>
      </w:r>
    </w:p>
    <w:p w14:paraId="75D215F2" w14:textId="1638A108" w:rsidR="00573F05" w:rsidRPr="0057020E" w:rsidRDefault="004301C1" w:rsidP="0057020E">
      <w:pPr>
        <w:pStyle w:val="Heading1"/>
        <w:spacing w:after="200" w:line="360" w:lineRule="auto"/>
        <w:jc w:val="both"/>
        <w:rPr>
          <w:rFonts w:ascii="Arial" w:hAnsi="Arial" w:cs="Arial"/>
          <w:sz w:val="22"/>
          <w:szCs w:val="22"/>
        </w:rPr>
      </w:pPr>
      <w:r w:rsidRPr="0057020E">
        <w:rPr>
          <w:rFonts w:ascii="Arial" w:hAnsi="Arial" w:cs="Arial"/>
          <w:sz w:val="22"/>
          <w:szCs w:val="22"/>
        </w:rPr>
        <w:lastRenderedPageBreak/>
        <w:t>Role of human resources in promoting inclusion and diversity</w:t>
      </w:r>
      <w:bookmarkEnd w:id="3"/>
    </w:p>
    <w:p w14:paraId="24A78856" w14:textId="77777777" w:rsidR="0057020E" w:rsidRPr="0057020E" w:rsidRDefault="004301C1" w:rsidP="0057020E">
      <w:pPr>
        <w:spacing w:line="360" w:lineRule="auto"/>
        <w:jc w:val="both"/>
        <w:rPr>
          <w:rFonts w:ascii="Arial" w:hAnsi="Arial" w:cs="Arial"/>
        </w:rPr>
      </w:pPr>
      <w:r w:rsidRPr="0057020E">
        <w:rPr>
          <w:rFonts w:ascii="Arial" w:hAnsi="Arial" w:cs="Arial"/>
        </w:rPr>
        <w:t xml:space="preserve">It is evident from the discussions on the DEI commitments of HSBC that the primary role that HR can play in promoting DEI in a workplace is to exhibit the organisational commitment to the cause from the recruitment level. </w:t>
      </w:r>
      <w:r w:rsidR="00FD5647" w:rsidRPr="0057020E">
        <w:rPr>
          <w:rFonts w:ascii="Arial" w:hAnsi="Arial" w:cs="Arial"/>
        </w:rPr>
        <w:t>Their tolerance of FWAs signifies that they consider the personal circumstances of the workers and, hence, promote work-life balance through that. According to a study by International Labour Organisation (ILO)</w:t>
      </w:r>
      <w:r w:rsidRPr="0057020E">
        <w:rPr>
          <w:rFonts w:ascii="Arial" w:hAnsi="Arial" w:cs="Arial"/>
        </w:rPr>
        <w:t>, GPG is a persistent phenomenon in contemporary workplaces since it is an offshoot of different working patterns and engagements between men and women (</w:t>
      </w:r>
      <w:r w:rsidR="00916151" w:rsidRPr="0057020E">
        <w:rPr>
          <w:rFonts w:ascii="Arial" w:hAnsi="Arial" w:cs="Arial"/>
        </w:rPr>
        <w:t>ILO, 2019</w:t>
      </w:r>
      <w:r w:rsidRPr="0057020E">
        <w:rPr>
          <w:rFonts w:ascii="Arial" w:hAnsi="Arial" w:cs="Arial"/>
        </w:rPr>
        <w:t>). The Global wage report of 2018-19, which ILO cited in the aforementioned study, notes that, as com</w:t>
      </w:r>
      <w:r w:rsidR="00442026" w:rsidRPr="0057020E">
        <w:rPr>
          <w:rFonts w:ascii="Arial" w:hAnsi="Arial" w:cs="Arial"/>
        </w:rPr>
        <w:t xml:space="preserve">pared to men, the participation of women in the labour market </w:t>
      </w:r>
      <w:r w:rsidR="00245BBD" w:rsidRPr="0057020E">
        <w:rPr>
          <w:rFonts w:ascii="Arial" w:hAnsi="Arial" w:cs="Arial"/>
        </w:rPr>
        <w:t>is more on a part-time basis (</w:t>
      </w:r>
      <w:r w:rsidR="00916151" w:rsidRPr="0057020E">
        <w:rPr>
          <w:rFonts w:ascii="Arial" w:hAnsi="Arial" w:cs="Arial"/>
        </w:rPr>
        <w:t>ILO, 2019</w:t>
      </w:r>
      <w:r w:rsidR="00245BBD" w:rsidRPr="0057020E">
        <w:rPr>
          <w:rFonts w:ascii="Arial" w:hAnsi="Arial" w:cs="Arial"/>
        </w:rPr>
        <w:t xml:space="preserve">). </w:t>
      </w:r>
    </w:p>
    <w:p w14:paraId="2F700198" w14:textId="0F110054" w:rsidR="0057020E" w:rsidRPr="0057020E" w:rsidRDefault="00D44A3C" w:rsidP="0057020E">
      <w:pPr>
        <w:spacing w:line="360" w:lineRule="auto"/>
        <w:jc w:val="both"/>
        <w:rPr>
          <w:rFonts w:ascii="Arial" w:hAnsi="Arial" w:cs="Arial"/>
        </w:rPr>
      </w:pPr>
      <w:r w:rsidRPr="0057020E">
        <w:rPr>
          <w:rFonts w:ascii="Arial" w:hAnsi="Arial" w:cs="Arial"/>
        </w:rPr>
        <w:t>However, as briefly hinted in the introduction of this report, apart from the ignorance from the employers that the women are vulnerable to face due to their pattern of engagement</w:t>
      </w:r>
      <w:r w:rsidR="00432093" w:rsidRPr="0057020E">
        <w:rPr>
          <w:rFonts w:ascii="Arial" w:hAnsi="Arial" w:cs="Arial"/>
        </w:rPr>
        <w:t xml:space="preserve">, availing the rights that they are entitled to can also be a cause for the neglect they face. </w:t>
      </w:r>
      <w:r w:rsidR="00563C86" w:rsidRPr="0057020E">
        <w:rPr>
          <w:rFonts w:ascii="Arial" w:hAnsi="Arial" w:cs="Arial"/>
        </w:rPr>
        <w:t xml:space="preserve">For instance, if </w:t>
      </w:r>
      <w:r w:rsidR="00995387" w:rsidRPr="0057020E">
        <w:rPr>
          <w:rFonts w:ascii="Arial" w:hAnsi="Arial" w:cs="Arial"/>
        </w:rPr>
        <w:t>an organisation appreciates</w:t>
      </w:r>
      <w:r w:rsidR="00563C86" w:rsidRPr="0057020E">
        <w:rPr>
          <w:rFonts w:ascii="Arial" w:hAnsi="Arial" w:cs="Arial"/>
        </w:rPr>
        <w:t xml:space="preserve"> participation in terms of contribution to financial gains, the women that are </w:t>
      </w:r>
      <w:r w:rsidR="0057020E" w:rsidRPr="0057020E">
        <w:rPr>
          <w:rFonts w:ascii="Arial" w:hAnsi="Arial" w:cs="Arial"/>
        </w:rPr>
        <w:t>re-joining</w:t>
      </w:r>
      <w:r w:rsidR="00563C86" w:rsidRPr="0057020E">
        <w:rPr>
          <w:rFonts w:ascii="Arial" w:hAnsi="Arial" w:cs="Arial"/>
        </w:rPr>
        <w:t xml:space="preserve"> from long maternity leave </w:t>
      </w:r>
      <w:r w:rsidR="009E4314" w:rsidRPr="0057020E">
        <w:rPr>
          <w:rFonts w:ascii="Arial" w:hAnsi="Arial" w:cs="Arial"/>
        </w:rPr>
        <w:t>are</w:t>
      </w:r>
      <w:r w:rsidR="00995387" w:rsidRPr="0057020E">
        <w:rPr>
          <w:rFonts w:ascii="Arial" w:hAnsi="Arial" w:cs="Arial"/>
        </w:rPr>
        <w:t xml:space="preserve"> inevitable to fail within this regime of measurement. As noted in</w:t>
      </w:r>
      <w:r w:rsidR="00A0223C" w:rsidRPr="0057020E">
        <w:rPr>
          <w:rFonts w:ascii="Arial" w:hAnsi="Arial" w:cs="Arial"/>
        </w:rPr>
        <w:t xml:space="preserve"> Fuller and Hirsh (2019)</w:t>
      </w:r>
      <w:r w:rsidR="00995387" w:rsidRPr="0057020E">
        <w:rPr>
          <w:rFonts w:ascii="Arial" w:hAnsi="Arial" w:cs="Arial"/>
        </w:rPr>
        <w:t xml:space="preserve">, motherhood pay penalties are persistent </w:t>
      </w:r>
      <w:r w:rsidR="00A0223C" w:rsidRPr="0057020E">
        <w:rPr>
          <w:rFonts w:ascii="Arial" w:hAnsi="Arial" w:cs="Arial"/>
        </w:rPr>
        <w:t xml:space="preserve">across the educational spectrum where, in a sense, it can be suggested as an aggregate impact of the FWAs. </w:t>
      </w:r>
    </w:p>
    <w:p w14:paraId="17A0EE8F" w14:textId="4A2603E3" w:rsidR="00E679F8" w:rsidRPr="0057020E" w:rsidRDefault="00A0223C" w:rsidP="0057020E">
      <w:pPr>
        <w:spacing w:line="360" w:lineRule="auto"/>
        <w:jc w:val="both"/>
        <w:rPr>
          <w:rFonts w:ascii="Arial" w:hAnsi="Arial" w:cs="Arial"/>
        </w:rPr>
      </w:pPr>
      <w:r w:rsidRPr="0057020E">
        <w:rPr>
          <w:rFonts w:ascii="Arial" w:hAnsi="Arial" w:cs="Arial"/>
        </w:rPr>
        <w:t>It can also be presented as an impact of systemic injustice that is present in most workplaces. In this regard, the primary role that HR can play is not by supporting gender parity in rhetoric but by implementi</w:t>
      </w:r>
      <w:r w:rsidR="00011454" w:rsidRPr="0057020E">
        <w:rPr>
          <w:rFonts w:ascii="Arial" w:hAnsi="Arial" w:cs="Arial"/>
        </w:rPr>
        <w:t xml:space="preserve">ng this across several units in the organisation. </w:t>
      </w:r>
      <w:r w:rsidR="001807A9" w:rsidRPr="0057020E">
        <w:rPr>
          <w:rFonts w:ascii="Arial" w:hAnsi="Arial" w:cs="Arial"/>
        </w:rPr>
        <w:t xml:space="preserve">On a practical level, HR must ensure a supportive environment for the women that are joining after a long leave and develop a performance matrix </w:t>
      </w:r>
      <w:r w:rsidR="00036EB1" w:rsidRPr="0057020E">
        <w:rPr>
          <w:rFonts w:ascii="Arial" w:hAnsi="Arial" w:cs="Arial"/>
        </w:rPr>
        <w:t xml:space="preserve">that emphasises their creative gain from them, instead of focusing exclusively on financial benefits. </w:t>
      </w:r>
    </w:p>
    <w:p w14:paraId="6D24932F" w14:textId="77777777" w:rsidR="0057020E" w:rsidRPr="0057020E" w:rsidRDefault="004301C1" w:rsidP="0057020E">
      <w:pPr>
        <w:spacing w:line="360" w:lineRule="auto"/>
        <w:jc w:val="both"/>
        <w:rPr>
          <w:rFonts w:ascii="Arial" w:hAnsi="Arial" w:cs="Arial"/>
        </w:rPr>
      </w:pPr>
      <w:r w:rsidRPr="0057020E">
        <w:rPr>
          <w:rFonts w:ascii="Arial" w:hAnsi="Arial" w:cs="Arial"/>
        </w:rPr>
        <w:t xml:space="preserve">Flexible working cannot realise its full potential without the use of state-of-the-art technologies. </w:t>
      </w:r>
      <w:r w:rsidR="006062CF" w:rsidRPr="0057020E">
        <w:rPr>
          <w:rFonts w:ascii="Arial" w:hAnsi="Arial" w:cs="Arial"/>
        </w:rPr>
        <w:t xml:space="preserve">According to </w:t>
      </w:r>
      <w:r w:rsidR="00DD32BF" w:rsidRPr="0057020E">
        <w:rPr>
          <w:rFonts w:ascii="Arial" w:hAnsi="Arial" w:cs="Arial"/>
        </w:rPr>
        <w:t xml:space="preserve">Grant </w:t>
      </w:r>
      <w:r w:rsidR="00DD32BF" w:rsidRPr="0057020E">
        <w:rPr>
          <w:rFonts w:ascii="Arial" w:hAnsi="Arial" w:cs="Arial"/>
          <w:i/>
        </w:rPr>
        <w:t>et al</w:t>
      </w:r>
      <w:r w:rsidR="00DD32BF" w:rsidRPr="0057020E">
        <w:rPr>
          <w:rFonts w:ascii="Arial" w:hAnsi="Arial" w:cs="Arial"/>
        </w:rPr>
        <w:t xml:space="preserve">. </w:t>
      </w:r>
      <w:r w:rsidR="006062CF" w:rsidRPr="0057020E">
        <w:rPr>
          <w:rFonts w:ascii="Arial" w:hAnsi="Arial" w:cs="Arial"/>
        </w:rPr>
        <w:t>(</w:t>
      </w:r>
      <w:r w:rsidR="00DD32BF" w:rsidRPr="0057020E">
        <w:rPr>
          <w:rFonts w:ascii="Arial" w:hAnsi="Arial" w:cs="Arial"/>
        </w:rPr>
        <w:t>2018</w:t>
      </w:r>
      <w:r w:rsidR="006062CF" w:rsidRPr="0057020E">
        <w:rPr>
          <w:rFonts w:ascii="Arial" w:hAnsi="Arial" w:cs="Arial"/>
        </w:rPr>
        <w:t xml:space="preserve">), remote working can only be realised with the desired degree of job effectiveness if it can be facilitated by the use of technology. </w:t>
      </w:r>
      <w:r w:rsidR="00794729" w:rsidRPr="0057020E">
        <w:rPr>
          <w:rFonts w:ascii="Arial" w:hAnsi="Arial" w:cs="Arial"/>
        </w:rPr>
        <w:t>The aforementioned authors also note that excessive reliance on technological means can be counterproductive in terms of the physical and mental well-being of the employees (</w:t>
      </w:r>
      <w:r w:rsidR="00DD32BF" w:rsidRPr="0057020E">
        <w:rPr>
          <w:rFonts w:ascii="Arial" w:hAnsi="Arial" w:cs="Arial"/>
        </w:rPr>
        <w:t xml:space="preserve">Grant </w:t>
      </w:r>
      <w:r w:rsidR="00DD32BF" w:rsidRPr="0057020E">
        <w:rPr>
          <w:rFonts w:ascii="Arial" w:hAnsi="Arial" w:cs="Arial"/>
          <w:i/>
        </w:rPr>
        <w:t>et al</w:t>
      </w:r>
      <w:r w:rsidR="00DD32BF" w:rsidRPr="0057020E">
        <w:rPr>
          <w:rFonts w:ascii="Arial" w:hAnsi="Arial" w:cs="Arial"/>
        </w:rPr>
        <w:t>. 2018</w:t>
      </w:r>
      <w:r w:rsidR="00794729" w:rsidRPr="0057020E">
        <w:rPr>
          <w:rFonts w:ascii="Arial" w:hAnsi="Arial" w:cs="Arial"/>
        </w:rPr>
        <w:t xml:space="preserve">). </w:t>
      </w:r>
    </w:p>
    <w:p w14:paraId="13ECB15A" w14:textId="76F9EDCC" w:rsidR="00F40BD9" w:rsidRPr="0057020E" w:rsidRDefault="00DD32BF" w:rsidP="0057020E">
      <w:pPr>
        <w:spacing w:line="360" w:lineRule="auto"/>
        <w:jc w:val="both"/>
        <w:rPr>
          <w:rFonts w:ascii="Arial" w:hAnsi="Arial" w:cs="Arial"/>
        </w:rPr>
      </w:pPr>
      <w:r w:rsidRPr="0057020E">
        <w:rPr>
          <w:rFonts w:ascii="Arial" w:hAnsi="Arial" w:cs="Arial"/>
        </w:rPr>
        <w:t>Moreov</w:t>
      </w:r>
      <w:r w:rsidR="00F85867" w:rsidRPr="0057020E">
        <w:rPr>
          <w:rFonts w:ascii="Arial" w:hAnsi="Arial" w:cs="Arial"/>
        </w:rPr>
        <w:t>er, technological determinism in</w:t>
      </w:r>
      <w:r w:rsidRPr="0057020E">
        <w:rPr>
          <w:rFonts w:ascii="Arial" w:hAnsi="Arial" w:cs="Arial"/>
        </w:rPr>
        <w:t xml:space="preserve"> working principles can give rise to new discriminative practices, especially by the means of face r</w:t>
      </w:r>
      <w:r w:rsidR="00F85867" w:rsidRPr="0057020E">
        <w:rPr>
          <w:rFonts w:ascii="Arial" w:hAnsi="Arial" w:cs="Arial"/>
        </w:rPr>
        <w:t>ecognition and biometric tests, which saw a rise after the Covid-19 pandemic (</w:t>
      </w:r>
      <w:r w:rsidR="00901915" w:rsidRPr="0057020E">
        <w:rPr>
          <w:rFonts w:ascii="Arial" w:hAnsi="Arial" w:cs="Arial"/>
        </w:rPr>
        <w:t xml:space="preserve">Van Natta </w:t>
      </w:r>
      <w:r w:rsidR="00901915" w:rsidRPr="0057020E">
        <w:rPr>
          <w:rFonts w:ascii="Arial" w:hAnsi="Arial" w:cs="Arial"/>
          <w:i/>
        </w:rPr>
        <w:t>et al</w:t>
      </w:r>
      <w:r w:rsidR="00901915" w:rsidRPr="0057020E">
        <w:rPr>
          <w:rFonts w:ascii="Arial" w:hAnsi="Arial" w:cs="Arial"/>
        </w:rPr>
        <w:t>. 2020</w:t>
      </w:r>
      <w:r w:rsidR="00A70423" w:rsidRPr="0057020E">
        <w:rPr>
          <w:rFonts w:ascii="Arial" w:hAnsi="Arial" w:cs="Arial"/>
        </w:rPr>
        <w:t xml:space="preserve">). In this context, HR is </w:t>
      </w:r>
      <w:r w:rsidR="00A70423" w:rsidRPr="0057020E">
        <w:rPr>
          <w:rFonts w:ascii="Arial" w:hAnsi="Arial" w:cs="Arial"/>
        </w:rPr>
        <w:lastRenderedPageBreak/>
        <w:t xml:space="preserve">required to monitor the use of technologies, which must be deployed to promote flexible working yet must be prevented from promoting discriminating practices. </w:t>
      </w:r>
    </w:p>
    <w:p w14:paraId="7A5C9585" w14:textId="51198615" w:rsidR="009E4314" w:rsidRPr="0057020E" w:rsidRDefault="004301C1" w:rsidP="0057020E">
      <w:pPr>
        <w:spacing w:line="360" w:lineRule="auto"/>
        <w:jc w:val="both"/>
        <w:rPr>
          <w:rFonts w:ascii="Arial" w:hAnsi="Arial" w:cs="Arial"/>
        </w:rPr>
      </w:pPr>
      <w:r w:rsidRPr="0057020E">
        <w:rPr>
          <w:rFonts w:ascii="Arial" w:hAnsi="Arial" w:cs="Arial"/>
        </w:rPr>
        <w:t>Apart from promoting commitment to DEI, HR must communicate their g</w:t>
      </w:r>
      <w:r w:rsidR="003A07AF" w:rsidRPr="0057020E">
        <w:rPr>
          <w:rFonts w:ascii="Arial" w:hAnsi="Arial" w:cs="Arial"/>
        </w:rPr>
        <w:t xml:space="preserve">oals regarding the achievements. Here, one of the ways is to leverage flexibility for those that are more in need of an inclusive environment </w:t>
      </w:r>
      <w:r w:rsidR="0057020E" w:rsidRPr="0057020E">
        <w:rPr>
          <w:rFonts w:ascii="Arial" w:hAnsi="Arial" w:cs="Arial"/>
        </w:rPr>
        <w:t>i.e.,</w:t>
      </w:r>
      <w:r w:rsidR="003A07AF" w:rsidRPr="0057020E">
        <w:rPr>
          <w:rFonts w:ascii="Arial" w:hAnsi="Arial" w:cs="Arial"/>
        </w:rPr>
        <w:t xml:space="preserve"> women, disabled people, and aged professionals. </w:t>
      </w:r>
      <w:r w:rsidR="00FF135E" w:rsidRPr="0057020E">
        <w:rPr>
          <w:rFonts w:ascii="Arial" w:hAnsi="Arial" w:cs="Arial"/>
        </w:rPr>
        <w:t xml:space="preserve">Moreover, HR can identify underrepresented workers from the workplace and test their merits as a way of recognising their potential and boosting their belongingness. </w:t>
      </w:r>
      <w:r w:rsidR="00AB09D9" w:rsidRPr="0057020E">
        <w:rPr>
          <w:rFonts w:ascii="Arial" w:hAnsi="Arial" w:cs="Arial"/>
        </w:rPr>
        <w:t xml:space="preserve">Moreover, HR can also invest in Employee Resources Groups (ERGs) and similar inclusion networks that can advocate the rights of the </w:t>
      </w:r>
      <w:r w:rsidR="002B12EB" w:rsidRPr="0057020E">
        <w:rPr>
          <w:rFonts w:ascii="Arial" w:hAnsi="Arial" w:cs="Arial"/>
        </w:rPr>
        <w:t xml:space="preserve">underappreciated talents and directly suggest solutions to the employers for better recruitment, mentoring, and retention. </w:t>
      </w:r>
    </w:p>
    <w:p w14:paraId="463ACDD7" w14:textId="77777777" w:rsidR="0057020E" w:rsidRPr="0057020E" w:rsidRDefault="0057020E" w:rsidP="0057020E">
      <w:pPr>
        <w:spacing w:line="360" w:lineRule="auto"/>
        <w:jc w:val="both"/>
        <w:rPr>
          <w:rFonts w:ascii="Arial" w:eastAsiaTheme="majorEastAsia" w:hAnsi="Arial" w:cs="Arial"/>
          <w:b/>
          <w:bCs/>
          <w:color w:val="000000" w:themeColor="text1"/>
        </w:rPr>
      </w:pPr>
      <w:bookmarkStart w:id="4" w:name="_Toc99756555"/>
      <w:r w:rsidRPr="0057020E">
        <w:rPr>
          <w:rFonts w:ascii="Arial" w:hAnsi="Arial" w:cs="Arial"/>
        </w:rPr>
        <w:br w:type="page"/>
      </w:r>
    </w:p>
    <w:p w14:paraId="4CE108A0" w14:textId="2F2F5774" w:rsidR="00573F05" w:rsidRPr="0057020E" w:rsidRDefault="004301C1" w:rsidP="0057020E">
      <w:pPr>
        <w:pStyle w:val="Heading1"/>
        <w:spacing w:after="200" w:line="360" w:lineRule="auto"/>
        <w:jc w:val="both"/>
        <w:rPr>
          <w:rFonts w:ascii="Arial" w:hAnsi="Arial" w:cs="Arial"/>
          <w:sz w:val="22"/>
          <w:szCs w:val="22"/>
        </w:rPr>
      </w:pPr>
      <w:r w:rsidRPr="0057020E">
        <w:rPr>
          <w:rFonts w:ascii="Arial" w:hAnsi="Arial" w:cs="Arial"/>
          <w:sz w:val="22"/>
          <w:szCs w:val="22"/>
        </w:rPr>
        <w:lastRenderedPageBreak/>
        <w:t>Against flexible working: inequality</w:t>
      </w:r>
      <w:bookmarkEnd w:id="4"/>
    </w:p>
    <w:p w14:paraId="2975304A" w14:textId="77777777" w:rsidR="0057020E" w:rsidRPr="0057020E" w:rsidRDefault="004301C1" w:rsidP="0057020E">
      <w:pPr>
        <w:spacing w:line="360" w:lineRule="auto"/>
        <w:jc w:val="both"/>
        <w:rPr>
          <w:rFonts w:ascii="Arial" w:hAnsi="Arial" w:cs="Arial"/>
        </w:rPr>
      </w:pPr>
      <w:r w:rsidRPr="0057020E">
        <w:rPr>
          <w:rFonts w:ascii="Arial" w:hAnsi="Arial" w:cs="Arial"/>
        </w:rPr>
        <w:t xml:space="preserve">As briefly hinted in the introduction of this report, flexible </w:t>
      </w:r>
      <w:r w:rsidR="0085554D" w:rsidRPr="0057020E">
        <w:rPr>
          <w:rFonts w:ascii="Arial" w:hAnsi="Arial" w:cs="Arial"/>
        </w:rPr>
        <w:t xml:space="preserve">working solutions are also fraught with the possibility of promoting inequality. In the course of highlighting the role of HR in promoting DEI in the workplace, this report has already highlighted some of the avenues embedded in flexible working that can cause inequality. </w:t>
      </w:r>
      <w:r w:rsidR="0003730F" w:rsidRPr="0057020E">
        <w:rPr>
          <w:rFonts w:ascii="Arial" w:hAnsi="Arial" w:cs="Arial"/>
        </w:rPr>
        <w:t xml:space="preserve">It is interesting to note that </w:t>
      </w:r>
      <w:r w:rsidR="00D95FFA" w:rsidRPr="0057020E">
        <w:rPr>
          <w:rFonts w:ascii="Arial" w:hAnsi="Arial" w:cs="Arial"/>
        </w:rPr>
        <w:t xml:space="preserve">the strength of FWAs for promoting gender pay parity </w:t>
      </w:r>
      <w:r w:rsidR="0003730F" w:rsidRPr="0057020E">
        <w:rPr>
          <w:rFonts w:ascii="Arial" w:hAnsi="Arial" w:cs="Arial"/>
        </w:rPr>
        <w:t xml:space="preserve">can easily be transformed into its weaknesses of it. It is primarily because, apart from the differences in the working arrangement that ILO </w:t>
      </w:r>
      <w:r w:rsidR="00E31C10" w:rsidRPr="0057020E">
        <w:rPr>
          <w:rFonts w:ascii="Arial" w:hAnsi="Arial" w:cs="Arial"/>
        </w:rPr>
        <w:t xml:space="preserve">(2019) </w:t>
      </w:r>
      <w:r w:rsidR="0003730F" w:rsidRPr="0057020E">
        <w:rPr>
          <w:rFonts w:ascii="Arial" w:hAnsi="Arial" w:cs="Arial"/>
        </w:rPr>
        <w:t>notes, it is a matter of particular mindset that consolidate the systemic injustice</w:t>
      </w:r>
      <w:r w:rsidR="00514756" w:rsidRPr="0057020E">
        <w:rPr>
          <w:rFonts w:ascii="Arial" w:hAnsi="Arial" w:cs="Arial"/>
        </w:rPr>
        <w:t xml:space="preserve"> against women in the workplace. For instance, if this report considers work-life balance, which is the principal condition that FWAs must serve to ensure greater participation of women in workplaces, is also a matter of getting cooperation from the male counterpart. </w:t>
      </w:r>
    </w:p>
    <w:p w14:paraId="5F162B99" w14:textId="77777777" w:rsidR="0057020E" w:rsidRPr="0057020E" w:rsidRDefault="00E31C10" w:rsidP="0057020E">
      <w:pPr>
        <w:spacing w:line="360" w:lineRule="auto"/>
        <w:jc w:val="both"/>
        <w:rPr>
          <w:rFonts w:ascii="Arial" w:hAnsi="Arial" w:cs="Arial"/>
        </w:rPr>
      </w:pPr>
      <w:r w:rsidRPr="0057020E">
        <w:rPr>
          <w:rFonts w:ascii="Arial" w:hAnsi="Arial" w:cs="Arial"/>
        </w:rPr>
        <w:t>In most cases, the mindset that the male counterpart exercises</w:t>
      </w:r>
      <w:r w:rsidR="00891F3E" w:rsidRPr="0057020E">
        <w:rPr>
          <w:rFonts w:ascii="Arial" w:hAnsi="Arial" w:cs="Arial"/>
        </w:rPr>
        <w:t xml:space="preserve"> are indifferent to the importance of the professional work of the women. In this context, it somewhat reflects the performance measurement matrixes that give more emphasis to financial gains that the creative gains from a woman employee. </w:t>
      </w:r>
      <w:r w:rsidR="00A96B2D" w:rsidRPr="0057020E">
        <w:rPr>
          <w:rFonts w:ascii="Arial" w:hAnsi="Arial" w:cs="Arial"/>
        </w:rPr>
        <w:t xml:space="preserve">There are cases, as noted in </w:t>
      </w:r>
      <w:r w:rsidR="00584B65" w:rsidRPr="0057020E">
        <w:rPr>
          <w:rFonts w:ascii="Arial" w:hAnsi="Arial" w:cs="Arial"/>
        </w:rPr>
        <w:t xml:space="preserve">Chung and Van der Horst </w:t>
      </w:r>
      <w:r w:rsidR="00A96B2D" w:rsidRPr="0057020E">
        <w:rPr>
          <w:rFonts w:ascii="Arial" w:hAnsi="Arial" w:cs="Arial"/>
        </w:rPr>
        <w:t>(</w:t>
      </w:r>
      <w:r w:rsidR="00584B65" w:rsidRPr="0057020E">
        <w:rPr>
          <w:rFonts w:ascii="Arial" w:hAnsi="Arial" w:cs="Arial"/>
        </w:rPr>
        <w:t>2020</w:t>
      </w:r>
      <w:r w:rsidR="00A96B2D" w:rsidRPr="0057020E">
        <w:rPr>
          <w:rFonts w:ascii="Arial" w:hAnsi="Arial" w:cs="Arial"/>
        </w:rPr>
        <w:t xml:space="preserve">), where women employees are refused pay for overtime in the UK, which suggests that, apart from gender, parental status is also </w:t>
      </w:r>
      <w:r w:rsidR="00584B65" w:rsidRPr="0057020E">
        <w:rPr>
          <w:rFonts w:ascii="Arial" w:hAnsi="Arial" w:cs="Arial"/>
        </w:rPr>
        <w:t>a matter that directly informs</w:t>
      </w:r>
      <w:r w:rsidR="00A96B2D" w:rsidRPr="0057020E">
        <w:rPr>
          <w:rFonts w:ascii="Arial" w:hAnsi="Arial" w:cs="Arial"/>
        </w:rPr>
        <w:t xml:space="preserve"> the gradually increasing gender payment disparity.</w:t>
      </w:r>
      <w:r w:rsidR="00584B65" w:rsidRPr="0057020E">
        <w:rPr>
          <w:rFonts w:ascii="Arial" w:hAnsi="Arial" w:cs="Arial"/>
        </w:rPr>
        <w:t xml:space="preserve"> </w:t>
      </w:r>
    </w:p>
    <w:p w14:paraId="7014BEF5" w14:textId="577BF5B3" w:rsidR="00391BC4" w:rsidRPr="0057020E" w:rsidRDefault="00584B65" w:rsidP="0057020E">
      <w:pPr>
        <w:spacing w:line="360" w:lineRule="auto"/>
        <w:jc w:val="both"/>
        <w:rPr>
          <w:rFonts w:ascii="Arial" w:hAnsi="Arial" w:cs="Arial"/>
        </w:rPr>
      </w:pPr>
      <w:r w:rsidRPr="0057020E">
        <w:rPr>
          <w:rFonts w:ascii="Arial" w:hAnsi="Arial" w:cs="Arial"/>
        </w:rPr>
        <w:t xml:space="preserve">In other words, the work-life balance can be morphed into a work-life </w:t>
      </w:r>
      <w:r w:rsidR="0057020E" w:rsidRPr="0057020E">
        <w:rPr>
          <w:rFonts w:ascii="Arial" w:hAnsi="Arial" w:cs="Arial"/>
        </w:rPr>
        <w:t>spill over</w:t>
      </w:r>
      <w:r w:rsidRPr="0057020E">
        <w:rPr>
          <w:rFonts w:ascii="Arial" w:hAnsi="Arial" w:cs="Arial"/>
        </w:rPr>
        <w:t xml:space="preserve">, which is termed by </w:t>
      </w:r>
      <w:r w:rsidR="00EE7BB9" w:rsidRPr="0057020E">
        <w:rPr>
          <w:rFonts w:ascii="Arial" w:hAnsi="Arial" w:cs="Arial"/>
        </w:rPr>
        <w:t xml:space="preserve">Chung </w:t>
      </w:r>
      <w:r w:rsidRPr="0057020E">
        <w:rPr>
          <w:rFonts w:ascii="Arial" w:hAnsi="Arial" w:cs="Arial"/>
        </w:rPr>
        <w:t>(</w:t>
      </w:r>
      <w:r w:rsidR="00EE7BB9" w:rsidRPr="0057020E">
        <w:rPr>
          <w:rFonts w:ascii="Arial" w:hAnsi="Arial" w:cs="Arial"/>
        </w:rPr>
        <w:t>2020</w:t>
      </w:r>
      <w:r w:rsidRPr="0057020E">
        <w:rPr>
          <w:rFonts w:ascii="Arial" w:hAnsi="Arial" w:cs="Arial"/>
        </w:rPr>
        <w:t xml:space="preserve">) as flexibility stigma. </w:t>
      </w:r>
      <w:r w:rsidR="00EE7BB9" w:rsidRPr="0057020E">
        <w:rPr>
          <w:rFonts w:ascii="Arial" w:hAnsi="Arial" w:cs="Arial"/>
        </w:rPr>
        <w:t xml:space="preserve">The best example of a multinational firm that is highly successful yet failed to address GPG adequately is Amazon Inc, the biggest e-retailer in the US. As noted by </w:t>
      </w:r>
      <w:r w:rsidR="00AE2FE0" w:rsidRPr="0057020E">
        <w:rPr>
          <w:rFonts w:ascii="Arial" w:hAnsi="Arial" w:cs="Arial"/>
        </w:rPr>
        <w:t xml:space="preserve">Peck </w:t>
      </w:r>
      <w:r w:rsidR="00EE7BB9" w:rsidRPr="0057020E">
        <w:rPr>
          <w:rFonts w:ascii="Arial" w:hAnsi="Arial" w:cs="Arial"/>
        </w:rPr>
        <w:t>(</w:t>
      </w:r>
      <w:r w:rsidR="00AE2FE0" w:rsidRPr="0057020E">
        <w:rPr>
          <w:rFonts w:ascii="Arial" w:hAnsi="Arial" w:cs="Arial"/>
        </w:rPr>
        <w:t>2016</w:t>
      </w:r>
      <w:r w:rsidR="00EE7BB9" w:rsidRPr="0057020E">
        <w:rPr>
          <w:rFonts w:ascii="Arial" w:hAnsi="Arial" w:cs="Arial"/>
        </w:rPr>
        <w:t xml:space="preserve">), the well-paid and most senior </w:t>
      </w:r>
      <w:r w:rsidR="00D4732B" w:rsidRPr="0057020E">
        <w:rPr>
          <w:rFonts w:ascii="Arial" w:hAnsi="Arial" w:cs="Arial"/>
        </w:rPr>
        <w:t xml:space="preserve">employees of Amazon are predominantly male. Despite the said commitment to pay equity </w:t>
      </w:r>
      <w:r w:rsidR="0057020E" w:rsidRPr="0057020E">
        <w:rPr>
          <w:rFonts w:ascii="Arial" w:hAnsi="Arial" w:cs="Arial"/>
        </w:rPr>
        <w:t>i.e.,</w:t>
      </w:r>
      <w:r w:rsidR="00D4732B" w:rsidRPr="0057020E">
        <w:rPr>
          <w:rFonts w:ascii="Arial" w:hAnsi="Arial" w:cs="Arial"/>
        </w:rPr>
        <w:t xml:space="preserve"> equal pay for equal work</w:t>
      </w:r>
      <w:r w:rsidR="00D53B53" w:rsidRPr="0057020E">
        <w:rPr>
          <w:rFonts w:ascii="Arial" w:hAnsi="Arial" w:cs="Arial"/>
        </w:rPr>
        <w:t>, the company reports suggest otherwise and exhibit gross fluctuations in compensation for women for equal work (</w:t>
      </w:r>
      <w:r w:rsidR="00AE2FE0" w:rsidRPr="0057020E">
        <w:rPr>
          <w:rFonts w:ascii="Arial" w:hAnsi="Arial" w:cs="Arial"/>
        </w:rPr>
        <w:t>Peck, 2016</w:t>
      </w:r>
      <w:r w:rsidR="00D53B53" w:rsidRPr="0057020E">
        <w:rPr>
          <w:rFonts w:ascii="Arial" w:hAnsi="Arial" w:cs="Arial"/>
        </w:rPr>
        <w:t xml:space="preserve">). </w:t>
      </w:r>
    </w:p>
    <w:p w14:paraId="62C163E9" w14:textId="77777777" w:rsidR="0057020E" w:rsidRPr="0057020E" w:rsidRDefault="004301C1" w:rsidP="0057020E">
      <w:pPr>
        <w:spacing w:line="360" w:lineRule="auto"/>
        <w:jc w:val="both"/>
        <w:rPr>
          <w:rFonts w:ascii="Arial" w:hAnsi="Arial" w:cs="Arial"/>
        </w:rPr>
      </w:pPr>
      <w:r w:rsidRPr="0057020E">
        <w:rPr>
          <w:rFonts w:ascii="Arial" w:hAnsi="Arial" w:cs="Arial"/>
        </w:rPr>
        <w:t xml:space="preserve">The potential security vulnerability of the use of technology can also cause inequality in the workplace. </w:t>
      </w:r>
      <w:r w:rsidR="008C65B6" w:rsidRPr="0057020E">
        <w:rPr>
          <w:rFonts w:ascii="Arial" w:hAnsi="Arial" w:cs="Arial"/>
        </w:rPr>
        <w:t xml:space="preserve">Due to a particular mindset in some of the employers, it is evident that they develop trust issues with certain employees and tend to discriminate them from the facilities of flexible working through aggravated surveillance. </w:t>
      </w:r>
      <w:r w:rsidR="007F2421" w:rsidRPr="0057020E">
        <w:rPr>
          <w:rFonts w:ascii="Arial" w:hAnsi="Arial" w:cs="Arial"/>
        </w:rPr>
        <w:t xml:space="preserve">In the context of nursing, </w:t>
      </w:r>
      <w:r w:rsidR="008212DD" w:rsidRPr="0057020E">
        <w:rPr>
          <w:rFonts w:ascii="Arial" w:hAnsi="Arial" w:cs="Arial"/>
        </w:rPr>
        <w:t xml:space="preserve">Dousin </w:t>
      </w:r>
      <w:r w:rsidR="008212DD" w:rsidRPr="0057020E">
        <w:rPr>
          <w:rFonts w:ascii="Arial" w:hAnsi="Arial" w:cs="Arial"/>
          <w:i/>
        </w:rPr>
        <w:t>et al</w:t>
      </w:r>
      <w:r w:rsidR="008212DD" w:rsidRPr="0057020E">
        <w:rPr>
          <w:rFonts w:ascii="Arial" w:hAnsi="Arial" w:cs="Arial"/>
        </w:rPr>
        <w:t xml:space="preserve">. </w:t>
      </w:r>
      <w:r w:rsidR="007F2421" w:rsidRPr="0057020E">
        <w:rPr>
          <w:rFonts w:ascii="Arial" w:hAnsi="Arial" w:cs="Arial"/>
        </w:rPr>
        <w:t>(</w:t>
      </w:r>
      <w:r w:rsidR="008212DD" w:rsidRPr="0057020E">
        <w:rPr>
          <w:rFonts w:ascii="Arial" w:hAnsi="Arial" w:cs="Arial"/>
        </w:rPr>
        <w:t>2021</w:t>
      </w:r>
      <w:r w:rsidR="007F2421" w:rsidRPr="0057020E">
        <w:rPr>
          <w:rFonts w:ascii="Arial" w:hAnsi="Arial" w:cs="Arial"/>
        </w:rPr>
        <w:t xml:space="preserve">) note that, though FWAs come with the promises of supportive supervision, it has the potential to use the same means for </w:t>
      </w:r>
      <w:r w:rsidR="008212DD" w:rsidRPr="0057020E">
        <w:rPr>
          <w:rFonts w:ascii="Arial" w:hAnsi="Arial" w:cs="Arial"/>
        </w:rPr>
        <w:t xml:space="preserve">exercising discriminatory practices. </w:t>
      </w:r>
      <w:r w:rsidR="001A5F4C" w:rsidRPr="0057020E">
        <w:rPr>
          <w:rFonts w:ascii="Arial" w:hAnsi="Arial" w:cs="Arial"/>
        </w:rPr>
        <w:t xml:space="preserve">However, as the post-pandemic world is attempting to be accustomed to the new normal, </w:t>
      </w:r>
      <w:r w:rsidR="00523E7C" w:rsidRPr="0057020E">
        <w:rPr>
          <w:rFonts w:ascii="Arial" w:hAnsi="Arial" w:cs="Arial"/>
        </w:rPr>
        <w:t xml:space="preserve">WFH can be the sole form of working in the public sector. In this context, it must be noted that trust is a </w:t>
      </w:r>
      <w:r w:rsidR="00523E7C" w:rsidRPr="0057020E">
        <w:rPr>
          <w:rFonts w:ascii="Arial" w:hAnsi="Arial" w:cs="Arial"/>
        </w:rPr>
        <w:lastRenderedPageBreak/>
        <w:t xml:space="preserve">managerial concern, as noted in </w:t>
      </w:r>
      <w:r w:rsidR="0030667B" w:rsidRPr="0057020E">
        <w:rPr>
          <w:rFonts w:ascii="Arial" w:hAnsi="Arial" w:cs="Arial"/>
        </w:rPr>
        <w:t xml:space="preserve">Williamson </w:t>
      </w:r>
      <w:r w:rsidR="0030667B" w:rsidRPr="0057020E">
        <w:rPr>
          <w:rFonts w:ascii="Arial" w:hAnsi="Arial" w:cs="Arial"/>
          <w:i/>
        </w:rPr>
        <w:t>et al</w:t>
      </w:r>
      <w:r w:rsidR="0030667B" w:rsidRPr="0057020E">
        <w:rPr>
          <w:rFonts w:ascii="Arial" w:hAnsi="Arial" w:cs="Arial"/>
        </w:rPr>
        <w:t xml:space="preserve">. </w:t>
      </w:r>
      <w:r w:rsidR="00523E7C" w:rsidRPr="0057020E">
        <w:rPr>
          <w:rFonts w:ascii="Arial" w:hAnsi="Arial" w:cs="Arial"/>
        </w:rPr>
        <w:t>(</w:t>
      </w:r>
      <w:r w:rsidR="0030667B" w:rsidRPr="0057020E">
        <w:rPr>
          <w:rFonts w:ascii="Arial" w:hAnsi="Arial" w:cs="Arial"/>
        </w:rPr>
        <w:t>2020</w:t>
      </w:r>
      <w:r w:rsidR="00523E7C" w:rsidRPr="0057020E">
        <w:rPr>
          <w:rFonts w:ascii="Arial" w:hAnsi="Arial" w:cs="Arial"/>
        </w:rPr>
        <w:t>), and, hence, WFH can</w:t>
      </w:r>
      <w:r w:rsidR="008F23F2" w:rsidRPr="0057020E">
        <w:rPr>
          <w:rFonts w:ascii="Arial" w:hAnsi="Arial" w:cs="Arial"/>
        </w:rPr>
        <w:t xml:space="preserve"> encourage unsupportive work cultures and attitudes, especially due to the lack of direct monitoring. </w:t>
      </w:r>
    </w:p>
    <w:p w14:paraId="66EEBF3A" w14:textId="70936CCA" w:rsidR="00AE2FE0" w:rsidRPr="0057020E" w:rsidRDefault="0030667B" w:rsidP="0057020E">
      <w:pPr>
        <w:spacing w:line="360" w:lineRule="auto"/>
        <w:jc w:val="both"/>
        <w:rPr>
          <w:rFonts w:ascii="Arial" w:hAnsi="Arial" w:cs="Arial"/>
        </w:rPr>
      </w:pPr>
      <w:r w:rsidRPr="0057020E">
        <w:rPr>
          <w:rFonts w:ascii="Arial" w:hAnsi="Arial" w:cs="Arial"/>
        </w:rPr>
        <w:t xml:space="preserve">Furthermore, remote working as an integral part of flexible working can promote inequality in terms of the digital divide. Not only in developing countries but in a country like Scotland where, although the digital divide is shrinking due to increased digital adoption, </w:t>
      </w:r>
      <w:r w:rsidR="00896CC6" w:rsidRPr="0057020E">
        <w:rPr>
          <w:rFonts w:ascii="Arial" w:hAnsi="Arial" w:cs="Arial"/>
        </w:rPr>
        <w:t xml:space="preserve">the enforcement of the FWA framework can reveal embedded inequalities in the system (Wilson and Hopkins, 2019). </w:t>
      </w:r>
      <w:r w:rsidR="007C67AD" w:rsidRPr="0057020E">
        <w:rPr>
          <w:rFonts w:ascii="Arial" w:hAnsi="Arial" w:cs="Arial"/>
        </w:rPr>
        <w:t xml:space="preserve">In summary, FWAs can cause inequality from the perspective of widening the gender wage gap, enabling unsupportive surveillance, and </w:t>
      </w:r>
      <w:r w:rsidR="003B3912" w:rsidRPr="0057020E">
        <w:rPr>
          <w:rFonts w:ascii="Arial" w:hAnsi="Arial" w:cs="Arial"/>
        </w:rPr>
        <w:t xml:space="preserve">through the existing digital divide. </w:t>
      </w:r>
    </w:p>
    <w:p w14:paraId="44701CD1" w14:textId="77777777" w:rsidR="0057020E" w:rsidRPr="0057020E" w:rsidRDefault="0057020E" w:rsidP="0057020E">
      <w:pPr>
        <w:spacing w:line="360" w:lineRule="auto"/>
        <w:jc w:val="both"/>
        <w:rPr>
          <w:rFonts w:ascii="Arial" w:eastAsiaTheme="majorEastAsia" w:hAnsi="Arial" w:cs="Arial"/>
          <w:b/>
          <w:bCs/>
          <w:color w:val="000000" w:themeColor="text1"/>
        </w:rPr>
      </w:pPr>
      <w:bookmarkStart w:id="5" w:name="_Toc99756556"/>
      <w:r w:rsidRPr="0057020E">
        <w:rPr>
          <w:rFonts w:ascii="Arial" w:hAnsi="Arial" w:cs="Arial"/>
        </w:rPr>
        <w:br w:type="page"/>
      </w:r>
    </w:p>
    <w:p w14:paraId="702B0895" w14:textId="3022DC74" w:rsidR="00573F05" w:rsidRPr="0057020E" w:rsidRDefault="004301C1" w:rsidP="0057020E">
      <w:pPr>
        <w:pStyle w:val="Heading1"/>
        <w:spacing w:after="200" w:line="360" w:lineRule="auto"/>
        <w:jc w:val="both"/>
        <w:rPr>
          <w:rFonts w:ascii="Arial" w:hAnsi="Arial" w:cs="Arial"/>
          <w:sz w:val="22"/>
          <w:szCs w:val="22"/>
        </w:rPr>
      </w:pPr>
      <w:r w:rsidRPr="0057020E">
        <w:rPr>
          <w:rFonts w:ascii="Arial" w:hAnsi="Arial" w:cs="Arial"/>
          <w:sz w:val="22"/>
          <w:szCs w:val="22"/>
        </w:rPr>
        <w:lastRenderedPageBreak/>
        <w:t>Role of human resources in addressing inequality</w:t>
      </w:r>
      <w:bookmarkEnd w:id="5"/>
    </w:p>
    <w:p w14:paraId="6BB19E3D" w14:textId="77777777" w:rsidR="0057020E" w:rsidRPr="0057020E" w:rsidRDefault="004301C1" w:rsidP="0057020E">
      <w:pPr>
        <w:spacing w:line="360" w:lineRule="auto"/>
        <w:jc w:val="both"/>
        <w:rPr>
          <w:rFonts w:ascii="Arial" w:hAnsi="Arial" w:cs="Arial"/>
        </w:rPr>
      </w:pPr>
      <w:r w:rsidRPr="0057020E">
        <w:rPr>
          <w:rFonts w:ascii="Arial" w:hAnsi="Arial" w:cs="Arial"/>
        </w:rPr>
        <w:t xml:space="preserve">Since flexible working can either eradicate or consolidate GPG, </w:t>
      </w:r>
      <w:r w:rsidR="000A1085" w:rsidRPr="0057020E">
        <w:rPr>
          <w:rFonts w:ascii="Arial" w:hAnsi="Arial" w:cs="Arial"/>
        </w:rPr>
        <w:t xml:space="preserve">HR needs to uphold systems that can circumvent the possibility of widening the disparities in pay. </w:t>
      </w:r>
      <w:r w:rsidR="00015516" w:rsidRPr="0057020E">
        <w:rPr>
          <w:rFonts w:ascii="Arial" w:hAnsi="Arial" w:cs="Arial"/>
        </w:rPr>
        <w:t xml:space="preserve">According to </w:t>
      </w:r>
      <w:r w:rsidR="00EF3BE5" w:rsidRPr="0057020E">
        <w:rPr>
          <w:rFonts w:ascii="Arial" w:hAnsi="Arial" w:cs="Arial"/>
        </w:rPr>
        <w:t xml:space="preserve">Armstrong and Taylor </w:t>
      </w:r>
      <w:r w:rsidR="00015516" w:rsidRPr="0057020E">
        <w:rPr>
          <w:rFonts w:ascii="Arial" w:hAnsi="Arial" w:cs="Arial"/>
        </w:rPr>
        <w:t>(</w:t>
      </w:r>
      <w:r w:rsidR="00EF3BE5" w:rsidRPr="0057020E">
        <w:rPr>
          <w:rFonts w:ascii="Arial" w:hAnsi="Arial" w:cs="Arial"/>
        </w:rPr>
        <w:t>2020</w:t>
      </w:r>
      <w:r w:rsidR="00015516" w:rsidRPr="0057020E">
        <w:rPr>
          <w:rFonts w:ascii="Arial" w:hAnsi="Arial" w:cs="Arial"/>
        </w:rPr>
        <w:t xml:space="preserve">), existing inequality in workplaces is a matter of social and economic arrangement (as this report also highlights) </w:t>
      </w:r>
      <w:r w:rsidR="00EF3BE5" w:rsidRPr="0057020E">
        <w:rPr>
          <w:rFonts w:ascii="Arial" w:hAnsi="Arial" w:cs="Arial"/>
        </w:rPr>
        <w:t xml:space="preserve">where it is expected from the perspective that it is advantageous for everyone irrespective of positions and offices. </w:t>
      </w:r>
      <w:r w:rsidR="000D4627" w:rsidRPr="0057020E">
        <w:rPr>
          <w:rFonts w:ascii="Arial" w:hAnsi="Arial" w:cs="Arial"/>
        </w:rPr>
        <w:t xml:space="preserve">In this regard, the primary role that HR can play is to set up a system where men and women are treated equally irrespective of designations or nature of jobs. In other words, following the argument of </w:t>
      </w:r>
      <w:r w:rsidR="00514363" w:rsidRPr="0057020E">
        <w:rPr>
          <w:rFonts w:ascii="Arial" w:hAnsi="Arial" w:cs="Arial"/>
        </w:rPr>
        <w:t xml:space="preserve">Armstrong and Taylor (2020), </w:t>
      </w:r>
      <w:r w:rsidR="00EC14CB" w:rsidRPr="0057020E">
        <w:rPr>
          <w:rFonts w:ascii="Arial" w:hAnsi="Arial" w:cs="Arial"/>
        </w:rPr>
        <w:t>the concept of GP</w:t>
      </w:r>
      <w:r w:rsidR="00514363" w:rsidRPr="0057020E">
        <w:rPr>
          <w:rFonts w:ascii="Arial" w:hAnsi="Arial" w:cs="Arial"/>
        </w:rPr>
        <w:t xml:space="preserve">G has to be placed </w:t>
      </w:r>
      <w:r w:rsidR="00EC14CB" w:rsidRPr="0057020E">
        <w:rPr>
          <w:rFonts w:ascii="Arial" w:hAnsi="Arial" w:cs="Arial"/>
        </w:rPr>
        <w:t>in an economic and social arrangement</w:t>
      </w:r>
      <w:r w:rsidR="00514363" w:rsidRPr="0057020E">
        <w:rPr>
          <w:rFonts w:ascii="Arial" w:hAnsi="Arial" w:cs="Arial"/>
        </w:rPr>
        <w:t xml:space="preserve"> where it can gain acceptance by being beneficial to everyone irrespective of positions </w:t>
      </w:r>
      <w:r w:rsidR="00EC14CB" w:rsidRPr="0057020E">
        <w:rPr>
          <w:rFonts w:ascii="Arial" w:hAnsi="Arial" w:cs="Arial"/>
        </w:rPr>
        <w:t xml:space="preserve">and offices. </w:t>
      </w:r>
    </w:p>
    <w:p w14:paraId="3DF52747" w14:textId="55F6FB9B" w:rsidR="00250DE0" w:rsidRPr="0057020E" w:rsidRDefault="00EC14CB" w:rsidP="0057020E">
      <w:pPr>
        <w:spacing w:line="360" w:lineRule="auto"/>
        <w:jc w:val="both"/>
        <w:rPr>
          <w:rFonts w:ascii="Arial" w:hAnsi="Arial" w:cs="Arial"/>
        </w:rPr>
      </w:pPr>
      <w:r w:rsidRPr="0057020E">
        <w:rPr>
          <w:rFonts w:ascii="Arial" w:hAnsi="Arial" w:cs="Arial"/>
        </w:rPr>
        <w:t xml:space="preserve">From a practical perspective, HR must develop a system </w:t>
      </w:r>
      <w:r w:rsidR="00597B2B" w:rsidRPr="0057020E">
        <w:rPr>
          <w:rFonts w:ascii="Arial" w:hAnsi="Arial" w:cs="Arial"/>
        </w:rPr>
        <w:t xml:space="preserve">where equal pay for everyone can be beneficial to all. </w:t>
      </w:r>
      <w:r w:rsidR="009F23FB" w:rsidRPr="0057020E">
        <w:rPr>
          <w:rFonts w:ascii="Arial" w:hAnsi="Arial" w:cs="Arial"/>
        </w:rPr>
        <w:t xml:space="preserve">Apart from prioritising work-life balance in practice, HR must work on developing a skills-based assessment system </w:t>
      </w:r>
      <w:r w:rsidR="00805523" w:rsidRPr="0057020E">
        <w:rPr>
          <w:rFonts w:ascii="Arial" w:hAnsi="Arial" w:cs="Arial"/>
        </w:rPr>
        <w:t xml:space="preserve">through which everybody can be judged in equal measures. </w:t>
      </w:r>
      <w:r w:rsidR="005D384B" w:rsidRPr="0057020E">
        <w:rPr>
          <w:rFonts w:ascii="Arial" w:hAnsi="Arial" w:cs="Arial"/>
        </w:rPr>
        <w:t xml:space="preserve">As </w:t>
      </w:r>
      <w:r w:rsidR="002C739B" w:rsidRPr="0057020E">
        <w:rPr>
          <w:rFonts w:ascii="Arial" w:hAnsi="Arial" w:cs="Arial"/>
        </w:rPr>
        <w:t xml:space="preserve">Vasquez </w:t>
      </w:r>
      <w:r w:rsidR="002C739B" w:rsidRPr="0057020E">
        <w:rPr>
          <w:rFonts w:ascii="Arial" w:hAnsi="Arial" w:cs="Arial"/>
          <w:i/>
        </w:rPr>
        <w:t>et al</w:t>
      </w:r>
      <w:r w:rsidR="002C739B" w:rsidRPr="0057020E">
        <w:rPr>
          <w:rFonts w:ascii="Arial" w:hAnsi="Arial" w:cs="Arial"/>
        </w:rPr>
        <w:t xml:space="preserve">. </w:t>
      </w:r>
      <w:r w:rsidR="005D384B" w:rsidRPr="0057020E">
        <w:rPr>
          <w:rFonts w:ascii="Arial" w:hAnsi="Arial" w:cs="Arial"/>
        </w:rPr>
        <w:t>(</w:t>
      </w:r>
      <w:r w:rsidR="002C739B" w:rsidRPr="0057020E">
        <w:rPr>
          <w:rFonts w:ascii="Arial" w:hAnsi="Arial" w:cs="Arial"/>
        </w:rPr>
        <w:t>2021</w:t>
      </w:r>
      <w:r w:rsidR="005D384B" w:rsidRPr="0057020E">
        <w:rPr>
          <w:rFonts w:ascii="Arial" w:hAnsi="Arial" w:cs="Arial"/>
        </w:rPr>
        <w:t>) have shown in the context of graduate medical education, skills-based assessment can reduce the possibilit</w:t>
      </w:r>
      <w:r w:rsidR="002C739B" w:rsidRPr="0057020E">
        <w:rPr>
          <w:rFonts w:ascii="Arial" w:hAnsi="Arial" w:cs="Arial"/>
        </w:rPr>
        <w:t xml:space="preserve">y of burnout, which shows that the respective organisation </w:t>
      </w:r>
      <w:r w:rsidR="0057020E" w:rsidRPr="0057020E">
        <w:rPr>
          <w:rFonts w:ascii="Arial" w:hAnsi="Arial" w:cs="Arial"/>
        </w:rPr>
        <w:t>prioritises</w:t>
      </w:r>
      <w:r w:rsidR="002C739B" w:rsidRPr="0057020E">
        <w:rPr>
          <w:rFonts w:ascii="Arial" w:hAnsi="Arial" w:cs="Arial"/>
        </w:rPr>
        <w:t xml:space="preserve"> work-life balance. </w:t>
      </w:r>
      <w:r w:rsidR="00E35B9C" w:rsidRPr="0057020E">
        <w:rPr>
          <w:rFonts w:ascii="Arial" w:hAnsi="Arial" w:cs="Arial"/>
        </w:rPr>
        <w:t xml:space="preserve">The corresponding social arrangement can be realised by what </w:t>
      </w:r>
      <w:r w:rsidR="001E1ED5" w:rsidRPr="0057020E">
        <w:rPr>
          <w:rFonts w:ascii="Arial" w:hAnsi="Arial" w:cs="Arial"/>
        </w:rPr>
        <w:t xml:space="preserve">Percy </w:t>
      </w:r>
      <w:r w:rsidR="00E35B9C" w:rsidRPr="0057020E">
        <w:rPr>
          <w:rFonts w:ascii="Arial" w:hAnsi="Arial" w:cs="Arial"/>
        </w:rPr>
        <w:t>(</w:t>
      </w:r>
      <w:r w:rsidR="001E1ED5" w:rsidRPr="0057020E">
        <w:rPr>
          <w:rFonts w:ascii="Arial" w:hAnsi="Arial" w:cs="Arial"/>
        </w:rPr>
        <w:t>2021</w:t>
      </w:r>
      <w:r w:rsidR="00E35B9C" w:rsidRPr="0057020E">
        <w:rPr>
          <w:rFonts w:ascii="Arial" w:hAnsi="Arial" w:cs="Arial"/>
        </w:rPr>
        <w:t xml:space="preserve">) termed as discouraging “mother’s guilt”. As noted earlier, the promotion of DEI in a workplace is primarily a matter of developing a supportive workplace environment. If a working mother is </w:t>
      </w:r>
      <w:r w:rsidR="00F334DC" w:rsidRPr="0057020E">
        <w:rPr>
          <w:rFonts w:ascii="Arial" w:hAnsi="Arial" w:cs="Arial"/>
        </w:rPr>
        <w:t xml:space="preserve">refused any support in </w:t>
      </w:r>
      <w:r w:rsidR="0057020E" w:rsidRPr="0057020E">
        <w:rPr>
          <w:rFonts w:ascii="Arial" w:hAnsi="Arial" w:cs="Arial"/>
        </w:rPr>
        <w:t>re-joining</w:t>
      </w:r>
      <w:r w:rsidR="00F334DC" w:rsidRPr="0057020E">
        <w:rPr>
          <w:rFonts w:ascii="Arial" w:hAnsi="Arial" w:cs="Arial"/>
        </w:rPr>
        <w:t xml:space="preserve"> a workplace after maternity leave, it is impossible to promote DEI in the workplace.  </w:t>
      </w:r>
    </w:p>
    <w:p w14:paraId="493D95B6" w14:textId="77777777" w:rsidR="0057020E" w:rsidRPr="0057020E" w:rsidRDefault="004301C1" w:rsidP="0057020E">
      <w:pPr>
        <w:spacing w:line="360" w:lineRule="auto"/>
        <w:jc w:val="both"/>
        <w:rPr>
          <w:rFonts w:ascii="Arial" w:hAnsi="Arial" w:cs="Arial"/>
        </w:rPr>
      </w:pPr>
      <w:r w:rsidRPr="0057020E">
        <w:rPr>
          <w:rFonts w:ascii="Arial" w:hAnsi="Arial" w:cs="Arial"/>
        </w:rPr>
        <w:t xml:space="preserve">It is evident from the analysis of this report that </w:t>
      </w:r>
      <w:r w:rsidR="009A4990" w:rsidRPr="0057020E">
        <w:rPr>
          <w:rFonts w:ascii="Arial" w:hAnsi="Arial" w:cs="Arial"/>
        </w:rPr>
        <w:t xml:space="preserve">unsupportive surveillance as a means that sustains inequality in a flexible workplace is </w:t>
      </w:r>
      <w:r w:rsidR="003C5CE5" w:rsidRPr="0057020E">
        <w:rPr>
          <w:rFonts w:ascii="Arial" w:hAnsi="Arial" w:cs="Arial"/>
        </w:rPr>
        <w:t>a function of trust issues, which managers</w:t>
      </w:r>
      <w:r w:rsidR="009A4990" w:rsidRPr="0057020E">
        <w:rPr>
          <w:rFonts w:ascii="Arial" w:hAnsi="Arial" w:cs="Arial"/>
        </w:rPr>
        <w:t xml:space="preserve"> face regarding a particular set of employees. </w:t>
      </w:r>
      <w:r w:rsidR="003C5CE5" w:rsidRPr="0057020E">
        <w:rPr>
          <w:rFonts w:ascii="Arial" w:hAnsi="Arial" w:cs="Arial"/>
        </w:rPr>
        <w:t xml:space="preserve">Trust, according to </w:t>
      </w:r>
      <w:r w:rsidR="00FA38E7" w:rsidRPr="0057020E">
        <w:rPr>
          <w:rFonts w:ascii="Arial" w:hAnsi="Arial" w:cs="Arial"/>
        </w:rPr>
        <w:t xml:space="preserve">Torrington </w:t>
      </w:r>
      <w:r w:rsidR="003C5CE5" w:rsidRPr="0057020E">
        <w:rPr>
          <w:rFonts w:ascii="Arial" w:hAnsi="Arial" w:cs="Arial"/>
        </w:rPr>
        <w:t>(</w:t>
      </w:r>
      <w:r w:rsidR="00FA38E7" w:rsidRPr="0057020E">
        <w:rPr>
          <w:rFonts w:ascii="Arial" w:hAnsi="Arial" w:cs="Arial"/>
        </w:rPr>
        <w:t>2014</w:t>
      </w:r>
      <w:r w:rsidR="003C5CE5" w:rsidRPr="0057020E">
        <w:rPr>
          <w:rFonts w:ascii="Arial" w:hAnsi="Arial" w:cs="Arial"/>
        </w:rPr>
        <w:t xml:space="preserve">), is primarily a belief that both the employer and the employee enter into </w:t>
      </w:r>
      <w:r w:rsidR="0056345F" w:rsidRPr="0057020E">
        <w:rPr>
          <w:rFonts w:ascii="Arial" w:hAnsi="Arial" w:cs="Arial"/>
        </w:rPr>
        <w:t xml:space="preserve">about the actions will be beneficial or not harm each other in the foreseeable future. </w:t>
      </w:r>
      <w:r w:rsidR="000E3202" w:rsidRPr="0057020E">
        <w:rPr>
          <w:rFonts w:ascii="Arial" w:hAnsi="Arial" w:cs="Arial"/>
        </w:rPr>
        <w:t xml:space="preserve">However, trust is also associated with an employer’s obligation in terms of developing an inclusive </w:t>
      </w:r>
      <w:r w:rsidR="00787ADE" w:rsidRPr="0057020E">
        <w:rPr>
          <w:rFonts w:ascii="Arial" w:hAnsi="Arial" w:cs="Arial"/>
        </w:rPr>
        <w:t>and safe workplace environment (</w:t>
      </w:r>
      <w:r w:rsidR="00FA38E7" w:rsidRPr="0057020E">
        <w:rPr>
          <w:rFonts w:ascii="Arial" w:hAnsi="Arial" w:cs="Arial"/>
        </w:rPr>
        <w:t>Torrington, 2014</w:t>
      </w:r>
      <w:r w:rsidR="00787ADE" w:rsidRPr="0057020E">
        <w:rPr>
          <w:rFonts w:ascii="Arial" w:hAnsi="Arial" w:cs="Arial"/>
        </w:rPr>
        <w:t xml:space="preserve">). </w:t>
      </w:r>
    </w:p>
    <w:p w14:paraId="00F09F0C" w14:textId="18106D4B" w:rsidR="00250DE0" w:rsidRPr="0057020E" w:rsidRDefault="00787ADE" w:rsidP="0057020E">
      <w:pPr>
        <w:spacing w:line="360" w:lineRule="auto"/>
        <w:jc w:val="both"/>
        <w:rPr>
          <w:rFonts w:ascii="Arial" w:hAnsi="Arial" w:cs="Arial"/>
        </w:rPr>
      </w:pPr>
      <w:r w:rsidRPr="0057020E">
        <w:rPr>
          <w:rFonts w:ascii="Arial" w:hAnsi="Arial" w:cs="Arial"/>
        </w:rPr>
        <w:t xml:space="preserve">Here, to eradicate the ill effects of unsupportive surveillance, HR must train their managers to enable equal treatment of every employee. If the conduct of an employee is causing the necessary trustworthy relationship to collapse, it can be settled in a productive manner, which will also be included in the design of the training. </w:t>
      </w:r>
      <w:r w:rsidR="00FA38E7" w:rsidRPr="0057020E">
        <w:rPr>
          <w:rFonts w:ascii="Arial" w:hAnsi="Arial" w:cs="Arial"/>
        </w:rPr>
        <w:t xml:space="preserve">Nevertheless, the digital divide is an issue that can cause inequality in the </w:t>
      </w:r>
      <w:r w:rsidR="00477DF4" w:rsidRPr="0057020E">
        <w:rPr>
          <w:rFonts w:ascii="Arial" w:hAnsi="Arial" w:cs="Arial"/>
        </w:rPr>
        <w:t>workplace;</w:t>
      </w:r>
      <w:r w:rsidR="00FA38E7" w:rsidRPr="0057020E">
        <w:rPr>
          <w:rFonts w:ascii="Arial" w:hAnsi="Arial" w:cs="Arial"/>
        </w:rPr>
        <w:t xml:space="preserve"> it is hardly a problem in the context </w:t>
      </w:r>
      <w:r w:rsidR="00477DF4" w:rsidRPr="0057020E">
        <w:rPr>
          <w:rFonts w:ascii="Arial" w:hAnsi="Arial" w:cs="Arial"/>
        </w:rPr>
        <w:t xml:space="preserve">of the UK, which is highly developed and sound in technological skills. With the advent of the gig economy, however, which is mostly platform-based, it is difficult to maintain equal treatment </w:t>
      </w:r>
      <w:r w:rsidR="00477DF4" w:rsidRPr="0057020E">
        <w:rPr>
          <w:rFonts w:ascii="Arial" w:hAnsi="Arial" w:cs="Arial"/>
        </w:rPr>
        <w:lastRenderedPageBreak/>
        <w:t xml:space="preserve">of every worker since, primarily, the concept of a conventional workplace is disappeared. </w:t>
      </w:r>
      <w:r w:rsidR="00B327C0" w:rsidRPr="0057020E">
        <w:rPr>
          <w:rFonts w:ascii="Arial" w:hAnsi="Arial" w:cs="Arial"/>
        </w:rPr>
        <w:t xml:space="preserve">In this context, HR can establish a virtual monitoring system where it can effectively communicate the grievances and suggestions of the employees to the management. </w:t>
      </w:r>
    </w:p>
    <w:p w14:paraId="0FDC72A3" w14:textId="77777777" w:rsidR="0057020E" w:rsidRPr="0057020E" w:rsidRDefault="0057020E" w:rsidP="0057020E">
      <w:pPr>
        <w:spacing w:line="360" w:lineRule="auto"/>
        <w:jc w:val="both"/>
        <w:rPr>
          <w:rFonts w:ascii="Arial" w:eastAsiaTheme="majorEastAsia" w:hAnsi="Arial" w:cs="Arial"/>
          <w:b/>
          <w:bCs/>
          <w:color w:val="000000" w:themeColor="text1"/>
        </w:rPr>
      </w:pPr>
      <w:bookmarkStart w:id="6" w:name="_Toc99756557"/>
      <w:r w:rsidRPr="0057020E">
        <w:rPr>
          <w:rFonts w:ascii="Arial" w:hAnsi="Arial" w:cs="Arial"/>
        </w:rPr>
        <w:br w:type="page"/>
      </w:r>
    </w:p>
    <w:p w14:paraId="2A123114" w14:textId="5AA53B2F" w:rsidR="00B359C5" w:rsidRPr="0057020E" w:rsidRDefault="004301C1" w:rsidP="0057020E">
      <w:pPr>
        <w:pStyle w:val="Heading1"/>
        <w:spacing w:after="200" w:line="360" w:lineRule="auto"/>
        <w:jc w:val="both"/>
        <w:rPr>
          <w:rFonts w:ascii="Arial" w:hAnsi="Arial" w:cs="Arial"/>
          <w:sz w:val="22"/>
          <w:szCs w:val="22"/>
        </w:rPr>
      </w:pPr>
      <w:r w:rsidRPr="0057020E">
        <w:rPr>
          <w:rFonts w:ascii="Arial" w:hAnsi="Arial" w:cs="Arial"/>
          <w:sz w:val="22"/>
          <w:szCs w:val="22"/>
        </w:rPr>
        <w:lastRenderedPageBreak/>
        <w:t>Conclusion</w:t>
      </w:r>
      <w:bookmarkEnd w:id="6"/>
    </w:p>
    <w:p w14:paraId="16F19C11" w14:textId="77777777" w:rsidR="006B50B9" w:rsidRPr="0057020E" w:rsidRDefault="004301C1" w:rsidP="0057020E">
      <w:pPr>
        <w:spacing w:line="360" w:lineRule="auto"/>
        <w:jc w:val="both"/>
        <w:rPr>
          <w:rFonts w:ascii="Arial" w:hAnsi="Arial" w:cs="Arial"/>
        </w:rPr>
      </w:pPr>
      <w:r w:rsidRPr="0057020E">
        <w:rPr>
          <w:rFonts w:ascii="Arial" w:hAnsi="Arial" w:cs="Arial"/>
        </w:rPr>
        <w:t>Exploring how flexible working can promote DEI in the workplace, it is evident from this report that the primary role it can play is to make the gender pay disparity shrink. However, as this report notes, this must be supported with social and economic arrangements</w:t>
      </w:r>
      <w:r w:rsidR="00B53D28" w:rsidRPr="0057020E">
        <w:rPr>
          <w:rFonts w:ascii="Arial" w:hAnsi="Arial" w:cs="Arial"/>
        </w:rPr>
        <w:t xml:space="preserve"> where the commitment to DEI will appear beneficial to everyone. Given the potential of FWAs to widen the GPG, this report primarily assigns HR the role of developing a skills-based assessment matrix. </w:t>
      </w:r>
      <w:r w:rsidR="00D549E5" w:rsidRPr="0057020E">
        <w:rPr>
          <w:rFonts w:ascii="Arial" w:hAnsi="Arial" w:cs="Arial"/>
        </w:rPr>
        <w:t>Moreover, role reversals based on genders can be an ideal social arrangement to overcome systemic injustice in the workplace.</w:t>
      </w:r>
    </w:p>
    <w:p w14:paraId="4DFD0850" w14:textId="77777777" w:rsidR="006B50B9" w:rsidRPr="0057020E" w:rsidRDefault="004301C1" w:rsidP="0057020E">
      <w:pPr>
        <w:spacing w:line="360" w:lineRule="auto"/>
        <w:jc w:val="both"/>
        <w:rPr>
          <w:rFonts w:ascii="Arial" w:hAnsi="Arial" w:cs="Arial"/>
        </w:rPr>
      </w:pPr>
      <w:r w:rsidRPr="0057020E">
        <w:rPr>
          <w:rFonts w:ascii="Arial" w:hAnsi="Arial" w:cs="Arial"/>
        </w:rPr>
        <w:br w:type="page"/>
      </w:r>
    </w:p>
    <w:p w14:paraId="7F34B5DE" w14:textId="77777777" w:rsidR="006B50B9" w:rsidRPr="0057020E" w:rsidRDefault="004301C1" w:rsidP="0057020E">
      <w:pPr>
        <w:pStyle w:val="Heading1"/>
        <w:spacing w:after="200" w:line="360" w:lineRule="auto"/>
        <w:jc w:val="both"/>
        <w:rPr>
          <w:rFonts w:ascii="Arial" w:hAnsi="Arial" w:cs="Arial"/>
          <w:sz w:val="22"/>
          <w:szCs w:val="22"/>
        </w:rPr>
      </w:pPr>
      <w:bookmarkStart w:id="7" w:name="_Toc99756558"/>
      <w:r w:rsidRPr="0057020E">
        <w:rPr>
          <w:rFonts w:ascii="Arial" w:hAnsi="Arial" w:cs="Arial"/>
          <w:sz w:val="22"/>
          <w:szCs w:val="22"/>
        </w:rPr>
        <w:lastRenderedPageBreak/>
        <w:t>Reference List</w:t>
      </w:r>
      <w:bookmarkEnd w:id="7"/>
    </w:p>
    <w:p w14:paraId="24321537" w14:textId="77777777" w:rsidR="006B50B9" w:rsidRPr="0057020E" w:rsidRDefault="004301C1" w:rsidP="0057020E">
      <w:pPr>
        <w:spacing w:line="360" w:lineRule="auto"/>
        <w:jc w:val="both"/>
        <w:rPr>
          <w:rFonts w:ascii="Arial" w:hAnsi="Arial" w:cs="Arial"/>
        </w:rPr>
      </w:pPr>
      <w:r w:rsidRPr="0057020E">
        <w:rPr>
          <w:rFonts w:ascii="Arial" w:hAnsi="Arial" w:cs="Arial"/>
        </w:rPr>
        <w:t>Armstrong, M. and Taylor, S., 2020. </w:t>
      </w:r>
      <w:r w:rsidRPr="0057020E">
        <w:rPr>
          <w:rFonts w:ascii="Arial" w:hAnsi="Arial" w:cs="Arial"/>
          <w:i/>
          <w:iCs/>
        </w:rPr>
        <w:t>Armstrong's handbook of human resource management practice</w:t>
      </w:r>
      <w:r w:rsidRPr="0057020E">
        <w:rPr>
          <w:rFonts w:ascii="Arial" w:hAnsi="Arial" w:cs="Arial"/>
        </w:rPr>
        <w:t xml:space="preserve">. Kogan Page Publishers. </w:t>
      </w:r>
      <w:hyperlink r:id="rId8" w:history="1">
        <w:r w:rsidRPr="0057020E">
          <w:rPr>
            <w:rStyle w:val="Hyperlink"/>
            <w:rFonts w:ascii="Arial" w:hAnsi="Arial" w:cs="Arial"/>
          </w:rPr>
          <w:t>https://books.google.com/books?hl=en&amp;lr=&amp;id=g7zEDwAAQBAJ&amp;oi=fnd&amp;pg=PR3&amp;dq=armstrong%27s+handbook+of+hrm+practice+&amp;ots=wLYomyeAsZ&amp;sig=taiw31ZAM6UUzjIeUPglVXiE8Xs</w:t>
        </w:r>
      </w:hyperlink>
    </w:p>
    <w:p w14:paraId="3064935B" w14:textId="77777777" w:rsidR="006B50B9" w:rsidRPr="0057020E" w:rsidRDefault="004301C1" w:rsidP="0057020E">
      <w:pPr>
        <w:spacing w:line="360" w:lineRule="auto"/>
        <w:jc w:val="both"/>
        <w:rPr>
          <w:rFonts w:ascii="Arial" w:hAnsi="Arial" w:cs="Arial"/>
        </w:rPr>
      </w:pPr>
      <w:r w:rsidRPr="0057020E">
        <w:rPr>
          <w:rFonts w:ascii="Arial" w:hAnsi="Arial" w:cs="Arial"/>
        </w:rPr>
        <w:t>Chung, H. and Van der Horst, M., 2020. Flexible working and unpaid overtime in the UK: The role of gender, parental and occupational status. </w:t>
      </w:r>
      <w:r w:rsidRPr="0057020E">
        <w:rPr>
          <w:rFonts w:ascii="Arial" w:hAnsi="Arial" w:cs="Arial"/>
          <w:i/>
          <w:iCs/>
        </w:rPr>
        <w:t>Social Indicators Research</w:t>
      </w:r>
      <w:r w:rsidRPr="0057020E">
        <w:rPr>
          <w:rFonts w:ascii="Arial" w:hAnsi="Arial" w:cs="Arial"/>
        </w:rPr>
        <w:t>, </w:t>
      </w:r>
      <w:r w:rsidRPr="0057020E">
        <w:rPr>
          <w:rFonts w:ascii="Arial" w:hAnsi="Arial" w:cs="Arial"/>
          <w:i/>
          <w:iCs/>
        </w:rPr>
        <w:t>151</w:t>
      </w:r>
      <w:r w:rsidRPr="0057020E">
        <w:rPr>
          <w:rFonts w:ascii="Arial" w:hAnsi="Arial" w:cs="Arial"/>
        </w:rPr>
        <w:t xml:space="preserve">(2), pp.495-520. </w:t>
      </w:r>
      <w:hyperlink r:id="rId9" w:history="1">
        <w:r w:rsidRPr="0057020E">
          <w:rPr>
            <w:rStyle w:val="Hyperlink"/>
            <w:rFonts w:ascii="Arial" w:hAnsi="Arial" w:cs="Arial"/>
          </w:rPr>
          <w:t>https://link.springer.com/article/10.1007/s11205-018-2036-7</w:t>
        </w:r>
      </w:hyperlink>
    </w:p>
    <w:p w14:paraId="1D75E2A0" w14:textId="77777777" w:rsidR="006B50B9" w:rsidRPr="0057020E" w:rsidRDefault="004301C1" w:rsidP="0057020E">
      <w:pPr>
        <w:spacing w:line="360" w:lineRule="auto"/>
        <w:jc w:val="both"/>
        <w:rPr>
          <w:rFonts w:ascii="Arial" w:hAnsi="Arial" w:cs="Arial"/>
        </w:rPr>
      </w:pPr>
      <w:r w:rsidRPr="0057020E">
        <w:rPr>
          <w:rFonts w:ascii="Arial" w:hAnsi="Arial" w:cs="Arial"/>
        </w:rPr>
        <w:t>Chung, H. and Van der Lippe, T., 2020. Flexible working, work–life balance, and gender equality: Introduction. </w:t>
      </w:r>
      <w:r w:rsidRPr="0057020E">
        <w:rPr>
          <w:rFonts w:ascii="Arial" w:hAnsi="Arial" w:cs="Arial"/>
          <w:i/>
          <w:iCs/>
        </w:rPr>
        <w:t>Social Indicators Research</w:t>
      </w:r>
      <w:r w:rsidRPr="0057020E">
        <w:rPr>
          <w:rFonts w:ascii="Arial" w:hAnsi="Arial" w:cs="Arial"/>
        </w:rPr>
        <w:t>, </w:t>
      </w:r>
      <w:r w:rsidRPr="0057020E">
        <w:rPr>
          <w:rFonts w:ascii="Arial" w:hAnsi="Arial" w:cs="Arial"/>
          <w:i/>
          <w:iCs/>
        </w:rPr>
        <w:t>151</w:t>
      </w:r>
      <w:r w:rsidRPr="0057020E">
        <w:rPr>
          <w:rFonts w:ascii="Arial" w:hAnsi="Arial" w:cs="Arial"/>
        </w:rPr>
        <w:t xml:space="preserve">(2), pp.365-381. </w:t>
      </w:r>
      <w:hyperlink r:id="rId10" w:history="1">
        <w:r w:rsidRPr="0057020E">
          <w:rPr>
            <w:rStyle w:val="Hyperlink"/>
            <w:rFonts w:ascii="Arial" w:hAnsi="Arial" w:cs="Arial"/>
          </w:rPr>
          <w:t>https://journals.sagepub.com/doi/pdf/10.1177/0959680117752829</w:t>
        </w:r>
      </w:hyperlink>
    </w:p>
    <w:p w14:paraId="4E83E26D" w14:textId="77777777" w:rsidR="006B50B9" w:rsidRPr="0057020E" w:rsidRDefault="004301C1" w:rsidP="0057020E">
      <w:pPr>
        <w:spacing w:line="360" w:lineRule="auto"/>
        <w:jc w:val="both"/>
        <w:rPr>
          <w:rFonts w:ascii="Arial" w:hAnsi="Arial" w:cs="Arial"/>
        </w:rPr>
      </w:pPr>
      <w:r w:rsidRPr="0057020E">
        <w:rPr>
          <w:rFonts w:ascii="Arial" w:hAnsi="Arial" w:cs="Arial"/>
        </w:rPr>
        <w:t>Chung, H., 2020. Gender, flexibility stigma and the perceived negative consequences of flexible working in the UK. </w:t>
      </w:r>
      <w:r w:rsidRPr="0057020E">
        <w:rPr>
          <w:rFonts w:ascii="Arial" w:hAnsi="Arial" w:cs="Arial"/>
          <w:i/>
          <w:iCs/>
        </w:rPr>
        <w:t>Social Indicators Research</w:t>
      </w:r>
      <w:r w:rsidRPr="0057020E">
        <w:rPr>
          <w:rFonts w:ascii="Arial" w:hAnsi="Arial" w:cs="Arial"/>
        </w:rPr>
        <w:t>, </w:t>
      </w:r>
      <w:r w:rsidRPr="0057020E">
        <w:rPr>
          <w:rFonts w:ascii="Arial" w:hAnsi="Arial" w:cs="Arial"/>
          <w:i/>
          <w:iCs/>
        </w:rPr>
        <w:t>151</w:t>
      </w:r>
      <w:r w:rsidRPr="0057020E">
        <w:rPr>
          <w:rFonts w:ascii="Arial" w:hAnsi="Arial" w:cs="Arial"/>
        </w:rPr>
        <w:t xml:space="preserve">(2), pp.521-545. </w:t>
      </w:r>
      <w:hyperlink r:id="rId11" w:history="1">
        <w:r w:rsidRPr="0057020E">
          <w:rPr>
            <w:rStyle w:val="Hyperlink"/>
            <w:rFonts w:ascii="Arial" w:hAnsi="Arial" w:cs="Arial"/>
          </w:rPr>
          <w:t>https://link.springer.com/article/10.1007/s11205-018-2036-7</w:t>
        </w:r>
      </w:hyperlink>
    </w:p>
    <w:p w14:paraId="34924252" w14:textId="77777777" w:rsidR="006B50B9" w:rsidRPr="0057020E" w:rsidRDefault="004301C1" w:rsidP="0057020E">
      <w:pPr>
        <w:spacing w:line="360" w:lineRule="auto"/>
        <w:jc w:val="both"/>
        <w:rPr>
          <w:rFonts w:ascii="Arial" w:hAnsi="Arial" w:cs="Arial"/>
        </w:rPr>
      </w:pPr>
      <w:r w:rsidRPr="0057020E">
        <w:rPr>
          <w:rFonts w:ascii="Arial" w:hAnsi="Arial" w:cs="Arial"/>
        </w:rPr>
        <w:t>Costa Dias, M., Joyce, R. and Parodi, F., 2020. The gender pay gap in the UK: children and experience in work. </w:t>
      </w:r>
      <w:r w:rsidRPr="0057020E">
        <w:rPr>
          <w:rFonts w:ascii="Arial" w:hAnsi="Arial" w:cs="Arial"/>
          <w:i/>
          <w:iCs/>
        </w:rPr>
        <w:t>Oxford Review of Economic Policy</w:t>
      </w:r>
      <w:r w:rsidRPr="0057020E">
        <w:rPr>
          <w:rFonts w:ascii="Arial" w:hAnsi="Arial" w:cs="Arial"/>
        </w:rPr>
        <w:t>, </w:t>
      </w:r>
      <w:r w:rsidRPr="0057020E">
        <w:rPr>
          <w:rFonts w:ascii="Arial" w:hAnsi="Arial" w:cs="Arial"/>
          <w:i/>
          <w:iCs/>
        </w:rPr>
        <w:t>36</w:t>
      </w:r>
      <w:r w:rsidRPr="0057020E">
        <w:rPr>
          <w:rFonts w:ascii="Arial" w:hAnsi="Arial" w:cs="Arial"/>
        </w:rPr>
        <w:t xml:space="preserve">(4), pp.855-881. </w:t>
      </w:r>
      <w:hyperlink r:id="rId12" w:history="1">
        <w:r w:rsidRPr="0057020E">
          <w:rPr>
            <w:rStyle w:val="Hyperlink"/>
            <w:rFonts w:ascii="Arial" w:hAnsi="Arial" w:cs="Arial"/>
          </w:rPr>
          <w:t>https://academic.oup.com/oxrep/article/36/4/855/6124298</w:t>
        </w:r>
      </w:hyperlink>
    </w:p>
    <w:p w14:paraId="6A070BA5" w14:textId="77777777" w:rsidR="006B50B9" w:rsidRPr="0057020E" w:rsidRDefault="004301C1" w:rsidP="0057020E">
      <w:pPr>
        <w:spacing w:line="360" w:lineRule="auto"/>
        <w:jc w:val="both"/>
        <w:rPr>
          <w:rFonts w:ascii="Arial" w:hAnsi="Arial" w:cs="Arial"/>
        </w:rPr>
      </w:pPr>
      <w:r w:rsidRPr="0057020E">
        <w:rPr>
          <w:rFonts w:ascii="Arial" w:hAnsi="Arial" w:cs="Arial"/>
        </w:rPr>
        <w:t>Dousin, O., Collins, N., Bartram, T. and Stanton, P., 2021. The relationship between work</w:t>
      </w:r>
      <w:r w:rsidRPr="0057020E">
        <w:rPr>
          <w:rFonts w:ascii="Cambria Math" w:hAnsi="Cambria Math" w:cs="Cambria Math"/>
        </w:rPr>
        <w:t>‐</w:t>
      </w:r>
      <w:r w:rsidRPr="0057020E">
        <w:rPr>
          <w:rFonts w:ascii="Arial" w:hAnsi="Arial" w:cs="Arial"/>
        </w:rPr>
        <w:t>life balance, the need for achievement, and intention to leave: Mixed</w:t>
      </w:r>
      <w:r w:rsidRPr="0057020E">
        <w:rPr>
          <w:rFonts w:ascii="Cambria Math" w:hAnsi="Cambria Math" w:cs="Cambria Math"/>
        </w:rPr>
        <w:t>‐</w:t>
      </w:r>
      <w:r w:rsidRPr="0057020E">
        <w:rPr>
          <w:rFonts w:ascii="Arial" w:hAnsi="Arial" w:cs="Arial"/>
        </w:rPr>
        <w:t>method study. </w:t>
      </w:r>
      <w:r w:rsidRPr="0057020E">
        <w:rPr>
          <w:rFonts w:ascii="Arial" w:hAnsi="Arial" w:cs="Arial"/>
          <w:i/>
          <w:iCs/>
        </w:rPr>
        <w:t>Journal of advanced nursing</w:t>
      </w:r>
      <w:r w:rsidRPr="0057020E">
        <w:rPr>
          <w:rFonts w:ascii="Arial" w:hAnsi="Arial" w:cs="Arial"/>
        </w:rPr>
        <w:t>, </w:t>
      </w:r>
      <w:r w:rsidRPr="0057020E">
        <w:rPr>
          <w:rFonts w:ascii="Arial" w:hAnsi="Arial" w:cs="Arial"/>
          <w:i/>
          <w:iCs/>
        </w:rPr>
        <w:t>77</w:t>
      </w:r>
      <w:r w:rsidRPr="0057020E">
        <w:rPr>
          <w:rFonts w:ascii="Arial" w:hAnsi="Arial" w:cs="Arial"/>
        </w:rPr>
        <w:t xml:space="preserve">(3), pp.1478-1489. </w:t>
      </w:r>
      <w:hyperlink r:id="rId13" w:history="1">
        <w:r w:rsidRPr="0057020E">
          <w:rPr>
            <w:rStyle w:val="Hyperlink"/>
            <w:rFonts w:ascii="Arial" w:hAnsi="Arial" w:cs="Arial"/>
          </w:rPr>
          <w:t>http://mymedr.afpm.org.my/publications/87130</w:t>
        </w:r>
      </w:hyperlink>
    </w:p>
    <w:p w14:paraId="2B569A33" w14:textId="77777777" w:rsidR="006B50B9" w:rsidRPr="0057020E" w:rsidRDefault="004301C1" w:rsidP="0057020E">
      <w:pPr>
        <w:spacing w:line="360" w:lineRule="auto"/>
        <w:jc w:val="both"/>
        <w:rPr>
          <w:rFonts w:ascii="Arial" w:hAnsi="Arial" w:cs="Arial"/>
        </w:rPr>
      </w:pPr>
      <w:r w:rsidRPr="0057020E">
        <w:rPr>
          <w:rFonts w:ascii="Arial" w:hAnsi="Arial" w:cs="Arial"/>
        </w:rPr>
        <w:t>Fuller, S. and Hirsh, C.E., 2019. “Family-friendly” jobs and motherhood pay penalties: The impact of flexible work arrangements across the educational spectrum. </w:t>
      </w:r>
      <w:r w:rsidRPr="0057020E">
        <w:rPr>
          <w:rFonts w:ascii="Arial" w:hAnsi="Arial" w:cs="Arial"/>
          <w:i/>
          <w:iCs/>
        </w:rPr>
        <w:t>Work and Occupations</w:t>
      </w:r>
      <w:r w:rsidRPr="0057020E">
        <w:rPr>
          <w:rFonts w:ascii="Arial" w:hAnsi="Arial" w:cs="Arial"/>
        </w:rPr>
        <w:t>, </w:t>
      </w:r>
      <w:r w:rsidRPr="0057020E">
        <w:rPr>
          <w:rFonts w:ascii="Arial" w:hAnsi="Arial" w:cs="Arial"/>
          <w:i/>
          <w:iCs/>
        </w:rPr>
        <w:t>46</w:t>
      </w:r>
      <w:r w:rsidRPr="0057020E">
        <w:rPr>
          <w:rFonts w:ascii="Arial" w:hAnsi="Arial" w:cs="Arial"/>
        </w:rPr>
        <w:t xml:space="preserve">(1), pp.3-44. </w:t>
      </w:r>
      <w:hyperlink r:id="rId14" w:history="1">
        <w:r w:rsidRPr="0057020E">
          <w:rPr>
            <w:rStyle w:val="Hyperlink"/>
            <w:rFonts w:ascii="Arial" w:hAnsi="Arial" w:cs="Arial"/>
          </w:rPr>
          <w:t>https://journals.sagepub.com/doi/pdf/10.1177/0730888418771116</w:t>
        </w:r>
      </w:hyperlink>
    </w:p>
    <w:p w14:paraId="34666787" w14:textId="77777777" w:rsidR="006B50B9" w:rsidRPr="0057020E" w:rsidRDefault="004301C1" w:rsidP="0057020E">
      <w:pPr>
        <w:spacing w:line="360" w:lineRule="auto"/>
        <w:jc w:val="both"/>
        <w:rPr>
          <w:rFonts w:ascii="Arial" w:hAnsi="Arial" w:cs="Arial"/>
        </w:rPr>
      </w:pPr>
      <w:r w:rsidRPr="0057020E">
        <w:rPr>
          <w:rFonts w:ascii="Arial" w:hAnsi="Arial" w:cs="Arial"/>
        </w:rPr>
        <w:t>Grant, C.A., Wallace, L.M., Spurgeon, P.C., Tramontano, C. and Charalampous, M., 2018. Construction and initial validation of the E-Work Life Scale to measure remote e-working. </w:t>
      </w:r>
      <w:r w:rsidRPr="0057020E">
        <w:rPr>
          <w:rFonts w:ascii="Arial" w:hAnsi="Arial" w:cs="Arial"/>
          <w:i/>
          <w:iCs/>
        </w:rPr>
        <w:t>Employee Relations</w:t>
      </w:r>
      <w:r w:rsidRPr="0057020E">
        <w:rPr>
          <w:rFonts w:ascii="Arial" w:hAnsi="Arial" w:cs="Arial"/>
        </w:rPr>
        <w:t xml:space="preserve">. </w:t>
      </w:r>
      <w:r w:rsidRPr="0057020E">
        <w:rPr>
          <w:rFonts w:ascii="Arial" w:hAnsi="Arial" w:cs="Arial"/>
          <w:i/>
        </w:rPr>
        <w:t>41</w:t>
      </w:r>
      <w:r w:rsidRPr="0057020E">
        <w:rPr>
          <w:rFonts w:ascii="Arial" w:hAnsi="Arial" w:cs="Arial"/>
        </w:rPr>
        <w:t xml:space="preserve">(1), pp.16-33. </w:t>
      </w:r>
      <w:hyperlink r:id="rId15" w:history="1">
        <w:r w:rsidRPr="0057020E">
          <w:rPr>
            <w:rStyle w:val="Hyperlink"/>
            <w:rFonts w:ascii="Arial" w:hAnsi="Arial" w:cs="Arial"/>
          </w:rPr>
          <w:t>https://pureportal.coventry.ac.uk/files/21366788/Binder1.pdf</w:t>
        </w:r>
      </w:hyperlink>
    </w:p>
    <w:p w14:paraId="579E6714" w14:textId="77777777" w:rsidR="006B50B9" w:rsidRPr="0057020E" w:rsidRDefault="004301C1" w:rsidP="0057020E">
      <w:pPr>
        <w:spacing w:line="360" w:lineRule="auto"/>
        <w:jc w:val="both"/>
        <w:rPr>
          <w:rFonts w:ascii="Arial" w:hAnsi="Arial" w:cs="Arial"/>
        </w:rPr>
      </w:pPr>
      <w:r w:rsidRPr="0057020E">
        <w:rPr>
          <w:rFonts w:ascii="Arial" w:hAnsi="Arial" w:cs="Arial"/>
        </w:rPr>
        <w:lastRenderedPageBreak/>
        <w:t xml:space="preserve">HSBC., n.d. Flexible working, diversity &amp; inclusion. </w:t>
      </w:r>
      <w:r w:rsidRPr="0057020E">
        <w:rPr>
          <w:rFonts w:ascii="Arial" w:hAnsi="Arial" w:cs="Arial"/>
          <w:i/>
        </w:rPr>
        <w:t>FlexCareers</w:t>
      </w:r>
      <w:r w:rsidRPr="0057020E">
        <w:rPr>
          <w:rFonts w:ascii="Arial" w:hAnsi="Arial" w:cs="Arial"/>
        </w:rPr>
        <w:t xml:space="preserve">, viewed on 30 March 2022 from </w:t>
      </w:r>
      <w:hyperlink r:id="rId16" w:history="1">
        <w:r w:rsidRPr="0057020E">
          <w:rPr>
            <w:rStyle w:val="Hyperlink"/>
            <w:rFonts w:ascii="Arial" w:hAnsi="Arial" w:cs="Arial"/>
          </w:rPr>
          <w:t>https://www.flexcareers.com.au/employers/hsbc/articles/flexible-working-diversity-inclusion</w:t>
        </w:r>
      </w:hyperlink>
    </w:p>
    <w:p w14:paraId="72E55D94" w14:textId="77777777" w:rsidR="006B50B9" w:rsidRPr="0057020E" w:rsidRDefault="004301C1" w:rsidP="0057020E">
      <w:pPr>
        <w:spacing w:line="360" w:lineRule="auto"/>
        <w:jc w:val="both"/>
        <w:rPr>
          <w:rFonts w:ascii="Arial" w:hAnsi="Arial" w:cs="Arial"/>
        </w:rPr>
      </w:pPr>
      <w:r w:rsidRPr="0057020E">
        <w:rPr>
          <w:rFonts w:ascii="Arial" w:hAnsi="Arial" w:cs="Arial"/>
        </w:rPr>
        <w:t xml:space="preserve">ILO International Labour Organisation., 2019. Understanding the gender pay gap. </w:t>
      </w:r>
      <w:r w:rsidRPr="0057020E">
        <w:rPr>
          <w:rFonts w:ascii="Arial" w:hAnsi="Arial" w:cs="Arial"/>
          <w:i/>
        </w:rPr>
        <w:t>ILO</w:t>
      </w:r>
      <w:r w:rsidRPr="0057020E">
        <w:rPr>
          <w:rFonts w:ascii="Arial" w:hAnsi="Arial" w:cs="Arial"/>
        </w:rPr>
        <w:t xml:space="preserve">, viewed on 30 March 2022 from </w:t>
      </w:r>
      <w:hyperlink r:id="rId17" w:history="1">
        <w:r w:rsidRPr="0057020E">
          <w:rPr>
            <w:rStyle w:val="Hyperlink"/>
            <w:rFonts w:ascii="Arial" w:hAnsi="Arial" w:cs="Arial"/>
          </w:rPr>
          <w:t>https://www.ilo.org/wcmsp5/groups/public/---ed_dialogue/---act_emp/documents/publication/wcms_735949.pdf</w:t>
        </w:r>
      </w:hyperlink>
    </w:p>
    <w:p w14:paraId="6443E582" w14:textId="77777777" w:rsidR="006B50B9" w:rsidRPr="0057020E" w:rsidRDefault="004301C1" w:rsidP="0057020E">
      <w:pPr>
        <w:spacing w:line="360" w:lineRule="auto"/>
        <w:jc w:val="both"/>
        <w:rPr>
          <w:rFonts w:ascii="Arial" w:hAnsi="Arial" w:cs="Arial"/>
        </w:rPr>
      </w:pPr>
      <w:r w:rsidRPr="0057020E">
        <w:rPr>
          <w:rFonts w:ascii="Arial" w:hAnsi="Arial" w:cs="Arial"/>
        </w:rPr>
        <w:t xml:space="preserve">Kemsley, C., 2021. How flexible working is helping to drive diversity agenda in marketing. </w:t>
      </w:r>
      <w:r w:rsidRPr="0057020E">
        <w:rPr>
          <w:rFonts w:ascii="Arial" w:hAnsi="Arial" w:cs="Arial"/>
          <w:i/>
        </w:rPr>
        <w:t>Hays</w:t>
      </w:r>
      <w:r w:rsidRPr="0057020E">
        <w:rPr>
          <w:rFonts w:ascii="Arial" w:hAnsi="Arial" w:cs="Arial"/>
        </w:rPr>
        <w:t xml:space="preserve">, viewed on 30 March 2022 from </w:t>
      </w:r>
      <w:hyperlink r:id="rId18" w:history="1">
        <w:r w:rsidRPr="0057020E">
          <w:rPr>
            <w:rStyle w:val="Hyperlink"/>
            <w:rFonts w:ascii="Arial" w:hAnsi="Arial" w:cs="Arial"/>
          </w:rPr>
          <w:t>https://www.hays.co.uk/blog/insights/flexible-working-marketing-edi</w:t>
        </w:r>
      </w:hyperlink>
    </w:p>
    <w:p w14:paraId="1BC8980D" w14:textId="77777777" w:rsidR="006B50B9" w:rsidRPr="0057020E" w:rsidRDefault="004301C1" w:rsidP="0057020E">
      <w:pPr>
        <w:spacing w:line="360" w:lineRule="auto"/>
        <w:jc w:val="both"/>
        <w:rPr>
          <w:rFonts w:ascii="Arial" w:hAnsi="Arial" w:cs="Arial"/>
        </w:rPr>
      </w:pPr>
      <w:r w:rsidRPr="0057020E">
        <w:rPr>
          <w:rFonts w:ascii="Arial" w:hAnsi="Arial" w:cs="Arial"/>
        </w:rPr>
        <w:t>McCluney, C.L., King, D.D., Bryant, C.M. and Ali, A.A., 2020. From “Calling in Black” to “Calling for Antiracism Resources”: the need for systemic resources to address systemic racism. </w:t>
      </w:r>
      <w:r w:rsidRPr="0057020E">
        <w:rPr>
          <w:rFonts w:ascii="Arial" w:hAnsi="Arial" w:cs="Arial"/>
          <w:i/>
          <w:iCs/>
        </w:rPr>
        <w:t>Equality, Diversity and Inclusion: An International Journal</w:t>
      </w:r>
      <w:r w:rsidRPr="0057020E">
        <w:rPr>
          <w:rFonts w:ascii="Arial" w:hAnsi="Arial" w:cs="Arial"/>
        </w:rPr>
        <w:t xml:space="preserve">, </w:t>
      </w:r>
      <w:r w:rsidRPr="0057020E">
        <w:rPr>
          <w:rFonts w:ascii="Arial" w:hAnsi="Arial" w:cs="Arial"/>
          <w:i/>
        </w:rPr>
        <w:t>40</w:t>
      </w:r>
      <w:r w:rsidRPr="0057020E">
        <w:rPr>
          <w:rFonts w:ascii="Arial" w:hAnsi="Arial" w:cs="Arial"/>
        </w:rPr>
        <w:t xml:space="preserve">(1), PP.49-59. </w:t>
      </w:r>
      <w:hyperlink r:id="rId19" w:history="1">
        <w:r w:rsidRPr="0057020E">
          <w:rPr>
            <w:rStyle w:val="Hyperlink"/>
            <w:rFonts w:ascii="Arial" w:hAnsi="Arial" w:cs="Arial"/>
          </w:rPr>
          <w:t>https://www.icos.umich.edu/sites/default/files/lecturereadinglists/McCluney%20et%20al.%2C%202020_Antiracism%20Resources.pdf</w:t>
        </w:r>
      </w:hyperlink>
    </w:p>
    <w:p w14:paraId="797DECCE" w14:textId="77777777" w:rsidR="006B50B9" w:rsidRPr="0057020E" w:rsidRDefault="004301C1" w:rsidP="0057020E">
      <w:pPr>
        <w:spacing w:line="360" w:lineRule="auto"/>
        <w:jc w:val="both"/>
        <w:rPr>
          <w:rFonts w:ascii="Arial" w:hAnsi="Arial" w:cs="Arial"/>
        </w:rPr>
      </w:pPr>
      <w:r w:rsidRPr="0057020E">
        <w:rPr>
          <w:rFonts w:ascii="Arial" w:hAnsi="Arial" w:cs="Arial"/>
        </w:rPr>
        <w:t xml:space="preserve">Milligan, J., 6 October 2021. How does flexible working affect creativity, diversity and inclusion?. </w:t>
      </w:r>
      <w:r w:rsidRPr="0057020E">
        <w:rPr>
          <w:rFonts w:ascii="Arial" w:hAnsi="Arial" w:cs="Arial"/>
          <w:i/>
        </w:rPr>
        <w:t>Silicon Republic</w:t>
      </w:r>
      <w:r w:rsidRPr="0057020E">
        <w:rPr>
          <w:rFonts w:ascii="Arial" w:hAnsi="Arial" w:cs="Arial"/>
        </w:rPr>
        <w:t xml:space="preserve">, viewed on 30 March 2022 from </w:t>
      </w:r>
      <w:hyperlink r:id="rId20" w:history="1">
        <w:r w:rsidRPr="0057020E">
          <w:rPr>
            <w:rStyle w:val="Hyperlink"/>
            <w:rFonts w:ascii="Arial" w:hAnsi="Arial" w:cs="Arial"/>
          </w:rPr>
          <w:t>https://www.siliconrepublic.com/careers/diversity-and-inclusion-flexible-working</w:t>
        </w:r>
      </w:hyperlink>
    </w:p>
    <w:p w14:paraId="6EF2A2FA" w14:textId="77777777" w:rsidR="006B50B9" w:rsidRPr="0057020E" w:rsidRDefault="004301C1" w:rsidP="0057020E">
      <w:pPr>
        <w:spacing w:line="360" w:lineRule="auto"/>
        <w:jc w:val="both"/>
        <w:rPr>
          <w:rFonts w:ascii="Arial" w:hAnsi="Arial" w:cs="Arial"/>
        </w:rPr>
      </w:pPr>
      <w:r w:rsidRPr="0057020E">
        <w:rPr>
          <w:rFonts w:ascii="Arial" w:hAnsi="Arial" w:cs="Arial"/>
        </w:rPr>
        <w:t xml:space="preserve">Peck, E., 28 March 2016. Amazon has a pay gap it’s not talking about. </w:t>
      </w:r>
      <w:r w:rsidRPr="0057020E">
        <w:rPr>
          <w:rFonts w:ascii="Arial" w:hAnsi="Arial" w:cs="Arial"/>
          <w:i/>
        </w:rPr>
        <w:t>Inc</w:t>
      </w:r>
      <w:r w:rsidRPr="0057020E">
        <w:rPr>
          <w:rFonts w:ascii="Arial" w:hAnsi="Arial" w:cs="Arial"/>
        </w:rPr>
        <w:t xml:space="preserve">., viewed on 30 March 2022 from </w:t>
      </w:r>
      <w:hyperlink r:id="rId21" w:history="1">
        <w:r w:rsidRPr="0057020E">
          <w:rPr>
            <w:rStyle w:val="Hyperlink"/>
            <w:rFonts w:ascii="Arial" w:hAnsi="Arial" w:cs="Arial"/>
          </w:rPr>
          <w:t>https://www.inc.com/huffington-post/big-problem-with-amazon-pay-gap-ratio-of-male-to-female-employees.html</w:t>
        </w:r>
      </w:hyperlink>
    </w:p>
    <w:p w14:paraId="6D6352AB" w14:textId="77777777" w:rsidR="006B50B9" w:rsidRPr="0057020E" w:rsidRDefault="004301C1" w:rsidP="0057020E">
      <w:pPr>
        <w:spacing w:line="360" w:lineRule="auto"/>
        <w:jc w:val="both"/>
        <w:rPr>
          <w:rFonts w:ascii="Arial" w:hAnsi="Arial" w:cs="Arial"/>
        </w:rPr>
      </w:pPr>
      <w:r w:rsidRPr="0057020E">
        <w:rPr>
          <w:rFonts w:ascii="Arial" w:hAnsi="Arial" w:cs="Arial"/>
        </w:rPr>
        <w:t xml:space="preserve">Percy, S., 8 March 2021. Six ways to tackle workplace inequality in 2021. </w:t>
      </w:r>
      <w:r w:rsidRPr="0057020E">
        <w:rPr>
          <w:rFonts w:ascii="Arial" w:hAnsi="Arial" w:cs="Arial"/>
          <w:i/>
        </w:rPr>
        <w:t>Forbes</w:t>
      </w:r>
      <w:r w:rsidRPr="0057020E">
        <w:rPr>
          <w:rFonts w:ascii="Arial" w:hAnsi="Arial" w:cs="Arial"/>
        </w:rPr>
        <w:t xml:space="preserve">, viewed on 31 March 2022 from </w:t>
      </w:r>
      <w:hyperlink r:id="rId22" w:history="1">
        <w:r w:rsidRPr="0057020E">
          <w:rPr>
            <w:rStyle w:val="Hyperlink"/>
            <w:rFonts w:ascii="Arial" w:hAnsi="Arial" w:cs="Arial"/>
          </w:rPr>
          <w:t>https://www.forbes.com/sites/sallypercy/2021/03/08/six-ways-to-tackle-workplace-inequality-in-2021/</w:t>
        </w:r>
      </w:hyperlink>
    </w:p>
    <w:p w14:paraId="16676216" w14:textId="77777777" w:rsidR="006B50B9" w:rsidRPr="0057020E" w:rsidRDefault="004301C1" w:rsidP="0057020E">
      <w:pPr>
        <w:spacing w:line="360" w:lineRule="auto"/>
        <w:jc w:val="both"/>
        <w:rPr>
          <w:rFonts w:ascii="Arial" w:hAnsi="Arial" w:cs="Arial"/>
        </w:rPr>
      </w:pPr>
      <w:r w:rsidRPr="0057020E">
        <w:rPr>
          <w:rFonts w:ascii="Arial" w:hAnsi="Arial" w:cs="Arial"/>
        </w:rPr>
        <w:t>Torrington, D., 2014. </w:t>
      </w:r>
      <w:r w:rsidRPr="0057020E">
        <w:rPr>
          <w:rFonts w:ascii="Arial" w:hAnsi="Arial" w:cs="Arial"/>
          <w:i/>
          <w:iCs/>
        </w:rPr>
        <w:t>Human resource management</w:t>
      </w:r>
      <w:r w:rsidRPr="0057020E">
        <w:rPr>
          <w:rFonts w:ascii="Arial" w:hAnsi="Arial" w:cs="Arial"/>
        </w:rPr>
        <w:t xml:space="preserve">. Trans-Atlantic Publications. </w:t>
      </w:r>
      <w:hyperlink r:id="rId23" w:history="1">
        <w:r w:rsidRPr="0057020E">
          <w:rPr>
            <w:rStyle w:val="Hyperlink"/>
            <w:rFonts w:ascii="Arial" w:hAnsi="Arial" w:cs="Arial"/>
          </w:rPr>
          <w:t>https://lib.hpu.edu.vn/handle/123456789/22516</w:t>
        </w:r>
      </w:hyperlink>
    </w:p>
    <w:p w14:paraId="172A9221" w14:textId="77777777" w:rsidR="006B50B9" w:rsidRPr="0057020E" w:rsidRDefault="004301C1" w:rsidP="0057020E">
      <w:pPr>
        <w:spacing w:line="360" w:lineRule="auto"/>
        <w:jc w:val="both"/>
        <w:rPr>
          <w:rFonts w:ascii="Arial" w:hAnsi="Arial" w:cs="Arial"/>
        </w:rPr>
      </w:pPr>
      <w:r w:rsidRPr="0057020E">
        <w:rPr>
          <w:rFonts w:ascii="Arial" w:hAnsi="Arial" w:cs="Arial"/>
        </w:rPr>
        <w:t>Van Natta, M., Chen, P., Herbek, S., Jain, R., Kastelic, N., Katz, E., Struble, M., Vanam, V. and Vattikonda, N., 2020. The rise and regulation of thermal facial recognition technology during the COVID-19 pandemic. </w:t>
      </w:r>
      <w:r w:rsidRPr="0057020E">
        <w:rPr>
          <w:rFonts w:ascii="Arial" w:hAnsi="Arial" w:cs="Arial"/>
          <w:i/>
          <w:iCs/>
        </w:rPr>
        <w:t>Journal of Law and the Biosciences</w:t>
      </w:r>
      <w:r w:rsidRPr="0057020E">
        <w:rPr>
          <w:rFonts w:ascii="Arial" w:hAnsi="Arial" w:cs="Arial"/>
        </w:rPr>
        <w:t xml:space="preserve">, pp.1-17. </w:t>
      </w:r>
      <w:hyperlink r:id="rId24" w:history="1">
        <w:r w:rsidRPr="0057020E">
          <w:rPr>
            <w:rStyle w:val="Hyperlink"/>
            <w:rFonts w:ascii="Arial" w:hAnsi="Arial" w:cs="Arial"/>
          </w:rPr>
          <w:t>https://academic.oup.com/jlb/article-pdf/doi/10.1093/jlb/lsaa038/37356640/lsaa038.pdf</w:t>
        </w:r>
      </w:hyperlink>
    </w:p>
    <w:p w14:paraId="5734AEF0" w14:textId="77777777" w:rsidR="006B50B9" w:rsidRPr="0057020E" w:rsidRDefault="004301C1" w:rsidP="0057020E">
      <w:pPr>
        <w:spacing w:line="360" w:lineRule="auto"/>
        <w:jc w:val="both"/>
        <w:rPr>
          <w:rFonts w:ascii="Arial" w:hAnsi="Arial" w:cs="Arial"/>
        </w:rPr>
      </w:pPr>
      <w:r w:rsidRPr="0057020E">
        <w:rPr>
          <w:rFonts w:ascii="Arial" w:hAnsi="Arial" w:cs="Arial"/>
        </w:rPr>
        <w:t>Vasquez, T.S., Close, J. and Bylund, C.L., 2021. Skills-Based Programs Used to Reduce Physician Burnout in Graduate Medical Education: A Systematic Review. </w:t>
      </w:r>
      <w:r w:rsidRPr="0057020E">
        <w:rPr>
          <w:rFonts w:ascii="Arial" w:hAnsi="Arial" w:cs="Arial"/>
          <w:i/>
          <w:iCs/>
        </w:rPr>
        <w:t xml:space="preserve">Journal of </w:t>
      </w:r>
      <w:r w:rsidRPr="0057020E">
        <w:rPr>
          <w:rFonts w:ascii="Arial" w:hAnsi="Arial" w:cs="Arial"/>
          <w:i/>
          <w:iCs/>
        </w:rPr>
        <w:lastRenderedPageBreak/>
        <w:t>graduate medical education</w:t>
      </w:r>
      <w:r w:rsidRPr="0057020E">
        <w:rPr>
          <w:rFonts w:ascii="Arial" w:hAnsi="Arial" w:cs="Arial"/>
        </w:rPr>
        <w:t>, </w:t>
      </w:r>
      <w:r w:rsidRPr="0057020E">
        <w:rPr>
          <w:rFonts w:ascii="Arial" w:hAnsi="Arial" w:cs="Arial"/>
          <w:i/>
          <w:iCs/>
        </w:rPr>
        <w:t>13</w:t>
      </w:r>
      <w:r w:rsidRPr="0057020E">
        <w:rPr>
          <w:rFonts w:ascii="Arial" w:hAnsi="Arial" w:cs="Arial"/>
        </w:rPr>
        <w:t xml:space="preserve">(4), pp.471-489. </w:t>
      </w:r>
      <w:hyperlink r:id="rId25" w:history="1">
        <w:r w:rsidRPr="0057020E">
          <w:rPr>
            <w:rStyle w:val="Hyperlink"/>
            <w:rFonts w:ascii="Arial" w:hAnsi="Arial" w:cs="Arial"/>
          </w:rPr>
          <w:t>https://meridian.allenpress.com/jgme/article-abstract/13/4/471/469335</w:t>
        </w:r>
      </w:hyperlink>
    </w:p>
    <w:p w14:paraId="1B281ACF" w14:textId="77777777" w:rsidR="006B50B9" w:rsidRPr="0057020E" w:rsidRDefault="004301C1" w:rsidP="0057020E">
      <w:pPr>
        <w:spacing w:line="360" w:lineRule="auto"/>
        <w:jc w:val="both"/>
        <w:rPr>
          <w:rFonts w:ascii="Arial" w:hAnsi="Arial" w:cs="Arial"/>
        </w:rPr>
      </w:pPr>
      <w:r w:rsidRPr="0057020E">
        <w:rPr>
          <w:rFonts w:ascii="Arial" w:hAnsi="Arial" w:cs="Arial"/>
        </w:rPr>
        <w:t>Williamson, S., Colley, L. and Hanna</w:t>
      </w:r>
      <w:r w:rsidRPr="0057020E">
        <w:rPr>
          <w:rFonts w:ascii="Cambria Math" w:hAnsi="Cambria Math" w:cs="Cambria Math"/>
        </w:rPr>
        <w:t>‐</w:t>
      </w:r>
      <w:r w:rsidRPr="0057020E">
        <w:rPr>
          <w:rFonts w:ascii="Arial" w:hAnsi="Arial" w:cs="Arial"/>
        </w:rPr>
        <w:t>Osborne, S., 2020. Will working from home become the ‘new normal’in the public sector?. </w:t>
      </w:r>
      <w:r w:rsidRPr="0057020E">
        <w:rPr>
          <w:rFonts w:ascii="Arial" w:hAnsi="Arial" w:cs="Arial"/>
          <w:i/>
          <w:iCs/>
        </w:rPr>
        <w:t>Australian Journal of Public Administration</w:t>
      </w:r>
      <w:r w:rsidRPr="0057020E">
        <w:rPr>
          <w:rFonts w:ascii="Arial" w:hAnsi="Arial" w:cs="Arial"/>
        </w:rPr>
        <w:t>, </w:t>
      </w:r>
      <w:r w:rsidRPr="0057020E">
        <w:rPr>
          <w:rFonts w:ascii="Arial" w:hAnsi="Arial" w:cs="Arial"/>
          <w:i/>
          <w:iCs/>
        </w:rPr>
        <w:t>79</w:t>
      </w:r>
      <w:r w:rsidRPr="0057020E">
        <w:rPr>
          <w:rFonts w:ascii="Arial" w:hAnsi="Arial" w:cs="Arial"/>
        </w:rPr>
        <w:t xml:space="preserve">(4), pp.601-607. </w:t>
      </w:r>
      <w:hyperlink r:id="rId26" w:history="1">
        <w:r w:rsidRPr="0057020E">
          <w:rPr>
            <w:rStyle w:val="Hyperlink"/>
            <w:rFonts w:ascii="Arial" w:hAnsi="Arial" w:cs="Arial"/>
          </w:rPr>
          <w:t>https://www.ncbi.nlm.nih.gov/pmc/articles/pmc7461424/</w:t>
        </w:r>
      </w:hyperlink>
    </w:p>
    <w:p w14:paraId="6C994712" w14:textId="77777777" w:rsidR="006B50B9" w:rsidRPr="0057020E" w:rsidRDefault="004301C1" w:rsidP="0057020E">
      <w:pPr>
        <w:spacing w:line="360" w:lineRule="auto"/>
        <w:jc w:val="both"/>
        <w:rPr>
          <w:rFonts w:ascii="Arial" w:hAnsi="Arial" w:cs="Arial"/>
        </w:rPr>
      </w:pPr>
      <w:r w:rsidRPr="0057020E">
        <w:rPr>
          <w:rFonts w:ascii="Arial" w:hAnsi="Arial" w:cs="Arial"/>
        </w:rPr>
        <w:t>Wilson, R. and Hopkins, J., 2019. The Changing Shape of Scotland’s Digital Divide. </w:t>
      </w:r>
      <w:r w:rsidRPr="0057020E">
        <w:rPr>
          <w:rFonts w:ascii="Arial" w:hAnsi="Arial" w:cs="Arial"/>
          <w:i/>
          <w:iCs/>
        </w:rPr>
        <w:t>European Countryside</w:t>
      </w:r>
      <w:r w:rsidRPr="0057020E">
        <w:rPr>
          <w:rFonts w:ascii="Arial" w:hAnsi="Arial" w:cs="Arial"/>
        </w:rPr>
        <w:t>, </w:t>
      </w:r>
      <w:r w:rsidRPr="0057020E">
        <w:rPr>
          <w:rFonts w:ascii="Arial" w:hAnsi="Arial" w:cs="Arial"/>
          <w:i/>
          <w:iCs/>
        </w:rPr>
        <w:t>11</w:t>
      </w:r>
      <w:r w:rsidRPr="0057020E">
        <w:rPr>
          <w:rFonts w:ascii="Arial" w:hAnsi="Arial" w:cs="Arial"/>
        </w:rPr>
        <w:t xml:space="preserve">(4), pp.563-583. </w:t>
      </w:r>
      <w:hyperlink r:id="rId27" w:history="1">
        <w:r w:rsidRPr="0057020E">
          <w:rPr>
            <w:rStyle w:val="Hyperlink"/>
            <w:rFonts w:ascii="Arial" w:hAnsi="Arial" w:cs="Arial"/>
          </w:rPr>
          <w:t>https://docslib.org/doc/11947289/the-changing-shape-of-scotlands-digital-divide</w:t>
        </w:r>
      </w:hyperlink>
    </w:p>
    <w:sectPr w:rsidR="006B50B9" w:rsidRPr="0057020E" w:rsidSect="002C047D">
      <w:footerReference w:type="defaul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C3D0108" w14:textId="77777777" w:rsidR="0038738E" w:rsidRDefault="0038738E" w:rsidP="000A7416">
      <w:pPr>
        <w:spacing w:after="0" w:line="240" w:lineRule="auto"/>
      </w:pPr>
      <w:r>
        <w:separator/>
      </w:r>
    </w:p>
  </w:endnote>
  <w:endnote w:type="continuationSeparator" w:id="0">
    <w:p w14:paraId="055EC7B9" w14:textId="77777777" w:rsidR="0038738E" w:rsidRDefault="0038738E" w:rsidP="000A74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sz w:val="24"/>
        <w:szCs w:val="24"/>
      </w:rPr>
      <w:id w:val="24279001"/>
      <w:docPartObj>
        <w:docPartGallery w:val="Page Numbers (Bottom of Page)"/>
        <w:docPartUnique/>
      </w:docPartObj>
    </w:sdtPr>
    <w:sdtEndPr/>
    <w:sdtContent>
      <w:sdt>
        <w:sdtPr>
          <w:rPr>
            <w:rFonts w:ascii="Times New Roman" w:hAnsi="Times New Roman" w:cs="Times New Roman"/>
            <w:sz w:val="24"/>
            <w:szCs w:val="24"/>
          </w:rPr>
          <w:id w:val="565050523"/>
          <w:docPartObj>
            <w:docPartGallery w:val="Page Numbers (Top of Page)"/>
            <w:docPartUnique/>
          </w:docPartObj>
        </w:sdtPr>
        <w:sdtEndPr/>
        <w:sdtContent>
          <w:p w14:paraId="63E54853" w14:textId="77777777" w:rsidR="002C047D" w:rsidRPr="002C047D" w:rsidRDefault="004301C1">
            <w:pPr>
              <w:pStyle w:val="Footer"/>
              <w:jc w:val="right"/>
              <w:rPr>
                <w:rFonts w:ascii="Times New Roman" w:hAnsi="Times New Roman" w:cs="Times New Roman"/>
                <w:sz w:val="24"/>
                <w:szCs w:val="24"/>
              </w:rPr>
            </w:pPr>
            <w:r w:rsidRPr="002C047D">
              <w:rPr>
                <w:rFonts w:ascii="Times New Roman" w:hAnsi="Times New Roman" w:cs="Times New Roman"/>
                <w:sz w:val="24"/>
                <w:szCs w:val="24"/>
              </w:rPr>
              <w:t xml:space="preserve">Page </w:t>
            </w:r>
            <w:r w:rsidR="000A7416" w:rsidRPr="002C047D">
              <w:rPr>
                <w:rFonts w:ascii="Times New Roman" w:hAnsi="Times New Roman" w:cs="Times New Roman"/>
                <w:b/>
                <w:sz w:val="24"/>
                <w:szCs w:val="24"/>
              </w:rPr>
              <w:fldChar w:fldCharType="begin"/>
            </w:r>
            <w:r w:rsidRPr="002C047D">
              <w:rPr>
                <w:rFonts w:ascii="Times New Roman" w:hAnsi="Times New Roman" w:cs="Times New Roman"/>
                <w:b/>
                <w:sz w:val="24"/>
                <w:szCs w:val="24"/>
              </w:rPr>
              <w:instrText xml:space="preserve"> PAGE </w:instrText>
            </w:r>
            <w:r w:rsidR="000A7416" w:rsidRPr="002C047D">
              <w:rPr>
                <w:rFonts w:ascii="Times New Roman" w:hAnsi="Times New Roman" w:cs="Times New Roman"/>
                <w:b/>
                <w:sz w:val="24"/>
                <w:szCs w:val="24"/>
              </w:rPr>
              <w:fldChar w:fldCharType="separate"/>
            </w:r>
            <w:r w:rsidR="00AA04DF">
              <w:rPr>
                <w:rFonts w:ascii="Times New Roman" w:hAnsi="Times New Roman" w:cs="Times New Roman"/>
                <w:b/>
                <w:noProof/>
                <w:sz w:val="24"/>
                <w:szCs w:val="24"/>
              </w:rPr>
              <w:t>1</w:t>
            </w:r>
            <w:r w:rsidR="000A7416" w:rsidRPr="002C047D">
              <w:rPr>
                <w:rFonts w:ascii="Times New Roman" w:hAnsi="Times New Roman" w:cs="Times New Roman"/>
                <w:b/>
                <w:sz w:val="24"/>
                <w:szCs w:val="24"/>
              </w:rPr>
              <w:fldChar w:fldCharType="end"/>
            </w:r>
            <w:r w:rsidRPr="002C047D">
              <w:rPr>
                <w:rFonts w:ascii="Times New Roman" w:hAnsi="Times New Roman" w:cs="Times New Roman"/>
                <w:sz w:val="24"/>
                <w:szCs w:val="24"/>
              </w:rPr>
              <w:t xml:space="preserve"> of </w:t>
            </w:r>
            <w:r w:rsidR="000A7416" w:rsidRPr="002C047D">
              <w:rPr>
                <w:rFonts w:ascii="Times New Roman" w:hAnsi="Times New Roman" w:cs="Times New Roman"/>
                <w:b/>
                <w:sz w:val="24"/>
                <w:szCs w:val="24"/>
              </w:rPr>
              <w:fldChar w:fldCharType="begin"/>
            </w:r>
            <w:r w:rsidRPr="002C047D">
              <w:rPr>
                <w:rFonts w:ascii="Times New Roman" w:hAnsi="Times New Roman" w:cs="Times New Roman"/>
                <w:b/>
                <w:sz w:val="24"/>
                <w:szCs w:val="24"/>
              </w:rPr>
              <w:instrText xml:space="preserve"> NUMPAGES  </w:instrText>
            </w:r>
            <w:r w:rsidR="000A7416" w:rsidRPr="002C047D">
              <w:rPr>
                <w:rFonts w:ascii="Times New Roman" w:hAnsi="Times New Roman" w:cs="Times New Roman"/>
                <w:b/>
                <w:sz w:val="24"/>
                <w:szCs w:val="24"/>
              </w:rPr>
              <w:fldChar w:fldCharType="separate"/>
            </w:r>
            <w:r w:rsidR="00AA04DF">
              <w:rPr>
                <w:rFonts w:ascii="Times New Roman" w:hAnsi="Times New Roman" w:cs="Times New Roman"/>
                <w:b/>
                <w:noProof/>
                <w:sz w:val="24"/>
                <w:szCs w:val="24"/>
              </w:rPr>
              <w:t>15</w:t>
            </w:r>
            <w:r w:rsidR="000A7416" w:rsidRPr="002C047D">
              <w:rPr>
                <w:rFonts w:ascii="Times New Roman" w:hAnsi="Times New Roman" w:cs="Times New Roman"/>
                <w:b/>
                <w:sz w:val="24"/>
                <w:szCs w:val="24"/>
              </w:rPr>
              <w:fldChar w:fldCharType="end"/>
            </w:r>
          </w:p>
        </w:sdtContent>
      </w:sdt>
    </w:sdtContent>
  </w:sdt>
  <w:p w14:paraId="6E148DCA" w14:textId="77777777" w:rsidR="002C047D" w:rsidRPr="002C047D" w:rsidRDefault="002C047D">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C66CA9E" w14:textId="77777777" w:rsidR="0038738E" w:rsidRDefault="0038738E" w:rsidP="000A7416">
      <w:pPr>
        <w:spacing w:after="0" w:line="240" w:lineRule="auto"/>
      </w:pPr>
      <w:r>
        <w:separator/>
      </w:r>
    </w:p>
  </w:footnote>
  <w:footnote w:type="continuationSeparator" w:id="0">
    <w:p w14:paraId="1D12AEAE" w14:textId="77777777" w:rsidR="0038738E" w:rsidRDefault="0038738E" w:rsidP="000A74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7C1965"/>
    <w:rsid w:val="000030BE"/>
    <w:rsid w:val="00007424"/>
    <w:rsid w:val="00011454"/>
    <w:rsid w:val="00013670"/>
    <w:rsid w:val="00015516"/>
    <w:rsid w:val="00015653"/>
    <w:rsid w:val="000205B1"/>
    <w:rsid w:val="0002163D"/>
    <w:rsid w:val="00022889"/>
    <w:rsid w:val="000237C7"/>
    <w:rsid w:val="000240EC"/>
    <w:rsid w:val="0003561D"/>
    <w:rsid w:val="000367AF"/>
    <w:rsid w:val="00036EB1"/>
    <w:rsid w:val="0003730F"/>
    <w:rsid w:val="00037FA6"/>
    <w:rsid w:val="00044F3F"/>
    <w:rsid w:val="00050D46"/>
    <w:rsid w:val="00050ED4"/>
    <w:rsid w:val="00055FF7"/>
    <w:rsid w:val="0006450F"/>
    <w:rsid w:val="00066546"/>
    <w:rsid w:val="00081140"/>
    <w:rsid w:val="000813D0"/>
    <w:rsid w:val="00085C12"/>
    <w:rsid w:val="0008702E"/>
    <w:rsid w:val="00087C7F"/>
    <w:rsid w:val="00096113"/>
    <w:rsid w:val="00096679"/>
    <w:rsid w:val="000A1085"/>
    <w:rsid w:val="000A2022"/>
    <w:rsid w:val="000A2E90"/>
    <w:rsid w:val="000A7416"/>
    <w:rsid w:val="000B2840"/>
    <w:rsid w:val="000B399A"/>
    <w:rsid w:val="000C7CA5"/>
    <w:rsid w:val="000D0240"/>
    <w:rsid w:val="000D0F6E"/>
    <w:rsid w:val="000D4627"/>
    <w:rsid w:val="000D54B3"/>
    <w:rsid w:val="000E3202"/>
    <w:rsid w:val="000F29A8"/>
    <w:rsid w:val="001111CA"/>
    <w:rsid w:val="00113955"/>
    <w:rsid w:val="001267CA"/>
    <w:rsid w:val="00132C85"/>
    <w:rsid w:val="00147808"/>
    <w:rsid w:val="00150627"/>
    <w:rsid w:val="00160A22"/>
    <w:rsid w:val="00166938"/>
    <w:rsid w:val="00177067"/>
    <w:rsid w:val="001807A9"/>
    <w:rsid w:val="00182052"/>
    <w:rsid w:val="00183702"/>
    <w:rsid w:val="0018383F"/>
    <w:rsid w:val="00187EBC"/>
    <w:rsid w:val="00193F8B"/>
    <w:rsid w:val="00194FA5"/>
    <w:rsid w:val="001A1761"/>
    <w:rsid w:val="001A3890"/>
    <w:rsid w:val="001A5F4C"/>
    <w:rsid w:val="001D28AE"/>
    <w:rsid w:val="001E1BDD"/>
    <w:rsid w:val="001E1ED5"/>
    <w:rsid w:val="001E4CAC"/>
    <w:rsid w:val="001E62EF"/>
    <w:rsid w:val="001F4130"/>
    <w:rsid w:val="00200781"/>
    <w:rsid w:val="002019FA"/>
    <w:rsid w:val="00207255"/>
    <w:rsid w:val="00212AD3"/>
    <w:rsid w:val="00230B9A"/>
    <w:rsid w:val="0023204A"/>
    <w:rsid w:val="00232543"/>
    <w:rsid w:val="00233BBA"/>
    <w:rsid w:val="00236C1D"/>
    <w:rsid w:val="00237A39"/>
    <w:rsid w:val="002421CC"/>
    <w:rsid w:val="00245BBD"/>
    <w:rsid w:val="00246445"/>
    <w:rsid w:val="00250DE0"/>
    <w:rsid w:val="0026572C"/>
    <w:rsid w:val="00273D0B"/>
    <w:rsid w:val="00290477"/>
    <w:rsid w:val="00294DA6"/>
    <w:rsid w:val="002A2554"/>
    <w:rsid w:val="002B12EB"/>
    <w:rsid w:val="002B4A03"/>
    <w:rsid w:val="002B4E0A"/>
    <w:rsid w:val="002B5322"/>
    <w:rsid w:val="002C047D"/>
    <w:rsid w:val="002C6A18"/>
    <w:rsid w:val="002C739B"/>
    <w:rsid w:val="002F2E3C"/>
    <w:rsid w:val="002F52C6"/>
    <w:rsid w:val="002F556D"/>
    <w:rsid w:val="0030172C"/>
    <w:rsid w:val="0030667B"/>
    <w:rsid w:val="00321BC7"/>
    <w:rsid w:val="00322E8A"/>
    <w:rsid w:val="003545EB"/>
    <w:rsid w:val="00357CB0"/>
    <w:rsid w:val="00357DBA"/>
    <w:rsid w:val="003605E1"/>
    <w:rsid w:val="003656C3"/>
    <w:rsid w:val="00374986"/>
    <w:rsid w:val="00380768"/>
    <w:rsid w:val="0038364B"/>
    <w:rsid w:val="00383AB4"/>
    <w:rsid w:val="0038738E"/>
    <w:rsid w:val="00391BC4"/>
    <w:rsid w:val="003A07AF"/>
    <w:rsid w:val="003A180D"/>
    <w:rsid w:val="003A29BF"/>
    <w:rsid w:val="003B3912"/>
    <w:rsid w:val="003B3925"/>
    <w:rsid w:val="003C5CE5"/>
    <w:rsid w:val="003C63F3"/>
    <w:rsid w:val="003C6512"/>
    <w:rsid w:val="003D2FD1"/>
    <w:rsid w:val="003D41DF"/>
    <w:rsid w:val="003E58C5"/>
    <w:rsid w:val="003E5992"/>
    <w:rsid w:val="003E6498"/>
    <w:rsid w:val="003F47F2"/>
    <w:rsid w:val="003F5AB0"/>
    <w:rsid w:val="003F5FCB"/>
    <w:rsid w:val="003F62EC"/>
    <w:rsid w:val="0040410C"/>
    <w:rsid w:val="00406662"/>
    <w:rsid w:val="0041642B"/>
    <w:rsid w:val="0041656D"/>
    <w:rsid w:val="0042576B"/>
    <w:rsid w:val="004274E3"/>
    <w:rsid w:val="004301C1"/>
    <w:rsid w:val="00432093"/>
    <w:rsid w:val="004327C6"/>
    <w:rsid w:val="00442026"/>
    <w:rsid w:val="00451EE2"/>
    <w:rsid w:val="004542DA"/>
    <w:rsid w:val="0045754A"/>
    <w:rsid w:val="00462483"/>
    <w:rsid w:val="00465A54"/>
    <w:rsid w:val="00470F50"/>
    <w:rsid w:val="00475A20"/>
    <w:rsid w:val="00477DF4"/>
    <w:rsid w:val="00490EF8"/>
    <w:rsid w:val="004921F0"/>
    <w:rsid w:val="004962A6"/>
    <w:rsid w:val="00497898"/>
    <w:rsid w:val="004A3F02"/>
    <w:rsid w:val="004A566A"/>
    <w:rsid w:val="004B5E04"/>
    <w:rsid w:val="004C1602"/>
    <w:rsid w:val="004D4D85"/>
    <w:rsid w:val="004E190F"/>
    <w:rsid w:val="004F78AA"/>
    <w:rsid w:val="0050458C"/>
    <w:rsid w:val="005125A2"/>
    <w:rsid w:val="00514363"/>
    <w:rsid w:val="00514756"/>
    <w:rsid w:val="00514D7D"/>
    <w:rsid w:val="00515F57"/>
    <w:rsid w:val="005177A7"/>
    <w:rsid w:val="0052164F"/>
    <w:rsid w:val="005231C4"/>
    <w:rsid w:val="00523E7C"/>
    <w:rsid w:val="00525E23"/>
    <w:rsid w:val="00526DB5"/>
    <w:rsid w:val="0052719C"/>
    <w:rsid w:val="00527752"/>
    <w:rsid w:val="0052785B"/>
    <w:rsid w:val="00544BB2"/>
    <w:rsid w:val="00546DCD"/>
    <w:rsid w:val="005506F2"/>
    <w:rsid w:val="005510BF"/>
    <w:rsid w:val="0056330E"/>
    <w:rsid w:val="0056345F"/>
    <w:rsid w:val="00563C86"/>
    <w:rsid w:val="00567216"/>
    <w:rsid w:val="0057020E"/>
    <w:rsid w:val="00573F05"/>
    <w:rsid w:val="00584B65"/>
    <w:rsid w:val="005852D0"/>
    <w:rsid w:val="00585321"/>
    <w:rsid w:val="00595D67"/>
    <w:rsid w:val="00597B2B"/>
    <w:rsid w:val="005A01FF"/>
    <w:rsid w:val="005A4E5B"/>
    <w:rsid w:val="005A6B5A"/>
    <w:rsid w:val="005B61E6"/>
    <w:rsid w:val="005C3F24"/>
    <w:rsid w:val="005D2852"/>
    <w:rsid w:val="005D384B"/>
    <w:rsid w:val="005D6B1E"/>
    <w:rsid w:val="005D6C4E"/>
    <w:rsid w:val="005D7727"/>
    <w:rsid w:val="005E2839"/>
    <w:rsid w:val="005E37A2"/>
    <w:rsid w:val="005E6974"/>
    <w:rsid w:val="005F305A"/>
    <w:rsid w:val="005F65ED"/>
    <w:rsid w:val="006034DE"/>
    <w:rsid w:val="006062CF"/>
    <w:rsid w:val="00612FEE"/>
    <w:rsid w:val="00613832"/>
    <w:rsid w:val="006148CE"/>
    <w:rsid w:val="0062486C"/>
    <w:rsid w:val="00626F1F"/>
    <w:rsid w:val="00637901"/>
    <w:rsid w:val="00637F58"/>
    <w:rsid w:val="00644FB1"/>
    <w:rsid w:val="00650220"/>
    <w:rsid w:val="006532A4"/>
    <w:rsid w:val="00660666"/>
    <w:rsid w:val="00662461"/>
    <w:rsid w:val="00672327"/>
    <w:rsid w:val="00672D0B"/>
    <w:rsid w:val="00673054"/>
    <w:rsid w:val="00675FF0"/>
    <w:rsid w:val="0068049D"/>
    <w:rsid w:val="00686BD4"/>
    <w:rsid w:val="00693EC7"/>
    <w:rsid w:val="006B0B92"/>
    <w:rsid w:val="006B3A11"/>
    <w:rsid w:val="006B50B9"/>
    <w:rsid w:val="006C259D"/>
    <w:rsid w:val="006C4B5E"/>
    <w:rsid w:val="006C7B92"/>
    <w:rsid w:val="006D3063"/>
    <w:rsid w:val="006D5ECA"/>
    <w:rsid w:val="006E07B5"/>
    <w:rsid w:val="006E120E"/>
    <w:rsid w:val="006E4A54"/>
    <w:rsid w:val="006E5683"/>
    <w:rsid w:val="006E5D01"/>
    <w:rsid w:val="006F0C13"/>
    <w:rsid w:val="006F2A96"/>
    <w:rsid w:val="00700C8B"/>
    <w:rsid w:val="00702E73"/>
    <w:rsid w:val="00703BFF"/>
    <w:rsid w:val="007126C7"/>
    <w:rsid w:val="00716FD5"/>
    <w:rsid w:val="0072007A"/>
    <w:rsid w:val="00720F85"/>
    <w:rsid w:val="007237D3"/>
    <w:rsid w:val="00731A6C"/>
    <w:rsid w:val="00737098"/>
    <w:rsid w:val="00741930"/>
    <w:rsid w:val="00742326"/>
    <w:rsid w:val="00745EF0"/>
    <w:rsid w:val="00750FD6"/>
    <w:rsid w:val="00753071"/>
    <w:rsid w:val="0075333B"/>
    <w:rsid w:val="00757094"/>
    <w:rsid w:val="00761539"/>
    <w:rsid w:val="0076222D"/>
    <w:rsid w:val="007629BA"/>
    <w:rsid w:val="007703ED"/>
    <w:rsid w:val="00770F83"/>
    <w:rsid w:val="00771F48"/>
    <w:rsid w:val="007778EE"/>
    <w:rsid w:val="00780A02"/>
    <w:rsid w:val="007832D3"/>
    <w:rsid w:val="007850A1"/>
    <w:rsid w:val="00787ADE"/>
    <w:rsid w:val="00794729"/>
    <w:rsid w:val="00794B24"/>
    <w:rsid w:val="007A1331"/>
    <w:rsid w:val="007A4040"/>
    <w:rsid w:val="007A643A"/>
    <w:rsid w:val="007B5525"/>
    <w:rsid w:val="007B6592"/>
    <w:rsid w:val="007C0FDB"/>
    <w:rsid w:val="007C1965"/>
    <w:rsid w:val="007C67AD"/>
    <w:rsid w:val="007D0205"/>
    <w:rsid w:val="007D1906"/>
    <w:rsid w:val="007D6C19"/>
    <w:rsid w:val="007F2421"/>
    <w:rsid w:val="007F49E7"/>
    <w:rsid w:val="00801891"/>
    <w:rsid w:val="00804712"/>
    <w:rsid w:val="00805523"/>
    <w:rsid w:val="00814A83"/>
    <w:rsid w:val="00816720"/>
    <w:rsid w:val="00816DA3"/>
    <w:rsid w:val="00816DDB"/>
    <w:rsid w:val="008200D1"/>
    <w:rsid w:val="008212DD"/>
    <w:rsid w:val="00821C26"/>
    <w:rsid w:val="00822815"/>
    <w:rsid w:val="008269E0"/>
    <w:rsid w:val="00832237"/>
    <w:rsid w:val="008348A7"/>
    <w:rsid w:val="008369F1"/>
    <w:rsid w:val="00841598"/>
    <w:rsid w:val="00842DFF"/>
    <w:rsid w:val="00844431"/>
    <w:rsid w:val="0085003A"/>
    <w:rsid w:val="0085554D"/>
    <w:rsid w:val="00864C96"/>
    <w:rsid w:val="0086752E"/>
    <w:rsid w:val="00867BD7"/>
    <w:rsid w:val="00872DF1"/>
    <w:rsid w:val="008779E8"/>
    <w:rsid w:val="008811CC"/>
    <w:rsid w:val="00885938"/>
    <w:rsid w:val="00891F3E"/>
    <w:rsid w:val="0089464B"/>
    <w:rsid w:val="00896CC6"/>
    <w:rsid w:val="008A3B87"/>
    <w:rsid w:val="008B190C"/>
    <w:rsid w:val="008B3C03"/>
    <w:rsid w:val="008C00CE"/>
    <w:rsid w:val="008C4DA9"/>
    <w:rsid w:val="008C51F3"/>
    <w:rsid w:val="008C65B6"/>
    <w:rsid w:val="008D5CB0"/>
    <w:rsid w:val="008D6E93"/>
    <w:rsid w:val="008E2711"/>
    <w:rsid w:val="008F0051"/>
    <w:rsid w:val="008F1839"/>
    <w:rsid w:val="008F23F2"/>
    <w:rsid w:val="008F29CE"/>
    <w:rsid w:val="008F2A59"/>
    <w:rsid w:val="008F5E87"/>
    <w:rsid w:val="008F6685"/>
    <w:rsid w:val="008F7D89"/>
    <w:rsid w:val="00900689"/>
    <w:rsid w:val="00901915"/>
    <w:rsid w:val="00906EA3"/>
    <w:rsid w:val="00915CFC"/>
    <w:rsid w:val="00916151"/>
    <w:rsid w:val="00927BF5"/>
    <w:rsid w:val="0093483E"/>
    <w:rsid w:val="0094641F"/>
    <w:rsid w:val="00946715"/>
    <w:rsid w:val="00950751"/>
    <w:rsid w:val="00954FEE"/>
    <w:rsid w:val="00957D76"/>
    <w:rsid w:val="00973DE0"/>
    <w:rsid w:val="00980EF4"/>
    <w:rsid w:val="00992661"/>
    <w:rsid w:val="00995387"/>
    <w:rsid w:val="00995BFE"/>
    <w:rsid w:val="00996D94"/>
    <w:rsid w:val="009A4990"/>
    <w:rsid w:val="009B0EB4"/>
    <w:rsid w:val="009B14CD"/>
    <w:rsid w:val="009B34CF"/>
    <w:rsid w:val="009B6C1E"/>
    <w:rsid w:val="009B72E8"/>
    <w:rsid w:val="009C0F21"/>
    <w:rsid w:val="009D015D"/>
    <w:rsid w:val="009D55F4"/>
    <w:rsid w:val="009D57EC"/>
    <w:rsid w:val="009D6B2D"/>
    <w:rsid w:val="009E4314"/>
    <w:rsid w:val="009F23FB"/>
    <w:rsid w:val="009F64D6"/>
    <w:rsid w:val="009F672B"/>
    <w:rsid w:val="00A00809"/>
    <w:rsid w:val="00A0223C"/>
    <w:rsid w:val="00A06580"/>
    <w:rsid w:val="00A11279"/>
    <w:rsid w:val="00A1629A"/>
    <w:rsid w:val="00A23636"/>
    <w:rsid w:val="00A2721E"/>
    <w:rsid w:val="00A27AA2"/>
    <w:rsid w:val="00A379CA"/>
    <w:rsid w:val="00A421FA"/>
    <w:rsid w:val="00A50387"/>
    <w:rsid w:val="00A53317"/>
    <w:rsid w:val="00A54DF2"/>
    <w:rsid w:val="00A564BB"/>
    <w:rsid w:val="00A57AC4"/>
    <w:rsid w:val="00A61BFD"/>
    <w:rsid w:val="00A67D9C"/>
    <w:rsid w:val="00A70423"/>
    <w:rsid w:val="00A74CE4"/>
    <w:rsid w:val="00A771FB"/>
    <w:rsid w:val="00A807F7"/>
    <w:rsid w:val="00A8712C"/>
    <w:rsid w:val="00A90298"/>
    <w:rsid w:val="00A95F27"/>
    <w:rsid w:val="00A96B2D"/>
    <w:rsid w:val="00A97972"/>
    <w:rsid w:val="00AA04DF"/>
    <w:rsid w:val="00AA16FC"/>
    <w:rsid w:val="00AA44C7"/>
    <w:rsid w:val="00AB09D9"/>
    <w:rsid w:val="00AB191E"/>
    <w:rsid w:val="00AB3CC1"/>
    <w:rsid w:val="00AD2F2E"/>
    <w:rsid w:val="00AD6B1B"/>
    <w:rsid w:val="00AE2FE0"/>
    <w:rsid w:val="00AF41B9"/>
    <w:rsid w:val="00AF54AA"/>
    <w:rsid w:val="00AF5E23"/>
    <w:rsid w:val="00AF70A6"/>
    <w:rsid w:val="00B1390E"/>
    <w:rsid w:val="00B1626E"/>
    <w:rsid w:val="00B31145"/>
    <w:rsid w:val="00B327C0"/>
    <w:rsid w:val="00B33FE8"/>
    <w:rsid w:val="00B359C5"/>
    <w:rsid w:val="00B46978"/>
    <w:rsid w:val="00B51EAA"/>
    <w:rsid w:val="00B53D28"/>
    <w:rsid w:val="00B566E5"/>
    <w:rsid w:val="00B61AA9"/>
    <w:rsid w:val="00B633EA"/>
    <w:rsid w:val="00B8086F"/>
    <w:rsid w:val="00B87B77"/>
    <w:rsid w:val="00B92F6C"/>
    <w:rsid w:val="00B933DA"/>
    <w:rsid w:val="00B95C60"/>
    <w:rsid w:val="00BB2264"/>
    <w:rsid w:val="00BB2AE0"/>
    <w:rsid w:val="00BB6464"/>
    <w:rsid w:val="00BC2A5B"/>
    <w:rsid w:val="00BC4FD7"/>
    <w:rsid w:val="00BC7AFA"/>
    <w:rsid w:val="00BD1BF3"/>
    <w:rsid w:val="00BD4435"/>
    <w:rsid w:val="00BD684C"/>
    <w:rsid w:val="00BE211C"/>
    <w:rsid w:val="00BF1EAF"/>
    <w:rsid w:val="00BF44A0"/>
    <w:rsid w:val="00BF47CD"/>
    <w:rsid w:val="00BF6741"/>
    <w:rsid w:val="00C16FB2"/>
    <w:rsid w:val="00C213E1"/>
    <w:rsid w:val="00C26C1C"/>
    <w:rsid w:val="00C31413"/>
    <w:rsid w:val="00C348A5"/>
    <w:rsid w:val="00C47CAA"/>
    <w:rsid w:val="00C53F6A"/>
    <w:rsid w:val="00C556EF"/>
    <w:rsid w:val="00C570E4"/>
    <w:rsid w:val="00C61726"/>
    <w:rsid w:val="00C71DBA"/>
    <w:rsid w:val="00C7377D"/>
    <w:rsid w:val="00C8522B"/>
    <w:rsid w:val="00C91319"/>
    <w:rsid w:val="00C91B2C"/>
    <w:rsid w:val="00CA789A"/>
    <w:rsid w:val="00CC1DA7"/>
    <w:rsid w:val="00CD0B6F"/>
    <w:rsid w:val="00CD2BAB"/>
    <w:rsid w:val="00CF539B"/>
    <w:rsid w:val="00D00931"/>
    <w:rsid w:val="00D14AE7"/>
    <w:rsid w:val="00D21AA7"/>
    <w:rsid w:val="00D2348C"/>
    <w:rsid w:val="00D23F5A"/>
    <w:rsid w:val="00D2749C"/>
    <w:rsid w:val="00D31A4A"/>
    <w:rsid w:val="00D332DD"/>
    <w:rsid w:val="00D40DAA"/>
    <w:rsid w:val="00D42BA7"/>
    <w:rsid w:val="00D42C20"/>
    <w:rsid w:val="00D42CB8"/>
    <w:rsid w:val="00D43F1E"/>
    <w:rsid w:val="00D44A3C"/>
    <w:rsid w:val="00D4661B"/>
    <w:rsid w:val="00D46813"/>
    <w:rsid w:val="00D4732B"/>
    <w:rsid w:val="00D475F4"/>
    <w:rsid w:val="00D53B53"/>
    <w:rsid w:val="00D549E5"/>
    <w:rsid w:val="00D566B1"/>
    <w:rsid w:val="00D573AE"/>
    <w:rsid w:val="00D5777E"/>
    <w:rsid w:val="00D60105"/>
    <w:rsid w:val="00D70FDD"/>
    <w:rsid w:val="00D73275"/>
    <w:rsid w:val="00D7350D"/>
    <w:rsid w:val="00D91BD1"/>
    <w:rsid w:val="00D95FFA"/>
    <w:rsid w:val="00D9751A"/>
    <w:rsid w:val="00DA339B"/>
    <w:rsid w:val="00DB703B"/>
    <w:rsid w:val="00DC4DDD"/>
    <w:rsid w:val="00DC5617"/>
    <w:rsid w:val="00DD0F6C"/>
    <w:rsid w:val="00DD1B5B"/>
    <w:rsid w:val="00DD32BF"/>
    <w:rsid w:val="00DD3A1A"/>
    <w:rsid w:val="00DD5A05"/>
    <w:rsid w:val="00DE17E8"/>
    <w:rsid w:val="00DE6940"/>
    <w:rsid w:val="00DF6C69"/>
    <w:rsid w:val="00E00FA8"/>
    <w:rsid w:val="00E01C9F"/>
    <w:rsid w:val="00E1111F"/>
    <w:rsid w:val="00E12D05"/>
    <w:rsid w:val="00E12E16"/>
    <w:rsid w:val="00E139F2"/>
    <w:rsid w:val="00E17628"/>
    <w:rsid w:val="00E20FA6"/>
    <w:rsid w:val="00E21BFC"/>
    <w:rsid w:val="00E27F7D"/>
    <w:rsid w:val="00E31C10"/>
    <w:rsid w:val="00E35B9C"/>
    <w:rsid w:val="00E36B2E"/>
    <w:rsid w:val="00E41E4A"/>
    <w:rsid w:val="00E42E18"/>
    <w:rsid w:val="00E570C9"/>
    <w:rsid w:val="00E61F30"/>
    <w:rsid w:val="00E679F8"/>
    <w:rsid w:val="00E74EFE"/>
    <w:rsid w:val="00E77736"/>
    <w:rsid w:val="00E77CD4"/>
    <w:rsid w:val="00E80416"/>
    <w:rsid w:val="00E819C9"/>
    <w:rsid w:val="00E93C31"/>
    <w:rsid w:val="00E9459D"/>
    <w:rsid w:val="00EA50DB"/>
    <w:rsid w:val="00EA6FB5"/>
    <w:rsid w:val="00EA778E"/>
    <w:rsid w:val="00EA7C92"/>
    <w:rsid w:val="00EC106B"/>
    <w:rsid w:val="00EC14CB"/>
    <w:rsid w:val="00EC4E36"/>
    <w:rsid w:val="00ED2E2A"/>
    <w:rsid w:val="00ED41F8"/>
    <w:rsid w:val="00EE0FF1"/>
    <w:rsid w:val="00EE28FE"/>
    <w:rsid w:val="00EE7BB9"/>
    <w:rsid w:val="00EF3BE5"/>
    <w:rsid w:val="00EF7D15"/>
    <w:rsid w:val="00F130BC"/>
    <w:rsid w:val="00F13AF9"/>
    <w:rsid w:val="00F25A89"/>
    <w:rsid w:val="00F31D68"/>
    <w:rsid w:val="00F32CDC"/>
    <w:rsid w:val="00F334DC"/>
    <w:rsid w:val="00F3375A"/>
    <w:rsid w:val="00F339FF"/>
    <w:rsid w:val="00F402F0"/>
    <w:rsid w:val="00F40BD9"/>
    <w:rsid w:val="00F43F20"/>
    <w:rsid w:val="00F47716"/>
    <w:rsid w:val="00F65D9B"/>
    <w:rsid w:val="00F70E46"/>
    <w:rsid w:val="00F73E51"/>
    <w:rsid w:val="00F74B40"/>
    <w:rsid w:val="00F76B13"/>
    <w:rsid w:val="00F809CC"/>
    <w:rsid w:val="00F80F7A"/>
    <w:rsid w:val="00F82E8E"/>
    <w:rsid w:val="00F84454"/>
    <w:rsid w:val="00F85867"/>
    <w:rsid w:val="00F871B6"/>
    <w:rsid w:val="00F91FA9"/>
    <w:rsid w:val="00F923B0"/>
    <w:rsid w:val="00F94371"/>
    <w:rsid w:val="00F950F3"/>
    <w:rsid w:val="00FA38E7"/>
    <w:rsid w:val="00FA41F1"/>
    <w:rsid w:val="00FB6E71"/>
    <w:rsid w:val="00FC0426"/>
    <w:rsid w:val="00FC3904"/>
    <w:rsid w:val="00FC682F"/>
    <w:rsid w:val="00FD5647"/>
    <w:rsid w:val="00FE2B62"/>
    <w:rsid w:val="00FE7466"/>
    <w:rsid w:val="00FF135E"/>
    <w:rsid w:val="00FF221E"/>
    <w:rsid w:val="00FF603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11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7D9C"/>
    <w:rPr>
      <w:lang w:val="en-GB"/>
    </w:rPr>
  </w:style>
  <w:style w:type="paragraph" w:styleId="Heading1">
    <w:name w:val="heading 1"/>
    <w:basedOn w:val="Normal"/>
    <w:next w:val="Normal"/>
    <w:link w:val="Heading1Char"/>
    <w:uiPriority w:val="9"/>
    <w:qFormat/>
    <w:rsid w:val="006B50B9"/>
    <w:pPr>
      <w:keepNext/>
      <w:keepLines/>
      <w:spacing w:before="480" w:after="0" w:line="480" w:lineRule="auto"/>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50B9"/>
    <w:rPr>
      <w:rFonts w:ascii="Times New Roman" w:eastAsiaTheme="majorEastAsia" w:hAnsi="Times New Roman" w:cstheme="majorBidi"/>
      <w:b/>
      <w:bCs/>
      <w:color w:val="000000" w:themeColor="text1"/>
      <w:sz w:val="28"/>
      <w:szCs w:val="28"/>
      <w:lang w:val="en-GB"/>
    </w:rPr>
  </w:style>
  <w:style w:type="character" w:styleId="Hyperlink">
    <w:name w:val="Hyperlink"/>
    <w:basedOn w:val="DefaultParagraphFont"/>
    <w:uiPriority w:val="99"/>
    <w:unhideWhenUsed/>
    <w:rsid w:val="006B50B9"/>
    <w:rPr>
      <w:color w:val="0000FF" w:themeColor="hyperlink"/>
      <w:u w:val="single"/>
    </w:rPr>
  </w:style>
  <w:style w:type="paragraph" w:styleId="Header">
    <w:name w:val="header"/>
    <w:basedOn w:val="Normal"/>
    <w:link w:val="HeaderChar"/>
    <w:uiPriority w:val="99"/>
    <w:semiHidden/>
    <w:unhideWhenUsed/>
    <w:rsid w:val="002C047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C047D"/>
    <w:rPr>
      <w:lang w:val="en-GB"/>
    </w:rPr>
  </w:style>
  <w:style w:type="paragraph" w:styleId="Footer">
    <w:name w:val="footer"/>
    <w:basedOn w:val="Normal"/>
    <w:link w:val="FooterChar"/>
    <w:uiPriority w:val="99"/>
    <w:unhideWhenUsed/>
    <w:rsid w:val="002C04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047D"/>
    <w:rPr>
      <w:lang w:val="en-GB"/>
    </w:rPr>
  </w:style>
  <w:style w:type="paragraph" w:styleId="TOCHeading">
    <w:name w:val="TOC Heading"/>
    <w:basedOn w:val="Heading1"/>
    <w:next w:val="Normal"/>
    <w:uiPriority w:val="39"/>
    <w:semiHidden/>
    <w:unhideWhenUsed/>
    <w:qFormat/>
    <w:rsid w:val="002C047D"/>
    <w:pPr>
      <w:spacing w:line="276" w:lineRule="auto"/>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2C047D"/>
    <w:pPr>
      <w:spacing w:after="100"/>
    </w:pPr>
  </w:style>
  <w:style w:type="paragraph" w:styleId="BalloonText">
    <w:name w:val="Balloon Text"/>
    <w:basedOn w:val="Normal"/>
    <w:link w:val="BalloonTextChar"/>
    <w:uiPriority w:val="99"/>
    <w:semiHidden/>
    <w:unhideWhenUsed/>
    <w:rsid w:val="002C04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047D"/>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9670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hl=en&amp;lr=&amp;id=g7zEDwAAQBAJ&amp;oi=fnd&amp;pg=PR3&amp;dq=armstrong%27s+handbook+of+hrm+practice+&amp;ots=wLYomyeAsZ&amp;sig=taiw31ZAM6UUzjIeUPglVXiE8Xs" TargetMode="External"/><Relationship Id="rId13" Type="http://schemas.openxmlformats.org/officeDocument/2006/relationships/hyperlink" Target="http://mymedr.afpm.org.my/publications/87130" TargetMode="External"/><Relationship Id="rId18" Type="http://schemas.openxmlformats.org/officeDocument/2006/relationships/hyperlink" Target="https://www.hays.co.uk/blog/insights/flexible-working-marketing-edi" TargetMode="External"/><Relationship Id="rId26" Type="http://schemas.openxmlformats.org/officeDocument/2006/relationships/hyperlink" Target="https://www.ncbi.nlm.nih.gov/pmc/articles/pmc7461424/" TargetMode="External"/><Relationship Id="rId3" Type="http://schemas.microsoft.com/office/2007/relationships/stylesWithEffects" Target="stylesWithEffects.xml"/><Relationship Id="rId21" Type="http://schemas.openxmlformats.org/officeDocument/2006/relationships/hyperlink" Target="https://www.inc.com/huffington-post/big-problem-with-amazon-pay-gap-ratio-of-male-to-female-employees.html" TargetMode="External"/><Relationship Id="rId7" Type="http://schemas.openxmlformats.org/officeDocument/2006/relationships/endnotes" Target="endnotes.xml"/><Relationship Id="rId12" Type="http://schemas.openxmlformats.org/officeDocument/2006/relationships/hyperlink" Target="https://academic.oup.com/oxrep/article/36/4/855/6124298" TargetMode="External"/><Relationship Id="rId17" Type="http://schemas.openxmlformats.org/officeDocument/2006/relationships/hyperlink" Target="https://www.ilo.org/wcmsp5/groups/public/---ed_dialogue/---act_emp/documents/publication/wcms_735949.pdf" TargetMode="External"/><Relationship Id="rId25" Type="http://schemas.openxmlformats.org/officeDocument/2006/relationships/hyperlink" Target="https://meridian.allenpress.com/jgme/article-abstract/13/4/471/469335" TargetMode="External"/><Relationship Id="rId2" Type="http://schemas.openxmlformats.org/officeDocument/2006/relationships/styles" Target="styles.xml"/><Relationship Id="rId16" Type="http://schemas.openxmlformats.org/officeDocument/2006/relationships/hyperlink" Target="https://www.flexcareers.com.au/employers/hsbc/articles/flexible-working-diversity-inclusion" TargetMode="External"/><Relationship Id="rId20" Type="http://schemas.openxmlformats.org/officeDocument/2006/relationships/hyperlink" Target="https://www.siliconrepublic.com/careers/diversity-and-inclusion-flexible-working"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s11205-018-2036-7" TargetMode="External"/><Relationship Id="rId24" Type="http://schemas.openxmlformats.org/officeDocument/2006/relationships/hyperlink" Target="https://academic.oup.com/jlb/article-pdf/doi/10.1093/jlb/lsaa038/37356640/lsaa038.pdf" TargetMode="External"/><Relationship Id="rId5" Type="http://schemas.openxmlformats.org/officeDocument/2006/relationships/webSettings" Target="webSettings.xml"/><Relationship Id="rId15" Type="http://schemas.openxmlformats.org/officeDocument/2006/relationships/hyperlink" Target="https://pureportal.coventry.ac.uk/files/21366788/Binder1.pdf" TargetMode="External"/><Relationship Id="rId23" Type="http://schemas.openxmlformats.org/officeDocument/2006/relationships/hyperlink" Target="https://lib.hpu.edu.vn/handle/123456789/22516" TargetMode="External"/><Relationship Id="rId28" Type="http://schemas.openxmlformats.org/officeDocument/2006/relationships/footer" Target="footer1.xml"/><Relationship Id="rId10" Type="http://schemas.openxmlformats.org/officeDocument/2006/relationships/hyperlink" Target="https://journals.sagepub.com/doi/pdf/10.1177/0959680117752829" TargetMode="External"/><Relationship Id="rId19" Type="http://schemas.openxmlformats.org/officeDocument/2006/relationships/hyperlink" Target="https://www.icos.umich.edu/sites/default/files/lecturereadinglists/McCluney%20et%20al.%2C%202020_Antiracism%20Resources.pdf" TargetMode="External"/><Relationship Id="rId4" Type="http://schemas.openxmlformats.org/officeDocument/2006/relationships/settings" Target="settings.xml"/><Relationship Id="rId9" Type="http://schemas.openxmlformats.org/officeDocument/2006/relationships/hyperlink" Target="https://link.springer.com/article/10.1007/s11205-018-2036-7" TargetMode="External"/><Relationship Id="rId14" Type="http://schemas.openxmlformats.org/officeDocument/2006/relationships/hyperlink" Target="https://journals.sagepub.com/doi/pdf/10.1177/0730888418771116" TargetMode="External"/><Relationship Id="rId22" Type="http://schemas.openxmlformats.org/officeDocument/2006/relationships/hyperlink" Target="https://www.forbes.com/sites/sallypercy/2021/03/08/six-ways-to-tackle-workplace-inequality-in-2021/" TargetMode="External"/><Relationship Id="rId27" Type="http://schemas.openxmlformats.org/officeDocument/2006/relationships/hyperlink" Target="https://docslib.org/doc/11947289/the-changing-shape-of-scotlands-digital-divid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62EF0A-2DD3-479F-98EA-52C0C91223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3515</Words>
  <Characters>20042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Nicoll</cp:lastModifiedBy>
  <cp:revision>3</cp:revision>
  <dcterms:created xsi:type="dcterms:W3CDTF">2022-04-01T20:27:00Z</dcterms:created>
  <dcterms:modified xsi:type="dcterms:W3CDTF">2022-04-28T14:28:00Z</dcterms:modified>
</cp:coreProperties>
</file>