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F49861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20E3B">
              <w:rPr>
                <w:rFonts w:ascii="Times New Roman" w:hAnsi="Times New Roman" w:cs="Times New Roman"/>
                <w:b/>
                <w:color w:val="auto"/>
                <w:sz w:val="48"/>
              </w:rPr>
              <w:t>Lloyd Pugh</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78B771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20E3B">
              <w:rPr>
                <w:rFonts w:ascii="Times New Roman" w:hAnsi="Times New Roman" w:cs="Times New Roman"/>
                <w:b/>
                <w:color w:val="auto"/>
                <w:sz w:val="48"/>
              </w:rPr>
              <w:t xml:space="preserve"> lloyd.pugh@powys.gov.uk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589FC2C4" w:rsidR="0085230E" w:rsidRDefault="008B6D14" w:rsidP="005D3F07">
            <w:pPr>
              <w:overflowPunct/>
              <w:autoSpaceDE/>
              <w:autoSpaceDN/>
              <w:adjustRightInd/>
              <w:ind w:right="-957"/>
              <w:textAlignment w:val="auto"/>
              <w:rPr>
                <w:rFonts w:ascii="Times New Roman" w:hAnsi="Times New Roman" w:cs="Times New Roman"/>
                <w:b/>
                <w:color w:val="auto"/>
                <w:sz w:val="48"/>
              </w:rPr>
            </w:pPr>
            <w:r w:rsidRPr="008B6D14">
              <w:rPr>
                <w:rFonts w:ascii="Times New Roman" w:hAnsi="Times New Roman" w:cs="Times New Roman"/>
                <w:b/>
                <w:color w:val="auto"/>
                <w:sz w:val="48"/>
              </w:rPr>
              <w:t>2417951</w:t>
            </w:r>
          </w:p>
          <w:p w14:paraId="0E6CBA3D" w14:textId="77777777" w:rsidR="002D68A7" w:rsidRPr="005D3F07" w:rsidRDefault="002D68A7"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6D14" w14:paraId="2E129DEE" w14:textId="77777777" w:rsidTr="7B2CF1A9">
        <w:tc>
          <w:tcPr>
            <w:tcW w:w="10031" w:type="dxa"/>
          </w:tcPr>
          <w:p w14:paraId="63627B26" w14:textId="64A7A177" w:rsidR="006872A0" w:rsidRPr="008B6D14" w:rsidRDefault="006872A0" w:rsidP="00064063">
            <w:pPr>
              <w:jc w:val="both"/>
              <w:rPr>
                <w:rFonts w:asciiTheme="minorHAnsi" w:hAnsiTheme="minorHAnsi" w:cstheme="minorHAnsi"/>
                <w:b/>
                <w:sz w:val="24"/>
                <w:szCs w:val="24"/>
              </w:rPr>
            </w:pPr>
            <w:r w:rsidRPr="008B6D14">
              <w:rPr>
                <w:rFonts w:asciiTheme="minorHAnsi" w:hAnsiTheme="minorHAnsi" w:cstheme="minorHAnsi"/>
                <w:b/>
                <w:sz w:val="24"/>
                <w:szCs w:val="24"/>
              </w:rPr>
              <w:t>Question</w:t>
            </w:r>
            <w:r w:rsidR="007A628F" w:rsidRPr="008B6D14">
              <w:rPr>
                <w:rFonts w:asciiTheme="minorHAnsi" w:hAnsiTheme="minorHAnsi" w:cstheme="minorHAnsi"/>
                <w:b/>
                <w:sz w:val="24"/>
                <w:szCs w:val="24"/>
              </w:rPr>
              <w:t>:</w:t>
            </w:r>
          </w:p>
          <w:p w14:paraId="541B485B" w14:textId="4CB44B06" w:rsidR="00C77FA5" w:rsidRPr="008B6D14" w:rsidRDefault="000A584A">
            <w:pPr>
              <w:jc w:val="both"/>
              <w:rPr>
                <w:rFonts w:asciiTheme="minorHAnsi" w:hAnsiTheme="minorHAnsi" w:cstheme="minorHAnsi"/>
                <w:sz w:val="24"/>
                <w:szCs w:val="24"/>
              </w:rPr>
            </w:pPr>
            <w:r w:rsidRPr="008B6D14">
              <w:rPr>
                <w:rFonts w:asciiTheme="minorHAnsi" w:hAnsiTheme="minorHAnsi" w:cstheme="minorHAnsi"/>
                <w:sz w:val="24"/>
                <w:szCs w:val="24"/>
              </w:rPr>
              <w:t xml:space="preserve">Complete a critically reflective case study </w:t>
            </w:r>
            <w:r w:rsidR="00D0503D" w:rsidRPr="008B6D14">
              <w:rPr>
                <w:rFonts w:asciiTheme="minorHAnsi" w:hAnsiTheme="minorHAnsi" w:cstheme="minorHAnsi"/>
                <w:sz w:val="24"/>
                <w:szCs w:val="24"/>
              </w:rPr>
              <w:t>based</w:t>
            </w:r>
            <w:r w:rsidRPr="008B6D14">
              <w:rPr>
                <w:rFonts w:asciiTheme="minorHAnsi" w:hAnsiTheme="minorHAnsi" w:cstheme="minorHAnsi"/>
                <w:sz w:val="24"/>
                <w:szCs w:val="24"/>
              </w:rPr>
              <w:t xml:space="preserve"> on</w:t>
            </w:r>
            <w:r w:rsidR="00696A88" w:rsidRPr="008B6D14">
              <w:rPr>
                <w:rFonts w:asciiTheme="minorHAnsi" w:hAnsiTheme="minorHAnsi" w:cstheme="minorHAnsi"/>
                <w:sz w:val="24"/>
                <w:szCs w:val="24"/>
              </w:rPr>
              <w:t xml:space="preserve"> </w:t>
            </w:r>
            <w:r w:rsidR="00411EF7" w:rsidRPr="008B6D14">
              <w:rPr>
                <w:rFonts w:asciiTheme="minorHAnsi" w:hAnsiTheme="minorHAnsi" w:cstheme="minorHAnsi"/>
                <w:sz w:val="24"/>
                <w:szCs w:val="24"/>
              </w:rPr>
              <w:t>an assessment</w:t>
            </w:r>
            <w:r w:rsidR="007F312E" w:rsidRPr="008B6D14">
              <w:rPr>
                <w:rFonts w:asciiTheme="minorHAnsi" w:hAnsiTheme="minorHAnsi" w:cstheme="minorHAnsi"/>
                <w:sz w:val="24"/>
                <w:szCs w:val="24"/>
              </w:rPr>
              <w:t xml:space="preserve"> </w:t>
            </w:r>
            <w:r w:rsidR="007C5ABE" w:rsidRPr="008B6D14">
              <w:rPr>
                <w:rFonts w:asciiTheme="minorHAnsi" w:hAnsiTheme="minorHAnsi" w:cstheme="minorHAnsi"/>
                <w:sz w:val="24"/>
                <w:szCs w:val="24"/>
              </w:rPr>
              <w:t xml:space="preserve">that you have </w:t>
            </w:r>
            <w:r w:rsidRPr="008B6D14">
              <w:rPr>
                <w:rFonts w:asciiTheme="minorHAnsi" w:hAnsiTheme="minorHAnsi" w:cstheme="minorHAnsi"/>
                <w:sz w:val="24"/>
                <w:szCs w:val="24"/>
              </w:rPr>
              <w:t xml:space="preserve">undertaken with </w:t>
            </w:r>
            <w:r w:rsidR="00D0503D" w:rsidRPr="008B6D14">
              <w:rPr>
                <w:rFonts w:asciiTheme="minorHAnsi" w:hAnsiTheme="minorHAnsi" w:cstheme="minorHAnsi"/>
                <w:sz w:val="24"/>
                <w:szCs w:val="24"/>
              </w:rPr>
              <w:t>others,</w:t>
            </w:r>
            <w:r w:rsidR="00D0503D" w:rsidRPr="008B6D14">
              <w:rPr>
                <w:rFonts w:asciiTheme="minorHAnsi" w:hAnsiTheme="minorHAnsi" w:cstheme="minorHAnsi"/>
                <w:b/>
                <w:bCs/>
                <w:sz w:val="24"/>
                <w:szCs w:val="24"/>
              </w:rPr>
              <w:t xml:space="preserve"> </w:t>
            </w:r>
            <w:r w:rsidR="00D0503D" w:rsidRPr="008B6D14">
              <w:rPr>
                <w:rFonts w:asciiTheme="minorHAnsi" w:hAnsiTheme="minorHAnsi" w:cstheme="minorHAnsi"/>
                <w:sz w:val="24"/>
                <w:szCs w:val="24"/>
              </w:rPr>
              <w:t>in</w:t>
            </w:r>
            <w:r w:rsidR="0002440E" w:rsidRPr="008B6D14">
              <w:rPr>
                <w:rFonts w:asciiTheme="minorHAnsi" w:hAnsiTheme="minorHAnsi" w:cstheme="minorHAnsi"/>
                <w:sz w:val="24"/>
                <w:szCs w:val="24"/>
              </w:rPr>
              <w:t xml:space="preserve"> your own area of work</w:t>
            </w:r>
            <w:r w:rsidR="00D0503D" w:rsidRPr="008B6D14">
              <w:rPr>
                <w:rFonts w:asciiTheme="minorHAnsi" w:hAnsiTheme="minorHAnsi" w:cstheme="minorHAnsi"/>
                <w:sz w:val="24"/>
                <w:szCs w:val="24"/>
              </w:rPr>
              <w:t xml:space="preserve">, </w:t>
            </w:r>
            <w:r w:rsidR="00587923" w:rsidRPr="008B6D14">
              <w:rPr>
                <w:rFonts w:asciiTheme="minorHAnsi" w:hAnsiTheme="minorHAnsi" w:cstheme="minorHAnsi"/>
                <w:sz w:val="24"/>
                <w:szCs w:val="24"/>
              </w:rPr>
              <w:t>c</w:t>
            </w:r>
            <w:r w:rsidR="008B28E7" w:rsidRPr="008B6D14">
              <w:rPr>
                <w:rFonts w:asciiTheme="minorHAnsi" w:hAnsiTheme="minorHAnsi" w:cstheme="minorHAnsi"/>
                <w:sz w:val="24"/>
                <w:szCs w:val="24"/>
              </w:rPr>
              <w:t>oncerning the safeguarding of either an adult or a child</w:t>
            </w:r>
            <w:r w:rsidRPr="008B6D14">
              <w:rPr>
                <w:rFonts w:asciiTheme="minorHAnsi" w:hAnsiTheme="minorHAnsi" w:cstheme="minorHAnsi"/>
                <w:sz w:val="24"/>
                <w:szCs w:val="24"/>
              </w:rPr>
              <w:t xml:space="preserve">. </w:t>
            </w:r>
            <w:r w:rsidR="00216563" w:rsidRPr="008B6D14">
              <w:rPr>
                <w:rFonts w:asciiTheme="minorHAnsi" w:hAnsiTheme="minorHAnsi" w:cstheme="minorHAnsi"/>
                <w:sz w:val="24"/>
                <w:szCs w:val="24"/>
              </w:rPr>
              <w:t xml:space="preserve">You must demonstrate how </w:t>
            </w:r>
            <w:r w:rsidR="00F34C86" w:rsidRPr="008B6D14">
              <w:rPr>
                <w:rFonts w:asciiTheme="minorHAnsi" w:hAnsiTheme="minorHAnsi" w:cstheme="minorHAnsi"/>
                <w:sz w:val="24"/>
                <w:szCs w:val="24"/>
              </w:rPr>
              <w:t xml:space="preserve">the case relates to or could relate to safeguarding </w:t>
            </w:r>
            <w:r w:rsidR="00216563" w:rsidRPr="008B6D14">
              <w:rPr>
                <w:rFonts w:asciiTheme="minorHAnsi" w:hAnsiTheme="minorHAnsi" w:cstheme="minorHAnsi"/>
                <w:sz w:val="24"/>
                <w:szCs w:val="24"/>
              </w:rPr>
              <w:t>legislation, policies</w:t>
            </w:r>
            <w:r w:rsidR="00F34C86" w:rsidRPr="008B6D14">
              <w:rPr>
                <w:rFonts w:asciiTheme="minorHAnsi" w:hAnsiTheme="minorHAnsi" w:cstheme="minorHAnsi"/>
                <w:sz w:val="24"/>
                <w:szCs w:val="24"/>
              </w:rPr>
              <w:t>, strategies and procedures</w:t>
            </w:r>
            <w:r w:rsidR="7AAB400D" w:rsidRPr="008B6D14">
              <w:rPr>
                <w:rFonts w:asciiTheme="minorHAnsi" w:hAnsiTheme="minorHAnsi" w:cstheme="minorHAnsi"/>
                <w:sz w:val="24"/>
                <w:szCs w:val="24"/>
              </w:rPr>
              <w:t xml:space="preserve"> </w:t>
            </w:r>
            <w:r w:rsidR="623F2A43" w:rsidRPr="008B6D14">
              <w:rPr>
                <w:rFonts w:asciiTheme="minorHAnsi" w:hAnsiTheme="minorHAnsi" w:cstheme="minorHAnsi"/>
                <w:sz w:val="24"/>
                <w:szCs w:val="24"/>
              </w:rPr>
              <w:t>(</w:t>
            </w:r>
            <w:r w:rsidR="7AAB400D" w:rsidRPr="008B6D14">
              <w:rPr>
                <w:rFonts w:asciiTheme="minorHAnsi" w:hAnsiTheme="minorHAnsi" w:cstheme="minorHAnsi"/>
                <w:sz w:val="24"/>
                <w:szCs w:val="24"/>
              </w:rPr>
              <w:t>i</w:t>
            </w:r>
            <w:r w:rsidR="623F2A43" w:rsidRPr="008B6D14">
              <w:rPr>
                <w:rFonts w:asciiTheme="minorHAnsi" w:hAnsiTheme="minorHAnsi" w:cstheme="minorHAnsi"/>
                <w:sz w:val="24"/>
                <w:szCs w:val="24"/>
              </w:rPr>
              <w:t xml:space="preserve">ncluding </w:t>
            </w:r>
            <w:r w:rsidR="322513AD" w:rsidRPr="008B6D14">
              <w:rPr>
                <w:rFonts w:asciiTheme="minorHAnsi" w:hAnsiTheme="minorHAnsi" w:cstheme="minorHAnsi"/>
                <w:sz w:val="24"/>
                <w:szCs w:val="24"/>
              </w:rPr>
              <w:t>d</w:t>
            </w:r>
            <w:r w:rsidR="7E97696C" w:rsidRPr="008B6D14">
              <w:rPr>
                <w:rFonts w:asciiTheme="minorHAnsi" w:hAnsiTheme="minorHAnsi" w:cstheme="minorHAnsi"/>
                <w:sz w:val="24"/>
                <w:szCs w:val="24"/>
              </w:rPr>
              <w:t xml:space="preserve">emonstrating an understanding of </w:t>
            </w:r>
            <w:r w:rsidR="623F2A43" w:rsidRPr="008B6D14">
              <w:rPr>
                <w:rFonts w:asciiTheme="minorHAnsi" w:hAnsiTheme="minorHAnsi" w:cstheme="minorHAnsi"/>
                <w:sz w:val="24"/>
                <w:szCs w:val="24"/>
              </w:rPr>
              <w:t>the</w:t>
            </w:r>
            <w:r w:rsidR="350F702B" w:rsidRPr="008B6D14">
              <w:rPr>
                <w:rFonts w:asciiTheme="minorHAnsi" w:hAnsiTheme="minorHAnsi" w:cstheme="minorHAnsi"/>
                <w:sz w:val="24"/>
                <w:szCs w:val="24"/>
              </w:rPr>
              <w:t xml:space="preserve"> </w:t>
            </w:r>
            <w:r w:rsidR="3B2446CA" w:rsidRPr="008B6D14">
              <w:rPr>
                <w:rFonts w:asciiTheme="minorHAnsi" w:eastAsia="Arial" w:hAnsiTheme="minorHAnsi" w:cstheme="minorHAnsi"/>
                <w:color w:val="000000" w:themeColor="text1"/>
                <w:sz w:val="24"/>
                <w:szCs w:val="24"/>
              </w:rPr>
              <w:t xml:space="preserve">interface </w:t>
            </w:r>
            <w:r w:rsidR="534A9052" w:rsidRPr="008B6D14">
              <w:rPr>
                <w:rFonts w:asciiTheme="minorHAnsi" w:eastAsia="Arial" w:hAnsiTheme="minorHAnsi" w:cstheme="minorHAnsi"/>
                <w:color w:val="000000" w:themeColor="text1"/>
                <w:sz w:val="24"/>
                <w:szCs w:val="24"/>
              </w:rPr>
              <w:t>between social services provision in Wales with the United Kingdom, the European Union</w:t>
            </w:r>
            <w:r w:rsidR="007A628F" w:rsidRPr="008B6D14">
              <w:rPr>
                <w:rFonts w:asciiTheme="minorHAnsi" w:eastAsia="Arial" w:hAnsiTheme="minorHAnsi" w:cstheme="minorHAnsi"/>
                <w:color w:val="000000" w:themeColor="text1"/>
                <w:sz w:val="24"/>
                <w:szCs w:val="24"/>
              </w:rPr>
              <w:t xml:space="preserve"> (EU)</w:t>
            </w:r>
            <w:r w:rsidR="534A9052" w:rsidRPr="008B6D14">
              <w:rPr>
                <w:rFonts w:asciiTheme="minorHAnsi" w:eastAsia="Arial" w:hAnsiTheme="minorHAnsi" w:cstheme="minorHAnsi"/>
                <w:color w:val="000000" w:themeColor="text1"/>
                <w:sz w:val="24"/>
                <w:szCs w:val="24"/>
              </w:rPr>
              <w:t xml:space="preserve"> and outside the EU</w:t>
            </w:r>
            <w:r w:rsidR="623F2A43" w:rsidRPr="008B6D14">
              <w:rPr>
                <w:rFonts w:asciiTheme="minorHAnsi" w:eastAsia="Arial" w:hAnsiTheme="minorHAnsi" w:cstheme="minorHAnsi"/>
                <w:color w:val="000000" w:themeColor="text1"/>
                <w:sz w:val="24"/>
                <w:szCs w:val="24"/>
              </w:rPr>
              <w:t>)</w:t>
            </w:r>
            <w:r w:rsidR="00411EF7" w:rsidRPr="008B6D14">
              <w:rPr>
                <w:rFonts w:asciiTheme="minorHAnsi" w:hAnsiTheme="minorHAnsi" w:cstheme="minorHAnsi"/>
                <w:sz w:val="24"/>
                <w:szCs w:val="24"/>
              </w:rPr>
              <w:t>.</w:t>
            </w:r>
            <w:r w:rsidR="00354B6D" w:rsidRPr="008B6D14">
              <w:rPr>
                <w:rFonts w:asciiTheme="minorHAnsi" w:hAnsiTheme="minorHAnsi" w:cstheme="minorHAnsi"/>
                <w:sz w:val="24"/>
                <w:szCs w:val="24"/>
              </w:rPr>
              <w:t xml:space="preserve"> </w:t>
            </w:r>
            <w:r w:rsidR="102A3950" w:rsidRPr="008B6D14">
              <w:rPr>
                <w:rFonts w:asciiTheme="minorHAnsi" w:hAnsiTheme="minorHAnsi" w:cstheme="minorHAnsi"/>
                <w:sz w:val="24"/>
                <w:szCs w:val="24"/>
              </w:rPr>
              <w:t>You</w:t>
            </w:r>
            <w:r w:rsidR="00354B6D" w:rsidRPr="008B6D14">
              <w:rPr>
                <w:rFonts w:asciiTheme="minorHAnsi" w:hAnsiTheme="minorHAnsi" w:cstheme="minorHAnsi"/>
                <w:sz w:val="24"/>
                <w:szCs w:val="24"/>
              </w:rPr>
              <w:t xml:space="preserve"> must</w:t>
            </w:r>
            <w:r w:rsidR="00411EF7" w:rsidRPr="008B6D14">
              <w:rPr>
                <w:rFonts w:asciiTheme="minorHAnsi" w:hAnsiTheme="minorHAnsi" w:cstheme="minorHAnsi"/>
                <w:sz w:val="24"/>
                <w:szCs w:val="24"/>
              </w:rPr>
              <w:t xml:space="preserve"> </w:t>
            </w:r>
            <w:r w:rsidR="00354B6D" w:rsidRPr="008B6D14">
              <w:rPr>
                <w:rFonts w:asciiTheme="minorHAnsi" w:hAnsiTheme="minorHAnsi" w:cstheme="minorHAnsi"/>
                <w:sz w:val="24"/>
                <w:szCs w:val="24"/>
              </w:rPr>
              <w:t>demonstrate your understanding of</w:t>
            </w:r>
            <w:r w:rsidR="00F34C86" w:rsidRPr="008B6D14">
              <w:rPr>
                <w:rFonts w:asciiTheme="minorHAnsi" w:hAnsiTheme="minorHAnsi" w:cstheme="minorHAnsi"/>
                <w:sz w:val="24"/>
                <w:szCs w:val="24"/>
              </w:rPr>
              <w:t xml:space="preserve"> </w:t>
            </w:r>
            <w:r w:rsidR="00411EF7" w:rsidRPr="008B6D14">
              <w:rPr>
                <w:rFonts w:asciiTheme="minorHAnsi" w:hAnsiTheme="minorHAnsi" w:cstheme="minorHAnsi"/>
                <w:sz w:val="24"/>
                <w:szCs w:val="24"/>
              </w:rPr>
              <w:t xml:space="preserve">the </w:t>
            </w:r>
            <w:r w:rsidR="00216563" w:rsidRPr="008B6D14">
              <w:rPr>
                <w:rFonts w:asciiTheme="minorHAnsi" w:hAnsiTheme="minorHAnsi" w:cstheme="minorHAnsi"/>
                <w:sz w:val="24"/>
                <w:szCs w:val="24"/>
              </w:rPr>
              <w:t xml:space="preserve">integration of </w:t>
            </w:r>
            <w:r w:rsidR="6A854C79" w:rsidRPr="008B6D14">
              <w:rPr>
                <w:rFonts w:asciiTheme="minorHAnsi" w:hAnsiTheme="minorHAnsi" w:cstheme="minorHAnsi"/>
                <w:sz w:val="24"/>
                <w:szCs w:val="24"/>
              </w:rPr>
              <w:t>analysis in asses</w:t>
            </w:r>
            <w:r w:rsidR="0F77E214" w:rsidRPr="008B6D14">
              <w:rPr>
                <w:rFonts w:asciiTheme="minorHAnsi" w:hAnsiTheme="minorHAnsi" w:cstheme="minorHAnsi"/>
                <w:sz w:val="24"/>
                <w:szCs w:val="24"/>
              </w:rPr>
              <w:t>sment, collabo</w:t>
            </w:r>
            <w:r w:rsidR="6A854C79" w:rsidRPr="008B6D14">
              <w:rPr>
                <w:rFonts w:asciiTheme="minorHAnsi" w:hAnsiTheme="minorHAnsi" w:cstheme="minorHAnsi"/>
                <w:sz w:val="24"/>
                <w:szCs w:val="24"/>
              </w:rPr>
              <w:t>rative work</w:t>
            </w:r>
            <w:r w:rsidR="0F77E214" w:rsidRPr="008B6D14">
              <w:rPr>
                <w:rFonts w:asciiTheme="minorHAnsi" w:hAnsiTheme="minorHAnsi" w:cstheme="minorHAnsi"/>
                <w:sz w:val="24"/>
                <w:szCs w:val="24"/>
              </w:rPr>
              <w:t>ing</w:t>
            </w:r>
            <w:r w:rsidR="6A854C79" w:rsidRPr="008B6D14">
              <w:rPr>
                <w:rFonts w:asciiTheme="minorHAnsi" w:hAnsiTheme="minorHAnsi" w:cstheme="minorHAnsi"/>
                <w:sz w:val="24"/>
                <w:szCs w:val="24"/>
              </w:rPr>
              <w:t xml:space="preserve"> a</w:t>
            </w:r>
            <w:r w:rsidR="0F77E214" w:rsidRPr="008B6D14">
              <w:rPr>
                <w:rFonts w:asciiTheme="minorHAnsi" w:hAnsiTheme="minorHAnsi" w:cstheme="minorHAnsi"/>
                <w:sz w:val="24"/>
                <w:szCs w:val="24"/>
              </w:rPr>
              <w:t xml:space="preserve">nd </w:t>
            </w:r>
            <w:r w:rsidR="6A854C79" w:rsidRPr="008B6D14">
              <w:rPr>
                <w:rFonts w:asciiTheme="minorHAnsi" w:hAnsiTheme="minorHAnsi" w:cstheme="minorHAnsi"/>
                <w:sz w:val="24"/>
                <w:szCs w:val="24"/>
              </w:rPr>
              <w:t>professional</w:t>
            </w:r>
            <w:r w:rsidR="00F34C86" w:rsidRPr="008B6D14">
              <w:rPr>
                <w:rFonts w:asciiTheme="minorHAnsi" w:hAnsiTheme="minorHAnsi" w:cstheme="minorHAnsi"/>
                <w:sz w:val="24"/>
                <w:szCs w:val="24"/>
              </w:rPr>
              <w:t xml:space="preserve"> </w:t>
            </w:r>
            <w:r w:rsidR="00216563" w:rsidRPr="008B6D14">
              <w:rPr>
                <w:rFonts w:asciiTheme="minorHAnsi" w:hAnsiTheme="minorHAnsi" w:cstheme="minorHAnsi"/>
                <w:sz w:val="24"/>
                <w:szCs w:val="24"/>
              </w:rPr>
              <w:t>judgements</w:t>
            </w:r>
            <w:r w:rsidR="0F77E214" w:rsidRPr="008B6D14">
              <w:rPr>
                <w:rFonts w:asciiTheme="minorHAnsi" w:hAnsiTheme="minorHAnsi" w:cstheme="minorHAnsi"/>
                <w:sz w:val="24"/>
                <w:szCs w:val="24"/>
              </w:rPr>
              <w:t xml:space="preserve"> in increasingly complex situations </w:t>
            </w:r>
            <w:r w:rsidR="00E5498A" w:rsidRPr="008B6D14">
              <w:rPr>
                <w:rFonts w:asciiTheme="minorHAnsi" w:hAnsiTheme="minorHAnsi" w:cstheme="minorHAnsi"/>
                <w:sz w:val="24"/>
                <w:szCs w:val="24"/>
              </w:rPr>
              <w:t>and</w:t>
            </w:r>
            <w:r w:rsidR="1D6670C0" w:rsidRPr="008B6D14">
              <w:rPr>
                <w:rFonts w:asciiTheme="minorHAnsi" w:hAnsiTheme="minorHAnsi" w:cstheme="minorHAnsi"/>
                <w:sz w:val="24"/>
                <w:szCs w:val="24"/>
              </w:rPr>
              <w:t xml:space="preserve"> </w:t>
            </w:r>
            <w:r w:rsidR="39C47EB7" w:rsidRPr="008B6D14">
              <w:rPr>
                <w:rFonts w:asciiTheme="minorHAnsi" w:hAnsiTheme="minorHAnsi" w:cstheme="minorHAnsi"/>
                <w:sz w:val="24"/>
                <w:szCs w:val="24"/>
              </w:rPr>
              <w:t>the</w:t>
            </w:r>
            <w:r w:rsidR="25F327FB" w:rsidRPr="008B6D14">
              <w:rPr>
                <w:rFonts w:asciiTheme="minorHAnsi" w:hAnsiTheme="minorHAnsi" w:cstheme="minorHAnsi"/>
                <w:sz w:val="24"/>
                <w:szCs w:val="24"/>
              </w:rPr>
              <w:t xml:space="preserve"> </w:t>
            </w:r>
            <w:r w:rsidR="00F34C86" w:rsidRPr="008B6D14">
              <w:rPr>
                <w:rFonts w:asciiTheme="minorHAnsi" w:hAnsiTheme="minorHAnsi" w:cstheme="minorHAnsi"/>
                <w:sz w:val="24"/>
                <w:szCs w:val="24"/>
              </w:rPr>
              <w:t>use of social work theories</w:t>
            </w:r>
            <w:r w:rsidR="756EEE2D" w:rsidRPr="008B6D14">
              <w:rPr>
                <w:rFonts w:asciiTheme="minorHAnsi" w:hAnsiTheme="minorHAnsi" w:cstheme="minorHAnsi"/>
                <w:sz w:val="24"/>
                <w:szCs w:val="24"/>
              </w:rPr>
              <w:t>.</w:t>
            </w:r>
            <w:r w:rsidR="00216563" w:rsidRPr="008B6D14">
              <w:rPr>
                <w:rFonts w:asciiTheme="minorHAnsi" w:hAnsiTheme="minorHAnsi" w:cstheme="minorHAnsi"/>
                <w:sz w:val="24"/>
                <w:szCs w:val="24"/>
              </w:rPr>
              <w:t xml:space="preserve"> </w:t>
            </w:r>
            <w:r w:rsidR="756EEE2D" w:rsidRPr="008B6D14">
              <w:rPr>
                <w:rFonts w:asciiTheme="minorHAnsi" w:hAnsiTheme="minorHAnsi" w:cstheme="minorHAnsi"/>
                <w:sz w:val="24"/>
                <w:szCs w:val="24"/>
              </w:rPr>
              <w:t>You</w:t>
            </w:r>
            <w:r w:rsidR="00216563" w:rsidRPr="008B6D14">
              <w:rPr>
                <w:rFonts w:asciiTheme="minorHAnsi" w:hAnsiTheme="minorHAnsi" w:cstheme="minorHAnsi"/>
                <w:sz w:val="24"/>
                <w:szCs w:val="24"/>
              </w:rPr>
              <w:t xml:space="preserve"> </w:t>
            </w:r>
            <w:r w:rsidR="00E5498A" w:rsidRPr="008B6D14">
              <w:rPr>
                <w:rFonts w:asciiTheme="minorHAnsi" w:hAnsiTheme="minorHAnsi" w:cstheme="minorHAnsi"/>
                <w:sz w:val="24"/>
                <w:szCs w:val="24"/>
              </w:rPr>
              <w:t xml:space="preserve">must </w:t>
            </w:r>
            <w:r w:rsidR="00F030D4" w:rsidRPr="008B6D14">
              <w:rPr>
                <w:rFonts w:asciiTheme="minorHAnsi" w:hAnsiTheme="minorHAnsi" w:cstheme="minorHAnsi"/>
                <w:sz w:val="24"/>
                <w:szCs w:val="24"/>
              </w:rPr>
              <w:t>refer to</w:t>
            </w:r>
            <w:r w:rsidR="00216563" w:rsidRPr="008B6D14">
              <w:rPr>
                <w:rFonts w:asciiTheme="minorHAnsi" w:hAnsiTheme="minorHAnsi" w:cstheme="minorHAnsi"/>
                <w:sz w:val="24"/>
                <w:szCs w:val="24"/>
              </w:rPr>
              <w:t xml:space="preserve"> </w:t>
            </w:r>
            <w:r w:rsidR="00F34C86" w:rsidRPr="008B6D14">
              <w:rPr>
                <w:rFonts w:asciiTheme="minorHAnsi" w:hAnsiTheme="minorHAnsi" w:cstheme="minorHAnsi"/>
                <w:sz w:val="24"/>
                <w:szCs w:val="24"/>
              </w:rPr>
              <w:t>the specific dimensions of working in Wales</w:t>
            </w:r>
            <w:r w:rsidR="00411EF7" w:rsidRPr="008B6D14">
              <w:rPr>
                <w:rFonts w:asciiTheme="minorHAnsi" w:hAnsiTheme="minorHAnsi" w:cstheme="minorHAnsi"/>
                <w:sz w:val="24"/>
                <w:szCs w:val="24"/>
              </w:rPr>
              <w:t xml:space="preserve">. </w:t>
            </w:r>
          </w:p>
          <w:p w14:paraId="2F8A7CA5" w14:textId="6EDC9DFB" w:rsidR="008D5999" w:rsidRPr="008B6D14" w:rsidRDefault="008D5999" w:rsidP="00064063">
            <w:pPr>
              <w:jc w:val="both"/>
              <w:rPr>
                <w:rFonts w:asciiTheme="minorHAnsi" w:hAnsiTheme="minorHAnsi" w:cstheme="minorHAnsi"/>
                <w:sz w:val="24"/>
                <w:szCs w:val="24"/>
              </w:rPr>
            </w:pPr>
          </w:p>
          <w:p w14:paraId="20A5906F" w14:textId="77777777" w:rsidR="008D5999" w:rsidRPr="008B6D14" w:rsidRDefault="008D5999" w:rsidP="00064063">
            <w:pPr>
              <w:jc w:val="both"/>
              <w:rPr>
                <w:rFonts w:asciiTheme="minorHAnsi" w:hAnsiTheme="minorHAnsi" w:cstheme="minorHAnsi"/>
                <w:sz w:val="24"/>
                <w:szCs w:val="24"/>
              </w:rPr>
            </w:pPr>
          </w:p>
          <w:p w14:paraId="51AF4546" w14:textId="476CB9AF" w:rsidR="00D3203C" w:rsidRPr="008B6D14" w:rsidRDefault="00045C40" w:rsidP="00FF7EBB">
            <w:pPr>
              <w:jc w:val="both"/>
              <w:rPr>
                <w:rFonts w:asciiTheme="minorHAnsi" w:hAnsiTheme="minorHAnsi" w:cstheme="minorHAnsi"/>
                <w:i/>
                <w:sz w:val="24"/>
                <w:szCs w:val="24"/>
              </w:rPr>
            </w:pPr>
            <w:r w:rsidRPr="008B6D14">
              <w:rPr>
                <w:rFonts w:asciiTheme="minorHAnsi" w:hAnsiTheme="minorHAnsi" w:cstheme="minorHAnsi"/>
                <w:i/>
                <w:sz w:val="24"/>
                <w:szCs w:val="24"/>
              </w:rPr>
              <w:t xml:space="preserve">4000 </w:t>
            </w:r>
            <w:r w:rsidR="008B28E7" w:rsidRPr="008B6D14">
              <w:rPr>
                <w:rFonts w:asciiTheme="minorHAnsi" w:hAnsiTheme="minorHAnsi" w:cstheme="minorHAnsi"/>
                <w:i/>
                <w:sz w:val="24"/>
                <w:szCs w:val="24"/>
              </w:rPr>
              <w:t>words</w:t>
            </w:r>
            <w:r w:rsidR="008B28E7" w:rsidRPr="008B6D14">
              <w:rPr>
                <w:rFonts w:asciiTheme="minorHAnsi" w:hAnsiTheme="minorHAnsi" w:cstheme="minorHAnsi"/>
                <w:sz w:val="24"/>
                <w:szCs w:val="24"/>
              </w:rPr>
              <w:t xml:space="preserve"> </w:t>
            </w:r>
            <w:r w:rsidR="008B28E7" w:rsidRPr="008B6D14">
              <w:rPr>
                <w:rFonts w:asciiTheme="minorHAnsi" w:hAnsiTheme="minorHAnsi" w:cstheme="minorHAnsi"/>
                <w:i/>
                <w:sz w:val="24"/>
                <w:szCs w:val="24"/>
              </w:rPr>
              <w:t>(+/- 10%: include your actual word count at the end of each section)</w:t>
            </w:r>
            <w:r w:rsidR="007A628F" w:rsidRPr="008B6D14">
              <w:rPr>
                <w:rFonts w:asciiTheme="minorHAnsi" w:hAnsiTheme="minorHAnsi" w:cstheme="minorHAnsi"/>
                <w:i/>
                <w:sz w:val="24"/>
                <w:szCs w:val="24"/>
              </w:rPr>
              <w:t>.</w:t>
            </w:r>
          </w:p>
          <w:p w14:paraId="701D8D4D" w14:textId="38C2B218" w:rsidR="00D3203C" w:rsidRPr="008B6D14" w:rsidRDefault="00D3203C" w:rsidP="00FF7EBB">
            <w:pPr>
              <w:jc w:val="both"/>
              <w:rPr>
                <w:rFonts w:asciiTheme="minorHAnsi" w:hAnsiTheme="minorHAnsi" w:cstheme="minorHAnsi"/>
                <w:iCs/>
                <w:sz w:val="24"/>
                <w:szCs w:val="24"/>
              </w:rPr>
            </w:pPr>
          </w:p>
          <w:p w14:paraId="2F8A7BF8" w14:textId="65A99D8B"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The focus of this essay is to create a reflective case study based on an assessment concerning the safeguarding of an adult, which I have carried out in my role as a </w:t>
            </w:r>
            <w:r w:rsidR="00BD7F02">
              <w:rPr>
                <w:rFonts w:asciiTheme="minorHAnsi" w:hAnsiTheme="minorHAnsi" w:cstheme="minorHAnsi"/>
                <w:iCs/>
                <w:sz w:val="24"/>
                <w:szCs w:val="24"/>
              </w:rPr>
              <w:t>s</w:t>
            </w:r>
            <w:r w:rsidRPr="00B22A26">
              <w:rPr>
                <w:rFonts w:asciiTheme="minorHAnsi" w:hAnsiTheme="minorHAnsi" w:cstheme="minorHAnsi"/>
                <w:iCs/>
                <w:sz w:val="24"/>
                <w:szCs w:val="24"/>
              </w:rPr>
              <w:t xml:space="preserve">ocial </w:t>
            </w:r>
            <w:r w:rsidR="00BD7F02">
              <w:rPr>
                <w:rFonts w:asciiTheme="minorHAnsi" w:hAnsiTheme="minorHAnsi" w:cstheme="minorHAnsi"/>
                <w:iCs/>
                <w:sz w:val="24"/>
                <w:szCs w:val="24"/>
              </w:rPr>
              <w:t>w</w:t>
            </w:r>
            <w:r w:rsidRPr="00B22A26">
              <w:rPr>
                <w:rFonts w:asciiTheme="minorHAnsi" w:hAnsiTheme="minorHAnsi" w:cstheme="minorHAnsi"/>
                <w:iCs/>
                <w:sz w:val="24"/>
                <w:szCs w:val="24"/>
              </w:rPr>
              <w:t xml:space="preserve">orker within </w:t>
            </w:r>
            <w:r w:rsidR="00BD7F02">
              <w:rPr>
                <w:rFonts w:asciiTheme="minorHAnsi" w:hAnsiTheme="minorHAnsi" w:cstheme="minorHAnsi"/>
                <w:iCs/>
                <w:sz w:val="24"/>
                <w:szCs w:val="24"/>
              </w:rPr>
              <w:t>a</w:t>
            </w:r>
            <w:r w:rsidRPr="00B22A26">
              <w:rPr>
                <w:rFonts w:asciiTheme="minorHAnsi" w:hAnsiTheme="minorHAnsi" w:cstheme="minorHAnsi"/>
                <w:iCs/>
                <w:sz w:val="24"/>
                <w:szCs w:val="24"/>
              </w:rPr>
              <w:t xml:space="preserve">dult </w:t>
            </w:r>
            <w:r w:rsidR="00BD7F02">
              <w:rPr>
                <w:rFonts w:asciiTheme="minorHAnsi" w:hAnsiTheme="minorHAnsi" w:cstheme="minorHAnsi"/>
                <w:iCs/>
                <w:sz w:val="24"/>
                <w:szCs w:val="24"/>
              </w:rPr>
              <w:t>s</w:t>
            </w:r>
            <w:r w:rsidRPr="00B22A26">
              <w:rPr>
                <w:rFonts w:asciiTheme="minorHAnsi" w:hAnsiTheme="minorHAnsi" w:cstheme="minorHAnsi"/>
                <w:iCs/>
                <w:sz w:val="24"/>
                <w:szCs w:val="24"/>
              </w:rPr>
              <w:t>ervices. To help achieve this, I will be using Borton’s model of reflection, which can be referred to as the ‘What? So What? Now What?’ critical reflection model. This model is appealing as it was designed to be a simple and effective. The ‘What’ stage is the first part of the model and has a focus on describing the events without judgement which helps set the stage for deeper analysis in later stages (Simply Psychology, 2024).</w:t>
            </w:r>
          </w:p>
          <w:p w14:paraId="65A1F4C4" w14:textId="77777777" w:rsidR="00B22A26" w:rsidRPr="00B22A26" w:rsidRDefault="00B22A26" w:rsidP="00B22A26">
            <w:pPr>
              <w:jc w:val="both"/>
              <w:rPr>
                <w:rFonts w:asciiTheme="minorHAnsi" w:hAnsiTheme="minorHAnsi" w:cstheme="minorHAnsi"/>
                <w:iCs/>
                <w:sz w:val="24"/>
                <w:szCs w:val="24"/>
              </w:rPr>
            </w:pPr>
          </w:p>
          <w:p w14:paraId="6EC2A704" w14:textId="4A30F773"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I will be reflecting on the work I carried out with an older male who lived alone, referred to as Male 1. Male 1 initially became known to </w:t>
            </w:r>
            <w:r w:rsidR="00BD7F02">
              <w:rPr>
                <w:rFonts w:asciiTheme="minorHAnsi" w:hAnsiTheme="minorHAnsi" w:cstheme="minorHAnsi"/>
                <w:iCs/>
                <w:sz w:val="24"/>
                <w:szCs w:val="24"/>
              </w:rPr>
              <w:t>s</w:t>
            </w:r>
            <w:r w:rsidRPr="00B22A26">
              <w:rPr>
                <w:rFonts w:asciiTheme="minorHAnsi" w:hAnsiTheme="minorHAnsi" w:cstheme="minorHAnsi"/>
                <w:iCs/>
                <w:sz w:val="24"/>
                <w:szCs w:val="24"/>
              </w:rPr>
              <w:t xml:space="preserve">ocial </w:t>
            </w:r>
            <w:r w:rsidR="00BD7F02">
              <w:rPr>
                <w:rFonts w:asciiTheme="minorHAnsi" w:hAnsiTheme="minorHAnsi" w:cstheme="minorHAnsi"/>
                <w:iCs/>
                <w:sz w:val="24"/>
                <w:szCs w:val="24"/>
              </w:rPr>
              <w:t>s</w:t>
            </w:r>
            <w:r w:rsidRPr="00B22A26">
              <w:rPr>
                <w:rFonts w:asciiTheme="minorHAnsi" w:hAnsiTheme="minorHAnsi" w:cstheme="minorHAnsi"/>
                <w:iCs/>
                <w:sz w:val="24"/>
                <w:szCs w:val="24"/>
              </w:rPr>
              <w:t>ervices when a tradesman carried out a check on his property and was alarmed by the neglectful conditions Male 1 was living in. The tradesman discovered what the Social Services and Well-being (Wales) Act 2014, Section 126, would describe as an “Adult at Risk”. The Act states that an adult at risk is an adult who - a) is experiencing or is at risk of abuse or neglect, b) has needs for care and support (whether or not the authority is meeting any of those needs) and c) as a result of those needs is unable to protect himself or herself against the abuse or neglect or the risk of it (Legislation.gov.uk, 2025a).</w:t>
            </w:r>
          </w:p>
          <w:p w14:paraId="2C2F86BB" w14:textId="77777777" w:rsidR="00B22A26" w:rsidRPr="00B22A26" w:rsidRDefault="00B22A26" w:rsidP="00B22A26">
            <w:pPr>
              <w:jc w:val="both"/>
              <w:rPr>
                <w:rFonts w:asciiTheme="minorHAnsi" w:hAnsiTheme="minorHAnsi" w:cstheme="minorHAnsi"/>
                <w:iCs/>
                <w:sz w:val="24"/>
                <w:szCs w:val="24"/>
              </w:rPr>
            </w:pPr>
          </w:p>
          <w:p w14:paraId="3C8E410F"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Regarding reporting of safeguarding concerns, the Social Services and Well-being (Wales) Act 2014, Section 128, defines the legal duty of who needs to report. Section 128 of the act places a duty on relevant partners of a local authority, in that if they have reasonable cause to suspect that a person is an adult at risk, they must inform the local authority of that fact. (Legislation.gov.uk, 2025b). Section </w:t>
            </w:r>
            <w:r w:rsidRPr="00B22A26">
              <w:rPr>
                <w:rFonts w:asciiTheme="minorHAnsi" w:hAnsiTheme="minorHAnsi" w:cstheme="minorHAnsi"/>
                <w:iCs/>
                <w:sz w:val="24"/>
                <w:szCs w:val="24"/>
              </w:rPr>
              <w:lastRenderedPageBreak/>
              <w:t>162 defines relevant partners as police, the local authority, the secretary of state, probation services, local health board, the NHS trust, Welsh ministers, a person as regulations may specify, and youth offending teams (Legislation.gov.uk, 2025c).</w:t>
            </w:r>
          </w:p>
          <w:p w14:paraId="4A927FA7" w14:textId="77777777" w:rsidR="00B22A26" w:rsidRPr="00B22A26" w:rsidRDefault="00B22A26" w:rsidP="00B22A26">
            <w:pPr>
              <w:jc w:val="both"/>
              <w:rPr>
                <w:rFonts w:asciiTheme="minorHAnsi" w:hAnsiTheme="minorHAnsi" w:cstheme="minorHAnsi"/>
                <w:iCs/>
                <w:sz w:val="24"/>
                <w:szCs w:val="24"/>
              </w:rPr>
            </w:pPr>
          </w:p>
          <w:p w14:paraId="3862B8FD"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Regarding people who are not included as relevant partners, such as the tradesman; those not included in the ‘relevant partners’ listed in Section 162 are still expected to refer any safeguarding concerns, in much the same way as those who have a legal duty to report. This includes those in paid or non-paid employment, as well as those in the third sector and independent contractors (Social Care Wales, 2025a).</w:t>
            </w:r>
          </w:p>
          <w:p w14:paraId="0FD6C247" w14:textId="77777777" w:rsidR="00B22A26" w:rsidRPr="00B22A26" w:rsidRDefault="00B22A26" w:rsidP="00B22A26">
            <w:pPr>
              <w:jc w:val="both"/>
              <w:rPr>
                <w:rFonts w:asciiTheme="minorHAnsi" w:hAnsiTheme="minorHAnsi" w:cstheme="minorHAnsi"/>
                <w:iCs/>
                <w:sz w:val="24"/>
                <w:szCs w:val="24"/>
              </w:rPr>
            </w:pPr>
          </w:p>
          <w:p w14:paraId="3E5F81E6" w14:textId="7521D978"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When the local authority received the referral, a </w:t>
            </w:r>
            <w:r w:rsidR="00BD7F02">
              <w:rPr>
                <w:rFonts w:asciiTheme="minorHAnsi" w:hAnsiTheme="minorHAnsi" w:cstheme="minorHAnsi"/>
                <w:iCs/>
                <w:sz w:val="24"/>
                <w:szCs w:val="24"/>
              </w:rPr>
              <w:t>s</w:t>
            </w:r>
            <w:r w:rsidRPr="00B22A26">
              <w:rPr>
                <w:rFonts w:asciiTheme="minorHAnsi" w:hAnsiTheme="minorHAnsi" w:cstheme="minorHAnsi"/>
                <w:iCs/>
                <w:sz w:val="24"/>
                <w:szCs w:val="24"/>
              </w:rPr>
              <w:t xml:space="preserve">ocial </w:t>
            </w:r>
            <w:r w:rsidR="00BD7F02">
              <w:rPr>
                <w:rFonts w:asciiTheme="minorHAnsi" w:hAnsiTheme="minorHAnsi" w:cstheme="minorHAnsi"/>
                <w:iCs/>
                <w:sz w:val="24"/>
                <w:szCs w:val="24"/>
              </w:rPr>
              <w:t>w</w:t>
            </w:r>
            <w:r w:rsidRPr="00B22A26">
              <w:rPr>
                <w:rFonts w:asciiTheme="minorHAnsi" w:hAnsiTheme="minorHAnsi" w:cstheme="minorHAnsi"/>
                <w:iCs/>
                <w:sz w:val="24"/>
                <w:szCs w:val="24"/>
              </w:rPr>
              <w:t>orker was allocated for investigation. The allocation is consistent with the Social Services and Well-being (Wales) Act 2014 Section 126, which states that if a local authority has reasonable cause to suspect that a person within its area is an adult at risk, it must make (or cause to be made) whatever enquiries it thinks necessary to enable it to decide whether any action should be taken (Legislation.gov.uk, 2025c).</w:t>
            </w:r>
          </w:p>
          <w:p w14:paraId="24B0119A" w14:textId="77777777" w:rsidR="00B22A26" w:rsidRPr="00B22A26" w:rsidRDefault="00B22A26" w:rsidP="00B22A26">
            <w:pPr>
              <w:jc w:val="both"/>
              <w:rPr>
                <w:rFonts w:asciiTheme="minorHAnsi" w:hAnsiTheme="minorHAnsi" w:cstheme="minorHAnsi"/>
                <w:iCs/>
                <w:sz w:val="24"/>
                <w:szCs w:val="24"/>
              </w:rPr>
            </w:pPr>
          </w:p>
          <w:p w14:paraId="71073309" w14:textId="048E824E"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When Male 1’s previous </w:t>
            </w:r>
            <w:r w:rsidR="00BD7F02">
              <w:rPr>
                <w:rFonts w:asciiTheme="minorHAnsi" w:hAnsiTheme="minorHAnsi" w:cstheme="minorHAnsi"/>
                <w:iCs/>
                <w:sz w:val="24"/>
                <w:szCs w:val="24"/>
              </w:rPr>
              <w:t>s</w:t>
            </w:r>
            <w:r w:rsidRPr="00B22A26">
              <w:rPr>
                <w:rFonts w:asciiTheme="minorHAnsi" w:hAnsiTheme="minorHAnsi" w:cstheme="minorHAnsi"/>
                <w:iCs/>
                <w:sz w:val="24"/>
                <w:szCs w:val="24"/>
              </w:rPr>
              <w:t xml:space="preserve">ocial </w:t>
            </w:r>
            <w:r w:rsidR="00BD7F02">
              <w:rPr>
                <w:rFonts w:asciiTheme="minorHAnsi" w:hAnsiTheme="minorHAnsi" w:cstheme="minorHAnsi"/>
                <w:iCs/>
                <w:sz w:val="24"/>
                <w:szCs w:val="24"/>
              </w:rPr>
              <w:t>w</w:t>
            </w:r>
            <w:r w:rsidRPr="00B22A26">
              <w:rPr>
                <w:rFonts w:asciiTheme="minorHAnsi" w:hAnsiTheme="minorHAnsi" w:cstheme="minorHAnsi"/>
                <w:iCs/>
                <w:sz w:val="24"/>
                <w:szCs w:val="24"/>
              </w:rPr>
              <w:t xml:space="preserve">orker </w:t>
            </w:r>
            <w:proofErr w:type="gramStart"/>
            <w:r w:rsidRPr="00B22A26">
              <w:rPr>
                <w:rFonts w:asciiTheme="minorHAnsi" w:hAnsiTheme="minorHAnsi" w:cstheme="minorHAnsi"/>
                <w:iCs/>
                <w:sz w:val="24"/>
                <w:szCs w:val="24"/>
              </w:rPr>
              <w:t>made contact with</w:t>
            </w:r>
            <w:proofErr w:type="gramEnd"/>
            <w:r w:rsidRPr="00B22A26">
              <w:rPr>
                <w:rFonts w:asciiTheme="minorHAnsi" w:hAnsiTheme="minorHAnsi" w:cstheme="minorHAnsi"/>
                <w:iCs/>
                <w:sz w:val="24"/>
                <w:szCs w:val="24"/>
              </w:rPr>
              <w:t xml:space="preserve"> him, they discovered he was in state of heavy self-neglect. He was found lying in bed, fatigued, covered in excrement and severely malnourished. The </w:t>
            </w:r>
            <w:r w:rsidR="00BD7F02">
              <w:rPr>
                <w:rFonts w:asciiTheme="minorHAnsi" w:hAnsiTheme="minorHAnsi" w:cstheme="minorHAnsi"/>
                <w:iCs/>
                <w:sz w:val="24"/>
                <w:szCs w:val="24"/>
              </w:rPr>
              <w:t>s</w:t>
            </w:r>
            <w:r w:rsidRPr="00B22A26">
              <w:rPr>
                <w:rFonts w:asciiTheme="minorHAnsi" w:hAnsiTheme="minorHAnsi" w:cstheme="minorHAnsi"/>
                <w:iCs/>
                <w:sz w:val="24"/>
                <w:szCs w:val="24"/>
              </w:rPr>
              <w:t xml:space="preserve">ocial </w:t>
            </w:r>
            <w:r w:rsidR="00BD7F02">
              <w:rPr>
                <w:rFonts w:asciiTheme="minorHAnsi" w:hAnsiTheme="minorHAnsi" w:cstheme="minorHAnsi"/>
                <w:iCs/>
                <w:sz w:val="24"/>
                <w:szCs w:val="24"/>
              </w:rPr>
              <w:t>w</w:t>
            </w:r>
            <w:r w:rsidRPr="00B22A26">
              <w:rPr>
                <w:rFonts w:asciiTheme="minorHAnsi" w:hAnsiTheme="minorHAnsi" w:cstheme="minorHAnsi"/>
                <w:iCs/>
                <w:sz w:val="24"/>
                <w:szCs w:val="24"/>
              </w:rPr>
              <w:t xml:space="preserve">orker believed that Male 1 was close to death and supported him to call for an ambulance. This led to a lengthy period of continuous monitoring and involvement from </w:t>
            </w:r>
            <w:r w:rsidR="00881AF3">
              <w:rPr>
                <w:rFonts w:asciiTheme="minorHAnsi" w:hAnsiTheme="minorHAnsi" w:cstheme="minorHAnsi"/>
                <w:iCs/>
                <w:sz w:val="24"/>
                <w:szCs w:val="24"/>
              </w:rPr>
              <w:t>s</w:t>
            </w:r>
            <w:r w:rsidRPr="00B22A26">
              <w:rPr>
                <w:rFonts w:asciiTheme="minorHAnsi" w:hAnsiTheme="minorHAnsi" w:cstheme="minorHAnsi"/>
                <w:iCs/>
                <w:sz w:val="24"/>
                <w:szCs w:val="24"/>
              </w:rPr>
              <w:t xml:space="preserve">ocial </w:t>
            </w:r>
            <w:r w:rsidR="00881AF3">
              <w:rPr>
                <w:rFonts w:asciiTheme="minorHAnsi" w:hAnsiTheme="minorHAnsi" w:cstheme="minorHAnsi"/>
                <w:iCs/>
                <w:sz w:val="24"/>
                <w:szCs w:val="24"/>
              </w:rPr>
              <w:t>s</w:t>
            </w:r>
            <w:r w:rsidRPr="00B22A26">
              <w:rPr>
                <w:rFonts w:asciiTheme="minorHAnsi" w:hAnsiTheme="minorHAnsi" w:cstheme="minorHAnsi"/>
                <w:iCs/>
                <w:sz w:val="24"/>
                <w:szCs w:val="24"/>
              </w:rPr>
              <w:t>ervices. Deep cleans were carried out in his property during absences such as hospitalisations and temporary care home stays. He spent a period in a reablement focussed home, which he was due to be evicted from due to non-engagement, and at this point the case was transferred to me.</w:t>
            </w:r>
          </w:p>
          <w:p w14:paraId="439B4070" w14:textId="77777777" w:rsidR="00B22A26" w:rsidRPr="00B22A26" w:rsidRDefault="00B22A26" w:rsidP="00B22A26">
            <w:pPr>
              <w:jc w:val="both"/>
              <w:rPr>
                <w:rFonts w:asciiTheme="minorHAnsi" w:hAnsiTheme="minorHAnsi" w:cstheme="minorHAnsi"/>
                <w:iCs/>
                <w:sz w:val="24"/>
                <w:szCs w:val="24"/>
              </w:rPr>
            </w:pPr>
          </w:p>
          <w:p w14:paraId="3C3DE258"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In our initial chats, I asked if Male 1 speaks Welsh and he did not. The purpose of this was to provide an ‘Active Offer’ which essentially means to provide a service in Welsh without it being asked for. The ‘Active Offer’ is the core principle of ‘More than just words’, the Welsh government's framework for strengthening Welsh language services in health and social care. This ensures that we can provide a person-centred service, enabling the service user to be in control and completely understand the services being offered. (Welsh Government, 2015a)</w:t>
            </w:r>
          </w:p>
          <w:p w14:paraId="0FEF8CEE" w14:textId="77777777" w:rsidR="00B22A26" w:rsidRPr="00B22A26" w:rsidRDefault="00B22A26" w:rsidP="00B22A26">
            <w:pPr>
              <w:jc w:val="both"/>
              <w:rPr>
                <w:rFonts w:asciiTheme="minorHAnsi" w:hAnsiTheme="minorHAnsi" w:cstheme="minorHAnsi"/>
                <w:iCs/>
                <w:sz w:val="24"/>
                <w:szCs w:val="24"/>
              </w:rPr>
            </w:pPr>
          </w:p>
          <w:p w14:paraId="2D213066"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I needed to establish Male 1’s wishes as part of the assessment process, and he wanted to go home desperately. I made it my aim to help support him with this. The information I received from senior staff at home, is that he was not engaging in occupational therapy and accepting very little help offered. Staff informed that due to the lack of engagement with support, the reablement home had issued a termination of his stay. Male 1 also refused to have any care at home, despite rarely washing in the reablement home.</w:t>
            </w:r>
          </w:p>
          <w:p w14:paraId="4AB0A5FF" w14:textId="77777777" w:rsidR="009367DE" w:rsidRPr="00B22A26" w:rsidRDefault="009367DE" w:rsidP="00B22A26">
            <w:pPr>
              <w:jc w:val="both"/>
              <w:rPr>
                <w:rFonts w:asciiTheme="minorHAnsi" w:hAnsiTheme="minorHAnsi" w:cstheme="minorHAnsi"/>
                <w:iCs/>
                <w:sz w:val="24"/>
                <w:szCs w:val="24"/>
              </w:rPr>
            </w:pPr>
          </w:p>
          <w:p w14:paraId="6D4A7824" w14:textId="77777777" w:rsidR="00B22A26" w:rsidRP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The notion of Male 1s refusing support seemed unusual, and initially I wondered if there could be possible mental capacity concerns. However, I found Male 1 very engageable to speak with, he responded appropriately to my questions and no issues with his memory were ever observed. I learned that Male 1 had received recent support from the community mental health team, who concluded that there was no impairment of the mind, and Male 1 was making unwise decisions. I also had no reason to not assume mental capacity with any decision discussed. </w:t>
            </w:r>
          </w:p>
          <w:p w14:paraId="5CEFFB08"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lastRenderedPageBreak/>
              <w:t xml:space="preserve">Mental capacity relates to decision making. The Mental Capacity Act Part 1 defines a person as lacking capacity if they are unable to </w:t>
            </w:r>
            <w:proofErr w:type="gramStart"/>
            <w:r w:rsidRPr="00B22A26">
              <w:rPr>
                <w:rFonts w:asciiTheme="minorHAnsi" w:hAnsiTheme="minorHAnsi" w:cstheme="minorHAnsi"/>
                <w:iCs/>
                <w:sz w:val="24"/>
                <w:szCs w:val="24"/>
              </w:rPr>
              <w:t>make a decision</w:t>
            </w:r>
            <w:proofErr w:type="gramEnd"/>
            <w:r w:rsidRPr="00B22A26">
              <w:rPr>
                <w:rFonts w:asciiTheme="minorHAnsi" w:hAnsiTheme="minorHAnsi" w:cstheme="minorHAnsi"/>
                <w:iCs/>
                <w:sz w:val="24"/>
                <w:szCs w:val="24"/>
              </w:rPr>
              <w:t xml:space="preserve"> for themselves because of an impairment of, or a disturbance in the functioning of, the mind or brain (Legislation.gov.uk, 2025d). There are five principles of the act to help protect individuals. A person must be assumed to have capacity unless established otherwise, capacity is not assumed unless practical steps are to be used to help a person make a decision, a person is not to be treated as unable to make a decision because they make unwise decisions, decisions are to be made in a person best interests, and decisions are to be the least restrictive (Legislation.gov.uk, 2025e).</w:t>
            </w:r>
          </w:p>
          <w:p w14:paraId="39CAFFC9" w14:textId="77777777" w:rsidR="009367DE" w:rsidRPr="00B22A26" w:rsidRDefault="009367DE" w:rsidP="00B22A26">
            <w:pPr>
              <w:jc w:val="both"/>
              <w:rPr>
                <w:rFonts w:asciiTheme="minorHAnsi" w:hAnsiTheme="minorHAnsi" w:cstheme="minorHAnsi"/>
                <w:iCs/>
                <w:sz w:val="24"/>
                <w:szCs w:val="24"/>
              </w:rPr>
            </w:pPr>
          </w:p>
          <w:p w14:paraId="7D7E48C8"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I wanted to ensure I worked in a way that was respectful of Male 1’s choices. One of the fundamental principles of the Social Services and Well-being (Wales) Act 2014 is voice and control. Voice and control concerns expressing the need to put the individuals and their needs at the centre of their care, and giving them a voice in, and control of, the outcomes which help them achieve well-being (Social Care Wales, 2025b).</w:t>
            </w:r>
          </w:p>
          <w:p w14:paraId="5BF404EF" w14:textId="77777777" w:rsidR="009367DE" w:rsidRPr="00B22A26" w:rsidRDefault="009367DE" w:rsidP="00B22A26">
            <w:pPr>
              <w:jc w:val="both"/>
              <w:rPr>
                <w:rFonts w:asciiTheme="minorHAnsi" w:hAnsiTheme="minorHAnsi" w:cstheme="minorHAnsi"/>
                <w:iCs/>
                <w:sz w:val="24"/>
                <w:szCs w:val="24"/>
              </w:rPr>
            </w:pPr>
          </w:p>
          <w:p w14:paraId="70BB098E"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Another relevant piece of legislation in terms of safeguarding and providing support to Male 1, is the Human Rights Act 1998. Article 8 of the Act states that everyone has the right to respect for his private and family life, his home and his correspondence, and that there shall be no interference by a public authority with the exercise of this this right except such as is in accordance with the law (Legislation.gov.uk, 2025f).</w:t>
            </w:r>
          </w:p>
          <w:p w14:paraId="0E66C5B9" w14:textId="77777777" w:rsidR="009367DE" w:rsidRPr="00B22A26" w:rsidRDefault="009367DE" w:rsidP="00B22A26">
            <w:pPr>
              <w:jc w:val="both"/>
              <w:rPr>
                <w:rFonts w:asciiTheme="minorHAnsi" w:hAnsiTheme="minorHAnsi" w:cstheme="minorHAnsi"/>
                <w:iCs/>
                <w:sz w:val="24"/>
                <w:szCs w:val="24"/>
              </w:rPr>
            </w:pPr>
          </w:p>
          <w:p w14:paraId="526A71D0" w14:textId="40AB5CB1"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As </w:t>
            </w:r>
            <w:r w:rsidR="00881AF3">
              <w:rPr>
                <w:rFonts w:asciiTheme="minorHAnsi" w:hAnsiTheme="minorHAnsi" w:cstheme="minorHAnsi"/>
                <w:iCs/>
                <w:sz w:val="24"/>
                <w:szCs w:val="24"/>
              </w:rPr>
              <w:t>s</w:t>
            </w:r>
            <w:r w:rsidRPr="00B22A26">
              <w:rPr>
                <w:rFonts w:asciiTheme="minorHAnsi" w:hAnsiTheme="minorHAnsi" w:cstheme="minorHAnsi"/>
                <w:iCs/>
                <w:sz w:val="24"/>
                <w:szCs w:val="24"/>
              </w:rPr>
              <w:t xml:space="preserve">ocial </w:t>
            </w:r>
            <w:r w:rsidR="00881AF3">
              <w:rPr>
                <w:rFonts w:asciiTheme="minorHAnsi" w:hAnsiTheme="minorHAnsi" w:cstheme="minorHAnsi"/>
                <w:iCs/>
                <w:sz w:val="24"/>
                <w:szCs w:val="24"/>
              </w:rPr>
              <w:t>c</w:t>
            </w:r>
            <w:r w:rsidRPr="00B22A26">
              <w:rPr>
                <w:rFonts w:asciiTheme="minorHAnsi" w:hAnsiTheme="minorHAnsi" w:cstheme="minorHAnsi"/>
                <w:iCs/>
                <w:sz w:val="24"/>
                <w:szCs w:val="24"/>
              </w:rPr>
              <w:t xml:space="preserve">are </w:t>
            </w:r>
            <w:r w:rsidR="00881AF3">
              <w:rPr>
                <w:rFonts w:asciiTheme="minorHAnsi" w:hAnsiTheme="minorHAnsi" w:cstheme="minorHAnsi"/>
                <w:iCs/>
                <w:sz w:val="24"/>
                <w:szCs w:val="24"/>
              </w:rPr>
              <w:t>p</w:t>
            </w:r>
            <w:r w:rsidRPr="00B22A26">
              <w:rPr>
                <w:rFonts w:asciiTheme="minorHAnsi" w:hAnsiTheme="minorHAnsi" w:cstheme="minorHAnsi"/>
                <w:iCs/>
                <w:sz w:val="24"/>
                <w:szCs w:val="24"/>
              </w:rPr>
              <w:t>rofessionals involved in safeguarding work we face a dilemma; the need to protect versus the need to promote rights. We have a duty to make enquires we think necessary to decide whether any action should be taken under the Social Services and Well-being (Wales) Act 2014, Section 126. However, we also need to be mindful of the rights an adult has under the Mental Capacity Act (if applicable), the core principles of Social Services and Well-being (Wales) Act relating to voice and control, as well as the respect for privacy under the Human Rights Act 1998.</w:t>
            </w:r>
          </w:p>
          <w:p w14:paraId="20288975" w14:textId="77777777" w:rsidR="009367DE" w:rsidRPr="00B22A26" w:rsidRDefault="009367DE" w:rsidP="00B22A26">
            <w:pPr>
              <w:jc w:val="both"/>
              <w:rPr>
                <w:rFonts w:asciiTheme="minorHAnsi" w:hAnsiTheme="minorHAnsi" w:cstheme="minorHAnsi"/>
                <w:iCs/>
                <w:sz w:val="24"/>
                <w:szCs w:val="24"/>
              </w:rPr>
            </w:pPr>
          </w:p>
          <w:p w14:paraId="589D21B0"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To help guide us through the ethical dilemmas we may face with safeguarding investigations, a person-centred approach is recommended. The Code of Practice on General Functions of the Social Services and Well-being (Wales) Act 2014 recognises that the rights of the individual, as well as their best interests, should always be paramount. The individual’s views, wishes and feelings should be ascertained and the importance of promoting and respecting the dignity of the individual should be highlighted (Social Care Wales, 2025c).</w:t>
            </w:r>
          </w:p>
          <w:p w14:paraId="596386C3" w14:textId="77777777" w:rsidR="009367DE" w:rsidRPr="00B22A26" w:rsidRDefault="009367DE" w:rsidP="00B22A26">
            <w:pPr>
              <w:jc w:val="both"/>
              <w:rPr>
                <w:rFonts w:asciiTheme="minorHAnsi" w:hAnsiTheme="minorHAnsi" w:cstheme="minorHAnsi"/>
                <w:iCs/>
                <w:sz w:val="24"/>
                <w:szCs w:val="24"/>
              </w:rPr>
            </w:pPr>
          </w:p>
          <w:p w14:paraId="1F2230B6"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To help practitioners take a person-centred approach when working with adults at risk of abuse or neglect. Working in person-centred manner involves, seeing and speaking with the individual. Ensuring that their ability to participate is considered and to consider if advocacy or communication support is helpful. Fostering a positive relationship, so the adult at risk feels confident to speak freely. Finding out about their daily lived experience so practitioners can see how abuse or neglect is impacting the person, their needs, areas of strengths and risk factors. Establishing what they would like to see change in their lives which helps give understanding of how the adult at risk perceives the abuse or neglect and the personal outcomes they hope to achieve through intervention (Social Care Wales, 2025d).</w:t>
            </w:r>
          </w:p>
          <w:p w14:paraId="5F21775C" w14:textId="77777777" w:rsidR="009367DE" w:rsidRPr="00B22A26" w:rsidRDefault="009367DE" w:rsidP="00B22A26">
            <w:pPr>
              <w:jc w:val="both"/>
              <w:rPr>
                <w:rFonts w:asciiTheme="minorHAnsi" w:hAnsiTheme="minorHAnsi" w:cstheme="minorHAnsi"/>
                <w:iCs/>
                <w:sz w:val="24"/>
                <w:szCs w:val="24"/>
              </w:rPr>
            </w:pPr>
          </w:p>
          <w:p w14:paraId="7DB36C70" w14:textId="05DF164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It is important to take the wishes of the person seriously; however, their wishes may be over-ridden if the adult at risk, does not have the mental capacity to make decisions in their best interests (Social Care Wales, 2025d). In these occasions Principle 4 of the Mental Capacity Act is critical, that decisions made for the person, must be made in his or her best interest. The person who makes the decision is known as the ‘decision-maker’ and will normally be a </w:t>
            </w:r>
            <w:r w:rsidR="006A1247">
              <w:rPr>
                <w:rFonts w:asciiTheme="minorHAnsi" w:hAnsiTheme="minorHAnsi" w:cstheme="minorHAnsi"/>
                <w:iCs/>
                <w:sz w:val="24"/>
                <w:szCs w:val="24"/>
              </w:rPr>
              <w:t>S</w:t>
            </w:r>
            <w:r w:rsidRPr="00B22A26">
              <w:rPr>
                <w:rFonts w:asciiTheme="minorHAnsi" w:hAnsiTheme="minorHAnsi" w:cstheme="minorHAnsi"/>
                <w:iCs/>
                <w:sz w:val="24"/>
                <w:szCs w:val="24"/>
              </w:rPr>
              <w:t xml:space="preserve">ocial Worker, Doctor or Nurse where decisions about care arrangements, accommodation or treatment need to be made (Social Care Institute for Excellence, 2025a). Where there are disagreements over serious decisions concerning individuals who lack capacity, an application to the Court of Protection is necessary. The Court of Protection can make legally binding orders, and act as the final decision maker. However, the individual's past and present wishes, beliefs, and values, will always be considered by the court (MIND, 2023). </w:t>
            </w:r>
          </w:p>
          <w:p w14:paraId="181A3660" w14:textId="77777777" w:rsidR="009367DE" w:rsidRPr="00B22A26" w:rsidRDefault="009367DE" w:rsidP="00B22A26">
            <w:pPr>
              <w:jc w:val="both"/>
              <w:rPr>
                <w:rFonts w:asciiTheme="minorHAnsi" w:hAnsiTheme="minorHAnsi" w:cstheme="minorHAnsi"/>
                <w:iCs/>
                <w:sz w:val="24"/>
                <w:szCs w:val="24"/>
              </w:rPr>
            </w:pPr>
          </w:p>
          <w:p w14:paraId="6753F8F9"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There was no reason to question Male 1’s capacity in relation to decision making. I aimed to work with him using a person-centred approach. After failing to persuade Male 1 to consider a care package, ultimately, I was supportive of Male 1’s decision to return home and respected his wishes regarding declining care. I had concerns about his mobility so had Male 1 and the Occupational Therapist agree to start supervised walking practice. Male 1 gave me permission to contact a friend of his and we helped check and prepare his home for discharge. I made use of the food bank to ensure he had food in, and incontinence products were ordered. </w:t>
            </w:r>
          </w:p>
          <w:p w14:paraId="0B7F1D29" w14:textId="77777777" w:rsidR="009367DE" w:rsidRPr="00B22A26" w:rsidRDefault="009367DE" w:rsidP="00B22A26">
            <w:pPr>
              <w:jc w:val="both"/>
              <w:rPr>
                <w:rFonts w:asciiTheme="minorHAnsi" w:hAnsiTheme="minorHAnsi" w:cstheme="minorHAnsi"/>
                <w:iCs/>
                <w:sz w:val="24"/>
                <w:szCs w:val="24"/>
              </w:rPr>
            </w:pPr>
          </w:p>
          <w:p w14:paraId="1B836511"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Upon arrival home, Male 1 had a quick intervention from OT to ensure he had appropriate mobility aids, but it was not long till I discovered the extent of Male 1’s neglectful behaviour. He refused to wear the incontinence products, and his bed, clothes, body and home, grew increasingly unkempt. Rubbish was never put in the bins, and plates were rarely washed up. Male 1 would spend most of his time in bed, and his appearance and home environment became increasing concerning. There was a need for more support within the community, and until this was found, I found myself monitoring Male 1 regularly.</w:t>
            </w:r>
          </w:p>
          <w:p w14:paraId="415C729D" w14:textId="77777777" w:rsidR="009367DE" w:rsidRPr="00B22A26" w:rsidRDefault="009367DE" w:rsidP="00B22A26">
            <w:pPr>
              <w:jc w:val="both"/>
              <w:rPr>
                <w:rFonts w:asciiTheme="minorHAnsi" w:hAnsiTheme="minorHAnsi" w:cstheme="minorHAnsi"/>
                <w:iCs/>
                <w:sz w:val="24"/>
                <w:szCs w:val="24"/>
              </w:rPr>
            </w:pPr>
          </w:p>
          <w:p w14:paraId="1AC8F347"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Male 1 was consistent in that he wanted no one to provide personal care for him daily but did agree to an infrequent prevention support service to help support with monthly welfare checks. He agreed to a fire safety check. I supported him with arranging food delivery, medication delivery, as well as dealing with emergencies as they occurred. However, his living conditions became increasing unhygienic, and the rubbish and clutter were also a falls hazard.</w:t>
            </w:r>
          </w:p>
          <w:p w14:paraId="7AF7E0FA" w14:textId="77777777" w:rsidR="009367DE" w:rsidRPr="00B22A26" w:rsidRDefault="009367DE" w:rsidP="00B22A26">
            <w:pPr>
              <w:jc w:val="both"/>
              <w:rPr>
                <w:rFonts w:asciiTheme="minorHAnsi" w:hAnsiTheme="minorHAnsi" w:cstheme="minorHAnsi"/>
                <w:iCs/>
                <w:sz w:val="24"/>
                <w:szCs w:val="24"/>
              </w:rPr>
            </w:pPr>
          </w:p>
          <w:p w14:paraId="2A29A3D1"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Over time a trusting professional relationship between us was built. Eventually I was able to persuade Male 1 to consider a small home care package. We discussed the proposed care times and lengths prior, and I helped facilitate a meeting so he could talk with the team leader of a care company first. Male 1 agreed to the proposed care package, however, on the first day of the care starting, Male 1 declined their support and the care provider ceased and returned the package of care. </w:t>
            </w:r>
          </w:p>
          <w:p w14:paraId="28258641" w14:textId="77777777" w:rsidR="009367DE" w:rsidRPr="00B22A26" w:rsidRDefault="009367DE" w:rsidP="00B22A26">
            <w:pPr>
              <w:jc w:val="both"/>
              <w:rPr>
                <w:rFonts w:asciiTheme="minorHAnsi" w:hAnsiTheme="minorHAnsi" w:cstheme="minorHAnsi"/>
                <w:iCs/>
                <w:sz w:val="24"/>
                <w:szCs w:val="24"/>
              </w:rPr>
            </w:pPr>
          </w:p>
          <w:p w14:paraId="1A7E452C"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At this point I felt a different approach was needed and I had a change in my analysis of assessment. Upon reflection, I was able to persuade Male 1 to say yes to the package of care, but perhaps I did not truly consider how agreeable Male 1 really was to it. I concluded that it would be best to find support for the home environment instead of a focus on personal care, which had never been of high </w:t>
            </w:r>
            <w:r w:rsidRPr="00B22A26">
              <w:rPr>
                <w:rFonts w:asciiTheme="minorHAnsi" w:hAnsiTheme="minorHAnsi" w:cstheme="minorHAnsi"/>
                <w:iCs/>
                <w:sz w:val="24"/>
                <w:szCs w:val="24"/>
              </w:rPr>
              <w:lastRenderedPageBreak/>
              <w:t xml:space="preserve">importance to Male 1. The home environment was getting increasingly unhygienic and cluttered, and it would be a matter of time before it became too unsafe to live in. I was able to find a specialist cleaner who was willing to support. This was a service which Male 1 was much more agreeable with. The service was put in place, and the cleaner was able to form a very good relationship with Male 1. The cleaner was able to keep the home environment at bay, provide weekly monitoring and help facilitate appointments with others. </w:t>
            </w:r>
          </w:p>
          <w:p w14:paraId="7E133C7A" w14:textId="77777777" w:rsidR="009367DE" w:rsidRPr="00B22A26" w:rsidRDefault="009367DE" w:rsidP="00B22A26">
            <w:pPr>
              <w:jc w:val="both"/>
              <w:rPr>
                <w:rFonts w:asciiTheme="minorHAnsi" w:hAnsiTheme="minorHAnsi" w:cstheme="minorHAnsi"/>
                <w:iCs/>
                <w:sz w:val="24"/>
                <w:szCs w:val="24"/>
              </w:rPr>
            </w:pPr>
          </w:p>
          <w:p w14:paraId="79305DF5"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Returning to Borton’s model of reflection, the events can now be analysed using the “So what?” stage of the reflection tool. This section has a focus on how we feel during an event and asking why we feel this way. Areas to look at could include the effects of what we did or did not do, positive and negative aspects of the events, analysing if our feelings were different to other peoples, reflecting if we feel troubled and reflecting on reasons why (Simply Psychology, 2024).</w:t>
            </w:r>
          </w:p>
          <w:p w14:paraId="0C8BE1EA" w14:textId="77777777" w:rsidR="009367DE" w:rsidRPr="00B22A26" w:rsidRDefault="009367DE" w:rsidP="00B22A26">
            <w:pPr>
              <w:jc w:val="both"/>
              <w:rPr>
                <w:rFonts w:asciiTheme="minorHAnsi" w:hAnsiTheme="minorHAnsi" w:cstheme="minorHAnsi"/>
                <w:iCs/>
                <w:sz w:val="24"/>
                <w:szCs w:val="24"/>
              </w:rPr>
            </w:pPr>
          </w:p>
          <w:p w14:paraId="4F9169F4"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There were times many times I felt powerless in that I could not find the right service to help support Male 1, prior to the cleaner intervention. I had difficulty finding appropriate support for some time, and for many months, I was his primary contact in terms of monitoring. One reason to help explain the lack of services is the rural location Male 1 lives in. </w:t>
            </w:r>
          </w:p>
          <w:p w14:paraId="0F54714D" w14:textId="77777777" w:rsidR="009367DE" w:rsidRPr="00B22A26" w:rsidRDefault="009367DE" w:rsidP="00B22A26">
            <w:pPr>
              <w:jc w:val="both"/>
              <w:rPr>
                <w:rFonts w:asciiTheme="minorHAnsi" w:hAnsiTheme="minorHAnsi" w:cstheme="minorHAnsi"/>
                <w:iCs/>
                <w:sz w:val="24"/>
                <w:szCs w:val="24"/>
              </w:rPr>
            </w:pPr>
          </w:p>
          <w:p w14:paraId="189A897D" w14:textId="4A73A4B0"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Male 1 </w:t>
            </w:r>
            <w:proofErr w:type="gramStart"/>
            <w:r w:rsidRPr="00B22A26">
              <w:rPr>
                <w:rFonts w:asciiTheme="minorHAnsi" w:hAnsiTheme="minorHAnsi" w:cstheme="minorHAnsi"/>
                <w:iCs/>
                <w:sz w:val="24"/>
                <w:szCs w:val="24"/>
              </w:rPr>
              <w:t>lives</w:t>
            </w:r>
            <w:proofErr w:type="gramEnd"/>
            <w:r w:rsidRPr="00B22A26">
              <w:rPr>
                <w:rFonts w:asciiTheme="minorHAnsi" w:hAnsiTheme="minorHAnsi" w:cstheme="minorHAnsi"/>
                <w:iCs/>
                <w:sz w:val="24"/>
                <w:szCs w:val="24"/>
              </w:rPr>
              <w:t xml:space="preserve"> in a small town which the Welsh government would define as rural and in a sparsely populated area (Welsh Government, 2025</w:t>
            </w:r>
            <w:r w:rsidR="00D85585">
              <w:rPr>
                <w:rFonts w:asciiTheme="minorHAnsi" w:hAnsiTheme="minorHAnsi" w:cstheme="minorHAnsi"/>
                <w:iCs/>
                <w:sz w:val="24"/>
                <w:szCs w:val="24"/>
              </w:rPr>
              <w:t>a</w:t>
            </w:r>
            <w:r w:rsidRPr="00B22A26">
              <w:rPr>
                <w:rFonts w:asciiTheme="minorHAnsi" w:hAnsiTheme="minorHAnsi" w:cstheme="minorHAnsi"/>
                <w:iCs/>
                <w:sz w:val="24"/>
                <w:szCs w:val="24"/>
              </w:rPr>
              <w:t xml:space="preserve">). In Wales, rural areas are more deprived of services than urban areas. The Public Policy Institute for Wales have observed a decline in rural shops, post offices, leisure centres, police stations and health services. Regarding health, people in rural areas need to travel greater distances to access health services such as GP surgeries and hospitals, and they have less choice about whom they see for treatment (Williams and Doyle, 2016). Based on this information, it is highly likely that Male 1s opportunities for social care within the community were also more limited than urban areas. </w:t>
            </w:r>
          </w:p>
          <w:p w14:paraId="3D409D9A" w14:textId="77777777" w:rsidR="009367DE" w:rsidRPr="00B22A26" w:rsidRDefault="009367DE" w:rsidP="00B22A26">
            <w:pPr>
              <w:jc w:val="both"/>
              <w:rPr>
                <w:rFonts w:asciiTheme="minorHAnsi" w:hAnsiTheme="minorHAnsi" w:cstheme="minorHAnsi"/>
                <w:iCs/>
                <w:sz w:val="24"/>
                <w:szCs w:val="24"/>
              </w:rPr>
            </w:pPr>
          </w:p>
          <w:p w14:paraId="7B993DB3"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Along with the difficulty of finding the right service to support Male 1, for a time I was the only person who had regular face to face contact with him. Upon reflection, it is apparent how isolated he was. During this period there were times where he would also attempt to contact me multiple times a day, and I suspect a reason for this could be loneliness.</w:t>
            </w:r>
          </w:p>
          <w:p w14:paraId="3BFBC3D4" w14:textId="77777777" w:rsidR="009367DE" w:rsidRPr="00B22A26" w:rsidRDefault="009367DE" w:rsidP="00B22A26">
            <w:pPr>
              <w:jc w:val="both"/>
              <w:rPr>
                <w:rFonts w:asciiTheme="minorHAnsi" w:hAnsiTheme="minorHAnsi" w:cstheme="minorHAnsi"/>
                <w:iCs/>
                <w:sz w:val="24"/>
                <w:szCs w:val="24"/>
              </w:rPr>
            </w:pPr>
          </w:p>
          <w:p w14:paraId="40E0EC32" w14:textId="7A4A6DC6"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I come across many people who have little social contact and are lonely in our local area. Research suggests loneliness is not uncommon. The National Survey for Wales 2016-17 found that 17% of the population of Wales, around 440,000 people, reported being lonely. The effect of social Isolation and loneliness are also linked to several physical and psychological problems including premature death, sleep problems, high blood pressure, poor quality of life, risk of heart attack and stroke, depression and suicide (Welsh Government, 2025</w:t>
            </w:r>
            <w:r w:rsidR="00D85585">
              <w:rPr>
                <w:rFonts w:asciiTheme="minorHAnsi" w:hAnsiTheme="minorHAnsi" w:cstheme="minorHAnsi"/>
                <w:iCs/>
                <w:sz w:val="24"/>
                <w:szCs w:val="24"/>
              </w:rPr>
              <w:t>b</w:t>
            </w:r>
            <w:r w:rsidRPr="00B22A26">
              <w:rPr>
                <w:rFonts w:asciiTheme="minorHAnsi" w:hAnsiTheme="minorHAnsi" w:cstheme="minorHAnsi"/>
                <w:iCs/>
                <w:sz w:val="24"/>
                <w:szCs w:val="24"/>
              </w:rPr>
              <w:t xml:space="preserve">). </w:t>
            </w:r>
          </w:p>
          <w:p w14:paraId="0E4C264E" w14:textId="77777777" w:rsidR="009367DE" w:rsidRPr="00B22A26" w:rsidRDefault="009367DE" w:rsidP="00B22A26">
            <w:pPr>
              <w:jc w:val="both"/>
              <w:rPr>
                <w:rFonts w:asciiTheme="minorHAnsi" w:hAnsiTheme="minorHAnsi" w:cstheme="minorHAnsi"/>
                <w:iCs/>
                <w:sz w:val="24"/>
                <w:szCs w:val="24"/>
              </w:rPr>
            </w:pPr>
          </w:p>
          <w:p w14:paraId="0FD210DC" w14:textId="2213130D"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Social </w:t>
            </w:r>
            <w:r w:rsidR="006A1247">
              <w:rPr>
                <w:rFonts w:asciiTheme="minorHAnsi" w:hAnsiTheme="minorHAnsi" w:cstheme="minorHAnsi"/>
                <w:iCs/>
                <w:sz w:val="24"/>
                <w:szCs w:val="24"/>
              </w:rPr>
              <w:t>i</w:t>
            </w:r>
            <w:r w:rsidRPr="00B22A26">
              <w:rPr>
                <w:rFonts w:asciiTheme="minorHAnsi" w:hAnsiTheme="minorHAnsi" w:cstheme="minorHAnsi"/>
                <w:iCs/>
                <w:sz w:val="24"/>
                <w:szCs w:val="24"/>
              </w:rPr>
              <w:t>solation, loneliness and an overall lack of services in rural locality, may go some way to explaining the how Male 1’s self-neglectful lifestyle started and continues. Upon reflecting for possible reasons, his friend once informed me that Male 1’s neglect became more apparent when his mother passed away. Also, Male 1 had experienced a long-lasting relationship outside of the family home previously, though was single and living with his mother when she passed away.</w:t>
            </w:r>
          </w:p>
          <w:p w14:paraId="5BE29DA2" w14:textId="77777777" w:rsidR="009367DE" w:rsidRPr="00B22A26" w:rsidRDefault="009367DE" w:rsidP="00B22A26">
            <w:pPr>
              <w:jc w:val="both"/>
              <w:rPr>
                <w:rFonts w:asciiTheme="minorHAnsi" w:hAnsiTheme="minorHAnsi" w:cstheme="minorHAnsi"/>
                <w:iCs/>
                <w:sz w:val="24"/>
                <w:szCs w:val="24"/>
              </w:rPr>
            </w:pPr>
          </w:p>
          <w:p w14:paraId="08DD8178"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I can only speculate about the impact Male 1’s mother’s death had on him, as well as the impact of his long-term relationship ending, though I am aware that grieving can have significant effects on some. Grief is a natural response to loss, and most people adapt over time. However, some individuals can experience persistent grief, that effects overall well-being. Prolonged grief may cause some to be less prone to address their healthcare needs, decrease their nutritional intake, exercise and sleep, and to become socially isolated (</w:t>
            </w:r>
            <w:proofErr w:type="spellStart"/>
            <w:r w:rsidRPr="00B22A26">
              <w:rPr>
                <w:rFonts w:asciiTheme="minorHAnsi" w:hAnsiTheme="minorHAnsi" w:cstheme="minorHAnsi"/>
                <w:iCs/>
                <w:sz w:val="24"/>
                <w:szCs w:val="24"/>
              </w:rPr>
              <w:t>Schoo</w:t>
            </w:r>
            <w:proofErr w:type="spellEnd"/>
            <w:r w:rsidRPr="00B22A26">
              <w:rPr>
                <w:rFonts w:asciiTheme="minorHAnsi" w:hAnsiTheme="minorHAnsi" w:cstheme="minorHAnsi"/>
                <w:iCs/>
                <w:sz w:val="24"/>
                <w:szCs w:val="24"/>
              </w:rPr>
              <w:t xml:space="preserve"> et al., 2025). Male 1s Mother passed away over a decade before I met him, so I cannot be sure how the grief may have manifested and he did not talk to me openly about her, but comparisons can be made between symptoms of prolonged grief and observations in Male 1’s presentation. </w:t>
            </w:r>
          </w:p>
          <w:p w14:paraId="10CFB640" w14:textId="77777777" w:rsidR="009367DE" w:rsidRPr="00B22A26" w:rsidRDefault="009367DE" w:rsidP="00B22A26">
            <w:pPr>
              <w:jc w:val="both"/>
              <w:rPr>
                <w:rFonts w:asciiTheme="minorHAnsi" w:hAnsiTheme="minorHAnsi" w:cstheme="minorHAnsi"/>
                <w:iCs/>
                <w:sz w:val="24"/>
                <w:szCs w:val="24"/>
              </w:rPr>
            </w:pPr>
          </w:p>
          <w:p w14:paraId="34BC9F41"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There are many different reasons why different people self-neglect. Examples include having poor physical health and nutrition deficiency, reducing the ability to look after oneself and their environment. There may be financial issues such as debt, effecting the opportunities and resources a person has access to. Social issues such as isolation, a lack of contact with family and the community can contribute. There are a wide range of areas relating to mental health which can influence self-neglect, such as depression, cognitive functions, alcohol/substance abuse, autistic spectrum disorders, anxiety disorders, traumatic histories and attachment issues (Barnett, 2008). </w:t>
            </w:r>
          </w:p>
          <w:p w14:paraId="1A019E9B" w14:textId="77777777" w:rsidR="009367DE" w:rsidRPr="00B22A26" w:rsidRDefault="009367DE" w:rsidP="00B22A26">
            <w:pPr>
              <w:jc w:val="both"/>
              <w:rPr>
                <w:rFonts w:asciiTheme="minorHAnsi" w:hAnsiTheme="minorHAnsi" w:cstheme="minorHAnsi"/>
                <w:iCs/>
                <w:sz w:val="24"/>
                <w:szCs w:val="24"/>
              </w:rPr>
            </w:pPr>
          </w:p>
          <w:p w14:paraId="43363F1B"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It was visible that Male 1 had poor physical health. He required the use of a walking frame to move around his home, spent a significant time in bed, did not leave the property and did not exercise. Male 1 had a very poor diet, and much of his weekly food order was left uneaten. These observations are in line with having poor physical health and nutrition deficiency, risk factors for self-neglect (Barnett, 2008).</w:t>
            </w:r>
          </w:p>
          <w:p w14:paraId="4A822101" w14:textId="77777777" w:rsidR="009367DE" w:rsidRPr="00B22A26" w:rsidRDefault="009367DE" w:rsidP="00B22A26">
            <w:pPr>
              <w:jc w:val="both"/>
              <w:rPr>
                <w:rFonts w:asciiTheme="minorHAnsi" w:hAnsiTheme="minorHAnsi" w:cstheme="minorHAnsi"/>
                <w:iCs/>
                <w:sz w:val="24"/>
                <w:szCs w:val="24"/>
              </w:rPr>
            </w:pPr>
          </w:p>
          <w:p w14:paraId="131FB505"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Upon reflection, I felt that Male 1 did not always receive a person-centred service from all that attempted to work with him. This was first witnessed in the reablement centre. I was informed that Male 1 was facing eviction because he was not engaging with care staff, including Occupational Therapy. I needed to know about his mobility to ensure he could return home safely, especially without care. Upon meeting him, I realised he was very keen to return home. I explained that I strongly felt that he needed have sufficient mobility to look after himself, and so he would not fall and put himself in danger. I requested that he works with the OTs to build mobility to return home, and he agreed, the OT then entered the room and agreed to work with him. It was possible that the OT required my input, as I had a stronger relationship with Male 1, and this collaborative approach was influential towards Male 1 starting therapy. </w:t>
            </w:r>
          </w:p>
          <w:p w14:paraId="0CBE57EE" w14:textId="77777777" w:rsidR="009367DE" w:rsidRPr="00B22A26" w:rsidRDefault="009367DE" w:rsidP="00B22A26">
            <w:pPr>
              <w:jc w:val="both"/>
              <w:rPr>
                <w:rFonts w:asciiTheme="minorHAnsi" w:hAnsiTheme="minorHAnsi" w:cstheme="minorHAnsi"/>
                <w:iCs/>
                <w:sz w:val="24"/>
                <w:szCs w:val="24"/>
              </w:rPr>
            </w:pPr>
          </w:p>
          <w:p w14:paraId="42703BDC"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Several services appeared to have difficulty engaging with Male 1. I needed to persuade the service carrying out welfare checks to stay involved, as he was in danger of being discharged due to lack of engagement. The care company I organised, ceased and stopped on day one. I was unsuccessful in referring for a charity to help support him with paperwork and bills, and historically, I am aware that he was evicted from another care home for neglecting the room and causing damages. It was also apparent that any Mental Health involvement was very brief.</w:t>
            </w:r>
          </w:p>
          <w:p w14:paraId="1BA250D3" w14:textId="77777777" w:rsidR="009367DE" w:rsidRPr="00B22A26" w:rsidRDefault="009367DE" w:rsidP="00B22A26">
            <w:pPr>
              <w:jc w:val="both"/>
              <w:rPr>
                <w:rFonts w:asciiTheme="minorHAnsi" w:hAnsiTheme="minorHAnsi" w:cstheme="minorHAnsi"/>
                <w:iCs/>
                <w:sz w:val="24"/>
                <w:szCs w:val="24"/>
              </w:rPr>
            </w:pPr>
          </w:p>
          <w:p w14:paraId="66B545DB"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lastRenderedPageBreak/>
              <w:t xml:space="preserve">I find myself reflecting on why so many interventions with Male 1 failed. One possible consideration is to speculate if other workers were working anti-oppressively. Anti-oppressive practice is an approach which calls for people to treated with respect and not to be treated poorly or unfairly because of their race, gender, impairment, sexuality, class, religion or age. Anti-oppressive practice also recognises the oppression that exists within our society and aims to mitigate the power imbalances that exist (Centre for Innovation in Campus Mental Health, 2025). I cannot confirm if other workers were acting anti oppressively in this sense, though I am aware that some openly took a dislike to Male 1’s lack of hygiene, and this may have had an influence on their ability to work with him. </w:t>
            </w:r>
          </w:p>
          <w:p w14:paraId="49B5312C" w14:textId="77777777" w:rsidR="009367DE" w:rsidRPr="00B22A26" w:rsidRDefault="009367DE" w:rsidP="00B22A26">
            <w:pPr>
              <w:jc w:val="both"/>
              <w:rPr>
                <w:rFonts w:asciiTheme="minorHAnsi" w:hAnsiTheme="minorHAnsi" w:cstheme="minorHAnsi"/>
                <w:iCs/>
                <w:sz w:val="24"/>
                <w:szCs w:val="24"/>
              </w:rPr>
            </w:pPr>
          </w:p>
          <w:p w14:paraId="28E6F055" w14:textId="77777777" w:rsidR="004724D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I suspect the primary reason why interventions failed, is because Male 1 can be quick to refuse support, which was accepted by others who attempted to work with him. Male 1 refused carers to help support him in the community and care homes, especially with personal care. Male 1 refused any support which was too frequent in the community. Male 1 has declined interventions from a wide range of services, and it appears that many were unable to establish a working relationship with him.</w:t>
            </w:r>
          </w:p>
          <w:p w14:paraId="5345C1B7" w14:textId="36C7C540" w:rsidR="00B22A26" w:rsidRP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 </w:t>
            </w:r>
          </w:p>
          <w:p w14:paraId="36257D8C"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When I reflect around my own working relationship with Male 1, I think of it in a positive light. I was concerned about how Male 1 was living, as was every other individual who visited the property. Though, I feel what worked best about our relationship is that I listened to him, respected his choices, and I did not give up easily. That I followed the principles of the Social Services and Well-being (Wales) Act 2014, giving Male 1 voice and control over the support he received, allowing him to achieve his own definition of wellbeing, and working co-productively with him, rather than for him (Social Care Wales, 2025b). This approach-built trust, and together, we were able to find the correct intervention, which had a significantly positive impact on his life.</w:t>
            </w:r>
          </w:p>
          <w:p w14:paraId="07A6B400" w14:textId="77777777" w:rsidR="009367DE" w:rsidRPr="00B22A26" w:rsidRDefault="009367DE" w:rsidP="00B22A26">
            <w:pPr>
              <w:jc w:val="both"/>
              <w:rPr>
                <w:rFonts w:asciiTheme="minorHAnsi" w:hAnsiTheme="minorHAnsi" w:cstheme="minorHAnsi"/>
                <w:iCs/>
                <w:sz w:val="24"/>
                <w:szCs w:val="24"/>
              </w:rPr>
            </w:pPr>
          </w:p>
          <w:p w14:paraId="574E2532"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Successful working relationships are paramount to positive outcomes in social work. They are the heart of social work. Strength based practice re-enforces the importance of a positive working relationship, in that it’s a collaborative process between the person supported and by those supporting them. It allows them to work together to determine an outcome that draws on the person strengths. Strength based practice has a focus on the quality of the relationship that develops those providing and those being supported (Social Care Institute for Excellence, 2025b).  </w:t>
            </w:r>
          </w:p>
          <w:p w14:paraId="6AB923D8" w14:textId="77777777" w:rsidR="004724D6" w:rsidRPr="00B22A26" w:rsidRDefault="004724D6" w:rsidP="00B22A26">
            <w:pPr>
              <w:jc w:val="both"/>
              <w:rPr>
                <w:rFonts w:asciiTheme="minorHAnsi" w:hAnsiTheme="minorHAnsi" w:cstheme="minorHAnsi"/>
                <w:iCs/>
                <w:sz w:val="24"/>
                <w:szCs w:val="24"/>
              </w:rPr>
            </w:pPr>
          </w:p>
          <w:p w14:paraId="6BF5D7FD"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I feel the key factor to working with Male 1, was the importance on the relationship, and working in a collaborative strength-based manner. I believe both myself and his cleaner achieved this approach. I was pleased to see that the cleaner built up trust and was able to assist in tasks outside of domestic cleaning, such as welfare monitoring, helping support with appointments and reporting maintenance problems within the home. I believe the key to success was the strength-based relationship which was formed with Male 1. </w:t>
            </w:r>
          </w:p>
          <w:p w14:paraId="4A3CE206" w14:textId="77777777" w:rsidR="004724D6" w:rsidRPr="00B22A26" w:rsidRDefault="004724D6" w:rsidP="00B22A26">
            <w:pPr>
              <w:jc w:val="both"/>
              <w:rPr>
                <w:rFonts w:asciiTheme="minorHAnsi" w:hAnsiTheme="minorHAnsi" w:cstheme="minorHAnsi"/>
                <w:iCs/>
                <w:sz w:val="24"/>
                <w:szCs w:val="24"/>
              </w:rPr>
            </w:pPr>
          </w:p>
          <w:p w14:paraId="516BE32B"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It is now time for me to consider the “Now what?” stage of Borton’s model of reflection. This final stage has a focus on learning from the analysis to determine next steps. This involves learning what can be taken away from the experience and how to use these insights for the future (Simply Psychology, 2024).</w:t>
            </w:r>
          </w:p>
          <w:p w14:paraId="53D207E2" w14:textId="77777777" w:rsidR="004724D6" w:rsidRPr="00B22A26" w:rsidRDefault="004724D6" w:rsidP="00B22A26">
            <w:pPr>
              <w:jc w:val="both"/>
              <w:rPr>
                <w:rFonts w:asciiTheme="minorHAnsi" w:hAnsiTheme="minorHAnsi" w:cstheme="minorHAnsi"/>
                <w:iCs/>
                <w:sz w:val="24"/>
                <w:szCs w:val="24"/>
              </w:rPr>
            </w:pPr>
          </w:p>
          <w:p w14:paraId="32F6D5F1"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lastRenderedPageBreak/>
              <w:t xml:space="preserve">Through this reflective exercise I have identified knowledge gaps in relation to the nature of safeguarding. Several safeguarding concerns were raised by others when I was working with Male 1. As the case was held with me and I was able to monitor, our safeguarding team was content with my own investigations. However, I must acknowledge that I was working with a degree of risk relating to the severe self-neglect of Male 1. There were periods where it seemed I would be unable to get him any support at all, and the consequences of that happening could have been severe. It is beneficial to my future practice to know what happens if things were to go wrong. </w:t>
            </w:r>
          </w:p>
          <w:p w14:paraId="0614BECF" w14:textId="77777777" w:rsidR="004724D6" w:rsidRPr="00B22A26" w:rsidRDefault="004724D6" w:rsidP="00B22A26">
            <w:pPr>
              <w:jc w:val="both"/>
              <w:rPr>
                <w:rFonts w:asciiTheme="minorHAnsi" w:hAnsiTheme="minorHAnsi" w:cstheme="minorHAnsi"/>
                <w:iCs/>
                <w:sz w:val="24"/>
                <w:szCs w:val="24"/>
              </w:rPr>
            </w:pPr>
          </w:p>
          <w:p w14:paraId="427A58EA"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Wales has six Regional Safeguarding Adults Boards, who have a statutory responsibility to undertake an Adult Practice Review when a significant incident of abuse or neglect of an adult at risk is known or suspected. The prime purpose of these practice reviews is to identify any steps that can be taken by the Safeguarding Board (or other bodies) to achieve improvements in multi-agency practice. However, the purpose of practice reviews is not to investigate how an adult at risk dies or was seriously harmed. These are matters for coroners and criminal courts to determine (</w:t>
            </w:r>
            <w:proofErr w:type="spellStart"/>
            <w:r w:rsidRPr="00B22A26">
              <w:rPr>
                <w:rFonts w:asciiTheme="minorHAnsi" w:hAnsiTheme="minorHAnsi" w:cstheme="minorHAnsi"/>
                <w:iCs/>
                <w:sz w:val="24"/>
                <w:szCs w:val="24"/>
              </w:rPr>
              <w:t>Cysur</w:t>
            </w:r>
            <w:proofErr w:type="spellEnd"/>
            <w:r w:rsidRPr="00B22A26">
              <w:rPr>
                <w:rFonts w:asciiTheme="minorHAnsi" w:hAnsiTheme="minorHAnsi" w:cstheme="minorHAnsi"/>
                <w:iCs/>
                <w:sz w:val="24"/>
                <w:szCs w:val="24"/>
              </w:rPr>
              <w:t>, 2025).</w:t>
            </w:r>
          </w:p>
          <w:p w14:paraId="4E7D94D0" w14:textId="77777777" w:rsidR="004724D6" w:rsidRPr="00B22A26" w:rsidRDefault="004724D6" w:rsidP="00B22A26">
            <w:pPr>
              <w:jc w:val="both"/>
              <w:rPr>
                <w:rFonts w:asciiTheme="minorHAnsi" w:hAnsiTheme="minorHAnsi" w:cstheme="minorHAnsi"/>
                <w:iCs/>
                <w:sz w:val="24"/>
                <w:szCs w:val="24"/>
              </w:rPr>
            </w:pPr>
          </w:p>
          <w:p w14:paraId="6AB1E518" w14:textId="657A4E85"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When relating this experience to my long-term professional growth, I find it useful to consider the Code of Professional Practice for Social Care (the Code) to consider if my actions and views align. The Code is a set of rules that are expected of </w:t>
            </w:r>
            <w:r w:rsidR="00E942DE">
              <w:rPr>
                <w:rFonts w:asciiTheme="minorHAnsi" w:hAnsiTheme="minorHAnsi" w:cstheme="minorHAnsi"/>
                <w:iCs/>
                <w:sz w:val="24"/>
                <w:szCs w:val="24"/>
              </w:rPr>
              <w:t>s</w:t>
            </w:r>
            <w:r w:rsidRPr="00B22A26">
              <w:rPr>
                <w:rFonts w:asciiTheme="minorHAnsi" w:hAnsiTheme="minorHAnsi" w:cstheme="minorHAnsi"/>
                <w:iCs/>
                <w:sz w:val="24"/>
                <w:szCs w:val="24"/>
              </w:rPr>
              <w:t xml:space="preserve">ocial </w:t>
            </w:r>
            <w:r w:rsidR="00E942DE">
              <w:rPr>
                <w:rFonts w:asciiTheme="minorHAnsi" w:hAnsiTheme="minorHAnsi" w:cstheme="minorHAnsi"/>
                <w:iCs/>
                <w:sz w:val="24"/>
                <w:szCs w:val="24"/>
              </w:rPr>
              <w:t>c</w:t>
            </w:r>
            <w:r w:rsidRPr="00B22A26">
              <w:rPr>
                <w:rFonts w:asciiTheme="minorHAnsi" w:hAnsiTheme="minorHAnsi" w:cstheme="minorHAnsi"/>
                <w:iCs/>
                <w:sz w:val="24"/>
                <w:szCs w:val="24"/>
              </w:rPr>
              <w:t xml:space="preserve">are </w:t>
            </w:r>
            <w:r w:rsidR="00E942DE">
              <w:rPr>
                <w:rFonts w:asciiTheme="minorHAnsi" w:hAnsiTheme="minorHAnsi" w:cstheme="minorHAnsi"/>
                <w:iCs/>
                <w:sz w:val="24"/>
                <w:szCs w:val="24"/>
              </w:rPr>
              <w:t>w</w:t>
            </w:r>
            <w:r w:rsidRPr="00B22A26">
              <w:rPr>
                <w:rFonts w:asciiTheme="minorHAnsi" w:hAnsiTheme="minorHAnsi" w:cstheme="minorHAnsi"/>
                <w:iCs/>
                <w:sz w:val="24"/>
                <w:szCs w:val="24"/>
              </w:rPr>
              <w:t xml:space="preserve">orkers, to help provide </w:t>
            </w:r>
            <w:r w:rsidR="00376E73">
              <w:rPr>
                <w:rFonts w:asciiTheme="minorHAnsi" w:hAnsiTheme="minorHAnsi" w:cstheme="minorHAnsi"/>
                <w:iCs/>
                <w:sz w:val="24"/>
                <w:szCs w:val="24"/>
              </w:rPr>
              <w:t>s</w:t>
            </w:r>
            <w:r w:rsidRPr="00B22A26">
              <w:rPr>
                <w:rFonts w:asciiTheme="minorHAnsi" w:hAnsiTheme="minorHAnsi" w:cstheme="minorHAnsi"/>
                <w:iCs/>
                <w:sz w:val="24"/>
                <w:szCs w:val="24"/>
              </w:rPr>
              <w:t xml:space="preserve">ervice </w:t>
            </w:r>
            <w:r w:rsidR="00376E73">
              <w:rPr>
                <w:rFonts w:asciiTheme="minorHAnsi" w:hAnsiTheme="minorHAnsi" w:cstheme="minorHAnsi"/>
                <w:iCs/>
                <w:sz w:val="24"/>
                <w:szCs w:val="24"/>
              </w:rPr>
              <w:t>u</w:t>
            </w:r>
            <w:r w:rsidRPr="00B22A26">
              <w:rPr>
                <w:rFonts w:asciiTheme="minorHAnsi" w:hAnsiTheme="minorHAnsi" w:cstheme="minorHAnsi"/>
                <w:iCs/>
                <w:sz w:val="24"/>
                <w:szCs w:val="24"/>
              </w:rPr>
              <w:t>sers with good care and Support. The key principles of the Code include, Respecting the view and wishes of those we work with, striving to establish and maintain trust, promoting the well-being and the rights of the individual, acting with integrity and being accountable for the quality of our work (Social Care Wales, 2017e).</w:t>
            </w:r>
          </w:p>
          <w:p w14:paraId="48B7A36E" w14:textId="77777777" w:rsidR="004724D6" w:rsidRPr="00B22A26" w:rsidRDefault="004724D6" w:rsidP="00B22A26">
            <w:pPr>
              <w:jc w:val="both"/>
              <w:rPr>
                <w:rFonts w:asciiTheme="minorHAnsi" w:hAnsiTheme="minorHAnsi" w:cstheme="minorHAnsi"/>
                <w:iCs/>
                <w:sz w:val="24"/>
                <w:szCs w:val="24"/>
              </w:rPr>
            </w:pPr>
          </w:p>
          <w:p w14:paraId="45AEACA0"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The National Occupational Standards (NOS) for Social Work are also a useful benchmark to assess my work. Key Role 3, promoting engagement and participation, include 4 standards: promote engagement and participation, engage people in social work practice, support people to participate in the decision-making process and advocate on behalf of others (Social Care Wales, 2017f). </w:t>
            </w:r>
          </w:p>
          <w:p w14:paraId="191C98F5" w14:textId="77777777" w:rsidR="004724D6" w:rsidRPr="00B22A26" w:rsidRDefault="004724D6" w:rsidP="00B22A26">
            <w:pPr>
              <w:jc w:val="both"/>
              <w:rPr>
                <w:rFonts w:asciiTheme="minorHAnsi" w:hAnsiTheme="minorHAnsi" w:cstheme="minorHAnsi"/>
                <w:iCs/>
                <w:sz w:val="24"/>
                <w:szCs w:val="24"/>
              </w:rPr>
            </w:pPr>
          </w:p>
          <w:p w14:paraId="592146F9" w14:textId="252561D5"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I feel confident that I have met the criteria of the key principle of the code and as well Key role 3 of NOS for Social Work, whilst working with Male 1, particularly in the principles focused on respecting his wishes and striving to establish trust, as well as promoting engagement and participation. I aim to continue to work in this manner with </w:t>
            </w:r>
            <w:r w:rsidR="00376E73">
              <w:rPr>
                <w:rFonts w:asciiTheme="minorHAnsi" w:hAnsiTheme="minorHAnsi" w:cstheme="minorHAnsi"/>
                <w:iCs/>
                <w:sz w:val="24"/>
                <w:szCs w:val="24"/>
              </w:rPr>
              <w:t>s</w:t>
            </w:r>
            <w:r w:rsidRPr="00B22A26">
              <w:rPr>
                <w:rFonts w:asciiTheme="minorHAnsi" w:hAnsiTheme="minorHAnsi" w:cstheme="minorHAnsi"/>
                <w:iCs/>
                <w:sz w:val="24"/>
                <w:szCs w:val="24"/>
              </w:rPr>
              <w:t xml:space="preserve">ervice </w:t>
            </w:r>
            <w:r w:rsidR="00376E73">
              <w:rPr>
                <w:rFonts w:asciiTheme="minorHAnsi" w:hAnsiTheme="minorHAnsi" w:cstheme="minorHAnsi"/>
                <w:iCs/>
                <w:sz w:val="24"/>
                <w:szCs w:val="24"/>
              </w:rPr>
              <w:t>u</w:t>
            </w:r>
            <w:r w:rsidRPr="00B22A26">
              <w:rPr>
                <w:rFonts w:asciiTheme="minorHAnsi" w:hAnsiTheme="minorHAnsi" w:cstheme="minorHAnsi"/>
                <w:iCs/>
                <w:sz w:val="24"/>
                <w:szCs w:val="24"/>
              </w:rPr>
              <w:t xml:space="preserve">sers. I believe a person-centred approach is key to working with those at risk of significant harm, who often have complicated needs, and doing so can make a significant difference, helping to keep them live safer and happier lives. </w:t>
            </w:r>
          </w:p>
          <w:p w14:paraId="0DA8184A" w14:textId="77777777" w:rsidR="004724D6" w:rsidRPr="00B22A26" w:rsidRDefault="004724D6" w:rsidP="00B22A26">
            <w:pPr>
              <w:jc w:val="both"/>
              <w:rPr>
                <w:rFonts w:asciiTheme="minorHAnsi" w:hAnsiTheme="minorHAnsi" w:cstheme="minorHAnsi"/>
                <w:iCs/>
                <w:sz w:val="24"/>
                <w:szCs w:val="24"/>
              </w:rPr>
            </w:pPr>
          </w:p>
          <w:p w14:paraId="6CAC97EB" w14:textId="77777777" w:rsidR="00B22A26" w:rsidRDefault="00B22A26" w:rsidP="00B22A26">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I will end with some personal reflections about Male 1. Although not all his care needs were met, primarily in terms of personal care, as various interventions started to work and our relationship improved, he shared more of himself. Male 1 confided about previous trips abroad and told me of a long-distance relationship he had maintained remotely. We shared smiles, and Male 1 could put things in perspective. “At least we’re not in Gaza”, he reminded me when the situation appeared bleak. I have a deep respect for Male 1, and I feel that I am fortunate that I’ve had the opportunity to support him. </w:t>
            </w:r>
          </w:p>
          <w:p w14:paraId="370042FD" w14:textId="77777777" w:rsidR="004724D6" w:rsidRPr="00B22A26" w:rsidRDefault="004724D6" w:rsidP="00B22A26">
            <w:pPr>
              <w:jc w:val="both"/>
              <w:rPr>
                <w:rFonts w:asciiTheme="minorHAnsi" w:hAnsiTheme="minorHAnsi" w:cstheme="minorHAnsi"/>
                <w:iCs/>
                <w:sz w:val="24"/>
                <w:szCs w:val="24"/>
              </w:rPr>
            </w:pPr>
          </w:p>
          <w:p w14:paraId="47F21B6A" w14:textId="2EFC575E" w:rsidR="007A628F" w:rsidRPr="00CC6A55" w:rsidRDefault="00B22A26" w:rsidP="00FF7EBB">
            <w:pPr>
              <w:jc w:val="both"/>
              <w:rPr>
                <w:rFonts w:asciiTheme="minorHAnsi" w:hAnsiTheme="minorHAnsi" w:cstheme="minorHAnsi"/>
                <w:iCs/>
                <w:sz w:val="24"/>
                <w:szCs w:val="24"/>
              </w:rPr>
            </w:pPr>
            <w:r w:rsidRPr="00B22A26">
              <w:rPr>
                <w:rFonts w:asciiTheme="minorHAnsi" w:hAnsiTheme="minorHAnsi" w:cstheme="minorHAnsi"/>
                <w:iCs/>
                <w:sz w:val="24"/>
                <w:szCs w:val="24"/>
              </w:rPr>
              <w:t xml:space="preserve">Word </w:t>
            </w:r>
            <w:r w:rsidR="00CC6A55">
              <w:rPr>
                <w:rFonts w:asciiTheme="minorHAnsi" w:hAnsiTheme="minorHAnsi" w:cstheme="minorHAnsi"/>
                <w:iCs/>
                <w:sz w:val="24"/>
                <w:szCs w:val="24"/>
              </w:rPr>
              <w:t>c</w:t>
            </w:r>
            <w:r w:rsidRPr="00B22A26">
              <w:rPr>
                <w:rFonts w:asciiTheme="minorHAnsi" w:hAnsiTheme="minorHAnsi" w:cstheme="minorHAnsi"/>
                <w:iCs/>
                <w:sz w:val="24"/>
                <w:szCs w:val="24"/>
              </w:rPr>
              <w:t>ount: 4397</w:t>
            </w:r>
          </w:p>
        </w:tc>
      </w:tr>
    </w:tbl>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8A7"/>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6E73"/>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4D6"/>
    <w:rsid w:val="00473153"/>
    <w:rsid w:val="0047350F"/>
    <w:rsid w:val="004743AF"/>
    <w:rsid w:val="00482C17"/>
    <w:rsid w:val="00484CE3"/>
    <w:rsid w:val="004911B4"/>
    <w:rsid w:val="0049196A"/>
    <w:rsid w:val="004923DA"/>
    <w:rsid w:val="00492EEB"/>
    <w:rsid w:val="00493434"/>
    <w:rsid w:val="004968E2"/>
    <w:rsid w:val="004A2A49"/>
    <w:rsid w:val="004A4D4D"/>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1247"/>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6B28"/>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1AF3"/>
    <w:rsid w:val="008859E8"/>
    <w:rsid w:val="0088737B"/>
    <w:rsid w:val="00891078"/>
    <w:rsid w:val="00892716"/>
    <w:rsid w:val="00893067"/>
    <w:rsid w:val="008933DE"/>
    <w:rsid w:val="00895FCE"/>
    <w:rsid w:val="00897F3E"/>
    <w:rsid w:val="008A21B4"/>
    <w:rsid w:val="008B07DE"/>
    <w:rsid w:val="008B1309"/>
    <w:rsid w:val="008B28E7"/>
    <w:rsid w:val="008B67F6"/>
    <w:rsid w:val="008B6D14"/>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67DE"/>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A26"/>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EF7"/>
    <w:rsid w:val="00BB5F11"/>
    <w:rsid w:val="00BB6638"/>
    <w:rsid w:val="00BB7FD2"/>
    <w:rsid w:val="00BC04FA"/>
    <w:rsid w:val="00BC1C22"/>
    <w:rsid w:val="00BC460B"/>
    <w:rsid w:val="00BC4ED3"/>
    <w:rsid w:val="00BC5725"/>
    <w:rsid w:val="00BD30B1"/>
    <w:rsid w:val="00BD7F02"/>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6A55"/>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0E3B"/>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5585"/>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2DE"/>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4599</Words>
  <Characters>22993</Characters>
  <Application>Microsoft Office Word</Application>
  <DocSecurity>0</DocSecurity>
  <Lines>191</Lines>
  <Paragraphs>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Lloyd Pugh</cp:lastModifiedBy>
  <cp:revision>18</cp:revision>
  <cp:lastPrinted>2020-02-11T19:20:00Z</cp:lastPrinted>
  <dcterms:created xsi:type="dcterms:W3CDTF">2022-09-29T11:34:00Z</dcterms:created>
  <dcterms:modified xsi:type="dcterms:W3CDTF">2025-10-06T10:16:00Z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