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319258" w14:textId="77777777" w:rsidR="00BF65C0" w:rsidRDefault="00D2236E">
      <w:pPr>
        <w:spacing w:line="335" w:lineRule="auto"/>
        <w:ind w:left="-15"/>
        <w:rPr>
          <w:rFonts w:ascii="Roboto" w:eastAsia="Roboto" w:hAnsi="Roboto" w:cs="Roboto"/>
          <w:color w:val="7802B5"/>
        </w:rPr>
      </w:pPr>
      <w:r>
        <w:rPr>
          <w:rFonts w:ascii="Roboto" w:eastAsia="Roboto" w:hAnsi="Roboto" w:cs="Roboto"/>
          <w:b/>
          <w:color w:val="7802B5"/>
          <w:sz w:val="40"/>
          <w:szCs w:val="40"/>
        </w:rPr>
        <w:t>Justin K. Fernando</w:t>
      </w:r>
    </w:p>
    <w:p w14:paraId="66C83958" w14:textId="77777777" w:rsidR="00BF65C0" w:rsidRDefault="00D2236E">
      <w:pPr>
        <w:spacing w:line="240" w:lineRule="auto"/>
        <w:ind w:left="-15"/>
        <w:rPr>
          <w:rFonts w:ascii="Roboto" w:eastAsia="Roboto" w:hAnsi="Roboto" w:cs="Roboto"/>
          <w:sz w:val="20"/>
          <w:szCs w:val="20"/>
        </w:rPr>
      </w:pPr>
      <w:r>
        <w:rPr>
          <w:rFonts w:ascii="Roboto" w:eastAsia="Roboto" w:hAnsi="Roboto" w:cs="Roboto"/>
          <w:sz w:val="20"/>
          <w:szCs w:val="20"/>
        </w:rPr>
        <w:t>Student ID #: 1705758</w:t>
      </w:r>
    </w:p>
    <w:p w14:paraId="2A4CDD15" w14:textId="405D0264" w:rsidR="00BF65C0" w:rsidRDefault="00D2236E">
      <w:pPr>
        <w:spacing w:line="240" w:lineRule="auto"/>
        <w:ind w:left="-15"/>
        <w:rPr>
          <w:rFonts w:ascii="Roboto" w:eastAsia="Roboto" w:hAnsi="Roboto" w:cs="Roboto"/>
          <w:sz w:val="20"/>
          <w:szCs w:val="20"/>
        </w:rPr>
      </w:pPr>
      <w:r>
        <w:rPr>
          <w:rFonts w:ascii="Roboto" w:eastAsia="Roboto" w:hAnsi="Roboto" w:cs="Roboto"/>
          <w:sz w:val="20"/>
          <w:szCs w:val="20"/>
        </w:rPr>
        <w:t xml:space="preserve">Strategic Management </w:t>
      </w:r>
      <w:r w:rsidR="00C309A6">
        <w:rPr>
          <w:rFonts w:ascii="Roboto" w:eastAsia="Roboto" w:hAnsi="Roboto" w:cs="Roboto"/>
          <w:sz w:val="20"/>
          <w:szCs w:val="20"/>
        </w:rPr>
        <w:t>(SBMA7103D)</w:t>
      </w:r>
    </w:p>
    <w:p w14:paraId="61CA289F" w14:textId="77777777" w:rsidR="00BF65C0" w:rsidRDefault="00D2236E">
      <w:pPr>
        <w:spacing w:line="240" w:lineRule="auto"/>
        <w:ind w:left="-15"/>
        <w:rPr>
          <w:rFonts w:ascii="Roboto" w:eastAsia="Roboto" w:hAnsi="Roboto" w:cs="Roboto"/>
          <w:sz w:val="20"/>
          <w:szCs w:val="20"/>
        </w:rPr>
      </w:pPr>
      <w:r>
        <w:rPr>
          <w:rFonts w:ascii="Roboto" w:eastAsia="Roboto" w:hAnsi="Roboto" w:cs="Roboto"/>
          <w:sz w:val="20"/>
          <w:szCs w:val="20"/>
        </w:rPr>
        <w:t>University of Wales Trinity Saint David</w:t>
      </w:r>
    </w:p>
    <w:p w14:paraId="23854C3B" w14:textId="33F909DF" w:rsidR="00BF65C0" w:rsidRDefault="00A2007B">
      <w:pPr>
        <w:spacing w:line="240" w:lineRule="auto"/>
        <w:ind w:left="-15"/>
        <w:rPr>
          <w:rFonts w:ascii="Roboto" w:eastAsia="Roboto" w:hAnsi="Roboto" w:cs="Roboto"/>
          <w:sz w:val="20"/>
          <w:szCs w:val="20"/>
        </w:rPr>
      </w:pPr>
      <w:r>
        <w:rPr>
          <w:rFonts w:ascii="Roboto" w:eastAsia="Roboto" w:hAnsi="Roboto" w:cs="Roboto"/>
          <w:sz w:val="20"/>
          <w:szCs w:val="20"/>
        </w:rPr>
        <w:t>28</w:t>
      </w:r>
      <w:r w:rsidR="00D2236E">
        <w:rPr>
          <w:rFonts w:ascii="Roboto" w:eastAsia="Roboto" w:hAnsi="Roboto" w:cs="Roboto"/>
          <w:sz w:val="20"/>
          <w:szCs w:val="20"/>
        </w:rPr>
        <w:t xml:space="preserve"> July 2019</w:t>
      </w:r>
    </w:p>
    <w:p w14:paraId="4BCA3F8F" w14:textId="4914DD88" w:rsidR="00BF65C0" w:rsidRDefault="00C309A6" w:rsidP="00C309A6">
      <w:pPr>
        <w:spacing w:line="240" w:lineRule="auto"/>
        <w:ind w:left="-15"/>
        <w:rPr>
          <w:b/>
        </w:rPr>
      </w:pPr>
      <w:r>
        <w:rPr>
          <w:rFonts w:ascii="Roboto" w:eastAsia="Roboto" w:hAnsi="Roboto" w:cs="Roboto"/>
          <w:sz w:val="20"/>
          <w:szCs w:val="20"/>
        </w:rPr>
        <w:t>Professor Gareth Hughes</w:t>
      </w:r>
    </w:p>
    <w:p w14:paraId="28F53FC5" w14:textId="77777777" w:rsidR="00BF65C0" w:rsidRDefault="00BF65C0">
      <w:pPr>
        <w:rPr>
          <w:b/>
        </w:rPr>
      </w:pPr>
    </w:p>
    <w:p w14:paraId="639C34D7" w14:textId="77777777" w:rsidR="00BF65C0" w:rsidRDefault="00D2236E">
      <w:pPr>
        <w:jc w:val="center"/>
        <w:rPr>
          <w:b/>
        </w:rPr>
      </w:pPr>
      <w:r>
        <w:rPr>
          <w:b/>
          <w:noProof/>
          <w:lang w:val="en-US"/>
        </w:rPr>
        <w:drawing>
          <wp:inline distT="114300" distB="114300" distL="114300" distR="114300" wp14:anchorId="7F1077E4" wp14:editId="35D47205">
            <wp:extent cx="5481638" cy="3294253"/>
            <wp:effectExtent l="0" t="0" r="0" b="0"/>
            <wp:docPr id="25" name="image33.jpg"/>
            <wp:cNvGraphicFramePr/>
            <a:graphic xmlns:a="http://schemas.openxmlformats.org/drawingml/2006/main">
              <a:graphicData uri="http://schemas.openxmlformats.org/drawingml/2006/picture">
                <pic:pic xmlns:pic="http://schemas.openxmlformats.org/drawingml/2006/picture">
                  <pic:nvPicPr>
                    <pic:cNvPr id="0" name="image33.jpg"/>
                    <pic:cNvPicPr preferRelativeResize="0"/>
                  </pic:nvPicPr>
                  <pic:blipFill>
                    <a:blip r:embed="rId7"/>
                    <a:srcRect/>
                    <a:stretch>
                      <a:fillRect/>
                    </a:stretch>
                  </pic:blipFill>
                  <pic:spPr>
                    <a:xfrm>
                      <a:off x="0" y="0"/>
                      <a:ext cx="5481638" cy="3294253"/>
                    </a:xfrm>
                    <a:prstGeom prst="rect">
                      <a:avLst/>
                    </a:prstGeom>
                    <a:ln/>
                  </pic:spPr>
                </pic:pic>
              </a:graphicData>
            </a:graphic>
          </wp:inline>
        </w:drawing>
      </w:r>
    </w:p>
    <w:p w14:paraId="7AA418DC" w14:textId="77777777" w:rsidR="00BF65C0" w:rsidRDefault="00BF65C0">
      <w:pPr>
        <w:rPr>
          <w:b/>
        </w:rPr>
      </w:pPr>
    </w:p>
    <w:p w14:paraId="045A9A53" w14:textId="77777777" w:rsidR="00BF65C0" w:rsidRPr="00FF65ED" w:rsidRDefault="00FF65ED" w:rsidP="00FF65ED">
      <w:pPr>
        <w:jc w:val="center"/>
        <w:rPr>
          <w:b/>
          <w:sz w:val="30"/>
          <w:szCs w:val="30"/>
        </w:rPr>
      </w:pPr>
      <w:r w:rsidRPr="00FF65ED">
        <w:rPr>
          <w:b/>
          <w:sz w:val="30"/>
          <w:szCs w:val="30"/>
        </w:rPr>
        <w:t xml:space="preserve">Made for New York and Beyond: </w:t>
      </w:r>
      <w:r w:rsidRPr="00FF65ED">
        <w:rPr>
          <w:b/>
          <w:sz w:val="30"/>
          <w:szCs w:val="30"/>
        </w:rPr>
        <w:br/>
        <w:t xml:space="preserve">Strategic Planning Towards Regional, National, and Global </w:t>
      </w:r>
      <w:r w:rsidRPr="00FF65ED">
        <w:rPr>
          <w:b/>
          <w:sz w:val="30"/>
          <w:szCs w:val="30"/>
        </w:rPr>
        <w:br/>
        <w:t>Strategic Competitive Advantage for NYU Langone Health</w:t>
      </w:r>
    </w:p>
    <w:p w14:paraId="22DF12EF" w14:textId="77777777" w:rsidR="00DA3B06" w:rsidRDefault="00DA3B06">
      <w:pPr>
        <w:rPr>
          <w:b/>
          <w:color w:val="FF0000"/>
        </w:rPr>
      </w:pPr>
    </w:p>
    <w:p w14:paraId="62E617D0" w14:textId="77777777" w:rsidR="00BF65C0" w:rsidRDefault="00D2236E" w:rsidP="00FF65ED">
      <w:pPr>
        <w:jc w:val="center"/>
        <w:rPr>
          <w:b/>
        </w:rPr>
      </w:pPr>
      <w:r>
        <w:rPr>
          <w:b/>
          <w:noProof/>
          <w:lang w:val="en-US"/>
        </w:rPr>
        <w:drawing>
          <wp:inline distT="114300" distB="114300" distL="114300" distR="114300" wp14:anchorId="3226FDF6" wp14:editId="1CE99F89">
            <wp:extent cx="3533775" cy="1843318"/>
            <wp:effectExtent l="0" t="0" r="0" b="0"/>
            <wp:docPr id="18"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8"/>
                    <a:srcRect/>
                    <a:stretch>
                      <a:fillRect/>
                    </a:stretch>
                  </pic:blipFill>
                  <pic:spPr>
                    <a:xfrm>
                      <a:off x="0" y="0"/>
                      <a:ext cx="3533775" cy="1843318"/>
                    </a:xfrm>
                    <a:prstGeom prst="rect">
                      <a:avLst/>
                    </a:prstGeom>
                    <a:ln/>
                  </pic:spPr>
                </pic:pic>
              </a:graphicData>
            </a:graphic>
          </wp:inline>
        </w:drawing>
      </w:r>
    </w:p>
    <w:p w14:paraId="302C8139" w14:textId="77777777" w:rsidR="00FF65ED" w:rsidRDefault="00FF65ED" w:rsidP="00FF65ED">
      <w:pPr>
        <w:jc w:val="center"/>
        <w:rPr>
          <w:b/>
        </w:rPr>
      </w:pPr>
    </w:p>
    <w:p w14:paraId="36662872" w14:textId="77777777" w:rsidR="00BF65C0" w:rsidRDefault="00BF65C0">
      <w:pPr>
        <w:rPr>
          <w:b/>
        </w:rPr>
      </w:pPr>
    </w:p>
    <w:p w14:paraId="082A74DC" w14:textId="77777777" w:rsidR="00BF65C0" w:rsidRDefault="00D2236E">
      <w:pPr>
        <w:rPr>
          <w:b/>
          <w:color w:val="7802B5"/>
          <w:sz w:val="36"/>
          <w:szCs w:val="36"/>
        </w:rPr>
      </w:pPr>
      <w:r>
        <w:rPr>
          <w:b/>
          <w:color w:val="7802B5"/>
          <w:sz w:val="36"/>
          <w:szCs w:val="36"/>
        </w:rPr>
        <w:lastRenderedPageBreak/>
        <w:t>Executive Summary</w:t>
      </w:r>
    </w:p>
    <w:p w14:paraId="5FD1CE6C" w14:textId="77777777" w:rsidR="00BF65C0" w:rsidRDefault="00BF65C0"/>
    <w:p w14:paraId="0EE8EF69" w14:textId="77777777" w:rsidR="00BF65C0" w:rsidRDefault="00D2236E">
      <w:pPr>
        <w:spacing w:line="360" w:lineRule="auto"/>
      </w:pPr>
      <w:r>
        <w:t xml:space="preserve">The presence of many academic health systems in New York City has transformed the city into a competitive healthcare battleground. The main competitors in the city are all integrated academic health systems with mission areas that span from patient care, biomedical and population science research, medical education, and corporate services. HR talent management, digital transformation of operations, and innovative marketing strategies have played a centerpiece role in fostering competitive strategic advantage. This has been the catalyst of organizational strategy at New York University Langone Health (NYU Langone Health) in transforming the academic healthcare field, not only in New York City, but also in the region, the country, and overseas. This study delves into a strategic assessment of NYU Langone Health through Michael Porter’s Five Forces. It then proceeds to exploring organizational possibilities by leveraging the SOAR framework as an internally-focused strategic planning instrument. This study then concludes with a TOWS matrix in order to provide recommendations that detail specific strategies for fostering and sustaining a cross-functional regional, national, and global competitive strategy that would enable NYU Langone Health to innovate and disrupt the field of academic healthcare. </w:t>
      </w:r>
    </w:p>
    <w:p w14:paraId="19355162" w14:textId="77777777" w:rsidR="00BF65C0" w:rsidRDefault="00BF65C0">
      <w:pPr>
        <w:spacing w:line="360" w:lineRule="auto"/>
      </w:pPr>
    </w:p>
    <w:p w14:paraId="2D7FE5F5" w14:textId="77777777" w:rsidR="00BF65C0" w:rsidRDefault="00D2236E">
      <w:pPr>
        <w:rPr>
          <w:b/>
          <w:color w:val="7802B5"/>
          <w:sz w:val="36"/>
          <w:szCs w:val="36"/>
        </w:rPr>
      </w:pPr>
      <w:r>
        <w:rPr>
          <w:b/>
          <w:color w:val="7802B5"/>
          <w:sz w:val="36"/>
          <w:szCs w:val="36"/>
        </w:rPr>
        <w:t>Michael Porter’s Five Forces</w:t>
      </w:r>
    </w:p>
    <w:p w14:paraId="1EA5BB2D" w14:textId="77777777" w:rsidR="00BF65C0" w:rsidRDefault="00BF65C0">
      <w:pPr>
        <w:rPr>
          <w:b/>
        </w:rPr>
      </w:pPr>
    </w:p>
    <w:p w14:paraId="570A78A6" w14:textId="77777777" w:rsidR="00BF65C0" w:rsidRDefault="00D2236E">
      <w:pPr>
        <w:spacing w:line="360" w:lineRule="auto"/>
      </w:pPr>
      <w:r>
        <w:t xml:space="preserve">Leveraging Five Forces, an analytical tool developed by Harvard Business School strategist Michael Porter, provides analysis of the competitive standing of NYU Langone Health as a player in the academic healthcare market environment (Porter, 2008). Using Porter’s Five Forces as analytical framework would allow NYU Langone Health to look beyond the immediate actions of peer competitors of academic health systems in the city with a broader focus on the macro-environmental factors that impact the market environment that could, in turn, improve or erode market share and profitability (Porter, 1978). The insights of how each of the Five Forces affects NYU Langone Health via a threat analysis would render a multi-dimensional assessment of the organization’s strengths and direction. </w:t>
      </w:r>
    </w:p>
    <w:p w14:paraId="47C36733" w14:textId="77777777" w:rsidR="00BF65C0" w:rsidRDefault="00BF65C0">
      <w:pPr>
        <w:spacing w:line="360" w:lineRule="auto"/>
      </w:pPr>
    </w:p>
    <w:p w14:paraId="2E5AE2C6" w14:textId="77777777" w:rsidR="00BF65C0" w:rsidRDefault="00BF65C0"/>
    <w:p w14:paraId="6FBA9833" w14:textId="77777777" w:rsidR="00BF65C0" w:rsidRDefault="00BF65C0"/>
    <w:p w14:paraId="646DC74C" w14:textId="77777777" w:rsidR="00BF65C0" w:rsidRDefault="00BF65C0"/>
    <w:p w14:paraId="6283A8AA" w14:textId="77777777" w:rsidR="00BF65C0" w:rsidRDefault="00BF65C0"/>
    <w:p w14:paraId="6FEA7DD6" w14:textId="77777777" w:rsidR="00BF65C0" w:rsidRDefault="00BF65C0"/>
    <w:p w14:paraId="11EA7328" w14:textId="77777777" w:rsidR="00BF65C0" w:rsidRDefault="00BF65C0"/>
    <w:p w14:paraId="6A50751C" w14:textId="77777777" w:rsidR="00BF65C0" w:rsidRDefault="00BF65C0"/>
    <w:p w14:paraId="2BA99A20" w14:textId="77777777" w:rsidR="00BF65C0" w:rsidRDefault="00BF65C0"/>
    <w:p w14:paraId="248A8722" w14:textId="77777777" w:rsidR="00BF65C0" w:rsidRDefault="00BF65C0"/>
    <w:p w14:paraId="716EDE18" w14:textId="77777777" w:rsidR="00BF65C0" w:rsidRDefault="00D2236E">
      <w:r>
        <w:rPr>
          <w:noProof/>
          <w:lang w:val="en-US"/>
        </w:rPr>
        <w:drawing>
          <wp:inline distT="114300" distB="114300" distL="114300" distR="114300" wp14:anchorId="499A0417" wp14:editId="349BBE79">
            <wp:extent cx="5943600" cy="3797300"/>
            <wp:effectExtent l="0" t="0" r="0" b="0"/>
            <wp:docPr id="40"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9"/>
                    <a:srcRect/>
                    <a:stretch>
                      <a:fillRect/>
                    </a:stretch>
                  </pic:blipFill>
                  <pic:spPr>
                    <a:xfrm>
                      <a:off x="0" y="0"/>
                      <a:ext cx="5943600" cy="3797300"/>
                    </a:xfrm>
                    <a:prstGeom prst="rect">
                      <a:avLst/>
                    </a:prstGeom>
                    <a:ln/>
                  </pic:spPr>
                </pic:pic>
              </a:graphicData>
            </a:graphic>
          </wp:inline>
        </w:drawing>
      </w:r>
    </w:p>
    <w:p w14:paraId="454B2825" w14:textId="77777777" w:rsidR="00BF65C0" w:rsidRDefault="00D2236E">
      <w:pPr>
        <w:jc w:val="center"/>
      </w:pPr>
      <w:r>
        <w:t>Michael’s Five Forces Visualized Above</w:t>
      </w:r>
    </w:p>
    <w:p w14:paraId="6F4FDCCB" w14:textId="77777777" w:rsidR="00BF65C0" w:rsidRDefault="00BF65C0"/>
    <w:p w14:paraId="65D65147" w14:textId="77777777" w:rsidR="00BF65C0" w:rsidRDefault="00BF65C0"/>
    <w:p w14:paraId="69F9029B" w14:textId="77777777" w:rsidR="00DA3B06" w:rsidRDefault="00DA3B06"/>
    <w:p w14:paraId="10E5F124" w14:textId="77777777" w:rsidR="00DA3B06" w:rsidRDefault="00DA3B06"/>
    <w:p w14:paraId="7A42A1A5" w14:textId="77777777" w:rsidR="00DA3B06" w:rsidRDefault="00DA3B06"/>
    <w:p w14:paraId="69404108" w14:textId="77777777" w:rsidR="00DA3B06" w:rsidRDefault="00DA3B06"/>
    <w:p w14:paraId="610BC71E" w14:textId="77777777" w:rsidR="00DA3B06" w:rsidRDefault="00DA3B06"/>
    <w:p w14:paraId="1BE2A35E" w14:textId="77777777" w:rsidR="00BF65C0" w:rsidRDefault="00D2236E">
      <w:r>
        <w:t>To calculate the “Overall Strength of Threat,” this study assigns High with 3 points, Medium with 2 points, and Low with 1 point. The sum is derived, which is then divided by the number of types of threats identified for each of the five forces. The study rounds to the closest full number. Depending if that rounded number is closest to 1, 2, or 3, the rounded number’s corresponding low, medium, and high level of threats respectively is considered the “Overall Strength of Threat.”</w:t>
      </w:r>
    </w:p>
    <w:p w14:paraId="60A1FBFA" w14:textId="77777777" w:rsidR="00BF65C0" w:rsidRDefault="00BF65C0"/>
    <w:p w14:paraId="414C93D1" w14:textId="77777777" w:rsidR="00BF65C0" w:rsidRDefault="00BF65C0"/>
    <w:p w14:paraId="31CF8547" w14:textId="77777777" w:rsidR="00BF65C0" w:rsidRDefault="00BF65C0"/>
    <w:p w14:paraId="0138D228" w14:textId="77777777" w:rsidR="00BF65C0" w:rsidRDefault="00BF65C0"/>
    <w:p w14:paraId="7BE30871" w14:textId="77777777" w:rsidR="001C1D1E" w:rsidRDefault="001C1D1E"/>
    <w:p w14:paraId="4FC7D4EE" w14:textId="77777777" w:rsidR="001C1D1E" w:rsidRDefault="001C1D1E"/>
    <w:p w14:paraId="404099D5" w14:textId="77777777" w:rsidR="00BF65C0" w:rsidRDefault="00D2236E">
      <w:r>
        <w:rPr>
          <w:b/>
          <w:color w:val="FF0000"/>
        </w:rPr>
        <w:t xml:space="preserve">HIGH </w:t>
      </w:r>
      <w:r>
        <w:t xml:space="preserve">= 3 points </w:t>
      </w:r>
      <w:r>
        <w:tab/>
      </w:r>
      <w:r>
        <w:tab/>
      </w:r>
      <w:r>
        <w:tab/>
      </w:r>
      <w:r>
        <w:rPr>
          <w:b/>
          <w:color w:val="FF9900"/>
        </w:rPr>
        <w:t xml:space="preserve">MEDIUM </w:t>
      </w:r>
      <w:r>
        <w:t>=  2 points</w:t>
      </w:r>
      <w:r>
        <w:tab/>
      </w:r>
      <w:r>
        <w:tab/>
      </w:r>
      <w:r>
        <w:tab/>
      </w:r>
      <w:r>
        <w:rPr>
          <w:b/>
          <w:color w:val="00FF00"/>
        </w:rPr>
        <w:t xml:space="preserve">LOW </w:t>
      </w:r>
      <w:r>
        <w:t>=  1 point</w:t>
      </w:r>
    </w:p>
    <w:p w14:paraId="095A6563" w14:textId="77777777" w:rsidR="00BF65C0" w:rsidRDefault="00BF65C0"/>
    <w:p w14:paraId="6BF034BE" w14:textId="77777777" w:rsidR="001C1D1E" w:rsidRDefault="001C1D1E"/>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55"/>
        <w:gridCol w:w="4905"/>
      </w:tblGrid>
      <w:tr w:rsidR="00BF65C0" w14:paraId="5850F8C7" w14:textId="77777777">
        <w:tc>
          <w:tcPr>
            <w:tcW w:w="4455" w:type="dxa"/>
            <w:shd w:val="clear" w:color="auto" w:fill="7802B5"/>
            <w:tcMar>
              <w:top w:w="100" w:type="dxa"/>
              <w:left w:w="100" w:type="dxa"/>
              <w:bottom w:w="100" w:type="dxa"/>
              <w:right w:w="100" w:type="dxa"/>
            </w:tcMar>
          </w:tcPr>
          <w:p w14:paraId="79245C8C"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t>Threat of New Entrants</w:t>
            </w:r>
          </w:p>
          <w:p w14:paraId="02FF6D0F" w14:textId="77777777" w:rsidR="00BF65C0" w:rsidRDefault="00D2236E">
            <w:pPr>
              <w:widowControl w:val="0"/>
              <w:pBdr>
                <w:top w:val="nil"/>
                <w:left w:val="nil"/>
                <w:bottom w:val="nil"/>
                <w:right w:val="nil"/>
                <w:between w:val="nil"/>
              </w:pBdr>
              <w:spacing w:line="240" w:lineRule="auto"/>
              <w:jc w:val="center"/>
              <w:rPr>
                <w:color w:val="FFFFFF"/>
              </w:rPr>
            </w:pPr>
            <w:r>
              <w:rPr>
                <w:b/>
                <w:color w:val="FFFFFF"/>
              </w:rPr>
              <w:t>Overall Strength of Threat</w:t>
            </w:r>
            <w:r>
              <w:rPr>
                <w:color w:val="FFFFFF"/>
              </w:rPr>
              <w:br/>
            </w:r>
            <w:r>
              <w:rPr>
                <w:b/>
                <w:color w:val="FF9900"/>
              </w:rPr>
              <w:t>MEDIUM</w:t>
            </w:r>
            <w:r>
              <w:rPr>
                <w:color w:val="FFFFFF"/>
              </w:rPr>
              <w:t xml:space="preserve"> (2.15 point average)</w:t>
            </w:r>
          </w:p>
        </w:tc>
        <w:tc>
          <w:tcPr>
            <w:tcW w:w="4905" w:type="dxa"/>
            <w:shd w:val="clear" w:color="auto" w:fill="1155CC"/>
            <w:tcMar>
              <w:top w:w="100" w:type="dxa"/>
              <w:left w:w="100" w:type="dxa"/>
              <w:bottom w:w="100" w:type="dxa"/>
              <w:right w:w="100" w:type="dxa"/>
            </w:tcMar>
          </w:tcPr>
          <w:p w14:paraId="1C079837"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t>Bargaining Power of Suppliers</w:t>
            </w:r>
          </w:p>
          <w:p w14:paraId="6A673F8F" w14:textId="77777777" w:rsidR="00BF65C0" w:rsidRDefault="00D2236E">
            <w:pPr>
              <w:widowControl w:val="0"/>
              <w:spacing w:line="240" w:lineRule="auto"/>
              <w:jc w:val="center"/>
              <w:rPr>
                <w:b/>
                <w:color w:val="FFFFFF"/>
              </w:rPr>
            </w:pPr>
            <w:r>
              <w:rPr>
                <w:b/>
                <w:color w:val="FFFFFF"/>
              </w:rPr>
              <w:t>Overall Strength of Threat</w:t>
            </w:r>
          </w:p>
          <w:p w14:paraId="15FE5008" w14:textId="77777777" w:rsidR="00BF65C0" w:rsidRDefault="00D2236E">
            <w:pPr>
              <w:widowControl w:val="0"/>
              <w:spacing w:line="240" w:lineRule="auto"/>
              <w:jc w:val="center"/>
              <w:rPr>
                <w:color w:val="FFFFFF"/>
              </w:rPr>
            </w:pPr>
            <w:r>
              <w:rPr>
                <w:b/>
                <w:color w:val="FF9900"/>
              </w:rPr>
              <w:t>MEDIUM</w:t>
            </w:r>
            <w:r>
              <w:rPr>
                <w:color w:val="FFFFFF"/>
              </w:rPr>
              <w:t xml:space="preserve"> (2.25 point average)</w:t>
            </w:r>
          </w:p>
        </w:tc>
      </w:tr>
      <w:tr w:rsidR="00BF65C0" w14:paraId="08B5D03C" w14:textId="77777777">
        <w:tc>
          <w:tcPr>
            <w:tcW w:w="4455" w:type="dxa"/>
            <w:shd w:val="clear" w:color="auto" w:fill="auto"/>
            <w:tcMar>
              <w:top w:w="100" w:type="dxa"/>
              <w:left w:w="100" w:type="dxa"/>
              <w:bottom w:w="100" w:type="dxa"/>
              <w:right w:w="100" w:type="dxa"/>
            </w:tcMar>
          </w:tcPr>
          <w:p w14:paraId="3564DB23" w14:textId="77777777" w:rsidR="00BF65C0" w:rsidRDefault="00D2236E">
            <w:pPr>
              <w:widowControl w:val="0"/>
              <w:pBdr>
                <w:top w:val="nil"/>
                <w:left w:val="nil"/>
                <w:bottom w:val="nil"/>
                <w:right w:val="nil"/>
                <w:between w:val="nil"/>
              </w:pBdr>
              <w:spacing w:line="240" w:lineRule="auto"/>
              <w:rPr>
                <w:b/>
                <w:color w:val="FF0000"/>
              </w:rPr>
            </w:pPr>
            <w:r>
              <w:t xml:space="preserve">1. Barriers to Entry: </w:t>
            </w:r>
            <w:r>
              <w:rPr>
                <w:b/>
                <w:color w:val="FF0000"/>
              </w:rPr>
              <w:t xml:space="preserve">HIGH </w:t>
            </w:r>
            <w:r>
              <w:rPr>
                <w:b/>
                <w:color w:val="FF0000"/>
              </w:rPr>
              <w:br/>
            </w:r>
          </w:p>
          <w:p w14:paraId="79379651" w14:textId="77777777" w:rsidR="00BF65C0" w:rsidRDefault="00D2236E">
            <w:pPr>
              <w:widowControl w:val="0"/>
              <w:pBdr>
                <w:top w:val="nil"/>
                <w:left w:val="nil"/>
                <w:bottom w:val="nil"/>
                <w:right w:val="nil"/>
                <w:between w:val="nil"/>
              </w:pBdr>
              <w:spacing w:line="240" w:lineRule="auto"/>
              <w:rPr>
                <w:b/>
                <w:color w:val="FF9900"/>
              </w:rPr>
            </w:pPr>
            <w:r>
              <w:t xml:space="preserve">2. Economies of Scale: </w:t>
            </w:r>
            <w:r>
              <w:rPr>
                <w:b/>
                <w:color w:val="FF9900"/>
              </w:rPr>
              <w:t>MEDIUM</w:t>
            </w:r>
            <w:r>
              <w:rPr>
                <w:b/>
                <w:color w:val="FF9900"/>
              </w:rPr>
              <w:br/>
            </w:r>
          </w:p>
          <w:p w14:paraId="648EA200" w14:textId="77777777" w:rsidR="00BF65C0" w:rsidRDefault="00D2236E">
            <w:pPr>
              <w:widowControl w:val="0"/>
              <w:pBdr>
                <w:top w:val="nil"/>
                <w:left w:val="nil"/>
                <w:bottom w:val="nil"/>
                <w:right w:val="nil"/>
                <w:between w:val="nil"/>
              </w:pBdr>
              <w:spacing w:line="240" w:lineRule="auto"/>
              <w:rPr>
                <w:b/>
                <w:color w:val="FF0000"/>
              </w:rPr>
            </w:pPr>
            <w:r>
              <w:t xml:space="preserve">3. Brand Identity/Loyalty: </w:t>
            </w:r>
            <w:r>
              <w:rPr>
                <w:b/>
                <w:color w:val="FF0000"/>
              </w:rPr>
              <w:t>HIGH</w:t>
            </w:r>
            <w:r>
              <w:rPr>
                <w:b/>
                <w:color w:val="FF0000"/>
              </w:rPr>
              <w:br/>
            </w:r>
          </w:p>
          <w:p w14:paraId="4EE9CE83" w14:textId="77777777" w:rsidR="00BF65C0" w:rsidRDefault="00D2236E">
            <w:pPr>
              <w:widowControl w:val="0"/>
              <w:pBdr>
                <w:top w:val="nil"/>
                <w:left w:val="nil"/>
                <w:bottom w:val="nil"/>
                <w:right w:val="nil"/>
                <w:between w:val="nil"/>
              </w:pBdr>
              <w:spacing w:line="240" w:lineRule="auto"/>
              <w:rPr>
                <w:b/>
                <w:color w:val="FF0000"/>
              </w:rPr>
            </w:pPr>
            <w:r>
              <w:t xml:space="preserve">4. Capital Requirements: </w:t>
            </w:r>
            <w:r>
              <w:rPr>
                <w:b/>
                <w:color w:val="FF0000"/>
              </w:rPr>
              <w:t>HIGH</w:t>
            </w:r>
            <w:r>
              <w:rPr>
                <w:b/>
                <w:color w:val="FF0000"/>
              </w:rPr>
              <w:br/>
            </w:r>
          </w:p>
          <w:p w14:paraId="7AA462BC" w14:textId="77777777" w:rsidR="00BF65C0" w:rsidRDefault="00D2236E">
            <w:pPr>
              <w:widowControl w:val="0"/>
              <w:pBdr>
                <w:top w:val="nil"/>
                <w:left w:val="nil"/>
                <w:bottom w:val="nil"/>
                <w:right w:val="nil"/>
                <w:between w:val="nil"/>
              </w:pBdr>
              <w:spacing w:line="240" w:lineRule="auto"/>
              <w:rPr>
                <w:b/>
                <w:color w:val="FF9900"/>
              </w:rPr>
            </w:pPr>
            <w:r>
              <w:t xml:space="preserve">5. Cumulative Experience: </w:t>
            </w:r>
            <w:r>
              <w:rPr>
                <w:b/>
                <w:color w:val="FF9900"/>
              </w:rPr>
              <w:t>MEDIUM</w:t>
            </w:r>
            <w:r>
              <w:rPr>
                <w:b/>
                <w:color w:val="FF9900"/>
              </w:rPr>
              <w:br/>
            </w:r>
          </w:p>
          <w:p w14:paraId="0F6CBCC3" w14:textId="77777777" w:rsidR="00BF65C0" w:rsidRDefault="00D2236E">
            <w:pPr>
              <w:widowControl w:val="0"/>
              <w:pBdr>
                <w:top w:val="nil"/>
                <w:left w:val="nil"/>
                <w:bottom w:val="nil"/>
                <w:right w:val="nil"/>
                <w:between w:val="nil"/>
              </w:pBdr>
              <w:spacing w:line="240" w:lineRule="auto"/>
            </w:pPr>
            <w:r>
              <w:t xml:space="preserve">6. Government Policies: </w:t>
            </w:r>
            <w:r>
              <w:rPr>
                <w:b/>
                <w:color w:val="FF0000"/>
              </w:rPr>
              <w:t>HIGH</w:t>
            </w:r>
            <w:r>
              <w:br/>
            </w:r>
          </w:p>
          <w:p w14:paraId="59923F0F" w14:textId="77777777" w:rsidR="00BF65C0" w:rsidRDefault="00D2236E">
            <w:pPr>
              <w:widowControl w:val="0"/>
              <w:pBdr>
                <w:top w:val="nil"/>
                <w:left w:val="nil"/>
                <w:bottom w:val="nil"/>
                <w:right w:val="nil"/>
                <w:between w:val="nil"/>
              </w:pBdr>
              <w:spacing w:line="240" w:lineRule="auto"/>
              <w:rPr>
                <w:b/>
                <w:color w:val="FF9900"/>
              </w:rPr>
            </w:pPr>
            <w:r>
              <w:t xml:space="preserve">7. Access to Distribution Channels: </w:t>
            </w:r>
            <w:r>
              <w:rPr>
                <w:b/>
                <w:color w:val="FF9900"/>
              </w:rPr>
              <w:t>MEDIUM</w:t>
            </w:r>
            <w:r>
              <w:rPr>
                <w:b/>
                <w:color w:val="FF9900"/>
              </w:rPr>
              <w:br/>
            </w:r>
          </w:p>
          <w:p w14:paraId="5A8A0175" w14:textId="77777777" w:rsidR="00BF65C0" w:rsidRDefault="00D2236E">
            <w:pPr>
              <w:widowControl w:val="0"/>
              <w:pBdr>
                <w:top w:val="nil"/>
                <w:left w:val="nil"/>
                <w:bottom w:val="nil"/>
                <w:right w:val="nil"/>
                <w:between w:val="nil"/>
              </w:pBdr>
              <w:spacing w:line="240" w:lineRule="auto"/>
              <w:rPr>
                <w:b/>
                <w:color w:val="FF9900"/>
              </w:rPr>
            </w:pPr>
            <w:r>
              <w:t xml:space="preserve">8. Switching Costs: </w:t>
            </w:r>
            <w:r>
              <w:rPr>
                <w:b/>
                <w:color w:val="FF9900"/>
              </w:rPr>
              <w:t>MEDIUM</w:t>
            </w:r>
            <w:r>
              <w:rPr>
                <w:b/>
                <w:color w:val="FF9900"/>
              </w:rPr>
              <w:br/>
            </w:r>
          </w:p>
          <w:p w14:paraId="7B66CBA1" w14:textId="77777777" w:rsidR="00BF65C0" w:rsidRDefault="00D2236E">
            <w:pPr>
              <w:widowControl w:val="0"/>
              <w:pBdr>
                <w:top w:val="nil"/>
                <w:left w:val="nil"/>
                <w:bottom w:val="nil"/>
                <w:right w:val="nil"/>
                <w:between w:val="nil"/>
              </w:pBdr>
              <w:spacing w:line="240" w:lineRule="auto"/>
              <w:rPr>
                <w:b/>
                <w:color w:val="FF9900"/>
              </w:rPr>
            </w:pPr>
            <w:r>
              <w:t xml:space="preserve">9. Product Differentiation: </w:t>
            </w:r>
            <w:r>
              <w:rPr>
                <w:b/>
                <w:color w:val="FF9900"/>
              </w:rPr>
              <w:t>MEDIUM</w:t>
            </w:r>
            <w:r>
              <w:rPr>
                <w:b/>
                <w:color w:val="FF9900"/>
              </w:rPr>
              <w:br/>
            </w:r>
          </w:p>
          <w:p w14:paraId="319ECF6F" w14:textId="77777777" w:rsidR="00BF65C0" w:rsidRDefault="00D2236E">
            <w:pPr>
              <w:widowControl w:val="0"/>
              <w:pBdr>
                <w:top w:val="nil"/>
                <w:left w:val="nil"/>
                <w:bottom w:val="nil"/>
                <w:right w:val="nil"/>
                <w:between w:val="nil"/>
              </w:pBdr>
              <w:spacing w:line="240" w:lineRule="auto"/>
              <w:rPr>
                <w:b/>
                <w:color w:val="00FF00"/>
              </w:rPr>
            </w:pPr>
            <w:r>
              <w:t xml:space="preserve">10. Access to latest technology: </w:t>
            </w:r>
            <w:r>
              <w:rPr>
                <w:b/>
                <w:color w:val="00FF00"/>
              </w:rPr>
              <w:t>LOW</w:t>
            </w:r>
            <w:r>
              <w:rPr>
                <w:b/>
                <w:color w:val="00FF00"/>
              </w:rPr>
              <w:br/>
            </w:r>
          </w:p>
          <w:p w14:paraId="34889730" w14:textId="77777777" w:rsidR="00BF65C0" w:rsidRDefault="00D2236E">
            <w:pPr>
              <w:widowControl w:val="0"/>
              <w:pBdr>
                <w:top w:val="nil"/>
                <w:left w:val="nil"/>
                <w:bottom w:val="nil"/>
                <w:right w:val="nil"/>
                <w:between w:val="nil"/>
              </w:pBdr>
              <w:spacing w:line="240" w:lineRule="auto"/>
              <w:rPr>
                <w:b/>
                <w:color w:val="00FF00"/>
              </w:rPr>
            </w:pPr>
            <w:r>
              <w:t xml:space="preserve">11 Access to necessary inputs: </w:t>
            </w:r>
            <w:r>
              <w:rPr>
                <w:b/>
                <w:color w:val="00FF00"/>
              </w:rPr>
              <w:t>LOW</w:t>
            </w:r>
            <w:r>
              <w:rPr>
                <w:b/>
                <w:color w:val="00FF00"/>
              </w:rPr>
              <w:br/>
            </w:r>
          </w:p>
          <w:p w14:paraId="771CD950" w14:textId="77777777" w:rsidR="00BF65C0" w:rsidRDefault="00D2236E">
            <w:pPr>
              <w:widowControl w:val="0"/>
              <w:pBdr>
                <w:top w:val="nil"/>
                <w:left w:val="nil"/>
                <w:bottom w:val="nil"/>
                <w:right w:val="nil"/>
                <w:between w:val="nil"/>
              </w:pBdr>
              <w:spacing w:line="240" w:lineRule="auto"/>
              <w:rPr>
                <w:b/>
                <w:color w:val="FF9900"/>
              </w:rPr>
            </w:pPr>
            <w:r>
              <w:t xml:space="preserve">12. Absolute cost advantages: </w:t>
            </w:r>
            <w:r>
              <w:rPr>
                <w:b/>
                <w:color w:val="FF9900"/>
              </w:rPr>
              <w:t>MEDIUM</w:t>
            </w:r>
            <w:r>
              <w:rPr>
                <w:b/>
                <w:color w:val="FF9900"/>
              </w:rPr>
              <w:br/>
            </w:r>
          </w:p>
          <w:p w14:paraId="28C9B9D7" w14:textId="77777777" w:rsidR="00BF65C0" w:rsidRDefault="00D2236E">
            <w:pPr>
              <w:widowControl w:val="0"/>
              <w:pBdr>
                <w:top w:val="nil"/>
                <w:left w:val="nil"/>
                <w:bottom w:val="nil"/>
                <w:right w:val="nil"/>
                <w:between w:val="nil"/>
              </w:pBdr>
              <w:spacing w:line="240" w:lineRule="auto"/>
            </w:pPr>
            <w:r>
              <w:t xml:space="preserve">13. Expected retaliation from existing players: </w:t>
            </w:r>
            <w:r>
              <w:rPr>
                <w:b/>
                <w:color w:val="FF9900"/>
              </w:rPr>
              <w:t xml:space="preserve">MEDIUM </w:t>
            </w:r>
          </w:p>
          <w:p w14:paraId="5DEB369C" w14:textId="77777777" w:rsidR="00BF65C0" w:rsidRDefault="00BF65C0">
            <w:pPr>
              <w:widowControl w:val="0"/>
              <w:pBdr>
                <w:top w:val="nil"/>
                <w:left w:val="nil"/>
                <w:bottom w:val="nil"/>
                <w:right w:val="nil"/>
                <w:between w:val="nil"/>
              </w:pBdr>
              <w:spacing w:line="240" w:lineRule="auto"/>
            </w:pPr>
          </w:p>
          <w:p w14:paraId="239ADFC8" w14:textId="77777777" w:rsidR="00BF65C0" w:rsidRDefault="00BF65C0">
            <w:pPr>
              <w:widowControl w:val="0"/>
              <w:pBdr>
                <w:top w:val="nil"/>
                <w:left w:val="nil"/>
                <w:bottom w:val="nil"/>
                <w:right w:val="nil"/>
                <w:between w:val="nil"/>
              </w:pBdr>
              <w:spacing w:line="240" w:lineRule="auto"/>
            </w:pPr>
          </w:p>
          <w:p w14:paraId="0787BEB9" w14:textId="77777777" w:rsidR="00BF65C0" w:rsidRDefault="00BF65C0">
            <w:pPr>
              <w:widowControl w:val="0"/>
              <w:pBdr>
                <w:top w:val="nil"/>
                <w:left w:val="nil"/>
                <w:bottom w:val="nil"/>
                <w:right w:val="nil"/>
                <w:between w:val="nil"/>
              </w:pBdr>
              <w:spacing w:line="240" w:lineRule="auto"/>
            </w:pPr>
          </w:p>
          <w:p w14:paraId="7DAC621F" w14:textId="77777777" w:rsidR="00BF65C0" w:rsidRDefault="00D2236E">
            <w:pPr>
              <w:widowControl w:val="0"/>
              <w:pBdr>
                <w:top w:val="nil"/>
                <w:left w:val="nil"/>
                <w:bottom w:val="nil"/>
                <w:right w:val="nil"/>
                <w:between w:val="nil"/>
              </w:pBdr>
              <w:spacing w:line="240" w:lineRule="auto"/>
              <w:jc w:val="center"/>
            </w:pPr>
            <w:r>
              <w:t>Total: 28 points</w:t>
            </w:r>
          </w:p>
          <w:p w14:paraId="593D31D3" w14:textId="77777777" w:rsidR="00BF65C0" w:rsidRDefault="00BF65C0">
            <w:pPr>
              <w:widowControl w:val="0"/>
              <w:pBdr>
                <w:top w:val="nil"/>
                <w:left w:val="nil"/>
                <w:bottom w:val="nil"/>
                <w:right w:val="nil"/>
                <w:between w:val="nil"/>
              </w:pBdr>
              <w:spacing w:line="240" w:lineRule="auto"/>
              <w:jc w:val="center"/>
            </w:pPr>
          </w:p>
          <w:p w14:paraId="1BAD6184" w14:textId="77777777" w:rsidR="00BF65C0" w:rsidRDefault="00D2236E">
            <w:pPr>
              <w:widowControl w:val="0"/>
              <w:pBdr>
                <w:top w:val="nil"/>
                <w:left w:val="nil"/>
                <w:bottom w:val="nil"/>
                <w:right w:val="nil"/>
                <w:between w:val="nil"/>
              </w:pBdr>
              <w:spacing w:line="240" w:lineRule="auto"/>
              <w:jc w:val="center"/>
            </w:pPr>
            <w:r>
              <w:t>Average: 28 total points divided by 13 categories = 2.15 points</w:t>
            </w:r>
          </w:p>
          <w:p w14:paraId="6582D413" w14:textId="77777777" w:rsidR="00BF65C0" w:rsidRDefault="00BF65C0">
            <w:pPr>
              <w:widowControl w:val="0"/>
              <w:pBdr>
                <w:top w:val="nil"/>
                <w:left w:val="nil"/>
                <w:bottom w:val="nil"/>
                <w:right w:val="nil"/>
                <w:between w:val="nil"/>
              </w:pBdr>
              <w:spacing w:line="240" w:lineRule="auto"/>
              <w:jc w:val="center"/>
            </w:pPr>
          </w:p>
          <w:p w14:paraId="670ED5E9" w14:textId="77777777" w:rsidR="00BF65C0" w:rsidRDefault="00D2236E">
            <w:pPr>
              <w:widowControl w:val="0"/>
              <w:pBdr>
                <w:top w:val="nil"/>
                <w:left w:val="nil"/>
                <w:bottom w:val="nil"/>
                <w:right w:val="nil"/>
                <w:between w:val="nil"/>
              </w:pBdr>
              <w:spacing w:line="240" w:lineRule="auto"/>
              <w:jc w:val="center"/>
              <w:rPr>
                <w:b/>
                <w:sz w:val="28"/>
                <w:szCs w:val="28"/>
              </w:rPr>
            </w:pPr>
            <w:r>
              <w:rPr>
                <w:sz w:val="28"/>
                <w:szCs w:val="28"/>
              </w:rPr>
              <w:t xml:space="preserve">Rounded to: 2 </w:t>
            </w:r>
            <w:r>
              <w:rPr>
                <w:sz w:val="28"/>
                <w:szCs w:val="28"/>
              </w:rPr>
              <w:br/>
            </w:r>
            <w:r>
              <w:rPr>
                <w:b/>
                <w:color w:val="FF9900"/>
                <w:sz w:val="28"/>
                <w:szCs w:val="28"/>
              </w:rPr>
              <w:t xml:space="preserve">MEDIUM </w:t>
            </w:r>
            <w:r>
              <w:rPr>
                <w:b/>
                <w:sz w:val="28"/>
                <w:szCs w:val="28"/>
              </w:rPr>
              <w:t>Threat of New Entrants</w:t>
            </w:r>
          </w:p>
        </w:tc>
        <w:tc>
          <w:tcPr>
            <w:tcW w:w="4905" w:type="dxa"/>
            <w:shd w:val="clear" w:color="auto" w:fill="auto"/>
            <w:tcMar>
              <w:top w:w="100" w:type="dxa"/>
              <w:left w:w="100" w:type="dxa"/>
              <w:bottom w:w="100" w:type="dxa"/>
              <w:right w:w="100" w:type="dxa"/>
            </w:tcMar>
          </w:tcPr>
          <w:p w14:paraId="3F3132E5" w14:textId="77777777" w:rsidR="00BF65C0" w:rsidRDefault="00D2236E">
            <w:pPr>
              <w:widowControl w:val="0"/>
              <w:pBdr>
                <w:top w:val="nil"/>
                <w:left w:val="nil"/>
                <w:bottom w:val="nil"/>
                <w:right w:val="nil"/>
                <w:between w:val="nil"/>
              </w:pBdr>
              <w:spacing w:line="240" w:lineRule="auto"/>
            </w:pPr>
            <w:r>
              <w:t xml:space="preserve">1. Number of Suppliers: </w:t>
            </w:r>
            <w:r>
              <w:rPr>
                <w:b/>
                <w:color w:val="FF0000"/>
              </w:rPr>
              <w:t>HIGH</w:t>
            </w:r>
            <w:r>
              <w:br/>
            </w:r>
          </w:p>
          <w:p w14:paraId="5D7A6091" w14:textId="77777777" w:rsidR="00BF65C0" w:rsidRDefault="00D2236E">
            <w:pPr>
              <w:widowControl w:val="0"/>
              <w:pBdr>
                <w:top w:val="nil"/>
                <w:left w:val="nil"/>
                <w:bottom w:val="nil"/>
                <w:right w:val="nil"/>
                <w:between w:val="nil"/>
              </w:pBdr>
              <w:spacing w:line="240" w:lineRule="auto"/>
              <w:rPr>
                <w:b/>
                <w:color w:val="FF0000"/>
              </w:rPr>
            </w:pPr>
            <w:r>
              <w:t xml:space="preserve">2. Size of Suppliers: </w:t>
            </w:r>
            <w:r>
              <w:rPr>
                <w:b/>
                <w:color w:val="FF0000"/>
              </w:rPr>
              <w:t>HIGH</w:t>
            </w:r>
            <w:r>
              <w:rPr>
                <w:b/>
                <w:color w:val="FF0000"/>
              </w:rPr>
              <w:br/>
            </w:r>
          </w:p>
          <w:p w14:paraId="3AD791AA" w14:textId="77777777" w:rsidR="00BF65C0" w:rsidRDefault="00D2236E">
            <w:pPr>
              <w:widowControl w:val="0"/>
              <w:pBdr>
                <w:top w:val="nil"/>
                <w:left w:val="nil"/>
                <w:bottom w:val="nil"/>
                <w:right w:val="nil"/>
                <w:between w:val="nil"/>
              </w:pBdr>
              <w:spacing w:line="240" w:lineRule="auto"/>
            </w:pPr>
            <w:r>
              <w:t xml:space="preserve">3. Supplier Concentration: </w:t>
            </w:r>
            <w:r>
              <w:rPr>
                <w:b/>
                <w:color w:val="00FF00"/>
              </w:rPr>
              <w:t xml:space="preserve">LOW </w:t>
            </w:r>
            <w:r>
              <w:br/>
            </w:r>
          </w:p>
          <w:p w14:paraId="7AFBEB50" w14:textId="77777777" w:rsidR="00BF65C0" w:rsidRDefault="00D2236E">
            <w:pPr>
              <w:widowControl w:val="0"/>
              <w:pBdr>
                <w:top w:val="nil"/>
                <w:left w:val="nil"/>
                <w:bottom w:val="nil"/>
                <w:right w:val="nil"/>
                <w:between w:val="nil"/>
              </w:pBdr>
              <w:spacing w:line="240" w:lineRule="auto"/>
              <w:rPr>
                <w:b/>
                <w:color w:val="FF9900"/>
              </w:rPr>
            </w:pPr>
            <w:r>
              <w:t xml:space="preserve">4. Availability of substitutes for the supplier’s products: </w:t>
            </w:r>
            <w:r>
              <w:rPr>
                <w:b/>
                <w:color w:val="FF9900"/>
              </w:rPr>
              <w:t>MEDIUM</w:t>
            </w:r>
            <w:r>
              <w:rPr>
                <w:b/>
                <w:color w:val="FF9900"/>
              </w:rPr>
              <w:br/>
            </w:r>
          </w:p>
          <w:p w14:paraId="2D7F63FC" w14:textId="77777777" w:rsidR="00BF65C0" w:rsidRDefault="00D2236E">
            <w:pPr>
              <w:widowControl w:val="0"/>
              <w:pBdr>
                <w:top w:val="nil"/>
                <w:left w:val="nil"/>
                <w:bottom w:val="nil"/>
                <w:right w:val="nil"/>
                <w:between w:val="nil"/>
              </w:pBdr>
              <w:spacing w:line="240" w:lineRule="auto"/>
              <w:rPr>
                <w:b/>
                <w:color w:val="FF9900"/>
              </w:rPr>
            </w:pPr>
            <w:r>
              <w:t xml:space="preserve">5. Uniqueness of each supplier’s product or service (differentiation): </w:t>
            </w:r>
            <w:r>
              <w:rPr>
                <w:b/>
                <w:color w:val="FF9900"/>
              </w:rPr>
              <w:t>MEDIUM</w:t>
            </w:r>
            <w:r>
              <w:rPr>
                <w:b/>
                <w:color w:val="FF9900"/>
              </w:rPr>
              <w:br/>
            </w:r>
          </w:p>
          <w:p w14:paraId="0B2B8135" w14:textId="77777777" w:rsidR="00BF65C0" w:rsidRDefault="00D2236E">
            <w:pPr>
              <w:widowControl w:val="0"/>
              <w:pBdr>
                <w:top w:val="nil"/>
                <w:left w:val="nil"/>
                <w:bottom w:val="nil"/>
                <w:right w:val="nil"/>
                <w:between w:val="nil"/>
              </w:pBdr>
              <w:spacing w:line="240" w:lineRule="auto"/>
            </w:pPr>
            <w:r>
              <w:t xml:space="preserve">6. Focal company’s ability to substitute: </w:t>
            </w:r>
            <w:r>
              <w:rPr>
                <w:b/>
                <w:color w:val="FF0000"/>
              </w:rPr>
              <w:t>HIGH</w:t>
            </w:r>
            <w:r>
              <w:br/>
            </w:r>
          </w:p>
          <w:p w14:paraId="1F088CBF" w14:textId="77777777" w:rsidR="00BF65C0" w:rsidRDefault="00D2236E">
            <w:pPr>
              <w:widowControl w:val="0"/>
              <w:pBdr>
                <w:top w:val="nil"/>
                <w:left w:val="nil"/>
                <w:bottom w:val="nil"/>
                <w:right w:val="nil"/>
                <w:between w:val="nil"/>
              </w:pBdr>
              <w:spacing w:line="240" w:lineRule="auto"/>
              <w:rPr>
                <w:b/>
                <w:color w:val="00FF00"/>
              </w:rPr>
            </w:pPr>
            <w:r>
              <w:t xml:space="preserve">7. Switching costs for supplier’s products: </w:t>
            </w:r>
            <w:r>
              <w:rPr>
                <w:b/>
                <w:color w:val="00FF00"/>
              </w:rPr>
              <w:t>LOW</w:t>
            </w:r>
            <w:r>
              <w:rPr>
                <w:b/>
                <w:color w:val="00FF00"/>
              </w:rPr>
              <w:br/>
              <w:t xml:space="preserve"> </w:t>
            </w:r>
          </w:p>
          <w:p w14:paraId="260C4199" w14:textId="77777777" w:rsidR="00BF65C0" w:rsidRDefault="00D2236E">
            <w:pPr>
              <w:widowControl w:val="0"/>
              <w:pBdr>
                <w:top w:val="nil"/>
                <w:left w:val="nil"/>
                <w:bottom w:val="nil"/>
                <w:right w:val="nil"/>
                <w:between w:val="nil"/>
              </w:pBdr>
              <w:spacing w:line="240" w:lineRule="auto"/>
              <w:rPr>
                <w:b/>
                <w:color w:val="FF9900"/>
              </w:rPr>
            </w:pPr>
            <w:r>
              <w:t xml:space="preserve">8. Supplier’s threat of forward integration: </w:t>
            </w:r>
            <w:r>
              <w:rPr>
                <w:b/>
                <w:color w:val="FF9900"/>
              </w:rPr>
              <w:t>MEDIUM</w:t>
            </w:r>
            <w:r>
              <w:rPr>
                <w:b/>
                <w:color w:val="FF9900"/>
              </w:rPr>
              <w:br/>
            </w:r>
          </w:p>
          <w:p w14:paraId="3F3D45A0" w14:textId="77777777" w:rsidR="00BF65C0" w:rsidRDefault="00D2236E">
            <w:pPr>
              <w:widowControl w:val="0"/>
              <w:pBdr>
                <w:top w:val="nil"/>
                <w:left w:val="nil"/>
                <w:bottom w:val="nil"/>
                <w:right w:val="nil"/>
                <w:between w:val="nil"/>
              </w:pBdr>
              <w:spacing w:line="240" w:lineRule="auto"/>
              <w:rPr>
                <w:b/>
                <w:color w:val="00FF00"/>
              </w:rPr>
            </w:pPr>
            <w:r>
              <w:t xml:space="preserve">9. Industry threat of backward integration: </w:t>
            </w:r>
            <w:r>
              <w:rPr>
                <w:b/>
                <w:color w:val="00FF00"/>
              </w:rPr>
              <w:t>LOW</w:t>
            </w:r>
            <w:r>
              <w:rPr>
                <w:b/>
                <w:color w:val="00FF00"/>
              </w:rPr>
              <w:br/>
            </w:r>
          </w:p>
          <w:p w14:paraId="2CA4EA10" w14:textId="77777777" w:rsidR="00BF65C0" w:rsidRDefault="00D2236E">
            <w:pPr>
              <w:widowControl w:val="0"/>
              <w:pBdr>
                <w:top w:val="nil"/>
                <w:left w:val="nil"/>
                <w:bottom w:val="nil"/>
                <w:right w:val="nil"/>
                <w:between w:val="nil"/>
              </w:pBdr>
              <w:spacing w:line="240" w:lineRule="auto"/>
              <w:rPr>
                <w:b/>
                <w:color w:val="FF0000"/>
              </w:rPr>
            </w:pPr>
            <w:r>
              <w:t xml:space="preserve">10. Supplier’s contribution to quality and service of the industry products: </w:t>
            </w:r>
            <w:r>
              <w:rPr>
                <w:b/>
                <w:color w:val="FF0000"/>
              </w:rPr>
              <w:t>HIGH</w:t>
            </w:r>
            <w:r>
              <w:rPr>
                <w:b/>
                <w:color w:val="FF0000"/>
              </w:rPr>
              <w:br/>
            </w:r>
          </w:p>
          <w:p w14:paraId="4DB4209C" w14:textId="77777777" w:rsidR="00BF65C0" w:rsidRDefault="00D2236E">
            <w:pPr>
              <w:widowControl w:val="0"/>
              <w:pBdr>
                <w:top w:val="nil"/>
                <w:left w:val="nil"/>
                <w:bottom w:val="nil"/>
                <w:right w:val="nil"/>
                <w:between w:val="nil"/>
              </w:pBdr>
              <w:spacing w:line="240" w:lineRule="auto"/>
            </w:pPr>
            <w:r>
              <w:t>11. Importance of volume to supplier:</w:t>
            </w:r>
          </w:p>
          <w:p w14:paraId="1253CE60" w14:textId="77777777" w:rsidR="00BF65C0" w:rsidRDefault="00D2236E">
            <w:pPr>
              <w:widowControl w:val="0"/>
              <w:pBdr>
                <w:top w:val="nil"/>
                <w:left w:val="nil"/>
                <w:bottom w:val="nil"/>
                <w:right w:val="nil"/>
                <w:between w:val="nil"/>
              </w:pBdr>
              <w:spacing w:line="240" w:lineRule="auto"/>
              <w:rPr>
                <w:b/>
                <w:color w:val="FF0000"/>
              </w:rPr>
            </w:pPr>
            <w:r>
              <w:rPr>
                <w:b/>
                <w:color w:val="FF0000"/>
              </w:rPr>
              <w:t>HIGH</w:t>
            </w:r>
            <w:r>
              <w:rPr>
                <w:b/>
                <w:color w:val="FF0000"/>
              </w:rPr>
              <w:br/>
            </w:r>
          </w:p>
          <w:p w14:paraId="3420FA37" w14:textId="77777777" w:rsidR="00BF65C0" w:rsidRDefault="00D2236E">
            <w:pPr>
              <w:widowControl w:val="0"/>
              <w:pBdr>
                <w:top w:val="nil"/>
                <w:left w:val="nil"/>
                <w:bottom w:val="nil"/>
                <w:right w:val="nil"/>
                <w:between w:val="nil"/>
              </w:pBdr>
              <w:spacing w:line="240" w:lineRule="auto"/>
              <w:rPr>
                <w:b/>
                <w:color w:val="FF0000"/>
              </w:rPr>
            </w:pPr>
            <w:r>
              <w:t xml:space="preserve">12. Importance of the industry to supplier’s profit: </w:t>
            </w:r>
            <w:r>
              <w:rPr>
                <w:b/>
                <w:color w:val="FF0000"/>
              </w:rPr>
              <w:t>HIGH</w:t>
            </w:r>
          </w:p>
          <w:p w14:paraId="702BD270" w14:textId="77777777" w:rsidR="00BF65C0" w:rsidRDefault="00BF65C0">
            <w:pPr>
              <w:widowControl w:val="0"/>
              <w:pBdr>
                <w:top w:val="nil"/>
                <w:left w:val="nil"/>
                <w:bottom w:val="nil"/>
                <w:right w:val="nil"/>
                <w:between w:val="nil"/>
              </w:pBdr>
              <w:spacing w:line="240" w:lineRule="auto"/>
            </w:pPr>
          </w:p>
          <w:p w14:paraId="5C35174F" w14:textId="77777777" w:rsidR="00BF65C0" w:rsidRDefault="00D2236E">
            <w:pPr>
              <w:widowControl w:val="0"/>
              <w:pBdr>
                <w:top w:val="nil"/>
                <w:left w:val="nil"/>
                <w:bottom w:val="nil"/>
                <w:right w:val="nil"/>
                <w:between w:val="nil"/>
              </w:pBdr>
              <w:spacing w:line="240" w:lineRule="auto"/>
              <w:jc w:val="center"/>
            </w:pPr>
            <w:r>
              <w:t>Total: 27 points</w:t>
            </w:r>
          </w:p>
          <w:p w14:paraId="7BCC1F04" w14:textId="77777777" w:rsidR="00BF65C0" w:rsidRDefault="00BF65C0">
            <w:pPr>
              <w:widowControl w:val="0"/>
              <w:pBdr>
                <w:top w:val="nil"/>
                <w:left w:val="nil"/>
                <w:bottom w:val="nil"/>
                <w:right w:val="nil"/>
                <w:between w:val="nil"/>
              </w:pBdr>
              <w:spacing w:line="240" w:lineRule="auto"/>
              <w:jc w:val="center"/>
            </w:pPr>
          </w:p>
          <w:p w14:paraId="60CEDD2E" w14:textId="77777777" w:rsidR="00BF65C0" w:rsidRDefault="00D2236E">
            <w:pPr>
              <w:widowControl w:val="0"/>
              <w:pBdr>
                <w:top w:val="nil"/>
                <w:left w:val="nil"/>
                <w:bottom w:val="nil"/>
                <w:right w:val="nil"/>
                <w:between w:val="nil"/>
              </w:pBdr>
              <w:spacing w:line="240" w:lineRule="auto"/>
              <w:jc w:val="center"/>
            </w:pPr>
            <w:r>
              <w:t>Average: 27 total points divided by 12 categories = 2.25 points</w:t>
            </w:r>
          </w:p>
          <w:p w14:paraId="7B0809F2" w14:textId="77777777" w:rsidR="00BF65C0" w:rsidRDefault="00BF65C0">
            <w:pPr>
              <w:widowControl w:val="0"/>
              <w:pBdr>
                <w:top w:val="nil"/>
                <w:left w:val="nil"/>
                <w:bottom w:val="nil"/>
                <w:right w:val="nil"/>
                <w:between w:val="nil"/>
              </w:pBdr>
              <w:spacing w:line="240" w:lineRule="auto"/>
              <w:jc w:val="center"/>
            </w:pPr>
          </w:p>
          <w:p w14:paraId="7E7279C1" w14:textId="77777777" w:rsidR="00BF65C0" w:rsidRPr="00DA3B06" w:rsidRDefault="00D2236E" w:rsidP="00DA3B06">
            <w:pPr>
              <w:widowControl w:val="0"/>
              <w:pBdr>
                <w:top w:val="nil"/>
                <w:left w:val="nil"/>
                <w:bottom w:val="nil"/>
                <w:right w:val="nil"/>
                <w:between w:val="nil"/>
              </w:pBdr>
              <w:spacing w:line="240" w:lineRule="auto"/>
              <w:jc w:val="center"/>
              <w:rPr>
                <w:b/>
                <w:sz w:val="28"/>
                <w:szCs w:val="28"/>
              </w:rPr>
            </w:pPr>
            <w:r>
              <w:rPr>
                <w:sz w:val="28"/>
                <w:szCs w:val="28"/>
              </w:rPr>
              <w:t xml:space="preserve">Rounded to: 2  </w:t>
            </w:r>
            <w:r>
              <w:rPr>
                <w:sz w:val="28"/>
                <w:szCs w:val="28"/>
              </w:rPr>
              <w:br/>
            </w:r>
            <w:r>
              <w:rPr>
                <w:b/>
                <w:color w:val="FF9900"/>
                <w:sz w:val="28"/>
                <w:szCs w:val="28"/>
              </w:rPr>
              <w:t xml:space="preserve">MEDIUM </w:t>
            </w:r>
            <w:r>
              <w:rPr>
                <w:b/>
                <w:sz w:val="28"/>
                <w:szCs w:val="28"/>
              </w:rPr>
              <w:t>Threat of Bargaining power of Suppliers</w:t>
            </w:r>
          </w:p>
        </w:tc>
      </w:tr>
      <w:tr w:rsidR="00BF65C0" w14:paraId="774EB5F0" w14:textId="77777777">
        <w:tc>
          <w:tcPr>
            <w:tcW w:w="4455" w:type="dxa"/>
            <w:shd w:val="clear" w:color="auto" w:fill="1155CC"/>
            <w:tcMar>
              <w:top w:w="100" w:type="dxa"/>
              <w:left w:w="100" w:type="dxa"/>
              <w:bottom w:w="100" w:type="dxa"/>
              <w:right w:w="100" w:type="dxa"/>
            </w:tcMar>
          </w:tcPr>
          <w:p w14:paraId="42024FA9"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lastRenderedPageBreak/>
              <w:t>Bargaining Power of Buyers</w:t>
            </w:r>
          </w:p>
          <w:p w14:paraId="6DB6D345" w14:textId="77777777" w:rsidR="00BF65C0" w:rsidRDefault="00D2236E">
            <w:pPr>
              <w:widowControl w:val="0"/>
              <w:spacing w:line="240" w:lineRule="auto"/>
              <w:jc w:val="center"/>
              <w:rPr>
                <w:b/>
                <w:color w:val="FFFFFF"/>
              </w:rPr>
            </w:pPr>
            <w:r>
              <w:rPr>
                <w:b/>
                <w:color w:val="FFFFFF"/>
              </w:rPr>
              <w:t>Overall Strength of Threat</w:t>
            </w:r>
          </w:p>
          <w:p w14:paraId="19D3E5D8" w14:textId="77777777" w:rsidR="00BF65C0" w:rsidRDefault="00D2236E">
            <w:pPr>
              <w:widowControl w:val="0"/>
              <w:spacing w:line="240" w:lineRule="auto"/>
              <w:jc w:val="center"/>
              <w:rPr>
                <w:color w:val="FFFFFF"/>
              </w:rPr>
            </w:pPr>
            <w:r>
              <w:rPr>
                <w:b/>
                <w:color w:val="FF0000"/>
              </w:rPr>
              <w:t xml:space="preserve">HIGH </w:t>
            </w:r>
            <w:r>
              <w:rPr>
                <w:color w:val="FFFFFF"/>
              </w:rPr>
              <w:t>(2.55 point average)</w:t>
            </w:r>
          </w:p>
        </w:tc>
        <w:tc>
          <w:tcPr>
            <w:tcW w:w="4905" w:type="dxa"/>
            <w:shd w:val="clear" w:color="auto" w:fill="7802B5"/>
            <w:tcMar>
              <w:top w:w="100" w:type="dxa"/>
              <w:left w:w="100" w:type="dxa"/>
              <w:bottom w:w="100" w:type="dxa"/>
              <w:right w:w="100" w:type="dxa"/>
            </w:tcMar>
          </w:tcPr>
          <w:p w14:paraId="712558F9"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t>Threat of Substitute Products or Services</w:t>
            </w:r>
          </w:p>
          <w:p w14:paraId="40D32990" w14:textId="77777777" w:rsidR="00BF65C0" w:rsidRDefault="00D2236E">
            <w:pPr>
              <w:widowControl w:val="0"/>
              <w:spacing w:line="240" w:lineRule="auto"/>
              <w:jc w:val="center"/>
              <w:rPr>
                <w:b/>
                <w:color w:val="FFFFFF"/>
              </w:rPr>
            </w:pPr>
            <w:r>
              <w:rPr>
                <w:b/>
                <w:color w:val="FFFFFF"/>
              </w:rPr>
              <w:t>Overall Strength of Threat</w:t>
            </w:r>
          </w:p>
          <w:p w14:paraId="7FEE62BC" w14:textId="77777777" w:rsidR="00BF65C0" w:rsidRDefault="00D2236E">
            <w:pPr>
              <w:widowControl w:val="0"/>
              <w:spacing w:line="240" w:lineRule="auto"/>
              <w:jc w:val="center"/>
              <w:rPr>
                <w:color w:val="FFFFFF"/>
              </w:rPr>
            </w:pPr>
            <w:r>
              <w:rPr>
                <w:b/>
                <w:color w:val="FF9900"/>
              </w:rPr>
              <w:t xml:space="preserve">MEDIUM </w:t>
            </w:r>
            <w:r>
              <w:rPr>
                <w:color w:val="FFFFFF"/>
              </w:rPr>
              <w:t>(2.00 point average)</w:t>
            </w:r>
          </w:p>
        </w:tc>
      </w:tr>
      <w:tr w:rsidR="00BF65C0" w14:paraId="1DD7FEC0" w14:textId="77777777">
        <w:tc>
          <w:tcPr>
            <w:tcW w:w="4455" w:type="dxa"/>
            <w:shd w:val="clear" w:color="auto" w:fill="auto"/>
            <w:tcMar>
              <w:top w:w="100" w:type="dxa"/>
              <w:left w:w="100" w:type="dxa"/>
              <w:bottom w:w="100" w:type="dxa"/>
              <w:right w:w="100" w:type="dxa"/>
            </w:tcMar>
          </w:tcPr>
          <w:p w14:paraId="21A6AAE8" w14:textId="77777777" w:rsidR="00BF65C0" w:rsidRDefault="00D2236E">
            <w:pPr>
              <w:widowControl w:val="0"/>
              <w:pBdr>
                <w:top w:val="nil"/>
                <w:left w:val="nil"/>
                <w:bottom w:val="nil"/>
                <w:right w:val="nil"/>
                <w:between w:val="nil"/>
              </w:pBdr>
              <w:spacing w:line="240" w:lineRule="auto"/>
              <w:rPr>
                <w:b/>
                <w:color w:val="FF0000"/>
              </w:rPr>
            </w:pPr>
            <w:r>
              <w:t xml:space="preserve">1. Buyer Volume (Number of customers): </w:t>
            </w:r>
            <w:r>
              <w:rPr>
                <w:b/>
                <w:color w:val="FF0000"/>
              </w:rPr>
              <w:t>HIGH</w:t>
            </w:r>
            <w:r>
              <w:rPr>
                <w:b/>
                <w:color w:val="FF0000"/>
              </w:rPr>
              <w:br/>
            </w:r>
          </w:p>
          <w:p w14:paraId="11F73D5B" w14:textId="77777777" w:rsidR="00BF65C0" w:rsidRDefault="00BF65C0">
            <w:pPr>
              <w:widowControl w:val="0"/>
              <w:pBdr>
                <w:top w:val="nil"/>
                <w:left w:val="nil"/>
                <w:bottom w:val="nil"/>
                <w:right w:val="nil"/>
                <w:between w:val="nil"/>
              </w:pBdr>
              <w:spacing w:line="240" w:lineRule="auto"/>
              <w:rPr>
                <w:b/>
                <w:color w:val="FF0000"/>
              </w:rPr>
            </w:pPr>
          </w:p>
          <w:p w14:paraId="54F992F1" w14:textId="77777777" w:rsidR="00BF65C0" w:rsidRDefault="00D2236E">
            <w:pPr>
              <w:widowControl w:val="0"/>
              <w:pBdr>
                <w:top w:val="nil"/>
                <w:left w:val="nil"/>
                <w:bottom w:val="nil"/>
                <w:right w:val="nil"/>
                <w:between w:val="nil"/>
              </w:pBdr>
              <w:spacing w:line="240" w:lineRule="auto"/>
              <w:rPr>
                <w:b/>
                <w:color w:val="FF9900"/>
              </w:rPr>
            </w:pPr>
            <w:r>
              <w:t xml:space="preserve">2. Size of each customer order: </w:t>
            </w:r>
            <w:r>
              <w:rPr>
                <w:b/>
                <w:color w:val="FF9900"/>
              </w:rPr>
              <w:t>MEDIUM</w:t>
            </w:r>
            <w:r>
              <w:rPr>
                <w:b/>
                <w:color w:val="FF9900"/>
              </w:rPr>
              <w:br/>
            </w:r>
          </w:p>
          <w:p w14:paraId="0586FAF3" w14:textId="77777777" w:rsidR="00BF65C0" w:rsidRDefault="00BF65C0">
            <w:pPr>
              <w:widowControl w:val="0"/>
              <w:pBdr>
                <w:top w:val="nil"/>
                <w:left w:val="nil"/>
                <w:bottom w:val="nil"/>
                <w:right w:val="nil"/>
                <w:between w:val="nil"/>
              </w:pBdr>
              <w:spacing w:line="240" w:lineRule="auto"/>
              <w:rPr>
                <w:b/>
                <w:color w:val="FF9900"/>
              </w:rPr>
            </w:pPr>
          </w:p>
          <w:p w14:paraId="2655F620" w14:textId="77777777" w:rsidR="00BF65C0" w:rsidRDefault="00D2236E">
            <w:pPr>
              <w:widowControl w:val="0"/>
              <w:pBdr>
                <w:top w:val="nil"/>
                <w:left w:val="nil"/>
                <w:bottom w:val="nil"/>
                <w:right w:val="nil"/>
                <w:between w:val="nil"/>
              </w:pBdr>
              <w:spacing w:line="240" w:lineRule="auto"/>
              <w:rPr>
                <w:b/>
                <w:color w:val="FF9900"/>
              </w:rPr>
            </w:pPr>
            <w:r>
              <w:t xml:space="preserve">3. Buyer concentration: </w:t>
            </w:r>
            <w:r>
              <w:rPr>
                <w:b/>
                <w:color w:val="FF9900"/>
              </w:rPr>
              <w:t>MEDIUM</w:t>
            </w:r>
            <w:r>
              <w:rPr>
                <w:b/>
                <w:color w:val="FF9900"/>
              </w:rPr>
              <w:br/>
            </w:r>
          </w:p>
          <w:p w14:paraId="4ACFE5CB" w14:textId="77777777" w:rsidR="00BF65C0" w:rsidRDefault="00BF65C0">
            <w:pPr>
              <w:widowControl w:val="0"/>
              <w:pBdr>
                <w:top w:val="nil"/>
                <w:left w:val="nil"/>
                <w:bottom w:val="nil"/>
                <w:right w:val="nil"/>
                <w:between w:val="nil"/>
              </w:pBdr>
              <w:spacing w:line="240" w:lineRule="auto"/>
              <w:rPr>
                <w:b/>
                <w:color w:val="FF9900"/>
              </w:rPr>
            </w:pPr>
          </w:p>
          <w:p w14:paraId="24AF711E" w14:textId="77777777" w:rsidR="00BF65C0" w:rsidRDefault="00D2236E">
            <w:pPr>
              <w:widowControl w:val="0"/>
              <w:pBdr>
                <w:top w:val="nil"/>
                <w:left w:val="nil"/>
                <w:bottom w:val="nil"/>
                <w:right w:val="nil"/>
                <w:between w:val="nil"/>
              </w:pBdr>
              <w:spacing w:line="240" w:lineRule="auto"/>
              <w:rPr>
                <w:b/>
                <w:color w:val="FF9900"/>
              </w:rPr>
            </w:pPr>
            <w:r>
              <w:t xml:space="preserve">4. Differences between competitors: </w:t>
            </w:r>
            <w:r>
              <w:rPr>
                <w:b/>
                <w:color w:val="FF9900"/>
              </w:rPr>
              <w:t>MEDIUM</w:t>
            </w:r>
          </w:p>
          <w:p w14:paraId="7993539A" w14:textId="77777777" w:rsidR="00BF65C0" w:rsidRDefault="00BF65C0">
            <w:pPr>
              <w:widowControl w:val="0"/>
              <w:pBdr>
                <w:top w:val="nil"/>
                <w:left w:val="nil"/>
                <w:bottom w:val="nil"/>
                <w:right w:val="nil"/>
                <w:between w:val="nil"/>
              </w:pBdr>
              <w:spacing w:line="240" w:lineRule="auto"/>
              <w:rPr>
                <w:b/>
                <w:color w:val="FF9900"/>
              </w:rPr>
            </w:pPr>
          </w:p>
          <w:p w14:paraId="23FB34A2" w14:textId="77777777" w:rsidR="00BF65C0" w:rsidRDefault="00BF65C0">
            <w:pPr>
              <w:widowControl w:val="0"/>
              <w:pBdr>
                <w:top w:val="nil"/>
                <w:left w:val="nil"/>
                <w:bottom w:val="nil"/>
                <w:right w:val="nil"/>
                <w:between w:val="nil"/>
              </w:pBdr>
              <w:spacing w:line="240" w:lineRule="auto"/>
              <w:rPr>
                <w:b/>
                <w:color w:val="FF9900"/>
              </w:rPr>
            </w:pPr>
          </w:p>
          <w:p w14:paraId="771EDDBA" w14:textId="77777777" w:rsidR="00BF65C0" w:rsidRDefault="00D2236E">
            <w:pPr>
              <w:widowControl w:val="0"/>
              <w:pBdr>
                <w:top w:val="nil"/>
                <w:left w:val="nil"/>
                <w:bottom w:val="nil"/>
                <w:right w:val="nil"/>
                <w:between w:val="nil"/>
              </w:pBdr>
              <w:spacing w:line="240" w:lineRule="auto"/>
              <w:rPr>
                <w:b/>
                <w:color w:val="FF9900"/>
              </w:rPr>
            </w:pPr>
            <w:r>
              <w:t xml:space="preserve">5. Price sensitivity: </w:t>
            </w:r>
            <w:r>
              <w:rPr>
                <w:b/>
                <w:color w:val="FF9900"/>
              </w:rPr>
              <w:t>MEDIUM</w:t>
            </w:r>
            <w:r>
              <w:rPr>
                <w:b/>
                <w:color w:val="FF9900"/>
              </w:rPr>
              <w:br/>
            </w:r>
          </w:p>
          <w:p w14:paraId="762D0F38" w14:textId="77777777" w:rsidR="00BF65C0" w:rsidRDefault="00BF65C0">
            <w:pPr>
              <w:widowControl w:val="0"/>
              <w:pBdr>
                <w:top w:val="nil"/>
                <w:left w:val="nil"/>
                <w:bottom w:val="nil"/>
                <w:right w:val="nil"/>
                <w:between w:val="nil"/>
              </w:pBdr>
              <w:spacing w:line="240" w:lineRule="auto"/>
              <w:rPr>
                <w:b/>
                <w:color w:val="FF9900"/>
              </w:rPr>
            </w:pPr>
          </w:p>
          <w:p w14:paraId="39ADD1DA" w14:textId="77777777" w:rsidR="00BF65C0" w:rsidRDefault="00D2236E">
            <w:pPr>
              <w:widowControl w:val="0"/>
              <w:pBdr>
                <w:top w:val="nil"/>
                <w:left w:val="nil"/>
                <w:bottom w:val="nil"/>
                <w:right w:val="nil"/>
                <w:between w:val="nil"/>
              </w:pBdr>
              <w:spacing w:line="240" w:lineRule="auto"/>
              <w:rPr>
                <w:b/>
                <w:color w:val="FF0000"/>
              </w:rPr>
            </w:pPr>
            <w:r>
              <w:t xml:space="preserve">6. Buyer’s ability to substitute: </w:t>
            </w:r>
            <w:r>
              <w:rPr>
                <w:b/>
                <w:color w:val="FF0000"/>
              </w:rPr>
              <w:t>HIGH</w:t>
            </w:r>
            <w:r>
              <w:rPr>
                <w:b/>
                <w:color w:val="FF0000"/>
              </w:rPr>
              <w:br/>
            </w:r>
          </w:p>
          <w:p w14:paraId="5C58716F" w14:textId="77777777" w:rsidR="00BF65C0" w:rsidRDefault="00BF65C0">
            <w:pPr>
              <w:widowControl w:val="0"/>
              <w:pBdr>
                <w:top w:val="nil"/>
                <w:left w:val="nil"/>
                <w:bottom w:val="nil"/>
                <w:right w:val="nil"/>
                <w:between w:val="nil"/>
              </w:pBdr>
              <w:spacing w:line="240" w:lineRule="auto"/>
              <w:rPr>
                <w:b/>
                <w:color w:val="FF0000"/>
              </w:rPr>
            </w:pPr>
          </w:p>
          <w:p w14:paraId="480495FA" w14:textId="77777777" w:rsidR="00BF65C0" w:rsidRDefault="00D2236E">
            <w:pPr>
              <w:widowControl w:val="0"/>
              <w:pBdr>
                <w:top w:val="nil"/>
                <w:left w:val="nil"/>
                <w:bottom w:val="nil"/>
                <w:right w:val="nil"/>
                <w:between w:val="nil"/>
              </w:pBdr>
              <w:spacing w:line="240" w:lineRule="auto"/>
              <w:rPr>
                <w:b/>
                <w:color w:val="FF0000"/>
              </w:rPr>
            </w:pPr>
            <w:r>
              <w:t xml:space="preserve">7. Buyer’s information availability: </w:t>
            </w:r>
            <w:r>
              <w:rPr>
                <w:b/>
                <w:color w:val="FF0000"/>
              </w:rPr>
              <w:t>HIGH</w:t>
            </w:r>
            <w:r>
              <w:rPr>
                <w:b/>
                <w:color w:val="FF0000"/>
              </w:rPr>
              <w:br/>
            </w:r>
          </w:p>
          <w:p w14:paraId="72FA6BD0" w14:textId="77777777" w:rsidR="00BF65C0" w:rsidRDefault="00BF65C0">
            <w:pPr>
              <w:widowControl w:val="0"/>
              <w:pBdr>
                <w:top w:val="nil"/>
                <w:left w:val="nil"/>
                <w:bottom w:val="nil"/>
                <w:right w:val="nil"/>
                <w:between w:val="nil"/>
              </w:pBdr>
              <w:spacing w:line="240" w:lineRule="auto"/>
              <w:rPr>
                <w:b/>
                <w:color w:val="FF0000"/>
              </w:rPr>
            </w:pPr>
          </w:p>
          <w:p w14:paraId="0C06FC28" w14:textId="77777777" w:rsidR="00BF65C0" w:rsidRDefault="00D2236E">
            <w:pPr>
              <w:widowControl w:val="0"/>
              <w:pBdr>
                <w:top w:val="nil"/>
                <w:left w:val="nil"/>
                <w:bottom w:val="nil"/>
                <w:right w:val="nil"/>
                <w:between w:val="nil"/>
              </w:pBdr>
              <w:spacing w:line="240" w:lineRule="auto"/>
              <w:rPr>
                <w:b/>
                <w:color w:val="FF0000"/>
              </w:rPr>
            </w:pPr>
            <w:r>
              <w:t xml:space="preserve">8. Buyer’s switching costs: </w:t>
            </w:r>
            <w:r>
              <w:rPr>
                <w:b/>
                <w:color w:val="FF0000"/>
              </w:rPr>
              <w:t>HIGH</w:t>
            </w:r>
            <w:r>
              <w:rPr>
                <w:b/>
                <w:color w:val="FF0000"/>
              </w:rPr>
              <w:br/>
            </w:r>
          </w:p>
          <w:p w14:paraId="03044C19" w14:textId="77777777" w:rsidR="00BF65C0" w:rsidRDefault="00BF65C0">
            <w:pPr>
              <w:widowControl w:val="0"/>
              <w:pBdr>
                <w:top w:val="nil"/>
                <w:left w:val="nil"/>
                <w:bottom w:val="nil"/>
                <w:right w:val="nil"/>
                <w:between w:val="nil"/>
              </w:pBdr>
              <w:spacing w:line="240" w:lineRule="auto"/>
              <w:rPr>
                <w:b/>
                <w:color w:val="FF0000"/>
              </w:rPr>
            </w:pPr>
          </w:p>
          <w:p w14:paraId="56E80C16" w14:textId="77777777" w:rsidR="00BF65C0" w:rsidRDefault="00D2236E">
            <w:pPr>
              <w:widowControl w:val="0"/>
              <w:pBdr>
                <w:top w:val="nil"/>
                <w:left w:val="nil"/>
                <w:bottom w:val="nil"/>
                <w:right w:val="nil"/>
                <w:between w:val="nil"/>
              </w:pBdr>
              <w:spacing w:line="240" w:lineRule="auto"/>
              <w:rPr>
                <w:b/>
                <w:color w:val="00FF00"/>
              </w:rPr>
            </w:pPr>
            <w:r>
              <w:t xml:space="preserve">9. Buyer’s threat of backward integration: </w:t>
            </w:r>
            <w:r>
              <w:rPr>
                <w:b/>
                <w:color w:val="00FF00"/>
              </w:rPr>
              <w:t>LOW</w:t>
            </w:r>
            <w:r>
              <w:rPr>
                <w:b/>
                <w:color w:val="00FF00"/>
              </w:rPr>
              <w:br/>
            </w:r>
          </w:p>
          <w:p w14:paraId="1F2479E5" w14:textId="77777777" w:rsidR="00BF65C0" w:rsidRDefault="00BF65C0">
            <w:pPr>
              <w:widowControl w:val="0"/>
              <w:pBdr>
                <w:top w:val="nil"/>
                <w:left w:val="nil"/>
                <w:bottom w:val="nil"/>
                <w:right w:val="nil"/>
                <w:between w:val="nil"/>
              </w:pBdr>
              <w:spacing w:line="240" w:lineRule="auto"/>
              <w:rPr>
                <w:b/>
                <w:color w:val="00FF00"/>
              </w:rPr>
            </w:pPr>
          </w:p>
          <w:p w14:paraId="5564FEC3" w14:textId="77777777" w:rsidR="00BF65C0" w:rsidRDefault="00D2236E">
            <w:pPr>
              <w:widowControl w:val="0"/>
              <w:pBdr>
                <w:top w:val="nil"/>
                <w:left w:val="nil"/>
                <w:bottom w:val="nil"/>
                <w:right w:val="nil"/>
                <w:between w:val="nil"/>
              </w:pBdr>
              <w:spacing w:line="240" w:lineRule="auto"/>
              <w:rPr>
                <w:b/>
                <w:color w:val="FF9900"/>
              </w:rPr>
            </w:pPr>
            <w:r>
              <w:t xml:space="preserve">10. Industry threat of forward integration: </w:t>
            </w:r>
            <w:r>
              <w:rPr>
                <w:b/>
                <w:color w:val="FF9900"/>
              </w:rPr>
              <w:t>MEDIUM</w:t>
            </w:r>
          </w:p>
          <w:p w14:paraId="1E8E5E00" w14:textId="77777777" w:rsidR="00BF65C0" w:rsidRDefault="00D2236E">
            <w:pPr>
              <w:widowControl w:val="0"/>
              <w:pBdr>
                <w:top w:val="nil"/>
                <w:left w:val="nil"/>
                <w:bottom w:val="nil"/>
                <w:right w:val="nil"/>
                <w:between w:val="nil"/>
              </w:pBdr>
              <w:spacing w:line="240" w:lineRule="auto"/>
            </w:pPr>
            <w:r>
              <w:br/>
            </w:r>
          </w:p>
          <w:p w14:paraId="56B8F3B3" w14:textId="77777777" w:rsidR="00BF65C0" w:rsidRDefault="00D2236E">
            <w:pPr>
              <w:widowControl w:val="0"/>
              <w:pBdr>
                <w:top w:val="nil"/>
                <w:left w:val="nil"/>
                <w:bottom w:val="nil"/>
                <w:right w:val="nil"/>
                <w:between w:val="nil"/>
              </w:pBdr>
              <w:spacing w:line="240" w:lineRule="auto"/>
              <w:jc w:val="center"/>
            </w:pPr>
            <w:r>
              <w:t>Total: 23 points</w:t>
            </w:r>
          </w:p>
          <w:p w14:paraId="106A01BB" w14:textId="77777777" w:rsidR="00BF65C0" w:rsidRDefault="00BF65C0">
            <w:pPr>
              <w:widowControl w:val="0"/>
              <w:pBdr>
                <w:top w:val="nil"/>
                <w:left w:val="nil"/>
                <w:bottom w:val="nil"/>
                <w:right w:val="nil"/>
                <w:between w:val="nil"/>
              </w:pBdr>
              <w:spacing w:line="240" w:lineRule="auto"/>
              <w:jc w:val="center"/>
            </w:pPr>
          </w:p>
          <w:p w14:paraId="4DD12565" w14:textId="77777777" w:rsidR="00BF65C0" w:rsidRDefault="00D2236E">
            <w:pPr>
              <w:widowControl w:val="0"/>
              <w:pBdr>
                <w:top w:val="nil"/>
                <w:left w:val="nil"/>
                <w:bottom w:val="nil"/>
                <w:right w:val="nil"/>
                <w:between w:val="nil"/>
              </w:pBdr>
              <w:spacing w:line="240" w:lineRule="auto"/>
              <w:jc w:val="center"/>
            </w:pPr>
            <w:r>
              <w:t>Average: 23 divided by 9 categories = 2.55 points</w:t>
            </w:r>
          </w:p>
          <w:p w14:paraId="6B9471F3" w14:textId="77777777" w:rsidR="00BF65C0" w:rsidRDefault="00BF65C0">
            <w:pPr>
              <w:widowControl w:val="0"/>
              <w:pBdr>
                <w:top w:val="nil"/>
                <w:left w:val="nil"/>
                <w:bottom w:val="nil"/>
                <w:right w:val="nil"/>
                <w:between w:val="nil"/>
              </w:pBdr>
              <w:spacing w:line="240" w:lineRule="auto"/>
              <w:jc w:val="center"/>
            </w:pPr>
          </w:p>
          <w:p w14:paraId="38E46473" w14:textId="77777777" w:rsidR="00BF65C0" w:rsidRDefault="00D2236E">
            <w:pPr>
              <w:widowControl w:val="0"/>
              <w:pBdr>
                <w:top w:val="nil"/>
                <w:left w:val="nil"/>
                <w:bottom w:val="nil"/>
                <w:right w:val="nil"/>
                <w:between w:val="nil"/>
              </w:pBdr>
              <w:spacing w:line="240" w:lineRule="auto"/>
              <w:jc w:val="center"/>
            </w:pPr>
            <w:r>
              <w:rPr>
                <w:sz w:val="28"/>
                <w:szCs w:val="28"/>
              </w:rPr>
              <w:t xml:space="preserve">Rounded to: 3 </w:t>
            </w:r>
            <w:r>
              <w:rPr>
                <w:sz w:val="28"/>
                <w:szCs w:val="28"/>
              </w:rPr>
              <w:br/>
              <w:t xml:space="preserve"> </w:t>
            </w:r>
            <w:r>
              <w:rPr>
                <w:b/>
                <w:color w:val="FF0000"/>
                <w:sz w:val="28"/>
                <w:szCs w:val="28"/>
              </w:rPr>
              <w:t xml:space="preserve">HIGH </w:t>
            </w:r>
            <w:r>
              <w:rPr>
                <w:b/>
                <w:sz w:val="28"/>
                <w:szCs w:val="28"/>
              </w:rPr>
              <w:t>Threat of Bargaining Power of Buyers</w:t>
            </w:r>
          </w:p>
        </w:tc>
        <w:tc>
          <w:tcPr>
            <w:tcW w:w="4905" w:type="dxa"/>
            <w:shd w:val="clear" w:color="auto" w:fill="auto"/>
            <w:tcMar>
              <w:top w:w="100" w:type="dxa"/>
              <w:left w:w="100" w:type="dxa"/>
              <w:bottom w:w="100" w:type="dxa"/>
              <w:right w:w="100" w:type="dxa"/>
            </w:tcMar>
          </w:tcPr>
          <w:p w14:paraId="2CEE5C48" w14:textId="77777777" w:rsidR="00BF65C0" w:rsidRDefault="00D2236E">
            <w:pPr>
              <w:widowControl w:val="0"/>
              <w:pBdr>
                <w:top w:val="nil"/>
                <w:left w:val="nil"/>
                <w:bottom w:val="nil"/>
                <w:right w:val="nil"/>
                <w:between w:val="nil"/>
              </w:pBdr>
              <w:spacing w:line="240" w:lineRule="auto"/>
              <w:rPr>
                <w:b/>
                <w:color w:val="FF9900"/>
              </w:rPr>
            </w:pPr>
            <w:r>
              <w:t xml:space="preserve">1. Number of substitute products available: </w:t>
            </w:r>
            <w:r>
              <w:rPr>
                <w:b/>
                <w:color w:val="FF9900"/>
              </w:rPr>
              <w:t>MEDIUM</w:t>
            </w:r>
            <w:r>
              <w:rPr>
                <w:b/>
                <w:color w:val="FF9900"/>
              </w:rPr>
              <w:br/>
            </w:r>
            <w:r>
              <w:rPr>
                <w:b/>
                <w:color w:val="FF9900"/>
              </w:rPr>
              <w:br/>
            </w:r>
            <w:r>
              <w:rPr>
                <w:b/>
                <w:color w:val="FF9900"/>
              </w:rPr>
              <w:br/>
            </w:r>
          </w:p>
          <w:p w14:paraId="4F56FB17" w14:textId="77777777" w:rsidR="00BF65C0" w:rsidRDefault="00D2236E">
            <w:pPr>
              <w:widowControl w:val="0"/>
              <w:pBdr>
                <w:top w:val="nil"/>
                <w:left w:val="nil"/>
                <w:bottom w:val="nil"/>
                <w:right w:val="nil"/>
                <w:between w:val="nil"/>
              </w:pBdr>
              <w:spacing w:line="240" w:lineRule="auto"/>
              <w:rPr>
                <w:b/>
                <w:color w:val="00FF00"/>
              </w:rPr>
            </w:pPr>
            <w:r>
              <w:t xml:space="preserve">2. Buyer propensity to substitute: </w:t>
            </w:r>
            <w:r>
              <w:rPr>
                <w:b/>
                <w:color w:val="00FF00"/>
              </w:rPr>
              <w:t>LOW</w:t>
            </w:r>
            <w:r>
              <w:rPr>
                <w:b/>
                <w:color w:val="00FF00"/>
              </w:rPr>
              <w:br/>
            </w:r>
            <w:r>
              <w:rPr>
                <w:b/>
                <w:color w:val="00FF00"/>
              </w:rPr>
              <w:br/>
            </w:r>
            <w:r>
              <w:rPr>
                <w:b/>
                <w:color w:val="00FF00"/>
              </w:rPr>
              <w:br/>
            </w:r>
            <w:r>
              <w:rPr>
                <w:b/>
                <w:color w:val="00FF00"/>
              </w:rPr>
              <w:br/>
            </w:r>
          </w:p>
          <w:p w14:paraId="56EB7F64" w14:textId="77777777" w:rsidR="00BF65C0" w:rsidRDefault="00D2236E">
            <w:pPr>
              <w:widowControl w:val="0"/>
              <w:pBdr>
                <w:top w:val="nil"/>
                <w:left w:val="nil"/>
                <w:bottom w:val="nil"/>
                <w:right w:val="nil"/>
                <w:between w:val="nil"/>
              </w:pBdr>
              <w:spacing w:line="240" w:lineRule="auto"/>
              <w:rPr>
                <w:b/>
                <w:color w:val="FF9900"/>
              </w:rPr>
            </w:pPr>
            <w:r>
              <w:t xml:space="preserve">3. Relative price performance of substitutes: </w:t>
            </w:r>
            <w:r>
              <w:rPr>
                <w:b/>
                <w:color w:val="FF9900"/>
              </w:rPr>
              <w:t>MEDIUM</w:t>
            </w:r>
            <w:r>
              <w:rPr>
                <w:b/>
                <w:color w:val="FF9900"/>
              </w:rPr>
              <w:br/>
            </w:r>
            <w:r>
              <w:rPr>
                <w:b/>
                <w:color w:val="FF9900"/>
              </w:rPr>
              <w:br/>
            </w:r>
            <w:r>
              <w:rPr>
                <w:b/>
                <w:color w:val="FF9900"/>
              </w:rPr>
              <w:br/>
            </w:r>
          </w:p>
          <w:p w14:paraId="2382F799" w14:textId="77777777" w:rsidR="00BF65C0" w:rsidRDefault="00D2236E">
            <w:pPr>
              <w:widowControl w:val="0"/>
              <w:pBdr>
                <w:top w:val="nil"/>
                <w:left w:val="nil"/>
                <w:bottom w:val="nil"/>
                <w:right w:val="nil"/>
                <w:between w:val="nil"/>
              </w:pBdr>
              <w:spacing w:line="240" w:lineRule="auto"/>
              <w:rPr>
                <w:b/>
                <w:color w:val="FF9900"/>
              </w:rPr>
            </w:pPr>
            <w:r>
              <w:t xml:space="preserve">4. Perceived level of product differentiation: </w:t>
            </w:r>
            <w:r>
              <w:rPr>
                <w:b/>
                <w:color w:val="FF9900"/>
              </w:rPr>
              <w:t>MEDIUM</w:t>
            </w:r>
            <w:r>
              <w:rPr>
                <w:b/>
                <w:color w:val="FF9900"/>
              </w:rPr>
              <w:br/>
            </w:r>
            <w:r>
              <w:rPr>
                <w:b/>
                <w:color w:val="FF9900"/>
              </w:rPr>
              <w:br/>
            </w:r>
            <w:r>
              <w:rPr>
                <w:b/>
                <w:color w:val="FF9900"/>
              </w:rPr>
              <w:br/>
            </w:r>
          </w:p>
          <w:p w14:paraId="72615B02" w14:textId="77777777" w:rsidR="00BF65C0" w:rsidRDefault="00D2236E">
            <w:pPr>
              <w:widowControl w:val="0"/>
              <w:pBdr>
                <w:top w:val="nil"/>
                <w:left w:val="nil"/>
                <w:bottom w:val="nil"/>
                <w:right w:val="nil"/>
                <w:between w:val="nil"/>
              </w:pBdr>
              <w:spacing w:line="240" w:lineRule="auto"/>
              <w:rPr>
                <w:b/>
                <w:color w:val="FF0000"/>
              </w:rPr>
            </w:pPr>
            <w:r>
              <w:t xml:space="preserve">5. Switching costs: </w:t>
            </w:r>
            <w:r>
              <w:rPr>
                <w:b/>
                <w:color w:val="FF0000"/>
              </w:rPr>
              <w:t>HIGH</w:t>
            </w:r>
            <w:r>
              <w:rPr>
                <w:b/>
                <w:color w:val="FF0000"/>
              </w:rPr>
              <w:br/>
            </w:r>
            <w:r>
              <w:rPr>
                <w:b/>
                <w:color w:val="FF0000"/>
              </w:rPr>
              <w:br/>
            </w:r>
            <w:r>
              <w:rPr>
                <w:b/>
                <w:color w:val="FF0000"/>
              </w:rPr>
              <w:br/>
            </w:r>
            <w:r>
              <w:rPr>
                <w:b/>
                <w:color w:val="FF0000"/>
              </w:rPr>
              <w:br/>
            </w:r>
          </w:p>
          <w:p w14:paraId="1BED3EEF" w14:textId="77777777" w:rsidR="00BF65C0" w:rsidRDefault="00D2236E">
            <w:pPr>
              <w:widowControl w:val="0"/>
              <w:pBdr>
                <w:top w:val="nil"/>
                <w:left w:val="nil"/>
                <w:bottom w:val="nil"/>
                <w:right w:val="nil"/>
                <w:between w:val="nil"/>
              </w:pBdr>
              <w:spacing w:line="240" w:lineRule="auto"/>
              <w:rPr>
                <w:b/>
                <w:color w:val="FF9900"/>
              </w:rPr>
            </w:pPr>
            <w:r>
              <w:t xml:space="preserve">6. Substitute producer’s profitability &amp; aggressiveness: </w:t>
            </w:r>
            <w:r>
              <w:rPr>
                <w:b/>
                <w:color w:val="FF9900"/>
              </w:rPr>
              <w:t>MEDIUM</w:t>
            </w:r>
          </w:p>
          <w:p w14:paraId="77941D2E" w14:textId="77777777" w:rsidR="00BF65C0" w:rsidRDefault="00BF65C0">
            <w:pPr>
              <w:widowControl w:val="0"/>
              <w:pBdr>
                <w:top w:val="nil"/>
                <w:left w:val="nil"/>
                <w:bottom w:val="nil"/>
                <w:right w:val="nil"/>
                <w:between w:val="nil"/>
              </w:pBdr>
              <w:spacing w:line="240" w:lineRule="auto"/>
            </w:pPr>
          </w:p>
          <w:p w14:paraId="08305D0F" w14:textId="77777777" w:rsidR="00BF65C0" w:rsidRDefault="00BF65C0">
            <w:pPr>
              <w:widowControl w:val="0"/>
              <w:pBdr>
                <w:top w:val="nil"/>
                <w:left w:val="nil"/>
                <w:bottom w:val="nil"/>
                <w:right w:val="nil"/>
                <w:between w:val="nil"/>
              </w:pBdr>
              <w:spacing w:line="240" w:lineRule="auto"/>
            </w:pPr>
          </w:p>
          <w:p w14:paraId="426EB8EE" w14:textId="77777777" w:rsidR="00BF65C0" w:rsidRDefault="00BF65C0">
            <w:pPr>
              <w:widowControl w:val="0"/>
              <w:pBdr>
                <w:top w:val="nil"/>
                <w:left w:val="nil"/>
                <w:bottom w:val="nil"/>
                <w:right w:val="nil"/>
                <w:between w:val="nil"/>
              </w:pBdr>
              <w:spacing w:line="240" w:lineRule="auto"/>
            </w:pPr>
          </w:p>
          <w:p w14:paraId="2CB949F2" w14:textId="77777777" w:rsidR="00BF65C0" w:rsidRDefault="00BF65C0">
            <w:pPr>
              <w:widowControl w:val="0"/>
              <w:pBdr>
                <w:top w:val="nil"/>
                <w:left w:val="nil"/>
                <w:bottom w:val="nil"/>
                <w:right w:val="nil"/>
                <w:between w:val="nil"/>
              </w:pBdr>
              <w:spacing w:line="240" w:lineRule="auto"/>
            </w:pPr>
          </w:p>
          <w:p w14:paraId="5B568754" w14:textId="77777777" w:rsidR="00BF65C0" w:rsidRDefault="00BF65C0">
            <w:pPr>
              <w:widowControl w:val="0"/>
              <w:pBdr>
                <w:top w:val="nil"/>
                <w:left w:val="nil"/>
                <w:bottom w:val="nil"/>
                <w:right w:val="nil"/>
                <w:between w:val="nil"/>
              </w:pBdr>
              <w:spacing w:line="240" w:lineRule="auto"/>
            </w:pPr>
          </w:p>
          <w:p w14:paraId="2192871F" w14:textId="77777777" w:rsidR="00BF65C0" w:rsidRDefault="00BF65C0">
            <w:pPr>
              <w:widowControl w:val="0"/>
              <w:pBdr>
                <w:top w:val="nil"/>
                <w:left w:val="nil"/>
                <w:bottom w:val="nil"/>
                <w:right w:val="nil"/>
                <w:between w:val="nil"/>
              </w:pBdr>
              <w:spacing w:line="240" w:lineRule="auto"/>
            </w:pPr>
          </w:p>
          <w:p w14:paraId="0D566F6E" w14:textId="77777777" w:rsidR="00BF65C0" w:rsidRDefault="00BF65C0">
            <w:pPr>
              <w:widowControl w:val="0"/>
              <w:pBdr>
                <w:top w:val="nil"/>
                <w:left w:val="nil"/>
                <w:bottom w:val="nil"/>
                <w:right w:val="nil"/>
                <w:between w:val="nil"/>
              </w:pBdr>
              <w:spacing w:line="240" w:lineRule="auto"/>
            </w:pPr>
          </w:p>
          <w:p w14:paraId="47FD8728" w14:textId="77777777" w:rsidR="00BF65C0" w:rsidRDefault="00D2236E">
            <w:pPr>
              <w:widowControl w:val="0"/>
              <w:pBdr>
                <w:top w:val="nil"/>
                <w:left w:val="nil"/>
                <w:bottom w:val="nil"/>
                <w:right w:val="nil"/>
                <w:between w:val="nil"/>
              </w:pBdr>
              <w:spacing w:line="240" w:lineRule="auto"/>
              <w:jc w:val="center"/>
            </w:pPr>
            <w:r>
              <w:t>Total: 12 points</w:t>
            </w:r>
          </w:p>
          <w:p w14:paraId="6436EC36" w14:textId="77777777" w:rsidR="00BF65C0" w:rsidRDefault="00BF65C0">
            <w:pPr>
              <w:widowControl w:val="0"/>
              <w:pBdr>
                <w:top w:val="nil"/>
                <w:left w:val="nil"/>
                <w:bottom w:val="nil"/>
                <w:right w:val="nil"/>
                <w:between w:val="nil"/>
              </w:pBdr>
              <w:spacing w:line="240" w:lineRule="auto"/>
              <w:jc w:val="center"/>
            </w:pPr>
          </w:p>
          <w:p w14:paraId="2A10B5ED" w14:textId="77777777" w:rsidR="00BF65C0" w:rsidRDefault="00D2236E">
            <w:pPr>
              <w:widowControl w:val="0"/>
              <w:pBdr>
                <w:top w:val="nil"/>
                <w:left w:val="nil"/>
                <w:bottom w:val="nil"/>
                <w:right w:val="nil"/>
                <w:between w:val="nil"/>
              </w:pBdr>
              <w:spacing w:line="240" w:lineRule="auto"/>
              <w:jc w:val="center"/>
            </w:pPr>
            <w:r>
              <w:t>Average: 12 divided by 6 = 2 points</w:t>
            </w:r>
          </w:p>
          <w:p w14:paraId="5E20048F" w14:textId="77777777" w:rsidR="00BF65C0" w:rsidRDefault="00BF65C0">
            <w:pPr>
              <w:widowControl w:val="0"/>
              <w:pBdr>
                <w:top w:val="nil"/>
                <w:left w:val="nil"/>
                <w:bottom w:val="nil"/>
                <w:right w:val="nil"/>
                <w:between w:val="nil"/>
              </w:pBdr>
              <w:spacing w:line="240" w:lineRule="auto"/>
              <w:jc w:val="center"/>
            </w:pPr>
          </w:p>
          <w:p w14:paraId="0D5BDC63" w14:textId="77777777" w:rsidR="00BF65C0" w:rsidRDefault="00BF65C0">
            <w:pPr>
              <w:widowControl w:val="0"/>
              <w:pBdr>
                <w:top w:val="nil"/>
                <w:left w:val="nil"/>
                <w:bottom w:val="nil"/>
                <w:right w:val="nil"/>
                <w:between w:val="nil"/>
              </w:pBdr>
              <w:spacing w:line="240" w:lineRule="auto"/>
              <w:jc w:val="center"/>
            </w:pPr>
          </w:p>
          <w:p w14:paraId="18226DCD" w14:textId="77777777" w:rsidR="00BF65C0" w:rsidRDefault="00D2236E">
            <w:pPr>
              <w:widowControl w:val="0"/>
              <w:pBdr>
                <w:top w:val="nil"/>
                <w:left w:val="nil"/>
                <w:bottom w:val="nil"/>
                <w:right w:val="nil"/>
                <w:between w:val="nil"/>
              </w:pBdr>
              <w:spacing w:line="240" w:lineRule="auto"/>
              <w:jc w:val="center"/>
              <w:rPr>
                <w:b/>
                <w:sz w:val="28"/>
                <w:szCs w:val="28"/>
              </w:rPr>
            </w:pPr>
            <w:r>
              <w:rPr>
                <w:sz w:val="28"/>
                <w:szCs w:val="28"/>
              </w:rPr>
              <w:t xml:space="preserve">Rounded to: 2  </w:t>
            </w:r>
            <w:r>
              <w:rPr>
                <w:sz w:val="28"/>
                <w:szCs w:val="28"/>
              </w:rPr>
              <w:br/>
            </w:r>
            <w:r>
              <w:rPr>
                <w:b/>
                <w:color w:val="FF9900"/>
                <w:sz w:val="28"/>
                <w:szCs w:val="28"/>
              </w:rPr>
              <w:t xml:space="preserve">MEDIUM </w:t>
            </w:r>
            <w:r>
              <w:rPr>
                <w:b/>
                <w:sz w:val="28"/>
                <w:szCs w:val="28"/>
              </w:rPr>
              <w:t>Threat of Substitute Products or Services</w:t>
            </w:r>
          </w:p>
          <w:p w14:paraId="7BDB0EE9" w14:textId="77777777" w:rsidR="001C1D1E" w:rsidRDefault="001C1D1E">
            <w:pPr>
              <w:widowControl w:val="0"/>
              <w:pBdr>
                <w:top w:val="nil"/>
                <w:left w:val="nil"/>
                <w:bottom w:val="nil"/>
                <w:right w:val="nil"/>
                <w:between w:val="nil"/>
              </w:pBdr>
              <w:spacing w:line="240" w:lineRule="auto"/>
              <w:jc w:val="center"/>
              <w:rPr>
                <w:b/>
                <w:sz w:val="28"/>
                <w:szCs w:val="28"/>
              </w:rPr>
            </w:pPr>
          </w:p>
        </w:tc>
      </w:tr>
      <w:tr w:rsidR="00BF65C0" w14:paraId="0F5927BA" w14:textId="77777777">
        <w:trPr>
          <w:trHeight w:val="420"/>
        </w:trPr>
        <w:tc>
          <w:tcPr>
            <w:tcW w:w="9360" w:type="dxa"/>
            <w:gridSpan w:val="2"/>
            <w:shd w:val="clear" w:color="auto" w:fill="7802B5"/>
            <w:tcMar>
              <w:top w:w="100" w:type="dxa"/>
              <w:left w:w="100" w:type="dxa"/>
              <w:bottom w:w="100" w:type="dxa"/>
              <w:right w:w="100" w:type="dxa"/>
            </w:tcMar>
          </w:tcPr>
          <w:p w14:paraId="0254DA34"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lastRenderedPageBreak/>
              <w:t>Rivalry among Existing Competitors</w:t>
            </w:r>
          </w:p>
          <w:p w14:paraId="0C43B730" w14:textId="77777777" w:rsidR="00BF65C0" w:rsidRDefault="00D2236E">
            <w:pPr>
              <w:widowControl w:val="0"/>
              <w:spacing w:line="240" w:lineRule="auto"/>
              <w:jc w:val="center"/>
              <w:rPr>
                <w:b/>
                <w:color w:val="FFFFFF"/>
              </w:rPr>
            </w:pPr>
            <w:r>
              <w:rPr>
                <w:b/>
                <w:color w:val="FFFFFF"/>
              </w:rPr>
              <w:t>Overall Strength of Threat</w:t>
            </w:r>
          </w:p>
          <w:p w14:paraId="1CD76C0E" w14:textId="77777777" w:rsidR="00BF65C0" w:rsidRDefault="00D2236E">
            <w:pPr>
              <w:widowControl w:val="0"/>
              <w:spacing w:line="240" w:lineRule="auto"/>
              <w:jc w:val="center"/>
              <w:rPr>
                <w:color w:val="FFFFFF"/>
              </w:rPr>
            </w:pPr>
            <w:r>
              <w:rPr>
                <w:color w:val="FF9900"/>
              </w:rPr>
              <w:t xml:space="preserve">MEDIUM </w:t>
            </w:r>
            <w:r>
              <w:rPr>
                <w:color w:val="FFFFFF"/>
              </w:rPr>
              <w:t>(2.2 point average)</w:t>
            </w:r>
          </w:p>
        </w:tc>
      </w:tr>
      <w:tr w:rsidR="00BF65C0" w14:paraId="661A1D5E" w14:textId="77777777">
        <w:trPr>
          <w:trHeight w:val="3120"/>
        </w:trPr>
        <w:tc>
          <w:tcPr>
            <w:tcW w:w="9360" w:type="dxa"/>
            <w:gridSpan w:val="2"/>
            <w:shd w:val="clear" w:color="auto" w:fill="auto"/>
            <w:tcMar>
              <w:top w:w="100" w:type="dxa"/>
              <w:left w:w="100" w:type="dxa"/>
              <w:bottom w:w="100" w:type="dxa"/>
              <w:right w:w="100" w:type="dxa"/>
            </w:tcMar>
          </w:tcPr>
          <w:p w14:paraId="6A55BC35" w14:textId="77777777" w:rsidR="00BF65C0" w:rsidRDefault="00D2236E">
            <w:pPr>
              <w:widowControl w:val="0"/>
              <w:pBdr>
                <w:top w:val="nil"/>
                <w:left w:val="nil"/>
                <w:bottom w:val="nil"/>
                <w:right w:val="nil"/>
                <w:between w:val="nil"/>
              </w:pBdr>
              <w:spacing w:line="240" w:lineRule="auto"/>
              <w:rPr>
                <w:b/>
                <w:color w:val="FF9900"/>
              </w:rPr>
            </w:pPr>
            <w:r>
              <w:t xml:space="preserve">                                               1. Number of competitors: </w:t>
            </w:r>
            <w:r>
              <w:rPr>
                <w:b/>
                <w:color w:val="FF9900"/>
              </w:rPr>
              <w:t>MEDIUM</w:t>
            </w:r>
            <w:r>
              <w:rPr>
                <w:b/>
                <w:color w:val="FF9900"/>
              </w:rPr>
              <w:br/>
            </w:r>
          </w:p>
          <w:p w14:paraId="76223732" w14:textId="77777777" w:rsidR="00BF65C0" w:rsidRDefault="00D2236E">
            <w:pPr>
              <w:widowControl w:val="0"/>
              <w:pBdr>
                <w:top w:val="nil"/>
                <w:left w:val="nil"/>
                <w:bottom w:val="nil"/>
                <w:right w:val="nil"/>
                <w:between w:val="nil"/>
              </w:pBdr>
              <w:spacing w:line="240" w:lineRule="auto"/>
              <w:rPr>
                <w:b/>
                <w:color w:val="FF9900"/>
              </w:rPr>
            </w:pPr>
            <w:r>
              <w:t xml:space="preserve">                                               2. Diversity of Competitors: </w:t>
            </w:r>
            <w:r>
              <w:rPr>
                <w:b/>
                <w:color w:val="FF9900"/>
              </w:rPr>
              <w:t>MEDIUM</w:t>
            </w:r>
            <w:r>
              <w:rPr>
                <w:b/>
                <w:color w:val="FF9900"/>
              </w:rPr>
              <w:br/>
            </w:r>
          </w:p>
          <w:p w14:paraId="19AC7DF1" w14:textId="77777777" w:rsidR="00BF65C0" w:rsidRDefault="00D2236E">
            <w:pPr>
              <w:widowControl w:val="0"/>
              <w:pBdr>
                <w:top w:val="nil"/>
                <w:left w:val="nil"/>
                <w:bottom w:val="nil"/>
                <w:right w:val="nil"/>
                <w:between w:val="nil"/>
              </w:pBdr>
              <w:spacing w:line="240" w:lineRule="auto"/>
              <w:rPr>
                <w:b/>
                <w:color w:val="FF0000"/>
              </w:rPr>
            </w:pPr>
            <w:r>
              <w:t xml:space="preserve">                                               3. Industry concentration and balance: </w:t>
            </w:r>
            <w:r>
              <w:rPr>
                <w:b/>
                <w:color w:val="FF0000"/>
              </w:rPr>
              <w:t>HIGH</w:t>
            </w:r>
            <w:r>
              <w:rPr>
                <w:b/>
                <w:color w:val="FF0000"/>
              </w:rPr>
              <w:br/>
            </w:r>
          </w:p>
          <w:p w14:paraId="096834EF" w14:textId="77777777" w:rsidR="00BF65C0" w:rsidRDefault="00D2236E">
            <w:pPr>
              <w:widowControl w:val="0"/>
              <w:pBdr>
                <w:top w:val="nil"/>
                <w:left w:val="nil"/>
                <w:bottom w:val="nil"/>
                <w:right w:val="nil"/>
                <w:between w:val="nil"/>
              </w:pBdr>
              <w:spacing w:line="240" w:lineRule="auto"/>
              <w:rPr>
                <w:b/>
                <w:color w:val="FF0000"/>
              </w:rPr>
            </w:pPr>
            <w:r>
              <w:t xml:space="preserve">                                               4. Industry growth: </w:t>
            </w:r>
            <w:r>
              <w:rPr>
                <w:b/>
                <w:color w:val="FF0000"/>
              </w:rPr>
              <w:t>HIGH</w:t>
            </w:r>
            <w:r>
              <w:rPr>
                <w:b/>
                <w:color w:val="FF0000"/>
              </w:rPr>
              <w:br/>
            </w:r>
          </w:p>
          <w:p w14:paraId="7DC37901" w14:textId="77777777" w:rsidR="00BF65C0" w:rsidRDefault="00D2236E">
            <w:pPr>
              <w:widowControl w:val="0"/>
              <w:pBdr>
                <w:top w:val="nil"/>
                <w:left w:val="nil"/>
                <w:bottom w:val="nil"/>
                <w:right w:val="nil"/>
                <w:between w:val="nil"/>
              </w:pBdr>
              <w:spacing w:line="240" w:lineRule="auto"/>
              <w:rPr>
                <w:b/>
                <w:color w:val="FF0000"/>
              </w:rPr>
            </w:pPr>
            <w:r>
              <w:t xml:space="preserve">                                               5. Industry life cycle: </w:t>
            </w:r>
            <w:r>
              <w:rPr>
                <w:b/>
                <w:color w:val="FF0000"/>
              </w:rPr>
              <w:t>HIGH</w:t>
            </w:r>
            <w:r>
              <w:rPr>
                <w:b/>
                <w:color w:val="FF0000"/>
              </w:rPr>
              <w:br/>
            </w:r>
          </w:p>
          <w:p w14:paraId="4F0626CE" w14:textId="77777777" w:rsidR="00BF65C0" w:rsidRDefault="00D2236E">
            <w:pPr>
              <w:widowControl w:val="0"/>
              <w:pBdr>
                <w:top w:val="nil"/>
                <w:left w:val="nil"/>
                <w:bottom w:val="nil"/>
                <w:right w:val="nil"/>
                <w:between w:val="nil"/>
              </w:pBdr>
              <w:spacing w:line="240" w:lineRule="auto"/>
              <w:rPr>
                <w:b/>
                <w:color w:val="FF9900"/>
              </w:rPr>
            </w:pPr>
            <w:r>
              <w:t xml:space="preserve">                                               6. Quality differences: </w:t>
            </w:r>
            <w:r>
              <w:rPr>
                <w:b/>
                <w:color w:val="FF9900"/>
              </w:rPr>
              <w:t>MEDIUM</w:t>
            </w:r>
            <w:r>
              <w:rPr>
                <w:b/>
                <w:color w:val="FF9900"/>
              </w:rPr>
              <w:br/>
            </w:r>
          </w:p>
          <w:p w14:paraId="3A0B8806" w14:textId="77777777" w:rsidR="00BF65C0" w:rsidRDefault="00D2236E">
            <w:pPr>
              <w:widowControl w:val="0"/>
              <w:pBdr>
                <w:top w:val="nil"/>
                <w:left w:val="nil"/>
                <w:bottom w:val="nil"/>
                <w:right w:val="nil"/>
                <w:between w:val="nil"/>
              </w:pBdr>
              <w:spacing w:line="240" w:lineRule="auto"/>
              <w:rPr>
                <w:b/>
                <w:color w:val="00FF00"/>
              </w:rPr>
            </w:pPr>
            <w:r>
              <w:t xml:space="preserve">                                               7. Product differentiation: </w:t>
            </w:r>
            <w:r>
              <w:rPr>
                <w:b/>
                <w:color w:val="00FF00"/>
              </w:rPr>
              <w:t>LOW</w:t>
            </w:r>
            <w:r>
              <w:rPr>
                <w:b/>
                <w:color w:val="00FF00"/>
              </w:rPr>
              <w:br/>
            </w:r>
          </w:p>
          <w:p w14:paraId="676E2A31" w14:textId="77777777" w:rsidR="00BF65C0" w:rsidRDefault="00D2236E">
            <w:pPr>
              <w:widowControl w:val="0"/>
              <w:pBdr>
                <w:top w:val="nil"/>
                <w:left w:val="nil"/>
                <w:bottom w:val="nil"/>
                <w:right w:val="nil"/>
                <w:between w:val="nil"/>
              </w:pBdr>
              <w:spacing w:line="240" w:lineRule="auto"/>
              <w:rPr>
                <w:b/>
                <w:color w:val="FF0000"/>
              </w:rPr>
            </w:pPr>
            <w:r>
              <w:t xml:space="preserve">                                               8. Brand identity/loyalty: </w:t>
            </w:r>
            <w:r>
              <w:rPr>
                <w:b/>
                <w:color w:val="FF0000"/>
              </w:rPr>
              <w:t>HIGH</w:t>
            </w:r>
            <w:r>
              <w:rPr>
                <w:b/>
                <w:color w:val="FF0000"/>
              </w:rPr>
              <w:br/>
            </w:r>
          </w:p>
          <w:p w14:paraId="085575BE" w14:textId="77777777" w:rsidR="00BF65C0" w:rsidRDefault="00D2236E">
            <w:pPr>
              <w:widowControl w:val="0"/>
              <w:pBdr>
                <w:top w:val="nil"/>
                <w:left w:val="nil"/>
                <w:bottom w:val="nil"/>
                <w:right w:val="nil"/>
                <w:between w:val="nil"/>
              </w:pBdr>
              <w:spacing w:line="240" w:lineRule="auto"/>
              <w:rPr>
                <w:b/>
                <w:color w:val="00FF00"/>
              </w:rPr>
            </w:pPr>
            <w:r>
              <w:t xml:space="preserve">                                               9. Informational complexity: </w:t>
            </w:r>
            <w:r>
              <w:rPr>
                <w:b/>
                <w:color w:val="00FF00"/>
              </w:rPr>
              <w:t>LOW</w:t>
            </w:r>
            <w:r>
              <w:rPr>
                <w:b/>
                <w:color w:val="00FF00"/>
              </w:rPr>
              <w:br/>
            </w:r>
          </w:p>
          <w:p w14:paraId="5192A8A1" w14:textId="77777777" w:rsidR="00BF65C0" w:rsidRDefault="00D2236E">
            <w:pPr>
              <w:widowControl w:val="0"/>
              <w:pBdr>
                <w:top w:val="nil"/>
                <w:left w:val="nil"/>
                <w:bottom w:val="nil"/>
                <w:right w:val="nil"/>
                <w:between w:val="nil"/>
              </w:pBdr>
              <w:spacing w:line="240" w:lineRule="auto"/>
              <w:rPr>
                <w:b/>
                <w:color w:val="FF9900"/>
              </w:rPr>
            </w:pPr>
            <w:r>
              <w:t xml:space="preserve">                                             10. Barriers to exit: </w:t>
            </w:r>
            <w:r>
              <w:rPr>
                <w:b/>
                <w:color w:val="FF9900"/>
              </w:rPr>
              <w:t>MEDIUM</w:t>
            </w:r>
            <w:r>
              <w:rPr>
                <w:b/>
                <w:color w:val="FF9900"/>
              </w:rPr>
              <w:br/>
            </w:r>
          </w:p>
          <w:p w14:paraId="025C0195" w14:textId="77777777" w:rsidR="00BF65C0" w:rsidRDefault="00BF65C0">
            <w:pPr>
              <w:widowControl w:val="0"/>
              <w:pBdr>
                <w:top w:val="nil"/>
                <w:left w:val="nil"/>
                <w:bottom w:val="nil"/>
                <w:right w:val="nil"/>
                <w:between w:val="nil"/>
              </w:pBdr>
              <w:spacing w:line="240" w:lineRule="auto"/>
            </w:pPr>
          </w:p>
          <w:p w14:paraId="1EB5637C" w14:textId="77777777" w:rsidR="00BF65C0" w:rsidRDefault="00BF65C0">
            <w:pPr>
              <w:widowControl w:val="0"/>
              <w:pBdr>
                <w:top w:val="nil"/>
                <w:left w:val="nil"/>
                <w:bottom w:val="nil"/>
                <w:right w:val="nil"/>
                <w:between w:val="nil"/>
              </w:pBdr>
              <w:spacing w:line="240" w:lineRule="auto"/>
              <w:jc w:val="center"/>
            </w:pPr>
          </w:p>
          <w:p w14:paraId="2FB641ED" w14:textId="77777777" w:rsidR="00BF65C0" w:rsidRDefault="00D2236E">
            <w:pPr>
              <w:widowControl w:val="0"/>
              <w:pBdr>
                <w:top w:val="nil"/>
                <w:left w:val="nil"/>
                <w:bottom w:val="nil"/>
                <w:right w:val="nil"/>
                <w:between w:val="nil"/>
              </w:pBdr>
              <w:spacing w:line="240" w:lineRule="auto"/>
              <w:jc w:val="center"/>
            </w:pPr>
            <w:r>
              <w:t>Total: 22 points</w:t>
            </w:r>
          </w:p>
          <w:p w14:paraId="7E0BDC36" w14:textId="77777777" w:rsidR="00BF65C0" w:rsidRDefault="00BF65C0">
            <w:pPr>
              <w:widowControl w:val="0"/>
              <w:pBdr>
                <w:top w:val="nil"/>
                <w:left w:val="nil"/>
                <w:bottom w:val="nil"/>
                <w:right w:val="nil"/>
                <w:between w:val="nil"/>
              </w:pBdr>
              <w:spacing w:line="240" w:lineRule="auto"/>
              <w:jc w:val="center"/>
            </w:pPr>
          </w:p>
          <w:p w14:paraId="280C0FE2" w14:textId="77777777" w:rsidR="00BF65C0" w:rsidRDefault="00D2236E">
            <w:pPr>
              <w:widowControl w:val="0"/>
              <w:pBdr>
                <w:top w:val="nil"/>
                <w:left w:val="nil"/>
                <w:bottom w:val="nil"/>
                <w:right w:val="nil"/>
                <w:between w:val="nil"/>
              </w:pBdr>
              <w:spacing w:line="240" w:lineRule="auto"/>
              <w:jc w:val="center"/>
            </w:pPr>
            <w:r>
              <w:t>Average: 22 divided by 10 = 2.2 points</w:t>
            </w:r>
          </w:p>
          <w:p w14:paraId="71CA2C23" w14:textId="77777777" w:rsidR="00BF65C0" w:rsidRDefault="00BF65C0">
            <w:pPr>
              <w:widowControl w:val="0"/>
              <w:pBdr>
                <w:top w:val="nil"/>
                <w:left w:val="nil"/>
                <w:bottom w:val="nil"/>
                <w:right w:val="nil"/>
                <w:between w:val="nil"/>
              </w:pBdr>
              <w:spacing w:line="240" w:lineRule="auto"/>
              <w:jc w:val="center"/>
            </w:pPr>
          </w:p>
          <w:p w14:paraId="740C2F27" w14:textId="77777777" w:rsidR="00BF65C0" w:rsidRDefault="00D2236E">
            <w:pPr>
              <w:widowControl w:val="0"/>
              <w:pBdr>
                <w:top w:val="nil"/>
                <w:left w:val="nil"/>
                <w:bottom w:val="nil"/>
                <w:right w:val="nil"/>
                <w:between w:val="nil"/>
              </w:pBdr>
              <w:spacing w:line="240" w:lineRule="auto"/>
              <w:jc w:val="center"/>
              <w:rPr>
                <w:sz w:val="28"/>
                <w:szCs w:val="28"/>
              </w:rPr>
            </w:pPr>
            <w:r>
              <w:rPr>
                <w:sz w:val="28"/>
                <w:szCs w:val="28"/>
              </w:rPr>
              <w:t xml:space="preserve"> Rounded to: 2 </w:t>
            </w:r>
          </w:p>
          <w:p w14:paraId="1279CF80" w14:textId="77777777" w:rsidR="00BF65C0" w:rsidRDefault="00D2236E">
            <w:pPr>
              <w:widowControl w:val="0"/>
              <w:pBdr>
                <w:top w:val="nil"/>
                <w:left w:val="nil"/>
                <w:bottom w:val="nil"/>
                <w:right w:val="nil"/>
                <w:between w:val="nil"/>
              </w:pBdr>
              <w:spacing w:line="240" w:lineRule="auto"/>
              <w:jc w:val="center"/>
              <w:rPr>
                <w:b/>
                <w:sz w:val="28"/>
                <w:szCs w:val="28"/>
              </w:rPr>
            </w:pPr>
            <w:r>
              <w:rPr>
                <w:sz w:val="28"/>
                <w:szCs w:val="28"/>
              </w:rPr>
              <w:t xml:space="preserve"> </w:t>
            </w:r>
            <w:r>
              <w:rPr>
                <w:b/>
                <w:color w:val="FF9900"/>
                <w:sz w:val="28"/>
                <w:szCs w:val="28"/>
              </w:rPr>
              <w:t xml:space="preserve">MEDIUM </w:t>
            </w:r>
            <w:r>
              <w:rPr>
                <w:b/>
                <w:sz w:val="28"/>
                <w:szCs w:val="28"/>
              </w:rPr>
              <w:t xml:space="preserve">Threat of Rivalry among Existing Competitors </w:t>
            </w:r>
          </w:p>
        </w:tc>
      </w:tr>
    </w:tbl>
    <w:p w14:paraId="12E57E03" w14:textId="77777777" w:rsidR="00BF65C0" w:rsidRDefault="00BF65C0"/>
    <w:p w14:paraId="091FEAEC" w14:textId="77777777" w:rsidR="00BF65C0" w:rsidRDefault="00BF65C0"/>
    <w:p w14:paraId="28840B32" w14:textId="77777777" w:rsidR="00BF65C0" w:rsidRDefault="00BF65C0"/>
    <w:p w14:paraId="6CAE3E20" w14:textId="77777777" w:rsidR="00BF65C0" w:rsidRDefault="00BF65C0"/>
    <w:p w14:paraId="73923DF8" w14:textId="77777777" w:rsidR="00BF65C0" w:rsidRDefault="00BF65C0"/>
    <w:p w14:paraId="4C60461C" w14:textId="77777777" w:rsidR="00BF65C0" w:rsidRDefault="00BF65C0"/>
    <w:p w14:paraId="246E731F" w14:textId="77777777" w:rsidR="00BF65C0" w:rsidRDefault="00BF65C0"/>
    <w:p w14:paraId="3C4322A9" w14:textId="77777777" w:rsidR="00BF65C0" w:rsidRDefault="00BF65C0"/>
    <w:p w14:paraId="76958249" w14:textId="77777777" w:rsidR="00BF65C0" w:rsidRDefault="00BF65C0"/>
    <w:p w14:paraId="60B42301" w14:textId="77777777" w:rsidR="00BF65C0" w:rsidRDefault="00BF65C0"/>
    <w:p w14:paraId="79AFBA32" w14:textId="77777777" w:rsidR="00BF65C0" w:rsidRDefault="00BF65C0"/>
    <w:p w14:paraId="09D9547B" w14:textId="77777777" w:rsidR="00BF65C0" w:rsidRDefault="00BF65C0">
      <w:pPr>
        <w:rPr>
          <w:b/>
          <w:color w:val="7802B5"/>
          <w:sz w:val="36"/>
          <w:szCs w:val="36"/>
        </w:rPr>
      </w:pPr>
    </w:p>
    <w:p w14:paraId="718AB777" w14:textId="77777777" w:rsidR="00DA3B06" w:rsidRDefault="00DA3B06">
      <w:pPr>
        <w:rPr>
          <w:b/>
          <w:color w:val="7802B5"/>
          <w:sz w:val="36"/>
          <w:szCs w:val="36"/>
        </w:rPr>
      </w:pPr>
    </w:p>
    <w:p w14:paraId="71AD46B0" w14:textId="77777777" w:rsidR="00BF65C0" w:rsidRDefault="00D2236E">
      <w:pPr>
        <w:rPr>
          <w:b/>
          <w:color w:val="7802B5"/>
          <w:sz w:val="36"/>
          <w:szCs w:val="36"/>
        </w:rPr>
      </w:pPr>
      <w:r>
        <w:rPr>
          <w:b/>
          <w:color w:val="7802B5"/>
          <w:sz w:val="36"/>
          <w:szCs w:val="36"/>
        </w:rPr>
        <w:lastRenderedPageBreak/>
        <w:t xml:space="preserve">SOAR Analysis </w:t>
      </w:r>
    </w:p>
    <w:p w14:paraId="1F7DD4E3" w14:textId="77777777" w:rsidR="00BF65C0" w:rsidRDefault="00D2236E">
      <w:pPr>
        <w:rPr>
          <w:b/>
          <w:color w:val="7802B5"/>
          <w:sz w:val="32"/>
          <w:szCs w:val="32"/>
        </w:rPr>
      </w:pPr>
      <w:r>
        <w:rPr>
          <w:b/>
          <w:color w:val="7802B5"/>
          <w:sz w:val="32"/>
          <w:szCs w:val="32"/>
        </w:rPr>
        <w:t>Exploring Organizational Possibilities</w:t>
      </w:r>
    </w:p>
    <w:p w14:paraId="395CC130" w14:textId="77777777" w:rsidR="00BF65C0" w:rsidRDefault="00BF65C0">
      <w:pPr>
        <w:rPr>
          <w:b/>
          <w:color w:val="7802B5"/>
        </w:rPr>
      </w:pPr>
    </w:p>
    <w:p w14:paraId="366C152C" w14:textId="77777777" w:rsidR="00BF65C0" w:rsidRDefault="00BF65C0">
      <w:pPr>
        <w:spacing w:after="240" w:line="360" w:lineRule="auto"/>
      </w:pPr>
    </w:p>
    <w:p w14:paraId="6B74FE71" w14:textId="77777777" w:rsidR="00BF65C0" w:rsidRDefault="00D2236E">
      <w:pPr>
        <w:spacing w:after="240" w:line="360" w:lineRule="auto"/>
      </w:pPr>
      <w:r>
        <w:t xml:space="preserve">The SOAR Analysis, or Appreciative Inquiry, preserves two of the four areas of the more traditional and prevalent SWOT analysis, namely by leveraging “strengths” and “opportunities.” SOAR, however, replaces “weaknesses” and “threats” with “aspirations” and “results.” Aspirations showcase what the organization would like to be doing, who the organization would like to serve, and where the company will operate. Results illustrate the methods of identifying and tracking progress, which ensures that progress is made and the overall strategic plan of the organization is being implemented. The benefits of using SOAR as a strategic planning framework involves centering what the organization is doing correctly, what capabilities should be augmented, and what is integral and compelling to those who have a stake in maximizing organizational performance (Stavros &amp; Hinrichs, 2009). </w:t>
      </w:r>
    </w:p>
    <w:p w14:paraId="02521D81" w14:textId="77777777" w:rsidR="00BF65C0" w:rsidRDefault="00D2236E">
      <w:pPr>
        <w:spacing w:after="240" w:line="360" w:lineRule="auto"/>
      </w:pPr>
      <w:r>
        <w:t>Due to its distinctions from SWOT analysis, which evaluates where the company is and how it is performing in real time, SOAR is forward-thinking in that it addresses the potential of the organization. Instead of focusing on competition as SWOT does, SOAR meditates on possibilities and incorporates a level of accountability by laying out the objectives and metrics through which outcomes can be both identified and tracked. Additionally, whereas SWOT analysis is a top-down tool developed and utilized by a few individuals, usually the c-suite or the Strategy department, in an organization, SOAR is more democratic and has potential in instilling engagement and promoting the organizational mission, vision, and values because SOAR can be integrated at multiple levels of the organization. As a result, SOAR analysis allows organizations to discover, understand, and foster innovations at all levels of the organization (Stavros et al., 2014).</w:t>
      </w:r>
    </w:p>
    <w:p w14:paraId="2342996F" w14:textId="77777777" w:rsidR="00BF65C0" w:rsidRDefault="00BF65C0">
      <w:pPr>
        <w:spacing w:after="240" w:line="360" w:lineRule="auto"/>
      </w:pPr>
    </w:p>
    <w:p w14:paraId="4D04FA50" w14:textId="77777777" w:rsidR="00BF65C0" w:rsidRDefault="00BF65C0">
      <w:pPr>
        <w:spacing w:after="240"/>
      </w:pPr>
    </w:p>
    <w:p w14:paraId="5303A860" w14:textId="77777777" w:rsidR="00F30DC5" w:rsidRDefault="00F30DC5">
      <w:pPr>
        <w:spacing w:after="240"/>
      </w:pPr>
    </w:p>
    <w:p w14:paraId="4E5F587F" w14:textId="77777777" w:rsidR="00BF65C0" w:rsidRDefault="00BF65C0">
      <w:pPr>
        <w:spacing w:after="240"/>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95"/>
        <w:gridCol w:w="4665"/>
      </w:tblGrid>
      <w:tr w:rsidR="00BF65C0" w14:paraId="694040B4" w14:textId="77777777">
        <w:tc>
          <w:tcPr>
            <w:tcW w:w="4695" w:type="dxa"/>
            <w:shd w:val="clear" w:color="auto" w:fill="7802B5"/>
            <w:tcMar>
              <w:top w:w="100" w:type="dxa"/>
              <w:left w:w="100" w:type="dxa"/>
              <w:bottom w:w="100" w:type="dxa"/>
              <w:right w:w="100" w:type="dxa"/>
            </w:tcMar>
          </w:tcPr>
          <w:p w14:paraId="3AD2D003"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lastRenderedPageBreak/>
              <w:t>STRENGTHS (S)</w:t>
            </w:r>
          </w:p>
        </w:tc>
        <w:tc>
          <w:tcPr>
            <w:tcW w:w="4665" w:type="dxa"/>
            <w:shd w:val="clear" w:color="auto" w:fill="7802B5"/>
            <w:tcMar>
              <w:top w:w="100" w:type="dxa"/>
              <w:left w:w="100" w:type="dxa"/>
              <w:bottom w:w="100" w:type="dxa"/>
              <w:right w:w="100" w:type="dxa"/>
            </w:tcMar>
          </w:tcPr>
          <w:p w14:paraId="4482CEB1"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t>OPPORTUNITIES (O)</w:t>
            </w:r>
          </w:p>
        </w:tc>
      </w:tr>
      <w:tr w:rsidR="00BF65C0" w14:paraId="66AD3C8E" w14:textId="77777777">
        <w:tc>
          <w:tcPr>
            <w:tcW w:w="4695" w:type="dxa"/>
            <w:shd w:val="clear" w:color="auto" w:fill="auto"/>
            <w:tcMar>
              <w:top w:w="100" w:type="dxa"/>
              <w:left w:w="100" w:type="dxa"/>
              <w:bottom w:w="100" w:type="dxa"/>
              <w:right w:w="100" w:type="dxa"/>
            </w:tcMar>
          </w:tcPr>
          <w:p w14:paraId="60FF2283" w14:textId="77777777" w:rsidR="00BF65C0" w:rsidRDefault="00D2236E">
            <w:pPr>
              <w:spacing w:after="240"/>
              <w:jc w:val="center"/>
              <w:rPr>
                <w:b/>
                <w:color w:val="7802B5"/>
              </w:rPr>
            </w:pPr>
            <w:r>
              <w:rPr>
                <w:b/>
                <w:color w:val="7802B5"/>
              </w:rPr>
              <w:t>1. Core Mission Areas</w:t>
            </w:r>
            <w:r>
              <w:rPr>
                <w:b/>
                <w:noProof/>
                <w:color w:val="7802B5"/>
                <w:lang w:val="en-US"/>
              </w:rPr>
              <w:drawing>
                <wp:inline distT="114300" distB="114300" distL="114300" distR="114300" wp14:anchorId="55E6F2CF" wp14:editId="17FDDAA6">
                  <wp:extent cx="1652588" cy="1652588"/>
                  <wp:effectExtent l="0" t="0" r="0" b="0"/>
                  <wp:docPr id="41"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0"/>
                          <a:srcRect/>
                          <a:stretch>
                            <a:fillRect/>
                          </a:stretch>
                        </pic:blipFill>
                        <pic:spPr>
                          <a:xfrm>
                            <a:off x="0" y="0"/>
                            <a:ext cx="1652588" cy="1652588"/>
                          </a:xfrm>
                          <a:prstGeom prst="rect">
                            <a:avLst/>
                          </a:prstGeom>
                          <a:ln/>
                        </pic:spPr>
                      </pic:pic>
                    </a:graphicData>
                  </a:graphic>
                </wp:inline>
              </w:drawing>
            </w:r>
          </w:p>
          <w:p w14:paraId="36DBF5B9" w14:textId="77777777" w:rsidR="00BF65C0" w:rsidRDefault="00D2236E">
            <w:pPr>
              <w:numPr>
                <w:ilvl w:val="0"/>
                <w:numId w:val="1"/>
              </w:numPr>
            </w:pPr>
            <w:r>
              <w:t>Patient Care</w:t>
            </w:r>
          </w:p>
          <w:p w14:paraId="2F6E96E5" w14:textId="77777777" w:rsidR="00BF65C0" w:rsidRDefault="00D2236E">
            <w:pPr>
              <w:numPr>
                <w:ilvl w:val="0"/>
                <w:numId w:val="1"/>
              </w:numPr>
            </w:pPr>
            <w:r>
              <w:t>Medical Education</w:t>
            </w:r>
          </w:p>
          <w:p w14:paraId="409F9D1E" w14:textId="77777777" w:rsidR="00BF65C0" w:rsidRDefault="00D2236E">
            <w:pPr>
              <w:numPr>
                <w:ilvl w:val="0"/>
                <w:numId w:val="1"/>
              </w:numPr>
            </w:pPr>
            <w:r>
              <w:t>Biomedical &amp; Population Science Research</w:t>
            </w:r>
          </w:p>
          <w:p w14:paraId="465B5E24" w14:textId="77777777" w:rsidR="00BF65C0" w:rsidRDefault="00D2236E">
            <w:pPr>
              <w:numPr>
                <w:ilvl w:val="0"/>
                <w:numId w:val="1"/>
              </w:numPr>
              <w:spacing w:after="240"/>
            </w:pPr>
            <w:r>
              <w:t>Corporate Services</w:t>
            </w:r>
            <w:r>
              <w:br/>
            </w:r>
          </w:p>
          <w:p w14:paraId="3A37678A" w14:textId="77777777" w:rsidR="00BF65C0" w:rsidRDefault="00D2236E">
            <w:pPr>
              <w:spacing w:after="240"/>
              <w:jc w:val="center"/>
              <w:rPr>
                <w:b/>
                <w:color w:val="7802B5"/>
              </w:rPr>
            </w:pPr>
            <w:r>
              <w:rPr>
                <w:b/>
                <w:color w:val="7802B5"/>
              </w:rPr>
              <w:t>2. Differentiating from the Competition</w:t>
            </w:r>
            <w:r>
              <w:rPr>
                <w:b/>
                <w:noProof/>
                <w:color w:val="7802B5"/>
                <w:lang w:val="en-US"/>
              </w:rPr>
              <w:drawing>
                <wp:inline distT="114300" distB="114300" distL="114300" distR="114300" wp14:anchorId="00B9D7EB" wp14:editId="749CFC07">
                  <wp:extent cx="1466850" cy="146685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1466850" cy="1466850"/>
                          </a:xfrm>
                          <a:prstGeom prst="rect">
                            <a:avLst/>
                          </a:prstGeom>
                          <a:ln/>
                        </pic:spPr>
                      </pic:pic>
                    </a:graphicData>
                  </a:graphic>
                </wp:inline>
              </w:drawing>
            </w:r>
          </w:p>
          <w:p w14:paraId="7A8BF883" w14:textId="77777777" w:rsidR="00BF65C0" w:rsidRDefault="00D2236E">
            <w:pPr>
              <w:numPr>
                <w:ilvl w:val="0"/>
                <w:numId w:val="30"/>
              </w:numPr>
            </w:pPr>
            <w:r>
              <w:t>Tuition-free medical school (Chen, 2018).</w:t>
            </w:r>
            <w:r>
              <w:br/>
            </w:r>
          </w:p>
          <w:p w14:paraId="66C9C28F" w14:textId="77777777" w:rsidR="00BF65C0" w:rsidRDefault="00D2236E">
            <w:pPr>
              <w:numPr>
                <w:ilvl w:val="0"/>
                <w:numId w:val="30"/>
              </w:numPr>
            </w:pPr>
            <w:r>
              <w:t>Extensive Faculty Group Practice Network.</w:t>
            </w:r>
            <w:r>
              <w:br/>
            </w:r>
          </w:p>
          <w:p w14:paraId="6539C349" w14:textId="77777777" w:rsidR="00BF65C0" w:rsidRDefault="00D2236E">
            <w:pPr>
              <w:numPr>
                <w:ilvl w:val="0"/>
                <w:numId w:val="30"/>
              </w:numPr>
            </w:pPr>
            <w:r>
              <w:t xml:space="preserve">Strategic Partnerships </w:t>
            </w:r>
          </w:p>
          <w:p w14:paraId="7405B177" w14:textId="77777777" w:rsidR="00BF65C0" w:rsidRDefault="00D2236E">
            <w:pPr>
              <w:numPr>
                <w:ilvl w:val="1"/>
                <w:numId w:val="30"/>
              </w:numPr>
            </w:pPr>
            <w:r>
              <w:t>U.S. federal government through the Family Health Centers (Gorman &amp; DeVries, 2017).</w:t>
            </w:r>
          </w:p>
          <w:p w14:paraId="19761C4B" w14:textId="77777777" w:rsidR="00BF65C0" w:rsidRDefault="00D2236E">
            <w:pPr>
              <w:numPr>
                <w:ilvl w:val="1"/>
                <w:numId w:val="30"/>
              </w:numPr>
              <w:spacing w:after="240"/>
            </w:pPr>
            <w:r>
              <w:t xml:space="preserve">NYC Department of Education through the School-Based </w:t>
            </w:r>
            <w:r>
              <w:lastRenderedPageBreak/>
              <w:t>Health Clinics, which is integral in alleviating socioeconomic, immigrant, and racial, and geospatial health disparities (Kucsera, 2014; Nunn et al., 2014; Stringer, 2016).</w:t>
            </w:r>
          </w:p>
          <w:p w14:paraId="632818AD" w14:textId="77777777" w:rsidR="00BF65C0" w:rsidRDefault="00BF65C0">
            <w:pPr>
              <w:spacing w:after="240"/>
            </w:pPr>
          </w:p>
          <w:p w14:paraId="14477DDE" w14:textId="77777777" w:rsidR="00BF65C0" w:rsidRDefault="00BF65C0">
            <w:pPr>
              <w:spacing w:after="240"/>
            </w:pPr>
          </w:p>
          <w:p w14:paraId="15B45909" w14:textId="77777777" w:rsidR="00BF65C0" w:rsidRDefault="00D2236E">
            <w:pPr>
              <w:spacing w:after="240"/>
              <w:jc w:val="center"/>
              <w:rPr>
                <w:b/>
                <w:color w:val="7802B5"/>
              </w:rPr>
            </w:pPr>
            <w:r>
              <w:rPr>
                <w:b/>
                <w:color w:val="7802B5"/>
              </w:rPr>
              <w:t>3. Most Unique Selling Points of the Brand</w:t>
            </w:r>
            <w:r>
              <w:rPr>
                <w:b/>
                <w:color w:val="7802B5"/>
              </w:rPr>
              <w:br/>
            </w:r>
            <w:r>
              <w:rPr>
                <w:b/>
                <w:noProof/>
                <w:color w:val="7802B5"/>
                <w:lang w:val="en-US"/>
              </w:rPr>
              <w:drawing>
                <wp:inline distT="114300" distB="114300" distL="114300" distR="114300" wp14:anchorId="457D9872" wp14:editId="7E4E3530">
                  <wp:extent cx="1905000" cy="1905000"/>
                  <wp:effectExtent l="0" t="0" r="0" b="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1905000" cy="1905000"/>
                          </a:xfrm>
                          <a:prstGeom prst="rect">
                            <a:avLst/>
                          </a:prstGeom>
                          <a:ln/>
                        </pic:spPr>
                      </pic:pic>
                    </a:graphicData>
                  </a:graphic>
                </wp:inline>
              </w:drawing>
            </w:r>
          </w:p>
          <w:p w14:paraId="42C86844" w14:textId="77777777" w:rsidR="00BF65C0" w:rsidRDefault="00D2236E">
            <w:pPr>
              <w:numPr>
                <w:ilvl w:val="0"/>
                <w:numId w:val="5"/>
              </w:numPr>
              <w:spacing w:after="240"/>
            </w:pPr>
            <w:r>
              <w:t>Tuition-Free Medical School described by medical students as “God-Tier” as it is the first major medical school in the country to offer tuition-free medical education. (Chen, 2018).</w:t>
            </w:r>
          </w:p>
          <w:p w14:paraId="1D54C2CF" w14:textId="77777777" w:rsidR="00BF65C0" w:rsidRDefault="00D2236E">
            <w:pPr>
              <w:spacing w:after="240"/>
              <w:jc w:val="center"/>
              <w:rPr>
                <w:b/>
                <w:color w:val="7802B5"/>
              </w:rPr>
            </w:pPr>
            <w:r>
              <w:rPr>
                <w:b/>
                <w:color w:val="7802B5"/>
              </w:rPr>
              <w:t>4. Brand Excellence</w:t>
            </w:r>
            <w:r>
              <w:rPr>
                <w:b/>
                <w:noProof/>
                <w:color w:val="7802B5"/>
                <w:lang w:val="en-US"/>
              </w:rPr>
              <w:drawing>
                <wp:inline distT="114300" distB="114300" distL="114300" distR="114300" wp14:anchorId="195B623C" wp14:editId="61D44B92">
                  <wp:extent cx="1766888" cy="1766888"/>
                  <wp:effectExtent l="0" t="0" r="0" b="0"/>
                  <wp:docPr id="2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3"/>
                          <a:srcRect/>
                          <a:stretch>
                            <a:fillRect/>
                          </a:stretch>
                        </pic:blipFill>
                        <pic:spPr>
                          <a:xfrm>
                            <a:off x="0" y="0"/>
                            <a:ext cx="1766888" cy="1766888"/>
                          </a:xfrm>
                          <a:prstGeom prst="rect">
                            <a:avLst/>
                          </a:prstGeom>
                          <a:ln/>
                        </pic:spPr>
                      </pic:pic>
                    </a:graphicData>
                  </a:graphic>
                </wp:inline>
              </w:drawing>
            </w:r>
          </w:p>
          <w:p w14:paraId="57C24B53" w14:textId="77777777" w:rsidR="00BF65C0" w:rsidRDefault="00D2236E">
            <w:pPr>
              <w:numPr>
                <w:ilvl w:val="0"/>
                <w:numId w:val="28"/>
              </w:numPr>
            </w:pPr>
            <w:r>
              <w:t>Hospital</w:t>
            </w:r>
          </w:p>
          <w:p w14:paraId="53D09DF8" w14:textId="77777777" w:rsidR="00BF65C0" w:rsidRDefault="00D2236E">
            <w:pPr>
              <w:numPr>
                <w:ilvl w:val="1"/>
                <w:numId w:val="28"/>
              </w:numPr>
            </w:pPr>
            <w:r>
              <w:lastRenderedPageBreak/>
              <w:t>#2 Best Hospital in New York State (US News Best Hospitals in New York, 2018).</w:t>
            </w:r>
          </w:p>
          <w:p w14:paraId="054925BD" w14:textId="77777777" w:rsidR="00BF65C0" w:rsidRDefault="00D2236E">
            <w:pPr>
              <w:numPr>
                <w:ilvl w:val="1"/>
                <w:numId w:val="28"/>
              </w:numPr>
            </w:pPr>
            <w:r>
              <w:t>#15 Best Hospital in the US (Comarow &amp; Harder, 2018).</w:t>
            </w:r>
            <w:r>
              <w:br/>
            </w:r>
          </w:p>
          <w:p w14:paraId="623973B0" w14:textId="77777777" w:rsidR="00BF65C0" w:rsidRDefault="00D2236E">
            <w:pPr>
              <w:numPr>
                <w:ilvl w:val="0"/>
                <w:numId w:val="28"/>
              </w:numPr>
            </w:pPr>
            <w:r>
              <w:t>Medical School</w:t>
            </w:r>
          </w:p>
          <w:p w14:paraId="51181156" w14:textId="77777777" w:rsidR="00BF65C0" w:rsidRDefault="00D2236E">
            <w:pPr>
              <w:numPr>
                <w:ilvl w:val="1"/>
                <w:numId w:val="28"/>
              </w:numPr>
            </w:pPr>
            <w:r>
              <w:t>#2 Best Medical School in the New York State.</w:t>
            </w:r>
          </w:p>
          <w:p w14:paraId="235DE763" w14:textId="77777777" w:rsidR="00BF65C0" w:rsidRDefault="00D2236E">
            <w:pPr>
              <w:numPr>
                <w:ilvl w:val="1"/>
                <w:numId w:val="28"/>
              </w:numPr>
              <w:spacing w:after="240"/>
            </w:pPr>
            <w:r>
              <w:t>#9 Best Medical School in the US (US News and World Report New York University Langone, 2018).</w:t>
            </w:r>
          </w:p>
          <w:p w14:paraId="64827DF4" w14:textId="77777777" w:rsidR="00BF65C0" w:rsidRDefault="00D2236E">
            <w:pPr>
              <w:spacing w:after="240"/>
              <w:jc w:val="center"/>
              <w:rPr>
                <w:b/>
                <w:color w:val="7802B5"/>
              </w:rPr>
            </w:pPr>
            <w:r>
              <w:rPr>
                <w:b/>
                <w:color w:val="7802B5"/>
              </w:rPr>
              <w:t>5. Core Organizational Features</w:t>
            </w:r>
            <w:r>
              <w:rPr>
                <w:b/>
                <w:noProof/>
                <w:color w:val="7802B5"/>
                <w:lang w:val="en-US"/>
              </w:rPr>
              <w:drawing>
                <wp:inline distT="114300" distB="114300" distL="114300" distR="114300" wp14:anchorId="28640D96" wp14:editId="2169FC66">
                  <wp:extent cx="1519238" cy="1519238"/>
                  <wp:effectExtent l="0" t="0" r="0" b="0"/>
                  <wp:docPr id="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4"/>
                          <a:srcRect/>
                          <a:stretch>
                            <a:fillRect/>
                          </a:stretch>
                        </pic:blipFill>
                        <pic:spPr>
                          <a:xfrm>
                            <a:off x="0" y="0"/>
                            <a:ext cx="1519238" cy="1519238"/>
                          </a:xfrm>
                          <a:prstGeom prst="rect">
                            <a:avLst/>
                          </a:prstGeom>
                          <a:ln/>
                        </pic:spPr>
                      </pic:pic>
                    </a:graphicData>
                  </a:graphic>
                </wp:inline>
              </w:drawing>
            </w:r>
          </w:p>
          <w:p w14:paraId="7D26F44B" w14:textId="77777777" w:rsidR="00BF65C0" w:rsidRDefault="00D2236E">
            <w:pPr>
              <w:numPr>
                <w:ilvl w:val="0"/>
                <w:numId w:val="20"/>
              </w:numPr>
            </w:pPr>
            <w:r>
              <w:t>Comprehensive Benefits</w:t>
            </w:r>
          </w:p>
          <w:p w14:paraId="5A76EEB6" w14:textId="77777777" w:rsidR="00BF65C0" w:rsidRDefault="00D2236E">
            <w:pPr>
              <w:numPr>
                <w:ilvl w:val="0"/>
                <w:numId w:val="20"/>
              </w:numPr>
            </w:pPr>
            <w:r>
              <w:t>Racially Diverse Employee Population</w:t>
            </w:r>
          </w:p>
          <w:p w14:paraId="1FB09390" w14:textId="77777777" w:rsidR="00BF65C0" w:rsidRDefault="00D2236E">
            <w:pPr>
              <w:numPr>
                <w:ilvl w:val="0"/>
                <w:numId w:val="20"/>
              </w:numPr>
              <w:spacing w:after="240"/>
            </w:pPr>
            <w:r>
              <w:t>Productive Employee Population</w:t>
            </w:r>
            <w:r>
              <w:br/>
            </w:r>
          </w:p>
          <w:p w14:paraId="5419ADD0" w14:textId="77777777" w:rsidR="00F30DC5" w:rsidRDefault="00F30DC5" w:rsidP="00F30DC5">
            <w:pPr>
              <w:spacing w:after="240"/>
            </w:pPr>
          </w:p>
          <w:p w14:paraId="782DEEBC" w14:textId="77777777" w:rsidR="00F30DC5" w:rsidRDefault="00F30DC5" w:rsidP="00F30DC5">
            <w:pPr>
              <w:spacing w:after="240"/>
            </w:pPr>
          </w:p>
          <w:p w14:paraId="152C8AE6" w14:textId="77777777" w:rsidR="00F30DC5" w:rsidRDefault="00F30DC5" w:rsidP="00F30DC5">
            <w:pPr>
              <w:spacing w:after="240"/>
            </w:pPr>
          </w:p>
          <w:p w14:paraId="7F99B83A" w14:textId="77777777" w:rsidR="00F30DC5" w:rsidRDefault="00F30DC5" w:rsidP="00F30DC5">
            <w:pPr>
              <w:spacing w:after="240"/>
            </w:pPr>
          </w:p>
          <w:p w14:paraId="473D780A" w14:textId="77777777" w:rsidR="00F30DC5" w:rsidRDefault="00F30DC5" w:rsidP="00F30DC5">
            <w:pPr>
              <w:spacing w:after="240"/>
            </w:pPr>
          </w:p>
          <w:p w14:paraId="1C32F1ED" w14:textId="77777777" w:rsidR="00F30DC5" w:rsidRDefault="00F30DC5" w:rsidP="00F30DC5">
            <w:pPr>
              <w:spacing w:after="240"/>
            </w:pPr>
          </w:p>
          <w:p w14:paraId="6977BFDA" w14:textId="77777777" w:rsidR="00F30DC5" w:rsidRDefault="00F30DC5" w:rsidP="00F30DC5">
            <w:pPr>
              <w:spacing w:after="240"/>
            </w:pPr>
          </w:p>
        </w:tc>
        <w:tc>
          <w:tcPr>
            <w:tcW w:w="4665" w:type="dxa"/>
            <w:shd w:val="clear" w:color="auto" w:fill="auto"/>
            <w:tcMar>
              <w:top w:w="100" w:type="dxa"/>
              <w:left w:w="100" w:type="dxa"/>
              <w:bottom w:w="100" w:type="dxa"/>
              <w:right w:w="100" w:type="dxa"/>
            </w:tcMar>
          </w:tcPr>
          <w:p w14:paraId="3207F539" w14:textId="77777777" w:rsidR="00BF65C0" w:rsidRDefault="00D2236E">
            <w:pPr>
              <w:spacing w:after="240"/>
              <w:jc w:val="center"/>
              <w:rPr>
                <w:b/>
                <w:color w:val="7802B5"/>
              </w:rPr>
            </w:pPr>
            <w:r>
              <w:rPr>
                <w:b/>
                <w:color w:val="7802B5"/>
              </w:rPr>
              <w:lastRenderedPageBreak/>
              <w:t>1. New geographies &amp; Service Variants</w:t>
            </w:r>
            <w:r>
              <w:rPr>
                <w:b/>
                <w:noProof/>
                <w:color w:val="7802B5"/>
                <w:lang w:val="en-US"/>
              </w:rPr>
              <w:drawing>
                <wp:inline distT="114300" distB="114300" distL="114300" distR="114300" wp14:anchorId="7A04A4C6" wp14:editId="1F324A53">
                  <wp:extent cx="1743075" cy="1743075"/>
                  <wp:effectExtent l="0" t="0" r="0" b="0"/>
                  <wp:docPr id="31"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5"/>
                          <a:srcRect/>
                          <a:stretch>
                            <a:fillRect/>
                          </a:stretch>
                        </pic:blipFill>
                        <pic:spPr>
                          <a:xfrm>
                            <a:off x="0" y="0"/>
                            <a:ext cx="1743075" cy="1743075"/>
                          </a:xfrm>
                          <a:prstGeom prst="rect">
                            <a:avLst/>
                          </a:prstGeom>
                          <a:ln/>
                        </pic:spPr>
                      </pic:pic>
                    </a:graphicData>
                  </a:graphic>
                </wp:inline>
              </w:drawing>
            </w:r>
          </w:p>
          <w:p w14:paraId="76575C2D" w14:textId="77777777" w:rsidR="00BF65C0" w:rsidRDefault="00D2236E">
            <w:pPr>
              <w:numPr>
                <w:ilvl w:val="0"/>
                <w:numId w:val="14"/>
              </w:numPr>
            </w:pPr>
            <w:r>
              <w:t>Leverage tailored acquisition of Meridian Health’s 12 Radiology sites as NYU Imaging practices, which would cater to radiology demand across the New York City metropolitan area without adding burden to hospital lines for in-patient (hospital admission) radiologic care (Bleustein et al., 2014; Field, 2003).</w:t>
            </w:r>
            <w:r>
              <w:br/>
            </w:r>
          </w:p>
          <w:p w14:paraId="10782DB3" w14:textId="77777777" w:rsidR="00BF65C0" w:rsidRDefault="00D2236E">
            <w:pPr>
              <w:numPr>
                <w:ilvl w:val="0"/>
                <w:numId w:val="14"/>
              </w:numPr>
              <w:spacing w:after="240"/>
            </w:pPr>
            <w:r>
              <w:t>Expand primary care clinical rotations for medical students focusing on primary care through NYU Winthrop Hospital faculty group practice network sites across Nassau and Suffolk, New York.</w:t>
            </w:r>
          </w:p>
          <w:p w14:paraId="6D7DEF89" w14:textId="77777777" w:rsidR="00BF65C0" w:rsidRDefault="00BF65C0">
            <w:pPr>
              <w:spacing w:after="240"/>
            </w:pPr>
          </w:p>
          <w:p w14:paraId="135B4DDD" w14:textId="77777777" w:rsidR="00BF65C0" w:rsidRDefault="00BF65C0">
            <w:pPr>
              <w:spacing w:after="240"/>
            </w:pPr>
          </w:p>
          <w:p w14:paraId="30C6CAC3" w14:textId="77777777" w:rsidR="00BF65C0" w:rsidRDefault="00D2236E">
            <w:pPr>
              <w:spacing w:after="240"/>
              <w:jc w:val="center"/>
              <w:rPr>
                <w:b/>
                <w:color w:val="7802B5"/>
              </w:rPr>
            </w:pPr>
            <w:r>
              <w:rPr>
                <w:b/>
                <w:color w:val="7802B5"/>
              </w:rPr>
              <w:lastRenderedPageBreak/>
              <w:t>2. Optimizing Branding and Marketing</w:t>
            </w:r>
            <w:r>
              <w:rPr>
                <w:b/>
                <w:noProof/>
                <w:color w:val="7802B5"/>
                <w:lang w:val="en-US"/>
              </w:rPr>
              <w:drawing>
                <wp:inline distT="114300" distB="114300" distL="114300" distR="114300" wp14:anchorId="675A1882" wp14:editId="066B2293">
                  <wp:extent cx="1519238" cy="1519238"/>
                  <wp:effectExtent l="0" t="0" r="0" b="0"/>
                  <wp:docPr id="35"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6"/>
                          <a:srcRect/>
                          <a:stretch>
                            <a:fillRect/>
                          </a:stretch>
                        </pic:blipFill>
                        <pic:spPr>
                          <a:xfrm>
                            <a:off x="0" y="0"/>
                            <a:ext cx="1519238" cy="1519238"/>
                          </a:xfrm>
                          <a:prstGeom prst="rect">
                            <a:avLst/>
                          </a:prstGeom>
                          <a:ln/>
                        </pic:spPr>
                      </pic:pic>
                    </a:graphicData>
                  </a:graphic>
                </wp:inline>
              </w:drawing>
            </w:r>
          </w:p>
          <w:p w14:paraId="555D6C83" w14:textId="77777777" w:rsidR="00BF65C0" w:rsidRDefault="00BF65C0">
            <w:pPr>
              <w:spacing w:after="240"/>
              <w:jc w:val="center"/>
              <w:rPr>
                <w:b/>
                <w:color w:val="7802B5"/>
              </w:rPr>
            </w:pPr>
          </w:p>
          <w:p w14:paraId="7C18B6FA" w14:textId="77777777" w:rsidR="00BF65C0" w:rsidRDefault="00D2236E">
            <w:pPr>
              <w:numPr>
                <w:ilvl w:val="0"/>
                <w:numId w:val="15"/>
              </w:numPr>
            </w:pPr>
            <w:r>
              <w:t>Expand branding in high traffic public spaces in New York City, such as subways and buses, which reaches underserved populations, due to near universal ridership of public transportation.</w:t>
            </w:r>
            <w:r>
              <w:br/>
            </w:r>
          </w:p>
          <w:p w14:paraId="5B308968" w14:textId="77777777" w:rsidR="00BF65C0" w:rsidRDefault="00D2236E">
            <w:pPr>
              <w:numPr>
                <w:ilvl w:val="0"/>
                <w:numId w:val="15"/>
              </w:numPr>
            </w:pPr>
            <w:r>
              <w:t>Form strategic partnership with tech organizations, such as Yext, in order to achieve SEO marketing optimization and brand-verified searches (Fishkin, 2019), specifically tailored for voice command requests through Google Assistant or Amazon’s Alexa (Lopatovska, 2018).</w:t>
            </w:r>
            <w:r>
              <w:br/>
            </w:r>
          </w:p>
          <w:p w14:paraId="70144CE5" w14:textId="77777777" w:rsidR="00BF65C0" w:rsidRDefault="00D2236E">
            <w:pPr>
              <w:numPr>
                <w:ilvl w:val="0"/>
                <w:numId w:val="15"/>
              </w:numPr>
              <w:spacing w:after="240"/>
            </w:pPr>
            <w:r>
              <w:t>Bolster diversity and inclusion internal communications through Inside Health portal and external communications through diversified marketing channels in order to develop a progressive corporate brand, while promoting diverse talent pipelines due to greater diversity and inclusion visibility (McKinsey, 2018).</w:t>
            </w:r>
          </w:p>
          <w:p w14:paraId="55D6DF88" w14:textId="77777777" w:rsidR="00BF65C0" w:rsidRDefault="00D2236E">
            <w:pPr>
              <w:spacing w:after="240"/>
              <w:jc w:val="center"/>
              <w:rPr>
                <w:b/>
                <w:color w:val="7802B5"/>
              </w:rPr>
            </w:pPr>
            <w:r>
              <w:rPr>
                <w:b/>
                <w:color w:val="7802B5"/>
              </w:rPr>
              <w:lastRenderedPageBreak/>
              <w:t>3. Strategic &amp; Operational Efficiencies</w:t>
            </w:r>
            <w:r>
              <w:rPr>
                <w:b/>
                <w:noProof/>
                <w:color w:val="7802B5"/>
                <w:lang w:val="en-US"/>
              </w:rPr>
              <w:drawing>
                <wp:inline distT="114300" distB="114300" distL="114300" distR="114300" wp14:anchorId="571A11BB" wp14:editId="1E2712D8">
                  <wp:extent cx="1890713" cy="1890713"/>
                  <wp:effectExtent l="0" t="0" r="0" b="0"/>
                  <wp:docPr id="34"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7"/>
                          <a:srcRect/>
                          <a:stretch>
                            <a:fillRect/>
                          </a:stretch>
                        </pic:blipFill>
                        <pic:spPr>
                          <a:xfrm>
                            <a:off x="0" y="0"/>
                            <a:ext cx="1890713" cy="1890713"/>
                          </a:xfrm>
                          <a:prstGeom prst="rect">
                            <a:avLst/>
                          </a:prstGeom>
                          <a:ln/>
                        </pic:spPr>
                      </pic:pic>
                    </a:graphicData>
                  </a:graphic>
                </wp:inline>
              </w:drawing>
            </w:r>
          </w:p>
          <w:p w14:paraId="2F4A4571" w14:textId="77777777" w:rsidR="00BF65C0" w:rsidRDefault="00D2236E">
            <w:pPr>
              <w:numPr>
                <w:ilvl w:val="0"/>
                <w:numId w:val="24"/>
              </w:numPr>
            </w:pPr>
            <w:r>
              <w:t>Transform senior retirement home care into ambulatory sites, which would create a complementary ambulatory to in-patient nexus. (Flegel, 2015).</w:t>
            </w:r>
            <w:r>
              <w:br/>
            </w:r>
          </w:p>
          <w:p w14:paraId="4F56BC25" w14:textId="77777777" w:rsidR="00BF65C0" w:rsidRDefault="00D2236E">
            <w:pPr>
              <w:numPr>
                <w:ilvl w:val="0"/>
                <w:numId w:val="24"/>
              </w:numPr>
              <w:spacing w:after="240"/>
            </w:pPr>
            <w:r>
              <w:t xml:space="preserve">Outsource shared services functions in Finance, IT, and HR to states with lower compensation market pay in order to accomplish cost efficiencies in functions with rising market pay compensation rates and to create jobs in less urbanized regions of the country (Magtibay-Ramos et al., 2008). </w:t>
            </w:r>
          </w:p>
          <w:p w14:paraId="4D7CA4D8" w14:textId="77777777" w:rsidR="00BF65C0" w:rsidRDefault="00BF65C0">
            <w:pPr>
              <w:spacing w:after="240"/>
              <w:ind w:left="720"/>
            </w:pPr>
          </w:p>
          <w:p w14:paraId="41CCBE4C" w14:textId="77777777" w:rsidR="00BF65C0" w:rsidRDefault="00BF65C0">
            <w:pPr>
              <w:spacing w:after="240"/>
            </w:pPr>
          </w:p>
        </w:tc>
      </w:tr>
      <w:tr w:rsidR="00BF65C0" w14:paraId="009D9232" w14:textId="77777777">
        <w:tc>
          <w:tcPr>
            <w:tcW w:w="4695" w:type="dxa"/>
            <w:shd w:val="clear" w:color="auto" w:fill="7802B5"/>
            <w:tcMar>
              <w:top w:w="100" w:type="dxa"/>
              <w:left w:w="100" w:type="dxa"/>
              <w:bottom w:w="100" w:type="dxa"/>
              <w:right w:w="100" w:type="dxa"/>
            </w:tcMar>
          </w:tcPr>
          <w:p w14:paraId="1EF8F059"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lastRenderedPageBreak/>
              <w:t>ASPIRATIONS (A)</w:t>
            </w:r>
          </w:p>
        </w:tc>
        <w:tc>
          <w:tcPr>
            <w:tcW w:w="4665" w:type="dxa"/>
            <w:shd w:val="clear" w:color="auto" w:fill="7802B5"/>
            <w:tcMar>
              <w:top w:w="100" w:type="dxa"/>
              <w:left w:w="100" w:type="dxa"/>
              <w:bottom w:w="100" w:type="dxa"/>
              <w:right w:w="100" w:type="dxa"/>
            </w:tcMar>
          </w:tcPr>
          <w:p w14:paraId="4F295B3A"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t>RESULTS (R)</w:t>
            </w:r>
          </w:p>
        </w:tc>
      </w:tr>
      <w:tr w:rsidR="00BF65C0" w14:paraId="581A4F49" w14:textId="77777777">
        <w:tc>
          <w:tcPr>
            <w:tcW w:w="4695" w:type="dxa"/>
            <w:shd w:val="clear" w:color="auto" w:fill="auto"/>
            <w:tcMar>
              <w:top w:w="100" w:type="dxa"/>
              <w:left w:w="100" w:type="dxa"/>
              <w:bottom w:w="100" w:type="dxa"/>
              <w:right w:w="100" w:type="dxa"/>
            </w:tcMar>
          </w:tcPr>
          <w:p w14:paraId="37FE3EA3" w14:textId="77777777" w:rsidR="00BF65C0" w:rsidRDefault="00D2236E">
            <w:pPr>
              <w:spacing w:after="240"/>
              <w:jc w:val="center"/>
              <w:rPr>
                <w:b/>
                <w:color w:val="7802B5"/>
              </w:rPr>
            </w:pPr>
            <w:r>
              <w:rPr>
                <w:b/>
                <w:color w:val="7802B5"/>
              </w:rPr>
              <w:t>1. Objectives</w:t>
            </w:r>
          </w:p>
          <w:p w14:paraId="2FB5CF14" w14:textId="77777777" w:rsidR="00BF65C0" w:rsidRDefault="00BF65C0">
            <w:pPr>
              <w:spacing w:after="240"/>
              <w:jc w:val="center"/>
              <w:rPr>
                <w:b/>
                <w:color w:val="7802B5"/>
              </w:rPr>
            </w:pPr>
          </w:p>
          <w:p w14:paraId="6CD60BBA" w14:textId="77777777" w:rsidR="00BF65C0" w:rsidRDefault="00D2236E">
            <w:pPr>
              <w:spacing w:after="240"/>
              <w:jc w:val="center"/>
              <w:rPr>
                <w:b/>
                <w:color w:val="7802B5"/>
              </w:rPr>
            </w:pPr>
            <w:r>
              <w:rPr>
                <w:b/>
                <w:noProof/>
                <w:color w:val="7802B5"/>
                <w:lang w:val="en-US"/>
              </w:rPr>
              <w:drawing>
                <wp:inline distT="114300" distB="114300" distL="114300" distR="114300" wp14:anchorId="5C0AAF20" wp14:editId="20ED437B">
                  <wp:extent cx="1614488" cy="1614488"/>
                  <wp:effectExtent l="0" t="0" r="0" b="0"/>
                  <wp:docPr id="30"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18"/>
                          <a:srcRect/>
                          <a:stretch>
                            <a:fillRect/>
                          </a:stretch>
                        </pic:blipFill>
                        <pic:spPr>
                          <a:xfrm>
                            <a:off x="0" y="0"/>
                            <a:ext cx="1614488" cy="1614488"/>
                          </a:xfrm>
                          <a:prstGeom prst="rect">
                            <a:avLst/>
                          </a:prstGeom>
                          <a:ln/>
                        </pic:spPr>
                      </pic:pic>
                    </a:graphicData>
                  </a:graphic>
                </wp:inline>
              </w:drawing>
            </w:r>
          </w:p>
          <w:p w14:paraId="6A8CDA20" w14:textId="77777777" w:rsidR="00BF65C0" w:rsidRDefault="00D2236E">
            <w:pPr>
              <w:numPr>
                <w:ilvl w:val="0"/>
                <w:numId w:val="2"/>
              </w:numPr>
            </w:pPr>
            <w:r>
              <w:t>#1 Best Medical School in New York State, surpassing Columbia University’s  medical school.</w:t>
            </w:r>
            <w:r>
              <w:br/>
            </w:r>
            <w:r>
              <w:br/>
            </w:r>
          </w:p>
          <w:p w14:paraId="3898EBB2" w14:textId="77777777" w:rsidR="00BF65C0" w:rsidRDefault="00D2236E">
            <w:pPr>
              <w:numPr>
                <w:ilvl w:val="0"/>
                <w:numId w:val="2"/>
              </w:numPr>
            </w:pPr>
            <w:r>
              <w:t>#1 Best Hospital in New York State, surpassing New York Presbyterian Hospital (Columbia University and Cornell University’s hospital).</w:t>
            </w:r>
            <w:r>
              <w:br/>
            </w:r>
            <w:r>
              <w:br/>
            </w:r>
            <w:r>
              <w:br/>
            </w:r>
          </w:p>
          <w:p w14:paraId="5D96DEFC" w14:textId="77777777" w:rsidR="00BF65C0" w:rsidRDefault="00D2236E">
            <w:pPr>
              <w:numPr>
                <w:ilvl w:val="0"/>
                <w:numId w:val="2"/>
              </w:numPr>
            </w:pPr>
            <w:r>
              <w:t>“Great Place to Work” as a best employer recognition (Bakker, 2010).</w:t>
            </w:r>
            <w:r>
              <w:br/>
            </w:r>
            <w:r>
              <w:br/>
            </w:r>
            <w:r>
              <w:br/>
            </w:r>
          </w:p>
          <w:p w14:paraId="7FF542C8" w14:textId="77777777" w:rsidR="00BF65C0" w:rsidRDefault="00D2236E">
            <w:pPr>
              <w:numPr>
                <w:ilvl w:val="0"/>
                <w:numId w:val="2"/>
              </w:numPr>
              <w:spacing w:after="240"/>
            </w:pPr>
            <w:r>
              <w:t>Enable national and global segmentation, critical for rural expansion and expansion into Canada and emerging markets (Buckley &amp; Casson, 1998; Carmichael &amp; Smith, 2004).</w:t>
            </w:r>
          </w:p>
          <w:p w14:paraId="7F0FFFAB" w14:textId="77777777" w:rsidR="00BF65C0" w:rsidRDefault="00D2236E">
            <w:pPr>
              <w:spacing w:after="240"/>
              <w:jc w:val="center"/>
              <w:rPr>
                <w:b/>
                <w:color w:val="7802B5"/>
              </w:rPr>
            </w:pPr>
            <w:r>
              <w:rPr>
                <w:b/>
                <w:color w:val="7802B5"/>
              </w:rPr>
              <w:lastRenderedPageBreak/>
              <w:t>2. Organizational Accolade Priorities</w:t>
            </w:r>
            <w:r>
              <w:rPr>
                <w:b/>
                <w:color w:val="7802B5"/>
              </w:rPr>
              <w:br/>
            </w:r>
            <w:r>
              <w:rPr>
                <w:b/>
                <w:color w:val="7802B5"/>
              </w:rPr>
              <w:br/>
            </w:r>
            <w:r>
              <w:rPr>
                <w:b/>
                <w:noProof/>
                <w:color w:val="7802B5"/>
                <w:lang w:val="en-US"/>
              </w:rPr>
              <w:drawing>
                <wp:inline distT="114300" distB="114300" distL="114300" distR="114300" wp14:anchorId="49428BE4" wp14:editId="18FD8B3D">
                  <wp:extent cx="1490663" cy="1490663"/>
                  <wp:effectExtent l="0" t="0" r="0" b="0"/>
                  <wp:docPr id="3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9"/>
                          <a:srcRect/>
                          <a:stretch>
                            <a:fillRect/>
                          </a:stretch>
                        </pic:blipFill>
                        <pic:spPr>
                          <a:xfrm>
                            <a:off x="0" y="0"/>
                            <a:ext cx="1490663" cy="1490663"/>
                          </a:xfrm>
                          <a:prstGeom prst="rect">
                            <a:avLst/>
                          </a:prstGeom>
                          <a:ln/>
                        </pic:spPr>
                      </pic:pic>
                    </a:graphicData>
                  </a:graphic>
                </wp:inline>
              </w:drawing>
            </w:r>
          </w:p>
          <w:p w14:paraId="23D03DA2" w14:textId="77777777" w:rsidR="00BF65C0" w:rsidRDefault="00D2236E">
            <w:pPr>
              <w:numPr>
                <w:ilvl w:val="0"/>
                <w:numId w:val="31"/>
              </w:numPr>
            </w:pPr>
            <w:r>
              <w:t>Best Employer Recognition Awards to create competitive advantage (Love &amp; Singh, 2011).</w:t>
            </w:r>
            <w:r>
              <w:br/>
            </w:r>
          </w:p>
          <w:p w14:paraId="06D922BB" w14:textId="77777777" w:rsidR="00BF65C0" w:rsidRDefault="00D2236E">
            <w:pPr>
              <w:numPr>
                <w:ilvl w:val="0"/>
                <w:numId w:val="31"/>
              </w:numPr>
              <w:spacing w:after="240"/>
            </w:pPr>
            <w:r>
              <w:t>High Rankings in US News and World Report medical school and hospital ranking.</w:t>
            </w:r>
          </w:p>
          <w:p w14:paraId="53162039" w14:textId="77777777" w:rsidR="00BF65C0" w:rsidRDefault="00D2236E">
            <w:pPr>
              <w:spacing w:after="240"/>
              <w:jc w:val="center"/>
              <w:rPr>
                <w:b/>
                <w:color w:val="7802B5"/>
              </w:rPr>
            </w:pPr>
            <w:r>
              <w:rPr>
                <w:b/>
                <w:color w:val="7802B5"/>
              </w:rPr>
              <w:t>3. Ensuring Consumer Satisfaction</w:t>
            </w:r>
            <w:r>
              <w:rPr>
                <w:b/>
                <w:color w:val="7802B5"/>
              </w:rPr>
              <w:br/>
            </w:r>
            <w:r>
              <w:rPr>
                <w:b/>
                <w:color w:val="7802B5"/>
              </w:rPr>
              <w:br/>
            </w:r>
            <w:r>
              <w:rPr>
                <w:b/>
                <w:noProof/>
                <w:color w:val="7802B5"/>
                <w:lang w:val="en-US"/>
              </w:rPr>
              <w:drawing>
                <wp:inline distT="114300" distB="114300" distL="114300" distR="114300" wp14:anchorId="51D35BBB" wp14:editId="3472F418">
                  <wp:extent cx="871538" cy="871538"/>
                  <wp:effectExtent l="0" t="0" r="0" b="0"/>
                  <wp:docPr id="2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0"/>
                          <a:srcRect/>
                          <a:stretch>
                            <a:fillRect/>
                          </a:stretch>
                        </pic:blipFill>
                        <pic:spPr>
                          <a:xfrm>
                            <a:off x="0" y="0"/>
                            <a:ext cx="871538" cy="871538"/>
                          </a:xfrm>
                          <a:prstGeom prst="rect">
                            <a:avLst/>
                          </a:prstGeom>
                          <a:ln/>
                        </pic:spPr>
                      </pic:pic>
                    </a:graphicData>
                  </a:graphic>
                </wp:inline>
              </w:drawing>
            </w:r>
          </w:p>
          <w:p w14:paraId="12DEFEB4" w14:textId="77777777" w:rsidR="00BF65C0" w:rsidRDefault="00D2236E">
            <w:pPr>
              <w:numPr>
                <w:ilvl w:val="0"/>
                <w:numId w:val="29"/>
              </w:numPr>
            </w:pPr>
            <w:r>
              <w:t>Improved patient safety and decreased readmission and fatality rates (Carey &amp; Crammond, 2015) through the leveraging of executive leadership and bolstering well-being programs to promote engagement and reduce burnout (Shanafelt &amp; Noseworthy, 2017).</w:t>
            </w:r>
            <w:r>
              <w:br/>
            </w:r>
          </w:p>
          <w:p w14:paraId="0FDE0A9F" w14:textId="77777777" w:rsidR="00BF65C0" w:rsidRDefault="00D2236E">
            <w:pPr>
              <w:numPr>
                <w:ilvl w:val="0"/>
                <w:numId w:val="29"/>
              </w:numPr>
            </w:pPr>
            <w:r>
              <w:t>Decreased medical school student debt, which promotes entry in primary care medical residency programs. This should mitigate the American and global primary care provider shortage.</w:t>
            </w:r>
            <w:r>
              <w:br/>
            </w:r>
          </w:p>
          <w:p w14:paraId="544A3753" w14:textId="77777777" w:rsidR="00BF65C0" w:rsidRDefault="00D2236E">
            <w:pPr>
              <w:numPr>
                <w:ilvl w:val="0"/>
                <w:numId w:val="29"/>
              </w:numPr>
            </w:pPr>
            <w:r>
              <w:lastRenderedPageBreak/>
              <w:t>Employee engagement for excellence service (Aon Hewitt, 2017; CIPD, 2015).</w:t>
            </w:r>
            <w:r>
              <w:br/>
            </w:r>
          </w:p>
          <w:p w14:paraId="3E394285" w14:textId="77777777" w:rsidR="00BF65C0" w:rsidRDefault="00D2236E">
            <w:pPr>
              <w:numPr>
                <w:ilvl w:val="0"/>
                <w:numId w:val="29"/>
              </w:numPr>
              <w:spacing w:after="240"/>
            </w:pPr>
            <w:r>
              <w:t>Action on patient satisfaction surveys and create single-bed in-patient rooms with sofa for increased privacy and best accommodates overnight family and friend visitors.</w:t>
            </w:r>
          </w:p>
          <w:p w14:paraId="35B9BA37" w14:textId="77777777" w:rsidR="00BF65C0" w:rsidRDefault="00D2236E">
            <w:pPr>
              <w:spacing w:after="240"/>
              <w:jc w:val="center"/>
              <w:rPr>
                <w:b/>
                <w:color w:val="7802B5"/>
              </w:rPr>
            </w:pPr>
            <w:r>
              <w:rPr>
                <w:b/>
                <w:color w:val="7802B5"/>
              </w:rPr>
              <w:t>4. Short &amp; Long-Term Aspirations</w:t>
            </w:r>
            <w:r>
              <w:rPr>
                <w:b/>
                <w:noProof/>
                <w:color w:val="7802B5"/>
                <w:lang w:val="en-US"/>
              </w:rPr>
              <w:drawing>
                <wp:inline distT="114300" distB="114300" distL="114300" distR="114300" wp14:anchorId="390B0A6C" wp14:editId="779B9292">
                  <wp:extent cx="852488" cy="852488"/>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852488" cy="852488"/>
                          </a:xfrm>
                          <a:prstGeom prst="rect">
                            <a:avLst/>
                          </a:prstGeom>
                          <a:ln/>
                        </pic:spPr>
                      </pic:pic>
                    </a:graphicData>
                  </a:graphic>
                </wp:inline>
              </w:drawing>
            </w:r>
          </w:p>
          <w:p w14:paraId="312997EA" w14:textId="77777777" w:rsidR="00BF65C0" w:rsidRDefault="00D2236E">
            <w:pPr>
              <w:numPr>
                <w:ilvl w:val="0"/>
                <w:numId w:val="11"/>
              </w:numPr>
            </w:pPr>
            <w:r>
              <w:t>Renewal of Best Employer recognition awards (Matt et al., 2015).</w:t>
            </w:r>
            <w:r>
              <w:br/>
            </w:r>
          </w:p>
          <w:p w14:paraId="23B5ADDF" w14:textId="77777777" w:rsidR="00BF65C0" w:rsidRDefault="00D2236E">
            <w:pPr>
              <w:numPr>
                <w:ilvl w:val="0"/>
                <w:numId w:val="11"/>
              </w:numPr>
            </w:pPr>
            <w:r>
              <w:t>Increase Glassdoor ratings</w:t>
            </w:r>
            <w:r>
              <w:br/>
            </w:r>
          </w:p>
          <w:p w14:paraId="0BDC10E4" w14:textId="77777777" w:rsidR="00BF65C0" w:rsidRDefault="00D2236E">
            <w:pPr>
              <w:numPr>
                <w:ilvl w:val="0"/>
                <w:numId w:val="11"/>
              </w:numPr>
            </w:pPr>
            <w:r>
              <w:t>Increase in Employee Engagement Survey via Design Thinking approach (Brown &amp; Wyatt, 2010).</w:t>
            </w:r>
            <w:r>
              <w:br/>
            </w:r>
          </w:p>
          <w:p w14:paraId="1480BC3E" w14:textId="77777777" w:rsidR="00BF65C0" w:rsidRDefault="00D2236E">
            <w:pPr>
              <w:numPr>
                <w:ilvl w:val="0"/>
                <w:numId w:val="11"/>
              </w:numPr>
            </w:pPr>
            <w:r>
              <w:t xml:space="preserve">Decreased fatality and readmission rates (Carey &amp; Crammond, 2015). </w:t>
            </w:r>
            <w:r>
              <w:br/>
            </w:r>
          </w:p>
          <w:p w14:paraId="29C25FF4" w14:textId="77777777" w:rsidR="00BF65C0" w:rsidRDefault="00D2236E">
            <w:pPr>
              <w:numPr>
                <w:ilvl w:val="0"/>
                <w:numId w:val="11"/>
              </w:numPr>
            </w:pPr>
            <w:r>
              <w:t>Development of culture of physical and psychological safety to create a High Performing, High Commitment, and High Reliable Organization (Becker &amp; Huselid, 1998; Beer, 2009; Griffiths &amp; Inman, 2016; Marchington &amp; Wilkinson, 2005).</w:t>
            </w:r>
            <w:r>
              <w:br/>
            </w:r>
          </w:p>
          <w:p w14:paraId="20E7EDC8" w14:textId="77777777" w:rsidR="00BF65C0" w:rsidRDefault="00D2236E">
            <w:pPr>
              <w:numPr>
                <w:ilvl w:val="0"/>
                <w:numId w:val="11"/>
              </w:numPr>
              <w:spacing w:after="240"/>
            </w:pPr>
            <w:r>
              <w:t>Foster organizational change agility through diversity and inclusion (Dobbin &amp; Kalev, 2007; Dobbs, 1996; Dyer &amp; Shafer, 1998; Holt et al., 2007).</w:t>
            </w:r>
          </w:p>
        </w:tc>
        <w:tc>
          <w:tcPr>
            <w:tcW w:w="4665" w:type="dxa"/>
            <w:shd w:val="clear" w:color="auto" w:fill="auto"/>
            <w:tcMar>
              <w:top w:w="100" w:type="dxa"/>
              <w:left w:w="100" w:type="dxa"/>
              <w:bottom w:w="100" w:type="dxa"/>
              <w:right w:w="100" w:type="dxa"/>
            </w:tcMar>
          </w:tcPr>
          <w:p w14:paraId="7C99D8D6" w14:textId="77777777" w:rsidR="00BF65C0" w:rsidRDefault="00D2236E">
            <w:pPr>
              <w:spacing w:after="240"/>
              <w:jc w:val="center"/>
              <w:rPr>
                <w:b/>
                <w:color w:val="7802B5"/>
              </w:rPr>
            </w:pPr>
            <w:r>
              <w:rPr>
                <w:b/>
                <w:color w:val="7802B5"/>
              </w:rPr>
              <w:lastRenderedPageBreak/>
              <w:t>1. Transformation Enablers and Tracking Towards Objectives</w:t>
            </w:r>
          </w:p>
          <w:p w14:paraId="35207903" w14:textId="77777777" w:rsidR="00BF65C0" w:rsidRDefault="00BF65C0">
            <w:pPr>
              <w:spacing w:after="240"/>
              <w:jc w:val="center"/>
              <w:rPr>
                <w:b/>
                <w:color w:val="7802B5"/>
              </w:rPr>
            </w:pPr>
          </w:p>
          <w:p w14:paraId="39CF37E4" w14:textId="77777777" w:rsidR="00BF65C0" w:rsidRDefault="00D2236E">
            <w:pPr>
              <w:spacing w:after="240"/>
              <w:jc w:val="center"/>
              <w:rPr>
                <w:b/>
                <w:color w:val="7802B5"/>
              </w:rPr>
            </w:pPr>
            <w:r>
              <w:rPr>
                <w:b/>
                <w:noProof/>
                <w:color w:val="7802B5"/>
                <w:lang w:val="en-US"/>
              </w:rPr>
              <w:drawing>
                <wp:inline distT="114300" distB="114300" distL="114300" distR="114300" wp14:anchorId="2652D3DE" wp14:editId="5296A39E">
                  <wp:extent cx="1500188" cy="1500188"/>
                  <wp:effectExtent l="0" t="0" r="0" b="0"/>
                  <wp:docPr id="2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2"/>
                          <a:srcRect/>
                          <a:stretch>
                            <a:fillRect/>
                          </a:stretch>
                        </pic:blipFill>
                        <pic:spPr>
                          <a:xfrm>
                            <a:off x="0" y="0"/>
                            <a:ext cx="1500188" cy="1500188"/>
                          </a:xfrm>
                          <a:prstGeom prst="rect">
                            <a:avLst/>
                          </a:prstGeom>
                          <a:ln/>
                        </pic:spPr>
                      </pic:pic>
                    </a:graphicData>
                  </a:graphic>
                </wp:inline>
              </w:drawing>
            </w:r>
          </w:p>
          <w:p w14:paraId="5D9FEA76" w14:textId="77777777" w:rsidR="00BF65C0" w:rsidRDefault="00BF65C0">
            <w:pPr>
              <w:spacing w:after="240"/>
              <w:jc w:val="center"/>
              <w:rPr>
                <w:b/>
                <w:color w:val="7802B5"/>
              </w:rPr>
            </w:pPr>
          </w:p>
          <w:p w14:paraId="5AF29964" w14:textId="77777777" w:rsidR="00BF65C0" w:rsidRDefault="00D2236E">
            <w:pPr>
              <w:numPr>
                <w:ilvl w:val="0"/>
                <w:numId w:val="23"/>
              </w:numPr>
              <w:spacing w:after="240"/>
            </w:pPr>
            <w:r>
              <w:t>Digital Transformation cross-functionally in all business units (Orlikowski, 1996; Matt et al., 2015).</w:t>
            </w:r>
            <w:r>
              <w:br/>
            </w:r>
          </w:p>
          <w:p w14:paraId="27F37A14" w14:textId="77777777" w:rsidR="00BF65C0" w:rsidRDefault="00BF65C0">
            <w:pPr>
              <w:spacing w:after="240"/>
            </w:pPr>
          </w:p>
          <w:p w14:paraId="429F288F" w14:textId="77777777" w:rsidR="00BF65C0" w:rsidRDefault="00D2236E">
            <w:pPr>
              <w:numPr>
                <w:ilvl w:val="0"/>
                <w:numId w:val="23"/>
              </w:numPr>
              <w:spacing w:after="240"/>
            </w:pPr>
            <w:r>
              <w:t>Strategic and more Consultative Corporate Services, especially Human Resources (Evans &amp; Lorange, 1989; Gooderham et al., 1999).</w:t>
            </w:r>
            <w:r>
              <w:br/>
            </w:r>
          </w:p>
          <w:p w14:paraId="6EE3C0E0" w14:textId="77777777" w:rsidR="00BF65C0" w:rsidRDefault="00BF65C0">
            <w:pPr>
              <w:spacing w:after="240"/>
            </w:pPr>
          </w:p>
          <w:p w14:paraId="326B43CB" w14:textId="77777777" w:rsidR="00BF65C0" w:rsidRDefault="00D2236E">
            <w:pPr>
              <w:numPr>
                <w:ilvl w:val="0"/>
                <w:numId w:val="23"/>
              </w:numPr>
              <w:spacing w:after="240"/>
            </w:pPr>
            <w:r>
              <w:t>Diversity and Inclusion as an organizational capability across all mission areas and corporate services business units (Front &amp; Kalman, 2016).</w:t>
            </w:r>
          </w:p>
          <w:p w14:paraId="5814844F" w14:textId="77777777" w:rsidR="00BF65C0" w:rsidRDefault="00BF65C0">
            <w:pPr>
              <w:spacing w:after="240"/>
            </w:pPr>
          </w:p>
          <w:p w14:paraId="2624A211" w14:textId="77777777" w:rsidR="00BF65C0" w:rsidRDefault="00BF65C0">
            <w:pPr>
              <w:spacing w:after="240"/>
            </w:pPr>
          </w:p>
          <w:p w14:paraId="666A3812" w14:textId="77777777" w:rsidR="00F30DC5" w:rsidRDefault="00F30DC5">
            <w:pPr>
              <w:spacing w:after="240"/>
            </w:pPr>
          </w:p>
          <w:p w14:paraId="13F5F8D6" w14:textId="77777777" w:rsidR="00BF65C0" w:rsidRDefault="00D2236E">
            <w:pPr>
              <w:spacing w:after="240"/>
              <w:jc w:val="center"/>
              <w:rPr>
                <w:b/>
                <w:color w:val="7802B5"/>
              </w:rPr>
            </w:pPr>
            <w:r>
              <w:rPr>
                <w:b/>
                <w:color w:val="7802B5"/>
              </w:rPr>
              <w:lastRenderedPageBreak/>
              <w:t>2. Communications &amp; Marketing Enablers and Tracking Towards Objectives</w:t>
            </w:r>
            <w:r>
              <w:rPr>
                <w:b/>
                <w:color w:val="7802B5"/>
              </w:rPr>
              <w:br/>
            </w:r>
            <w:r>
              <w:rPr>
                <w:b/>
                <w:color w:val="7802B5"/>
              </w:rPr>
              <w:br/>
            </w:r>
            <w:r>
              <w:rPr>
                <w:b/>
                <w:noProof/>
                <w:color w:val="7802B5"/>
                <w:lang w:val="en-US"/>
              </w:rPr>
              <w:drawing>
                <wp:inline distT="114300" distB="114300" distL="114300" distR="114300" wp14:anchorId="780FD889" wp14:editId="12F2EE71">
                  <wp:extent cx="2024063" cy="1423031"/>
                  <wp:effectExtent l="0" t="0" r="0" b="0"/>
                  <wp:docPr id="12"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23"/>
                          <a:srcRect/>
                          <a:stretch>
                            <a:fillRect/>
                          </a:stretch>
                        </pic:blipFill>
                        <pic:spPr>
                          <a:xfrm>
                            <a:off x="0" y="0"/>
                            <a:ext cx="2024063" cy="1423031"/>
                          </a:xfrm>
                          <a:prstGeom prst="rect">
                            <a:avLst/>
                          </a:prstGeom>
                          <a:ln/>
                        </pic:spPr>
                      </pic:pic>
                    </a:graphicData>
                  </a:graphic>
                </wp:inline>
              </w:drawing>
            </w:r>
          </w:p>
          <w:p w14:paraId="5E57EB9A" w14:textId="77777777" w:rsidR="00BF65C0" w:rsidRDefault="00D2236E">
            <w:pPr>
              <w:numPr>
                <w:ilvl w:val="0"/>
                <w:numId w:val="23"/>
              </w:numPr>
            </w:pPr>
            <w:r>
              <w:t>Intercultural Communications and Marketing Market Entry strategy that involves gamification and mobile marketing to enable expansion into rural health, Canada, and emerging markets via telemedicine (Andersen, 1997; Dogra &amp; Ghuman, 2008; Hofacker et al., 2016; Hollensen, 2009; Holtbruegge &amp; Baron, 2013; Houtari &amp; Hamari, 2017; Jayaram et al., 2015; Pan &amp; Tse, 2000).</w:t>
            </w:r>
            <w:r>
              <w:br/>
            </w:r>
          </w:p>
          <w:p w14:paraId="6DF6662F" w14:textId="77777777" w:rsidR="00BF65C0" w:rsidRDefault="00D2236E">
            <w:pPr>
              <w:numPr>
                <w:ilvl w:val="0"/>
                <w:numId w:val="23"/>
              </w:numPr>
              <w:spacing w:after="240"/>
            </w:pPr>
            <w:r>
              <w:t>Implement Change Management Communications enterprise-wide in order to foster awareness, desire, and knowledge of SOAR analysis results in town halls and listening sessions.</w:t>
            </w:r>
            <w:r>
              <w:br/>
            </w:r>
          </w:p>
          <w:p w14:paraId="20BB00DA" w14:textId="77777777" w:rsidR="00BF65C0" w:rsidRDefault="00BF65C0">
            <w:pPr>
              <w:spacing w:after="240"/>
            </w:pPr>
          </w:p>
          <w:p w14:paraId="411C74B3" w14:textId="77777777" w:rsidR="00BF65C0" w:rsidRDefault="00BF65C0">
            <w:pPr>
              <w:spacing w:after="240"/>
            </w:pPr>
          </w:p>
          <w:p w14:paraId="7BB5D822" w14:textId="77777777" w:rsidR="00BF65C0" w:rsidRDefault="00BF65C0">
            <w:pPr>
              <w:spacing w:after="240"/>
            </w:pPr>
          </w:p>
          <w:p w14:paraId="0A3179C7" w14:textId="77777777" w:rsidR="00BF65C0" w:rsidRDefault="00BF65C0">
            <w:pPr>
              <w:spacing w:after="240"/>
            </w:pPr>
          </w:p>
          <w:p w14:paraId="271990A6" w14:textId="77777777" w:rsidR="00BF65C0" w:rsidRDefault="00BF65C0">
            <w:pPr>
              <w:spacing w:after="240"/>
            </w:pPr>
          </w:p>
          <w:p w14:paraId="1ACF037A" w14:textId="77777777" w:rsidR="00BF65C0" w:rsidRDefault="00BF65C0">
            <w:pPr>
              <w:spacing w:after="240"/>
            </w:pPr>
          </w:p>
          <w:p w14:paraId="12C52AA0" w14:textId="77777777" w:rsidR="00BF65C0" w:rsidRDefault="00D2236E">
            <w:pPr>
              <w:spacing w:after="240"/>
              <w:jc w:val="center"/>
              <w:rPr>
                <w:b/>
                <w:color w:val="7802B5"/>
              </w:rPr>
            </w:pPr>
            <w:r>
              <w:rPr>
                <w:b/>
                <w:color w:val="7802B5"/>
              </w:rPr>
              <w:lastRenderedPageBreak/>
              <w:br/>
              <w:t>3. Financial &amp; Lean Management Enablers and Tracking Towards Objectives</w:t>
            </w:r>
          </w:p>
          <w:p w14:paraId="310104A8" w14:textId="77777777" w:rsidR="00BF65C0" w:rsidRDefault="00D2236E">
            <w:pPr>
              <w:spacing w:after="240"/>
              <w:jc w:val="center"/>
              <w:rPr>
                <w:b/>
                <w:color w:val="7802B5"/>
              </w:rPr>
            </w:pPr>
            <w:r>
              <w:rPr>
                <w:b/>
                <w:noProof/>
                <w:color w:val="7802B5"/>
                <w:lang w:val="en-US"/>
              </w:rPr>
              <w:drawing>
                <wp:inline distT="114300" distB="114300" distL="114300" distR="114300" wp14:anchorId="0CB22378" wp14:editId="290771D6">
                  <wp:extent cx="909638" cy="905595"/>
                  <wp:effectExtent l="0" t="0" r="0" b="0"/>
                  <wp:docPr id="2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4"/>
                          <a:srcRect/>
                          <a:stretch>
                            <a:fillRect/>
                          </a:stretch>
                        </pic:blipFill>
                        <pic:spPr>
                          <a:xfrm>
                            <a:off x="0" y="0"/>
                            <a:ext cx="909638" cy="905595"/>
                          </a:xfrm>
                          <a:prstGeom prst="rect">
                            <a:avLst/>
                          </a:prstGeom>
                          <a:ln/>
                        </pic:spPr>
                      </pic:pic>
                    </a:graphicData>
                  </a:graphic>
                </wp:inline>
              </w:drawing>
            </w:r>
          </w:p>
          <w:p w14:paraId="0F1C7448" w14:textId="77777777" w:rsidR="00BF65C0" w:rsidRDefault="00D2236E">
            <w:pPr>
              <w:numPr>
                <w:ilvl w:val="0"/>
                <w:numId w:val="23"/>
              </w:numPr>
            </w:pPr>
            <w:r>
              <w:t>Decreased average medical school debt overtime from total cost of attendance (tuition, administrative fees, room board) through the elimination of tuition fees.</w:t>
            </w:r>
            <w:r>
              <w:br/>
            </w:r>
          </w:p>
          <w:p w14:paraId="51A59A10" w14:textId="77777777" w:rsidR="00BF65C0" w:rsidRDefault="00D2236E">
            <w:pPr>
              <w:numPr>
                <w:ilvl w:val="0"/>
                <w:numId w:val="23"/>
              </w:numPr>
            </w:pPr>
            <w:r>
              <w:t>Cost Efficiencies using Lean Management Kaizen Blitzs (Rapid Improvement Events) and Just-In-Time Processes in Hospital Operations to eliminate procedural waste and improve quality management (Hassan, 2013; He &amp; Hayya, 2002; ASQ, 2019).</w:t>
            </w:r>
            <w:r>
              <w:br/>
            </w:r>
          </w:p>
          <w:p w14:paraId="59144296" w14:textId="77777777" w:rsidR="00BF65C0" w:rsidRDefault="00D2236E">
            <w:pPr>
              <w:numPr>
                <w:ilvl w:val="0"/>
                <w:numId w:val="23"/>
              </w:numPr>
            </w:pPr>
            <w:r>
              <w:t>Apply Key Performance Indicators in all organizational transformation projects (ASQ, 2019).</w:t>
            </w:r>
            <w:r>
              <w:br/>
            </w:r>
          </w:p>
          <w:p w14:paraId="794B481C" w14:textId="77777777" w:rsidR="00BF65C0" w:rsidRDefault="00D2236E">
            <w:pPr>
              <w:numPr>
                <w:ilvl w:val="0"/>
                <w:numId w:val="23"/>
              </w:numPr>
              <w:spacing w:after="240"/>
            </w:pPr>
            <w:r>
              <w:t>Maintain CEO organizational analytics dashboard which comprises of all business unit metrics and progress towards organizational objectives to allow management and insights for performance over time.</w:t>
            </w:r>
          </w:p>
        </w:tc>
      </w:tr>
    </w:tbl>
    <w:p w14:paraId="046079C4" w14:textId="77777777" w:rsidR="00BF65C0" w:rsidRDefault="00D2236E">
      <w:pPr>
        <w:spacing w:after="240"/>
        <w:rPr>
          <w:b/>
          <w:color w:val="7802B5"/>
          <w:sz w:val="32"/>
          <w:szCs w:val="32"/>
        </w:rPr>
      </w:pPr>
      <w:r>
        <w:rPr>
          <w:b/>
          <w:color w:val="7802B5"/>
          <w:sz w:val="36"/>
          <w:szCs w:val="36"/>
        </w:rPr>
        <w:lastRenderedPageBreak/>
        <w:t>TOWS Matrix</w:t>
      </w:r>
      <w:r>
        <w:rPr>
          <w:b/>
          <w:color w:val="7802B5"/>
          <w:sz w:val="36"/>
          <w:szCs w:val="36"/>
        </w:rPr>
        <w:br/>
      </w:r>
      <w:r>
        <w:rPr>
          <w:b/>
          <w:color w:val="7802B5"/>
          <w:sz w:val="32"/>
          <w:szCs w:val="32"/>
        </w:rPr>
        <w:t>Recommendations for Regional, National, and Global Strategic Advantage</w:t>
      </w:r>
    </w:p>
    <w:p w14:paraId="042C0A4E" w14:textId="17DF68D3" w:rsidR="00BF65C0" w:rsidRDefault="00C42859">
      <w:pPr>
        <w:spacing w:after="240" w:line="360" w:lineRule="auto"/>
      </w:pPr>
      <w:r>
        <w:t>The</w:t>
      </w:r>
      <w:r w:rsidR="00D2236E">
        <w:t xml:space="preserve"> threats, opportunities, weaknesses, and strengths</w:t>
      </w:r>
      <w:r>
        <w:t xml:space="preserve"> (TO</w:t>
      </w:r>
      <w:r w:rsidR="00D2236E">
        <w:t>WS</w:t>
      </w:r>
      <w:r>
        <w:t>)</w:t>
      </w:r>
      <w:r w:rsidR="00D2236E">
        <w:t xml:space="preserve"> matrix addresses the SWOT analysis’ inability to demonstrate the relationships among the different factors and categories of its acronyms. The TOWS matrix provides strategists the ability to match internal factors to external factors that then sheds light on strategic decisions for the organization to pursue </w:t>
      </w:r>
      <w:r w:rsidR="00AD09C2">
        <w:t>to</w:t>
      </w:r>
      <w:r w:rsidR="00D2236E">
        <w:t xml:space="preserve"> take advantage of opportunities, prevent and reduce threats, overcome weaknesses, and maximize strengths (Weihrich, 1999; Woodruff, 2019). The internal and external relationship insights derived from the TOWS analysis serves as the study’s tailored recommendations that NYU Langone Health could take in gaining strategic advantage</w:t>
      </w:r>
      <w:r w:rsidR="00F000A7">
        <w:t>, by achieving its goal of becoming</w:t>
      </w:r>
      <w:r w:rsidR="00D2236E">
        <w:t xml:space="preserve"> the</w:t>
      </w:r>
      <w:r w:rsidR="00F000A7">
        <w:t xml:space="preserve"> best hospital in New York state,</w:t>
      </w:r>
      <w:r w:rsidR="00D2236E">
        <w:t xml:space="preserve"> </w:t>
      </w:r>
      <w:r>
        <w:t>on the global stage</w:t>
      </w:r>
      <w:r w:rsidR="00D2236E">
        <w:t xml:space="preserve"> to disrupt the field of academic medicine.</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F65C0" w14:paraId="40E24918" w14:textId="77777777">
        <w:tc>
          <w:tcPr>
            <w:tcW w:w="4680" w:type="dxa"/>
            <w:shd w:val="clear" w:color="auto" w:fill="7802B5"/>
            <w:tcMar>
              <w:top w:w="100" w:type="dxa"/>
              <w:left w:w="100" w:type="dxa"/>
              <w:bottom w:w="100" w:type="dxa"/>
              <w:right w:w="100" w:type="dxa"/>
            </w:tcMar>
          </w:tcPr>
          <w:p w14:paraId="28940B5C"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t>SO: Internal Strengths &amp; External Opportunities</w:t>
            </w:r>
          </w:p>
        </w:tc>
        <w:tc>
          <w:tcPr>
            <w:tcW w:w="4680" w:type="dxa"/>
            <w:shd w:val="clear" w:color="auto" w:fill="7802B5"/>
            <w:tcMar>
              <w:top w:w="100" w:type="dxa"/>
              <w:left w:w="100" w:type="dxa"/>
              <w:bottom w:w="100" w:type="dxa"/>
              <w:right w:w="100" w:type="dxa"/>
            </w:tcMar>
          </w:tcPr>
          <w:p w14:paraId="528484AA"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t>ST: Internal Strengths and External Threats</w:t>
            </w:r>
          </w:p>
        </w:tc>
      </w:tr>
      <w:tr w:rsidR="00BF65C0" w14:paraId="25728DCC" w14:textId="77777777">
        <w:tc>
          <w:tcPr>
            <w:tcW w:w="4680" w:type="dxa"/>
            <w:shd w:val="clear" w:color="auto" w:fill="auto"/>
            <w:tcMar>
              <w:top w:w="100" w:type="dxa"/>
              <w:left w:w="100" w:type="dxa"/>
              <w:bottom w:w="100" w:type="dxa"/>
              <w:right w:w="100" w:type="dxa"/>
            </w:tcMar>
          </w:tcPr>
          <w:p w14:paraId="441B07AB" w14:textId="77777777" w:rsidR="00BF65C0" w:rsidRDefault="00D2236E">
            <w:pPr>
              <w:widowControl w:val="0"/>
              <w:pBdr>
                <w:top w:val="nil"/>
                <w:left w:val="nil"/>
                <w:bottom w:val="nil"/>
                <w:right w:val="nil"/>
                <w:between w:val="nil"/>
              </w:pBdr>
              <w:spacing w:line="240" w:lineRule="auto"/>
              <w:jc w:val="center"/>
              <w:rPr>
                <w:b/>
              </w:rPr>
            </w:pPr>
            <w:r>
              <w:rPr>
                <w:b/>
              </w:rPr>
              <w:t>Use strengths to maximize opportunities</w:t>
            </w:r>
          </w:p>
          <w:p w14:paraId="5C01FED1" w14:textId="77777777" w:rsidR="00BF65C0" w:rsidRDefault="00BF65C0">
            <w:pPr>
              <w:widowControl w:val="0"/>
              <w:pBdr>
                <w:top w:val="nil"/>
                <w:left w:val="nil"/>
                <w:bottom w:val="nil"/>
                <w:right w:val="nil"/>
                <w:between w:val="nil"/>
              </w:pBdr>
              <w:spacing w:line="240" w:lineRule="auto"/>
            </w:pPr>
          </w:p>
          <w:p w14:paraId="53996DA5"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1. Diversify into New Markets: Mergers &amp; Acquisitions in New York State, New Jersey, Florida, and Nevada &amp; Digital Transformation towards Telemedicine</w:t>
            </w:r>
          </w:p>
          <w:p w14:paraId="401024FD" w14:textId="77777777" w:rsidR="00BF65C0" w:rsidRDefault="00BF65C0">
            <w:pPr>
              <w:widowControl w:val="0"/>
              <w:pBdr>
                <w:top w:val="nil"/>
                <w:left w:val="nil"/>
                <w:bottom w:val="nil"/>
                <w:right w:val="nil"/>
                <w:between w:val="nil"/>
              </w:pBdr>
              <w:spacing w:line="240" w:lineRule="auto"/>
              <w:rPr>
                <w:b/>
                <w:color w:val="7802B5"/>
              </w:rPr>
            </w:pPr>
          </w:p>
          <w:p w14:paraId="4667D3C7"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1DA6DDE9" wp14:editId="259BEBD8">
                  <wp:extent cx="871538" cy="874462"/>
                  <wp:effectExtent l="0" t="0" r="0" b="0"/>
                  <wp:docPr id="20"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5"/>
                          <a:srcRect/>
                          <a:stretch>
                            <a:fillRect/>
                          </a:stretch>
                        </pic:blipFill>
                        <pic:spPr>
                          <a:xfrm>
                            <a:off x="0" y="0"/>
                            <a:ext cx="871538" cy="874462"/>
                          </a:xfrm>
                          <a:prstGeom prst="rect">
                            <a:avLst/>
                          </a:prstGeom>
                          <a:ln/>
                        </pic:spPr>
                      </pic:pic>
                    </a:graphicData>
                  </a:graphic>
                </wp:inline>
              </w:drawing>
            </w:r>
          </w:p>
          <w:p w14:paraId="18345947" w14:textId="77777777" w:rsidR="00BF65C0" w:rsidRDefault="00D2236E">
            <w:pPr>
              <w:widowControl w:val="0"/>
              <w:numPr>
                <w:ilvl w:val="0"/>
                <w:numId w:val="3"/>
              </w:numPr>
              <w:pBdr>
                <w:top w:val="nil"/>
                <w:left w:val="nil"/>
                <w:bottom w:val="nil"/>
                <w:right w:val="nil"/>
                <w:between w:val="nil"/>
              </w:pBdr>
              <w:spacing w:line="240" w:lineRule="auto"/>
            </w:pPr>
            <w:r>
              <w:t>Mergers and Acquisitions expansions of clinical practices into Florida, Nevada, Long Island New York, New Jersey (Carwright &amp; Cooper, 2012; Field, 2003; Exhibit A).</w:t>
            </w:r>
          </w:p>
          <w:p w14:paraId="2B51C66C" w14:textId="77777777" w:rsidR="00BF65C0" w:rsidRDefault="00BF65C0">
            <w:pPr>
              <w:widowControl w:val="0"/>
              <w:pBdr>
                <w:top w:val="nil"/>
                <w:left w:val="nil"/>
                <w:bottom w:val="nil"/>
                <w:right w:val="nil"/>
                <w:between w:val="nil"/>
              </w:pBdr>
              <w:spacing w:line="240" w:lineRule="auto"/>
            </w:pPr>
          </w:p>
          <w:p w14:paraId="7B35D79A" w14:textId="77777777" w:rsidR="00BF65C0" w:rsidRDefault="00D2236E">
            <w:pPr>
              <w:widowControl w:val="0"/>
              <w:numPr>
                <w:ilvl w:val="0"/>
                <w:numId w:val="3"/>
              </w:numPr>
              <w:pBdr>
                <w:top w:val="nil"/>
                <w:left w:val="nil"/>
                <w:bottom w:val="nil"/>
                <w:right w:val="nil"/>
                <w:between w:val="nil"/>
              </w:pBdr>
              <w:spacing w:line="240" w:lineRule="auto"/>
            </w:pPr>
            <w:r>
              <w:t xml:space="preserve">Acquisition of Winthrop Hospital in Long Island in order to likewise acquire their faculty group practices network, which is a series of small clinics scattered across Long Island, which serves a more suburban and rural patient population with more </w:t>
            </w:r>
            <w:r>
              <w:lastRenderedPageBreak/>
              <w:t>acute shortages in primary care physicians due to fewer academic medical centers present in suburban and rural areas.</w:t>
            </w:r>
          </w:p>
          <w:p w14:paraId="5B9D1BE4" w14:textId="77777777" w:rsidR="00BF65C0" w:rsidRDefault="00BF65C0">
            <w:pPr>
              <w:widowControl w:val="0"/>
              <w:pBdr>
                <w:top w:val="nil"/>
                <w:left w:val="nil"/>
                <w:bottom w:val="nil"/>
                <w:right w:val="nil"/>
                <w:between w:val="nil"/>
              </w:pBdr>
              <w:spacing w:line="240" w:lineRule="auto"/>
            </w:pPr>
          </w:p>
          <w:p w14:paraId="3543D7DD" w14:textId="77777777" w:rsidR="00BF65C0" w:rsidRDefault="00D2236E">
            <w:pPr>
              <w:widowControl w:val="0"/>
              <w:numPr>
                <w:ilvl w:val="0"/>
                <w:numId w:val="3"/>
              </w:numPr>
              <w:pBdr>
                <w:top w:val="nil"/>
                <w:left w:val="nil"/>
                <w:bottom w:val="nil"/>
                <w:right w:val="nil"/>
                <w:between w:val="nil"/>
              </w:pBdr>
              <w:spacing w:line="240" w:lineRule="auto"/>
            </w:pPr>
            <w:r>
              <w:t xml:space="preserve">Expansion of educational mission with establishment of NYU Long Island School of Medicine, which has reserved primary-care focused residency programs for medical students. </w:t>
            </w:r>
          </w:p>
          <w:p w14:paraId="06BD118E" w14:textId="77777777" w:rsidR="00BF65C0" w:rsidRDefault="00BF65C0">
            <w:pPr>
              <w:widowControl w:val="0"/>
              <w:pBdr>
                <w:top w:val="nil"/>
                <w:left w:val="nil"/>
                <w:bottom w:val="nil"/>
                <w:right w:val="nil"/>
                <w:between w:val="nil"/>
              </w:pBdr>
              <w:spacing w:line="240" w:lineRule="auto"/>
            </w:pPr>
          </w:p>
          <w:p w14:paraId="1E572704" w14:textId="77777777" w:rsidR="00BF65C0" w:rsidRDefault="00D2236E">
            <w:pPr>
              <w:widowControl w:val="0"/>
              <w:numPr>
                <w:ilvl w:val="0"/>
                <w:numId w:val="3"/>
              </w:numPr>
              <w:pBdr>
                <w:top w:val="nil"/>
                <w:left w:val="nil"/>
                <w:bottom w:val="nil"/>
                <w:right w:val="nil"/>
                <w:between w:val="nil"/>
              </w:pBdr>
              <w:spacing w:line="240" w:lineRule="auto"/>
            </w:pPr>
            <w:r>
              <w:t>Leverage digital transformation occurring in Hospital Operations, Strategy &amp; Business Development, and IT in order to expand telemedicine services (Matt et al., 2015).</w:t>
            </w:r>
          </w:p>
          <w:p w14:paraId="1080814C" w14:textId="77777777" w:rsidR="00BF65C0" w:rsidRDefault="00BF65C0">
            <w:pPr>
              <w:widowControl w:val="0"/>
              <w:pBdr>
                <w:top w:val="nil"/>
                <w:left w:val="nil"/>
                <w:bottom w:val="nil"/>
                <w:right w:val="nil"/>
                <w:between w:val="nil"/>
              </w:pBdr>
              <w:spacing w:line="240" w:lineRule="auto"/>
              <w:ind w:left="720"/>
            </w:pPr>
          </w:p>
          <w:p w14:paraId="2CED06F8" w14:textId="77777777" w:rsidR="00BF65C0" w:rsidRDefault="00BF65C0">
            <w:pPr>
              <w:widowControl w:val="0"/>
              <w:pBdr>
                <w:top w:val="nil"/>
                <w:left w:val="nil"/>
                <w:bottom w:val="nil"/>
                <w:right w:val="nil"/>
                <w:between w:val="nil"/>
              </w:pBdr>
              <w:spacing w:line="240" w:lineRule="auto"/>
              <w:ind w:left="720"/>
            </w:pPr>
          </w:p>
          <w:p w14:paraId="1C312114"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2.</w:t>
            </w:r>
            <w:r>
              <w:rPr>
                <w:color w:val="7802B5"/>
              </w:rPr>
              <w:t xml:space="preserve"> </w:t>
            </w:r>
            <w:r>
              <w:rPr>
                <w:b/>
                <w:color w:val="7802B5"/>
              </w:rPr>
              <w:t>Improve the quality of products: Six Sigma, Psychological Safety, &amp; High Reliability Organization</w:t>
            </w:r>
          </w:p>
          <w:p w14:paraId="23CEAC99" w14:textId="77777777" w:rsidR="00BF65C0" w:rsidRDefault="00BF65C0">
            <w:pPr>
              <w:widowControl w:val="0"/>
              <w:pBdr>
                <w:top w:val="nil"/>
                <w:left w:val="nil"/>
                <w:bottom w:val="nil"/>
                <w:right w:val="nil"/>
                <w:between w:val="nil"/>
              </w:pBdr>
              <w:spacing w:line="240" w:lineRule="auto"/>
              <w:rPr>
                <w:b/>
                <w:color w:val="7802B5"/>
              </w:rPr>
            </w:pPr>
          </w:p>
          <w:p w14:paraId="4AC02320"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69B379C9" wp14:editId="2553F654">
                  <wp:extent cx="909638" cy="909638"/>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909638" cy="909638"/>
                          </a:xfrm>
                          <a:prstGeom prst="rect">
                            <a:avLst/>
                          </a:prstGeom>
                          <a:ln/>
                        </pic:spPr>
                      </pic:pic>
                    </a:graphicData>
                  </a:graphic>
                </wp:inline>
              </w:drawing>
            </w:r>
          </w:p>
          <w:p w14:paraId="48106FA5" w14:textId="77777777" w:rsidR="00BF65C0" w:rsidRDefault="00BF65C0">
            <w:pPr>
              <w:widowControl w:val="0"/>
              <w:pBdr>
                <w:top w:val="nil"/>
                <w:left w:val="nil"/>
                <w:bottom w:val="nil"/>
                <w:right w:val="nil"/>
                <w:between w:val="nil"/>
              </w:pBdr>
              <w:spacing w:line="240" w:lineRule="auto"/>
              <w:rPr>
                <w:b/>
                <w:color w:val="9900FF"/>
              </w:rPr>
            </w:pPr>
          </w:p>
          <w:p w14:paraId="3997F1CC" w14:textId="77777777" w:rsidR="00BF65C0" w:rsidRDefault="00D2236E">
            <w:pPr>
              <w:widowControl w:val="0"/>
              <w:numPr>
                <w:ilvl w:val="0"/>
                <w:numId w:val="16"/>
              </w:numPr>
              <w:pBdr>
                <w:top w:val="nil"/>
                <w:left w:val="nil"/>
                <w:bottom w:val="nil"/>
                <w:right w:val="nil"/>
                <w:between w:val="nil"/>
              </w:pBdr>
              <w:spacing w:line="240" w:lineRule="auto"/>
            </w:pPr>
            <w:r>
              <w:t>Hire lean six sigma black belt talent into Central Sterile department  while sourcing supplies when appropriate from minority- and women-owned business enterprises (MWBE) in order to improve sterilization rates of medical and surgical supplies, while advancing supplier diversity (Adobor &amp; MCMullen, 2007; Worthington et al., 2008; Whitfield &amp; Landeros, 2006; Vowel, 2017; Smith-Hunter &amp; Boyd, 2003; DeBlasio 2018).</w:t>
            </w:r>
          </w:p>
          <w:p w14:paraId="1523E552" w14:textId="77777777" w:rsidR="00BF65C0" w:rsidRDefault="00BF65C0">
            <w:pPr>
              <w:widowControl w:val="0"/>
              <w:pBdr>
                <w:top w:val="nil"/>
                <w:left w:val="nil"/>
                <w:bottom w:val="nil"/>
                <w:right w:val="nil"/>
                <w:between w:val="nil"/>
              </w:pBdr>
              <w:spacing w:line="240" w:lineRule="auto"/>
            </w:pPr>
          </w:p>
          <w:p w14:paraId="1D2135D6" w14:textId="77777777" w:rsidR="00BF65C0" w:rsidRDefault="00D2236E">
            <w:pPr>
              <w:widowControl w:val="0"/>
              <w:numPr>
                <w:ilvl w:val="0"/>
                <w:numId w:val="16"/>
              </w:numPr>
              <w:pBdr>
                <w:top w:val="nil"/>
                <w:left w:val="nil"/>
                <w:bottom w:val="nil"/>
                <w:right w:val="nil"/>
                <w:between w:val="nil"/>
              </w:pBdr>
              <w:spacing w:line="240" w:lineRule="auto"/>
            </w:pPr>
            <w:r>
              <w:t xml:space="preserve">Improve psychological safety through organizational development interventions in creating a high reliability organization (Baker et al., 2006). High Reliability Organization is utilized in the aviation industry and the </w:t>
            </w:r>
            <w:r>
              <w:lastRenderedPageBreak/>
              <w:t xml:space="preserve">military in order to reduce errors that could be physically detrimental to employees. This does so by encouraging to disregard titles and ranks when one notices that an error has been made in lieu of staying silent and disregarding the error. Applying a high reliability organization approach to patient care has the potential to reduce mortality rates, infection rates, readmission rates, and medical error rates in the health system. </w:t>
            </w:r>
          </w:p>
          <w:p w14:paraId="1E1B0B51" w14:textId="77777777" w:rsidR="00BF65C0" w:rsidRDefault="00BF65C0">
            <w:pPr>
              <w:widowControl w:val="0"/>
              <w:pBdr>
                <w:top w:val="nil"/>
                <w:left w:val="nil"/>
                <w:bottom w:val="nil"/>
                <w:right w:val="nil"/>
                <w:between w:val="nil"/>
              </w:pBdr>
              <w:spacing w:line="240" w:lineRule="auto"/>
              <w:ind w:left="720"/>
            </w:pPr>
          </w:p>
          <w:p w14:paraId="0E8DDB3A" w14:textId="77777777" w:rsidR="00BF65C0" w:rsidRDefault="00D2236E">
            <w:pPr>
              <w:widowControl w:val="0"/>
              <w:numPr>
                <w:ilvl w:val="0"/>
                <w:numId w:val="16"/>
              </w:numPr>
              <w:pBdr>
                <w:top w:val="nil"/>
                <w:left w:val="nil"/>
                <w:bottom w:val="nil"/>
                <w:right w:val="nil"/>
                <w:between w:val="nil"/>
              </w:pBdr>
              <w:spacing w:line="240" w:lineRule="auto"/>
            </w:pPr>
            <w:r>
              <w:t xml:space="preserve">This is especially important in the United States, where medical errors is the third leading cause of the death in the United States after heart disease and cancer (Makary &amp; Daniel, 2016). This is also important when juxtaposed to international standards, wherein medical error rates in the US placing significantly higher than in Canada, Australia, New Zealand, Germany, and the United Kingdom (Anderson &amp; Abrahamson, 2017). </w:t>
            </w:r>
          </w:p>
          <w:p w14:paraId="731FE768" w14:textId="77777777" w:rsidR="00BF65C0" w:rsidRDefault="00BF65C0">
            <w:pPr>
              <w:widowControl w:val="0"/>
              <w:pBdr>
                <w:top w:val="nil"/>
                <w:left w:val="nil"/>
                <w:bottom w:val="nil"/>
                <w:right w:val="nil"/>
                <w:between w:val="nil"/>
              </w:pBdr>
              <w:spacing w:line="240" w:lineRule="auto"/>
              <w:ind w:left="720"/>
            </w:pPr>
          </w:p>
          <w:p w14:paraId="29FD687C" w14:textId="77777777" w:rsidR="00BF65C0" w:rsidRDefault="00BF65C0">
            <w:pPr>
              <w:widowControl w:val="0"/>
              <w:pBdr>
                <w:top w:val="nil"/>
                <w:left w:val="nil"/>
                <w:bottom w:val="nil"/>
                <w:right w:val="nil"/>
                <w:between w:val="nil"/>
              </w:pBdr>
              <w:spacing w:line="240" w:lineRule="auto"/>
              <w:ind w:left="720"/>
            </w:pPr>
          </w:p>
          <w:p w14:paraId="799E1F81"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3. Reduce the costs of top-selling products</w:t>
            </w:r>
          </w:p>
          <w:p w14:paraId="422B9C7D" w14:textId="77777777" w:rsidR="00BF65C0" w:rsidRDefault="00BF65C0">
            <w:pPr>
              <w:widowControl w:val="0"/>
              <w:pBdr>
                <w:top w:val="nil"/>
                <w:left w:val="nil"/>
                <w:bottom w:val="nil"/>
                <w:right w:val="nil"/>
                <w:between w:val="nil"/>
              </w:pBdr>
              <w:spacing w:line="240" w:lineRule="auto"/>
              <w:rPr>
                <w:b/>
                <w:color w:val="7802B5"/>
              </w:rPr>
            </w:pPr>
          </w:p>
          <w:p w14:paraId="1E1F2E5F"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211DB3FB" wp14:editId="0B8E7842">
                  <wp:extent cx="909638" cy="909638"/>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7"/>
                          <a:srcRect/>
                          <a:stretch>
                            <a:fillRect/>
                          </a:stretch>
                        </pic:blipFill>
                        <pic:spPr>
                          <a:xfrm>
                            <a:off x="0" y="0"/>
                            <a:ext cx="909638" cy="909638"/>
                          </a:xfrm>
                          <a:prstGeom prst="rect">
                            <a:avLst/>
                          </a:prstGeom>
                          <a:ln/>
                        </pic:spPr>
                      </pic:pic>
                    </a:graphicData>
                  </a:graphic>
                </wp:inline>
              </w:drawing>
            </w:r>
          </w:p>
          <w:p w14:paraId="2D42A683" w14:textId="77777777" w:rsidR="00BF65C0" w:rsidRDefault="00BF65C0">
            <w:pPr>
              <w:widowControl w:val="0"/>
              <w:pBdr>
                <w:top w:val="nil"/>
                <w:left w:val="nil"/>
                <w:bottom w:val="nil"/>
                <w:right w:val="nil"/>
                <w:between w:val="nil"/>
              </w:pBdr>
              <w:spacing w:line="240" w:lineRule="auto"/>
              <w:jc w:val="center"/>
              <w:rPr>
                <w:b/>
                <w:color w:val="9900FF"/>
              </w:rPr>
            </w:pPr>
          </w:p>
          <w:p w14:paraId="70FACBAD" w14:textId="77777777" w:rsidR="00BF65C0" w:rsidRDefault="00D2236E">
            <w:pPr>
              <w:widowControl w:val="0"/>
              <w:numPr>
                <w:ilvl w:val="0"/>
                <w:numId w:val="33"/>
              </w:numPr>
              <w:pBdr>
                <w:top w:val="nil"/>
                <w:left w:val="nil"/>
                <w:bottom w:val="nil"/>
                <w:right w:val="nil"/>
                <w:between w:val="nil"/>
              </w:pBdr>
              <w:spacing w:line="240" w:lineRule="auto"/>
            </w:pPr>
            <w:r>
              <w:t>Reduce cost of medical care for NYU Langone Health’s 60,000 employees by offering no co-pay, no-deductible, and low-monthly premium employer private health insurance to employees, which is significant in the US where the uninsured rate among working adults is 15.5% (Beaton, 2018).</w:t>
            </w:r>
          </w:p>
          <w:p w14:paraId="60648EC0" w14:textId="77777777" w:rsidR="00BF65C0" w:rsidRDefault="00BF65C0">
            <w:pPr>
              <w:widowControl w:val="0"/>
              <w:pBdr>
                <w:top w:val="nil"/>
                <w:left w:val="nil"/>
                <w:bottom w:val="nil"/>
                <w:right w:val="nil"/>
                <w:between w:val="nil"/>
              </w:pBdr>
              <w:spacing w:line="240" w:lineRule="auto"/>
            </w:pPr>
          </w:p>
          <w:p w14:paraId="0CC552F7" w14:textId="77777777" w:rsidR="00BF65C0" w:rsidRDefault="00D2236E">
            <w:pPr>
              <w:widowControl w:val="0"/>
              <w:numPr>
                <w:ilvl w:val="0"/>
                <w:numId w:val="33"/>
              </w:numPr>
              <w:pBdr>
                <w:top w:val="nil"/>
                <w:left w:val="nil"/>
                <w:bottom w:val="nil"/>
                <w:right w:val="nil"/>
                <w:between w:val="nil"/>
              </w:pBdr>
              <w:spacing w:line="240" w:lineRule="auto"/>
            </w:pPr>
            <w:r>
              <w:t xml:space="preserve">Reduced the cost of 4-year medical school to $0 tuition (Chen, 2018). </w:t>
            </w:r>
          </w:p>
          <w:p w14:paraId="090C80D6" w14:textId="77777777" w:rsidR="00BF65C0" w:rsidRDefault="00BF65C0">
            <w:pPr>
              <w:widowControl w:val="0"/>
              <w:pBdr>
                <w:top w:val="nil"/>
                <w:left w:val="nil"/>
                <w:bottom w:val="nil"/>
                <w:right w:val="nil"/>
                <w:between w:val="nil"/>
              </w:pBdr>
              <w:spacing w:line="240" w:lineRule="auto"/>
              <w:ind w:left="720"/>
            </w:pPr>
          </w:p>
          <w:p w14:paraId="3FB74093" w14:textId="77777777" w:rsidR="00BF65C0" w:rsidRDefault="00BF65C0">
            <w:pPr>
              <w:widowControl w:val="0"/>
              <w:pBdr>
                <w:top w:val="nil"/>
                <w:left w:val="nil"/>
                <w:bottom w:val="nil"/>
                <w:right w:val="nil"/>
                <w:between w:val="nil"/>
              </w:pBdr>
              <w:spacing w:line="240" w:lineRule="auto"/>
              <w:ind w:left="720"/>
            </w:pPr>
          </w:p>
          <w:p w14:paraId="74350F08"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 xml:space="preserve">4. Prepare for Future Sector-Based Trends </w:t>
            </w:r>
          </w:p>
          <w:p w14:paraId="328E989F" w14:textId="77777777" w:rsidR="00BF65C0" w:rsidRDefault="00BF65C0">
            <w:pPr>
              <w:widowControl w:val="0"/>
              <w:pBdr>
                <w:top w:val="nil"/>
                <w:left w:val="nil"/>
                <w:bottom w:val="nil"/>
                <w:right w:val="nil"/>
                <w:between w:val="nil"/>
              </w:pBdr>
              <w:spacing w:line="240" w:lineRule="auto"/>
              <w:rPr>
                <w:b/>
                <w:color w:val="7802B5"/>
              </w:rPr>
            </w:pPr>
          </w:p>
          <w:p w14:paraId="2381E933" w14:textId="77777777" w:rsidR="00BF65C0" w:rsidRDefault="00BF65C0">
            <w:pPr>
              <w:widowControl w:val="0"/>
              <w:pBdr>
                <w:top w:val="nil"/>
                <w:left w:val="nil"/>
                <w:bottom w:val="nil"/>
                <w:right w:val="nil"/>
                <w:between w:val="nil"/>
              </w:pBdr>
              <w:spacing w:line="240" w:lineRule="auto"/>
              <w:rPr>
                <w:b/>
                <w:color w:val="7802B5"/>
              </w:rPr>
            </w:pPr>
          </w:p>
          <w:p w14:paraId="49DC1069" w14:textId="77777777" w:rsidR="00BF65C0" w:rsidRDefault="00BF65C0">
            <w:pPr>
              <w:widowControl w:val="0"/>
              <w:pBdr>
                <w:top w:val="nil"/>
                <w:left w:val="nil"/>
                <w:bottom w:val="nil"/>
                <w:right w:val="nil"/>
                <w:between w:val="nil"/>
              </w:pBdr>
              <w:spacing w:line="240" w:lineRule="auto"/>
              <w:rPr>
                <w:b/>
                <w:color w:val="7802B5"/>
              </w:rPr>
            </w:pPr>
          </w:p>
          <w:p w14:paraId="1A6E5F8B"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73A827CF" wp14:editId="150C1402">
                  <wp:extent cx="1828636" cy="1871663"/>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1828636" cy="1871663"/>
                          </a:xfrm>
                          <a:prstGeom prst="rect">
                            <a:avLst/>
                          </a:prstGeom>
                          <a:ln/>
                        </pic:spPr>
                      </pic:pic>
                    </a:graphicData>
                  </a:graphic>
                </wp:inline>
              </w:drawing>
            </w:r>
          </w:p>
          <w:p w14:paraId="17541158" w14:textId="77777777" w:rsidR="00BF65C0" w:rsidRDefault="00BF65C0">
            <w:pPr>
              <w:widowControl w:val="0"/>
              <w:pBdr>
                <w:top w:val="nil"/>
                <w:left w:val="nil"/>
                <w:bottom w:val="nil"/>
                <w:right w:val="nil"/>
                <w:between w:val="nil"/>
              </w:pBdr>
              <w:spacing w:line="240" w:lineRule="auto"/>
              <w:jc w:val="center"/>
              <w:rPr>
                <w:b/>
                <w:color w:val="9900FF"/>
              </w:rPr>
            </w:pPr>
          </w:p>
          <w:p w14:paraId="0F2A1924" w14:textId="77777777" w:rsidR="00BF65C0" w:rsidRDefault="00D2236E">
            <w:pPr>
              <w:widowControl w:val="0"/>
              <w:numPr>
                <w:ilvl w:val="0"/>
                <w:numId w:val="6"/>
              </w:numPr>
              <w:pBdr>
                <w:top w:val="nil"/>
                <w:left w:val="nil"/>
                <w:bottom w:val="nil"/>
                <w:right w:val="nil"/>
                <w:between w:val="nil"/>
              </w:pBdr>
              <w:spacing w:line="240" w:lineRule="auto"/>
            </w:pPr>
            <w:r>
              <w:t>Spearhead movement of tuition-free college and graduate school in the United States by offering tuition-free 4-year medical school for MD students (Chen, 2018).</w:t>
            </w:r>
          </w:p>
          <w:p w14:paraId="5D132815" w14:textId="77777777" w:rsidR="00BF65C0" w:rsidRDefault="00BF65C0">
            <w:pPr>
              <w:widowControl w:val="0"/>
              <w:pBdr>
                <w:top w:val="nil"/>
                <w:left w:val="nil"/>
                <w:bottom w:val="nil"/>
                <w:right w:val="nil"/>
                <w:between w:val="nil"/>
              </w:pBdr>
              <w:spacing w:line="240" w:lineRule="auto"/>
            </w:pPr>
          </w:p>
          <w:p w14:paraId="42F59BB3" w14:textId="77777777" w:rsidR="00BF65C0" w:rsidRDefault="00BF65C0">
            <w:pPr>
              <w:widowControl w:val="0"/>
              <w:pBdr>
                <w:top w:val="nil"/>
                <w:left w:val="nil"/>
                <w:bottom w:val="nil"/>
                <w:right w:val="nil"/>
                <w:between w:val="nil"/>
              </w:pBdr>
              <w:spacing w:line="240" w:lineRule="auto"/>
            </w:pPr>
          </w:p>
          <w:p w14:paraId="6362F559" w14:textId="77777777" w:rsidR="00BF65C0" w:rsidRDefault="00D2236E">
            <w:pPr>
              <w:widowControl w:val="0"/>
              <w:numPr>
                <w:ilvl w:val="0"/>
                <w:numId w:val="6"/>
              </w:numPr>
              <w:pBdr>
                <w:top w:val="nil"/>
                <w:left w:val="nil"/>
                <w:bottom w:val="nil"/>
                <w:right w:val="nil"/>
                <w:between w:val="nil"/>
              </w:pBdr>
              <w:spacing w:line="240" w:lineRule="auto"/>
            </w:pPr>
            <w:r>
              <w:t>Create digital transformation in Finance, Human Resources, IT, and Supply Chain functions. For example, this involves the creation of analytics teams in the departments that are responsible for creating dashboards that generate insights for executives to use in strategic planning (Boglind et al., 2011). Additionally, leveraging increased automation through self-service, “did you know” user-interface on portals, and chatbots lay the foundation for machine learning in daily operations and employee- and customer-engagement and digital user-experience (Reshmi &amp; Balakrishnan, 2016).</w:t>
            </w:r>
          </w:p>
          <w:p w14:paraId="11910FD7" w14:textId="77777777" w:rsidR="00F30DC5" w:rsidRDefault="00F30DC5">
            <w:pPr>
              <w:widowControl w:val="0"/>
              <w:pBdr>
                <w:top w:val="nil"/>
                <w:left w:val="nil"/>
                <w:bottom w:val="nil"/>
                <w:right w:val="nil"/>
                <w:between w:val="nil"/>
              </w:pBdr>
              <w:spacing w:line="240" w:lineRule="auto"/>
            </w:pPr>
          </w:p>
          <w:p w14:paraId="05196CAC" w14:textId="77777777" w:rsidR="00F30DC5" w:rsidRDefault="00F30DC5">
            <w:pPr>
              <w:widowControl w:val="0"/>
              <w:pBdr>
                <w:top w:val="nil"/>
                <w:left w:val="nil"/>
                <w:bottom w:val="nil"/>
                <w:right w:val="nil"/>
                <w:between w:val="nil"/>
              </w:pBdr>
              <w:spacing w:line="240" w:lineRule="auto"/>
            </w:pPr>
          </w:p>
          <w:p w14:paraId="3B6AB37D" w14:textId="77777777" w:rsidR="00F30DC5" w:rsidRDefault="00F30DC5">
            <w:pPr>
              <w:widowControl w:val="0"/>
              <w:pBdr>
                <w:top w:val="nil"/>
                <w:left w:val="nil"/>
                <w:bottom w:val="nil"/>
                <w:right w:val="nil"/>
                <w:between w:val="nil"/>
              </w:pBdr>
              <w:spacing w:line="240" w:lineRule="auto"/>
            </w:pPr>
          </w:p>
          <w:p w14:paraId="07749450" w14:textId="77777777" w:rsidR="00F30DC5" w:rsidRDefault="00F30DC5">
            <w:pPr>
              <w:widowControl w:val="0"/>
              <w:pBdr>
                <w:top w:val="nil"/>
                <w:left w:val="nil"/>
                <w:bottom w:val="nil"/>
                <w:right w:val="nil"/>
                <w:between w:val="nil"/>
              </w:pBdr>
              <w:spacing w:line="240" w:lineRule="auto"/>
            </w:pPr>
          </w:p>
          <w:p w14:paraId="1E6A62A2" w14:textId="77777777" w:rsidR="00F30DC5" w:rsidRDefault="00F30DC5">
            <w:pPr>
              <w:widowControl w:val="0"/>
              <w:pBdr>
                <w:top w:val="nil"/>
                <w:left w:val="nil"/>
                <w:bottom w:val="nil"/>
                <w:right w:val="nil"/>
                <w:between w:val="nil"/>
              </w:pBdr>
              <w:spacing w:line="240" w:lineRule="auto"/>
            </w:pPr>
          </w:p>
          <w:p w14:paraId="7256A2B6" w14:textId="77777777" w:rsidR="00BF65C0" w:rsidRDefault="00BF65C0">
            <w:pPr>
              <w:widowControl w:val="0"/>
              <w:pBdr>
                <w:top w:val="nil"/>
                <w:left w:val="nil"/>
                <w:bottom w:val="nil"/>
                <w:right w:val="nil"/>
                <w:between w:val="nil"/>
              </w:pBdr>
              <w:spacing w:line="240" w:lineRule="auto"/>
            </w:pPr>
          </w:p>
          <w:p w14:paraId="00AD135C"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lastRenderedPageBreak/>
              <w:t>5. Research and Development</w:t>
            </w:r>
          </w:p>
          <w:p w14:paraId="0ACC71FD" w14:textId="77777777" w:rsidR="00F30DC5" w:rsidRDefault="00F30DC5">
            <w:pPr>
              <w:widowControl w:val="0"/>
              <w:pBdr>
                <w:top w:val="nil"/>
                <w:left w:val="nil"/>
                <w:bottom w:val="nil"/>
                <w:right w:val="nil"/>
                <w:between w:val="nil"/>
              </w:pBdr>
              <w:spacing w:line="240" w:lineRule="auto"/>
              <w:jc w:val="center"/>
              <w:rPr>
                <w:b/>
                <w:color w:val="7802B5"/>
              </w:rPr>
            </w:pPr>
          </w:p>
          <w:p w14:paraId="603DA7EA" w14:textId="77777777" w:rsidR="00BF65C0" w:rsidRDefault="00BF65C0">
            <w:pPr>
              <w:widowControl w:val="0"/>
              <w:pBdr>
                <w:top w:val="nil"/>
                <w:left w:val="nil"/>
                <w:bottom w:val="nil"/>
                <w:right w:val="nil"/>
                <w:between w:val="nil"/>
              </w:pBdr>
              <w:spacing w:line="240" w:lineRule="auto"/>
              <w:rPr>
                <w:b/>
                <w:color w:val="7802B5"/>
              </w:rPr>
            </w:pPr>
          </w:p>
          <w:p w14:paraId="385F9968"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0B68421C" wp14:editId="39BCD42F">
                  <wp:extent cx="1508125" cy="1538288"/>
                  <wp:effectExtent l="0" t="0" r="0" b="0"/>
                  <wp:docPr id="5"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9"/>
                          <a:srcRect/>
                          <a:stretch>
                            <a:fillRect/>
                          </a:stretch>
                        </pic:blipFill>
                        <pic:spPr>
                          <a:xfrm>
                            <a:off x="0" y="0"/>
                            <a:ext cx="1508125" cy="1538288"/>
                          </a:xfrm>
                          <a:prstGeom prst="rect">
                            <a:avLst/>
                          </a:prstGeom>
                          <a:ln/>
                        </pic:spPr>
                      </pic:pic>
                    </a:graphicData>
                  </a:graphic>
                </wp:inline>
              </w:drawing>
            </w:r>
          </w:p>
          <w:p w14:paraId="468D0166" w14:textId="77777777" w:rsidR="00F30DC5" w:rsidRDefault="00F30DC5">
            <w:pPr>
              <w:widowControl w:val="0"/>
              <w:pBdr>
                <w:top w:val="nil"/>
                <w:left w:val="nil"/>
                <w:bottom w:val="nil"/>
                <w:right w:val="nil"/>
                <w:between w:val="nil"/>
              </w:pBdr>
              <w:spacing w:line="240" w:lineRule="auto"/>
              <w:jc w:val="center"/>
              <w:rPr>
                <w:b/>
                <w:color w:val="9900FF"/>
              </w:rPr>
            </w:pPr>
          </w:p>
          <w:p w14:paraId="2A7B7EFF" w14:textId="77777777" w:rsidR="00BF65C0" w:rsidRDefault="00BF65C0">
            <w:pPr>
              <w:widowControl w:val="0"/>
              <w:pBdr>
                <w:top w:val="nil"/>
                <w:left w:val="nil"/>
                <w:bottom w:val="nil"/>
                <w:right w:val="nil"/>
                <w:between w:val="nil"/>
              </w:pBdr>
              <w:spacing w:line="240" w:lineRule="auto"/>
              <w:jc w:val="center"/>
              <w:rPr>
                <w:b/>
                <w:color w:val="9900FF"/>
              </w:rPr>
            </w:pPr>
          </w:p>
          <w:p w14:paraId="5EC3C76A" w14:textId="77777777" w:rsidR="00BF65C0" w:rsidRDefault="00D2236E">
            <w:pPr>
              <w:widowControl w:val="0"/>
              <w:numPr>
                <w:ilvl w:val="0"/>
                <w:numId w:val="21"/>
              </w:numPr>
              <w:pBdr>
                <w:top w:val="nil"/>
                <w:left w:val="nil"/>
                <w:bottom w:val="nil"/>
                <w:right w:val="nil"/>
                <w:between w:val="nil"/>
              </w:pBdr>
              <w:spacing w:line="240" w:lineRule="auto"/>
            </w:pPr>
            <w:r>
              <w:t>Analytics teams across the organization in cross-functional meetings are laying the information system database groundwork for predictive analytics through electronic medical records and people data in HR information systems (Amarasingham et al., 2014)</w:t>
            </w:r>
          </w:p>
          <w:p w14:paraId="17C611FD" w14:textId="77777777" w:rsidR="00BF65C0" w:rsidRDefault="00BF65C0">
            <w:pPr>
              <w:widowControl w:val="0"/>
              <w:pBdr>
                <w:top w:val="nil"/>
                <w:left w:val="nil"/>
                <w:bottom w:val="nil"/>
                <w:right w:val="nil"/>
                <w:between w:val="nil"/>
              </w:pBdr>
              <w:spacing w:line="240" w:lineRule="auto"/>
            </w:pPr>
          </w:p>
          <w:p w14:paraId="24ACE0A4" w14:textId="77777777" w:rsidR="00BF65C0" w:rsidRDefault="00BF65C0">
            <w:pPr>
              <w:widowControl w:val="0"/>
              <w:pBdr>
                <w:top w:val="nil"/>
                <w:left w:val="nil"/>
                <w:bottom w:val="nil"/>
                <w:right w:val="nil"/>
                <w:between w:val="nil"/>
              </w:pBdr>
              <w:spacing w:line="240" w:lineRule="auto"/>
            </w:pPr>
          </w:p>
          <w:p w14:paraId="1732C33B"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6. Harmonization of Standards</w:t>
            </w:r>
          </w:p>
          <w:p w14:paraId="11786522" w14:textId="77777777" w:rsidR="00BF65C0" w:rsidRDefault="00BF65C0">
            <w:pPr>
              <w:widowControl w:val="0"/>
              <w:pBdr>
                <w:top w:val="nil"/>
                <w:left w:val="nil"/>
                <w:bottom w:val="nil"/>
                <w:right w:val="nil"/>
                <w:between w:val="nil"/>
              </w:pBdr>
              <w:spacing w:line="240" w:lineRule="auto"/>
              <w:rPr>
                <w:b/>
                <w:color w:val="7802B5"/>
              </w:rPr>
            </w:pPr>
          </w:p>
          <w:p w14:paraId="52CC93C1" w14:textId="77777777" w:rsidR="00F30DC5" w:rsidRDefault="00F30DC5">
            <w:pPr>
              <w:widowControl w:val="0"/>
              <w:pBdr>
                <w:top w:val="nil"/>
                <w:left w:val="nil"/>
                <w:bottom w:val="nil"/>
                <w:right w:val="nil"/>
                <w:between w:val="nil"/>
              </w:pBdr>
              <w:spacing w:line="240" w:lineRule="auto"/>
              <w:rPr>
                <w:b/>
                <w:color w:val="7802B5"/>
              </w:rPr>
            </w:pPr>
          </w:p>
          <w:p w14:paraId="0D4D3B1E" w14:textId="77777777" w:rsidR="00BF65C0" w:rsidRDefault="00D2236E">
            <w:pPr>
              <w:widowControl w:val="0"/>
              <w:spacing w:line="240" w:lineRule="auto"/>
              <w:jc w:val="center"/>
              <w:rPr>
                <w:rFonts w:ascii="Roboto" w:eastAsia="Roboto" w:hAnsi="Roboto" w:cs="Roboto"/>
                <w:b/>
                <w:color w:val="283592"/>
              </w:rPr>
            </w:pPr>
            <w:r>
              <w:rPr>
                <w:rFonts w:ascii="Roboto" w:eastAsia="Roboto" w:hAnsi="Roboto" w:cs="Roboto"/>
                <w:b/>
                <w:noProof/>
                <w:color w:val="283592"/>
                <w:lang w:val="en-US"/>
              </w:rPr>
              <w:drawing>
                <wp:inline distT="114300" distB="114300" distL="114300" distR="114300" wp14:anchorId="1C24E8C4" wp14:editId="4F026AF0">
                  <wp:extent cx="1500188" cy="1500188"/>
                  <wp:effectExtent l="0" t="0" r="0" b="0"/>
                  <wp:docPr id="42"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30"/>
                          <a:srcRect/>
                          <a:stretch>
                            <a:fillRect/>
                          </a:stretch>
                        </pic:blipFill>
                        <pic:spPr>
                          <a:xfrm>
                            <a:off x="0" y="0"/>
                            <a:ext cx="1500188" cy="1500188"/>
                          </a:xfrm>
                          <a:prstGeom prst="rect">
                            <a:avLst/>
                          </a:prstGeom>
                          <a:ln/>
                        </pic:spPr>
                      </pic:pic>
                    </a:graphicData>
                  </a:graphic>
                </wp:inline>
              </w:drawing>
            </w:r>
          </w:p>
          <w:p w14:paraId="66E1A5DE" w14:textId="77777777" w:rsidR="00BF65C0" w:rsidRDefault="00BF65C0">
            <w:pPr>
              <w:widowControl w:val="0"/>
              <w:spacing w:line="240" w:lineRule="auto"/>
              <w:jc w:val="center"/>
              <w:rPr>
                <w:rFonts w:ascii="Roboto" w:eastAsia="Roboto" w:hAnsi="Roboto" w:cs="Roboto"/>
                <w:b/>
                <w:color w:val="283592"/>
              </w:rPr>
            </w:pPr>
          </w:p>
          <w:p w14:paraId="79A529C9" w14:textId="77777777" w:rsidR="00BF65C0" w:rsidRDefault="00BF65C0">
            <w:pPr>
              <w:widowControl w:val="0"/>
              <w:spacing w:line="240" w:lineRule="auto"/>
              <w:jc w:val="center"/>
              <w:rPr>
                <w:rFonts w:ascii="Roboto" w:eastAsia="Roboto" w:hAnsi="Roboto" w:cs="Roboto"/>
                <w:b/>
                <w:color w:val="283592"/>
              </w:rPr>
            </w:pPr>
          </w:p>
          <w:p w14:paraId="5040F2B0" w14:textId="77777777" w:rsidR="00BF65C0" w:rsidRDefault="00D2236E">
            <w:pPr>
              <w:widowControl w:val="0"/>
              <w:numPr>
                <w:ilvl w:val="0"/>
                <w:numId w:val="32"/>
              </w:numPr>
              <w:pBdr>
                <w:top w:val="nil"/>
                <w:left w:val="nil"/>
                <w:bottom w:val="nil"/>
                <w:right w:val="nil"/>
                <w:between w:val="nil"/>
              </w:pBdr>
              <w:spacing w:line="240" w:lineRule="auto"/>
            </w:pPr>
            <w:r>
              <w:t>Facilitate mergers, acquisitions, and integrations through process optimization, continuous improvement, and leveraging standard operating procedures in order to facilitate learning, talent development, operational excellence, and team cohesion (Daye et al., 2015; Field, 2003).</w:t>
            </w:r>
          </w:p>
          <w:p w14:paraId="66AB2EB7" w14:textId="77777777" w:rsidR="00BF65C0" w:rsidRDefault="00BF65C0">
            <w:pPr>
              <w:widowControl w:val="0"/>
              <w:pBdr>
                <w:top w:val="nil"/>
                <w:left w:val="nil"/>
                <w:bottom w:val="nil"/>
                <w:right w:val="nil"/>
                <w:between w:val="nil"/>
              </w:pBdr>
              <w:spacing w:line="240" w:lineRule="auto"/>
            </w:pPr>
          </w:p>
        </w:tc>
        <w:tc>
          <w:tcPr>
            <w:tcW w:w="4680" w:type="dxa"/>
            <w:shd w:val="clear" w:color="auto" w:fill="auto"/>
            <w:tcMar>
              <w:top w:w="100" w:type="dxa"/>
              <w:left w:w="100" w:type="dxa"/>
              <w:bottom w:w="100" w:type="dxa"/>
              <w:right w:w="100" w:type="dxa"/>
            </w:tcMar>
          </w:tcPr>
          <w:p w14:paraId="502C0815" w14:textId="77777777" w:rsidR="00BF65C0" w:rsidRDefault="00D2236E">
            <w:pPr>
              <w:widowControl w:val="0"/>
              <w:pBdr>
                <w:top w:val="nil"/>
                <w:left w:val="nil"/>
                <w:bottom w:val="nil"/>
                <w:right w:val="nil"/>
                <w:between w:val="nil"/>
              </w:pBdr>
              <w:spacing w:line="240" w:lineRule="auto"/>
              <w:jc w:val="center"/>
              <w:rPr>
                <w:b/>
              </w:rPr>
            </w:pPr>
            <w:r>
              <w:rPr>
                <w:b/>
              </w:rPr>
              <w:lastRenderedPageBreak/>
              <w:t>Use strengths to minimize threats</w:t>
            </w:r>
          </w:p>
          <w:p w14:paraId="443EF328" w14:textId="77777777" w:rsidR="00BF65C0" w:rsidRDefault="00BF65C0">
            <w:pPr>
              <w:widowControl w:val="0"/>
              <w:pBdr>
                <w:top w:val="nil"/>
                <w:left w:val="nil"/>
                <w:bottom w:val="nil"/>
                <w:right w:val="nil"/>
                <w:between w:val="nil"/>
              </w:pBdr>
              <w:spacing w:line="240" w:lineRule="auto"/>
              <w:jc w:val="center"/>
            </w:pPr>
          </w:p>
          <w:p w14:paraId="3E032417"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1. Sector Acquisition Race</w:t>
            </w:r>
          </w:p>
          <w:p w14:paraId="198C690A" w14:textId="77777777" w:rsidR="00BF65C0" w:rsidRDefault="00BF65C0">
            <w:pPr>
              <w:widowControl w:val="0"/>
              <w:pBdr>
                <w:top w:val="nil"/>
                <w:left w:val="nil"/>
                <w:bottom w:val="nil"/>
                <w:right w:val="nil"/>
                <w:between w:val="nil"/>
              </w:pBdr>
              <w:spacing w:line="240" w:lineRule="auto"/>
              <w:jc w:val="center"/>
              <w:rPr>
                <w:b/>
                <w:color w:val="9900FF"/>
              </w:rPr>
            </w:pPr>
          </w:p>
          <w:p w14:paraId="3AA66093"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2ACD5AD2" wp14:editId="2321F7C4">
                  <wp:extent cx="1352550" cy="1352550"/>
                  <wp:effectExtent l="0" t="0" r="0" b="0"/>
                  <wp:docPr id="15"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31"/>
                          <a:srcRect/>
                          <a:stretch>
                            <a:fillRect/>
                          </a:stretch>
                        </pic:blipFill>
                        <pic:spPr>
                          <a:xfrm>
                            <a:off x="0" y="0"/>
                            <a:ext cx="1352550" cy="1352550"/>
                          </a:xfrm>
                          <a:prstGeom prst="rect">
                            <a:avLst/>
                          </a:prstGeom>
                          <a:ln/>
                        </pic:spPr>
                      </pic:pic>
                    </a:graphicData>
                  </a:graphic>
                </wp:inline>
              </w:drawing>
            </w:r>
          </w:p>
          <w:p w14:paraId="1BD3CD3C" w14:textId="77777777" w:rsidR="00BF65C0" w:rsidRDefault="00BF65C0">
            <w:pPr>
              <w:widowControl w:val="0"/>
              <w:pBdr>
                <w:top w:val="nil"/>
                <w:left w:val="nil"/>
                <w:bottom w:val="nil"/>
                <w:right w:val="nil"/>
                <w:between w:val="nil"/>
              </w:pBdr>
              <w:spacing w:line="240" w:lineRule="auto"/>
              <w:jc w:val="center"/>
              <w:rPr>
                <w:b/>
                <w:color w:val="9900FF"/>
              </w:rPr>
            </w:pPr>
          </w:p>
          <w:p w14:paraId="27752481" w14:textId="77777777" w:rsidR="00BF65C0" w:rsidRDefault="00D2236E">
            <w:pPr>
              <w:widowControl w:val="0"/>
              <w:numPr>
                <w:ilvl w:val="0"/>
                <w:numId w:val="7"/>
              </w:numPr>
              <w:pBdr>
                <w:top w:val="nil"/>
                <w:left w:val="nil"/>
                <w:bottom w:val="nil"/>
                <w:right w:val="nil"/>
                <w:between w:val="nil"/>
              </w:pBdr>
              <w:spacing w:line="240" w:lineRule="auto"/>
            </w:pPr>
            <w:r>
              <w:t>Aggressively engage in acquisitions of faculty group practices since there is presently a race to acquire as many decent to top performing practices as possible in the New York City metropolitan area in order to expand market share and create clinical rotation opportunities for medical students (Field, 2013).</w:t>
            </w:r>
            <w:r>
              <w:br/>
            </w:r>
          </w:p>
          <w:p w14:paraId="54063B0F" w14:textId="77777777" w:rsidR="00BF65C0" w:rsidRDefault="00BF65C0">
            <w:pPr>
              <w:widowControl w:val="0"/>
              <w:pBdr>
                <w:top w:val="nil"/>
                <w:left w:val="nil"/>
                <w:bottom w:val="nil"/>
                <w:right w:val="nil"/>
                <w:between w:val="nil"/>
              </w:pBdr>
              <w:spacing w:line="240" w:lineRule="auto"/>
              <w:ind w:left="720"/>
            </w:pPr>
          </w:p>
          <w:p w14:paraId="0E149242" w14:textId="77777777" w:rsidR="00F30DC5" w:rsidRDefault="00F30DC5">
            <w:pPr>
              <w:widowControl w:val="0"/>
              <w:pBdr>
                <w:top w:val="nil"/>
                <w:left w:val="nil"/>
                <w:bottom w:val="nil"/>
                <w:right w:val="nil"/>
                <w:between w:val="nil"/>
              </w:pBdr>
              <w:spacing w:line="240" w:lineRule="auto"/>
              <w:ind w:left="720"/>
            </w:pPr>
          </w:p>
          <w:p w14:paraId="463B9F5B"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lastRenderedPageBreak/>
              <w:t>2.</w:t>
            </w:r>
            <w:r>
              <w:rPr>
                <w:color w:val="7802B5"/>
              </w:rPr>
              <w:t xml:space="preserve"> </w:t>
            </w:r>
            <w:r>
              <w:rPr>
                <w:b/>
                <w:color w:val="7802B5"/>
              </w:rPr>
              <w:t>Leverage IT, Change Management, and Marketing to Compete in Emerging Markets</w:t>
            </w:r>
          </w:p>
          <w:p w14:paraId="785D346E" w14:textId="77777777" w:rsidR="00BF65C0" w:rsidRDefault="00BF65C0">
            <w:pPr>
              <w:widowControl w:val="0"/>
              <w:pBdr>
                <w:top w:val="nil"/>
                <w:left w:val="nil"/>
                <w:bottom w:val="nil"/>
                <w:right w:val="nil"/>
                <w:between w:val="nil"/>
              </w:pBdr>
              <w:spacing w:line="240" w:lineRule="auto"/>
              <w:rPr>
                <w:b/>
                <w:color w:val="7802B5"/>
              </w:rPr>
            </w:pPr>
          </w:p>
          <w:p w14:paraId="2AB16004"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692AECFF" wp14:editId="2ED2E7D3">
                  <wp:extent cx="1154240" cy="1042988"/>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2"/>
                          <a:srcRect/>
                          <a:stretch>
                            <a:fillRect/>
                          </a:stretch>
                        </pic:blipFill>
                        <pic:spPr>
                          <a:xfrm>
                            <a:off x="0" y="0"/>
                            <a:ext cx="1154240" cy="1042988"/>
                          </a:xfrm>
                          <a:prstGeom prst="rect">
                            <a:avLst/>
                          </a:prstGeom>
                          <a:ln/>
                        </pic:spPr>
                      </pic:pic>
                    </a:graphicData>
                  </a:graphic>
                </wp:inline>
              </w:drawing>
            </w:r>
          </w:p>
          <w:p w14:paraId="71BD3D43" w14:textId="77777777" w:rsidR="00BF65C0" w:rsidRDefault="00BF65C0">
            <w:pPr>
              <w:widowControl w:val="0"/>
              <w:pBdr>
                <w:top w:val="nil"/>
                <w:left w:val="nil"/>
                <w:bottom w:val="nil"/>
                <w:right w:val="nil"/>
                <w:between w:val="nil"/>
              </w:pBdr>
              <w:spacing w:line="240" w:lineRule="auto"/>
              <w:jc w:val="center"/>
              <w:rPr>
                <w:b/>
                <w:color w:val="9900FF"/>
              </w:rPr>
            </w:pPr>
          </w:p>
          <w:p w14:paraId="03E41BF2" w14:textId="77777777" w:rsidR="00BF65C0" w:rsidRDefault="00D2236E">
            <w:pPr>
              <w:widowControl w:val="0"/>
              <w:numPr>
                <w:ilvl w:val="0"/>
                <w:numId w:val="9"/>
              </w:numPr>
              <w:pBdr>
                <w:top w:val="nil"/>
                <w:left w:val="nil"/>
                <w:bottom w:val="nil"/>
                <w:right w:val="nil"/>
                <w:between w:val="nil"/>
              </w:pBdr>
              <w:spacing w:line="240" w:lineRule="auto"/>
            </w:pPr>
            <w:r>
              <w:t>Leverage a strong change management team working cross-functionally between Human Resources, Strategy &amp; Business Development, and Marketing &amp; Communications in order to facilitate large-scale diversity and inclusion marketing and communications plans to emerging markets such as China and India with largely different patient population consumer segments in contrast to the United States (Li, 1995; Luthans &amp; Youssef, 2004; Lymbersky, 2008; Prosci, 2019).</w:t>
            </w:r>
          </w:p>
          <w:p w14:paraId="6110B5E7" w14:textId="77777777" w:rsidR="00BF65C0" w:rsidRDefault="00BF65C0">
            <w:pPr>
              <w:widowControl w:val="0"/>
              <w:pBdr>
                <w:top w:val="nil"/>
                <w:left w:val="nil"/>
                <w:bottom w:val="nil"/>
                <w:right w:val="nil"/>
                <w:between w:val="nil"/>
              </w:pBdr>
              <w:spacing w:line="240" w:lineRule="auto"/>
              <w:ind w:left="720"/>
            </w:pPr>
          </w:p>
          <w:p w14:paraId="591F5873" w14:textId="77777777" w:rsidR="00BF65C0" w:rsidRDefault="00BF65C0">
            <w:pPr>
              <w:widowControl w:val="0"/>
              <w:pBdr>
                <w:top w:val="nil"/>
                <w:left w:val="nil"/>
                <w:bottom w:val="nil"/>
                <w:right w:val="nil"/>
                <w:between w:val="nil"/>
              </w:pBdr>
              <w:spacing w:line="240" w:lineRule="auto"/>
              <w:ind w:left="720"/>
            </w:pPr>
          </w:p>
          <w:p w14:paraId="22912572" w14:textId="77777777" w:rsidR="00BF65C0" w:rsidRDefault="00D2236E">
            <w:pPr>
              <w:widowControl w:val="0"/>
              <w:pBdr>
                <w:top w:val="nil"/>
                <w:left w:val="nil"/>
                <w:bottom w:val="nil"/>
                <w:right w:val="nil"/>
                <w:between w:val="nil"/>
              </w:pBdr>
              <w:spacing w:line="240" w:lineRule="auto"/>
              <w:jc w:val="center"/>
              <w:rPr>
                <w:b/>
                <w:color w:val="9900FF"/>
              </w:rPr>
            </w:pPr>
            <w:r>
              <w:rPr>
                <w:b/>
                <w:color w:val="7802B5"/>
              </w:rPr>
              <w:t xml:space="preserve">3. Harness Employee Engagement towards Disruption, Innovation &amp; Safety </w:t>
            </w:r>
          </w:p>
          <w:p w14:paraId="35564EF2"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6C1466C9" wp14:editId="65B824C1">
                  <wp:extent cx="1243013" cy="1243013"/>
                  <wp:effectExtent l="0" t="0" r="0" b="0"/>
                  <wp:docPr id="36"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3"/>
                          <a:srcRect/>
                          <a:stretch>
                            <a:fillRect/>
                          </a:stretch>
                        </pic:blipFill>
                        <pic:spPr>
                          <a:xfrm>
                            <a:off x="0" y="0"/>
                            <a:ext cx="1243013" cy="1243013"/>
                          </a:xfrm>
                          <a:prstGeom prst="rect">
                            <a:avLst/>
                          </a:prstGeom>
                          <a:ln/>
                        </pic:spPr>
                      </pic:pic>
                    </a:graphicData>
                  </a:graphic>
                </wp:inline>
              </w:drawing>
            </w:r>
          </w:p>
          <w:p w14:paraId="4B1F6D29" w14:textId="77777777" w:rsidR="00BF65C0" w:rsidRDefault="00BF65C0">
            <w:pPr>
              <w:widowControl w:val="0"/>
              <w:pBdr>
                <w:top w:val="nil"/>
                <w:left w:val="nil"/>
                <w:bottom w:val="nil"/>
                <w:right w:val="nil"/>
                <w:between w:val="nil"/>
              </w:pBdr>
              <w:spacing w:line="240" w:lineRule="auto"/>
              <w:rPr>
                <w:b/>
                <w:color w:val="9900FF"/>
              </w:rPr>
            </w:pPr>
          </w:p>
          <w:p w14:paraId="0FAB902B" w14:textId="77777777" w:rsidR="00BF65C0" w:rsidRDefault="00D2236E">
            <w:pPr>
              <w:widowControl w:val="0"/>
              <w:numPr>
                <w:ilvl w:val="0"/>
                <w:numId w:val="10"/>
              </w:numPr>
              <w:pBdr>
                <w:top w:val="nil"/>
                <w:left w:val="nil"/>
                <w:bottom w:val="nil"/>
                <w:right w:val="nil"/>
                <w:between w:val="nil"/>
              </w:pBdr>
              <w:spacing w:line="240" w:lineRule="auto"/>
            </w:pPr>
            <w:r>
              <w:t>Hosting Semi-Annual Healthcare Hackathons in order to facilitate healthcare technological disruption in a VUCA global market (Bennett &amp; Lemoine, 2014; Johansen &amp; Euchner, 2013; Mack et al., 2015).</w:t>
            </w:r>
          </w:p>
          <w:p w14:paraId="43C68608" w14:textId="77777777" w:rsidR="00BF65C0" w:rsidRDefault="00BF65C0">
            <w:pPr>
              <w:widowControl w:val="0"/>
              <w:pBdr>
                <w:top w:val="nil"/>
                <w:left w:val="nil"/>
                <w:bottom w:val="nil"/>
                <w:right w:val="nil"/>
                <w:between w:val="nil"/>
              </w:pBdr>
              <w:spacing w:line="240" w:lineRule="auto"/>
            </w:pPr>
          </w:p>
          <w:p w14:paraId="3210B487" w14:textId="77777777" w:rsidR="00BF65C0" w:rsidRDefault="00D2236E">
            <w:pPr>
              <w:widowControl w:val="0"/>
              <w:numPr>
                <w:ilvl w:val="0"/>
                <w:numId w:val="10"/>
              </w:numPr>
              <w:pBdr>
                <w:top w:val="nil"/>
                <w:left w:val="nil"/>
                <w:bottom w:val="nil"/>
                <w:right w:val="nil"/>
                <w:between w:val="nil"/>
              </w:pBdr>
              <w:spacing w:line="240" w:lineRule="auto"/>
            </w:pPr>
            <w:r>
              <w:t xml:space="preserve">Create annual Quality &amp; Safety Day to promote quality management, reduction of medical errors, and a culture of physical and psychological </w:t>
            </w:r>
            <w:r>
              <w:lastRenderedPageBreak/>
              <w:t>safety (Trompenaars &amp; Turner, 1997)</w:t>
            </w:r>
          </w:p>
          <w:p w14:paraId="45EA6DCB" w14:textId="77777777" w:rsidR="00BF65C0" w:rsidRDefault="00BF65C0">
            <w:pPr>
              <w:widowControl w:val="0"/>
              <w:pBdr>
                <w:top w:val="nil"/>
                <w:left w:val="nil"/>
                <w:bottom w:val="nil"/>
                <w:right w:val="nil"/>
                <w:between w:val="nil"/>
              </w:pBdr>
              <w:spacing w:line="240" w:lineRule="auto"/>
            </w:pPr>
          </w:p>
          <w:p w14:paraId="4D82DAEA" w14:textId="77777777" w:rsidR="00BF65C0" w:rsidRDefault="00BF65C0">
            <w:pPr>
              <w:widowControl w:val="0"/>
              <w:pBdr>
                <w:top w:val="nil"/>
                <w:left w:val="nil"/>
                <w:bottom w:val="nil"/>
                <w:right w:val="nil"/>
                <w:between w:val="nil"/>
              </w:pBdr>
              <w:spacing w:line="240" w:lineRule="auto"/>
              <w:rPr>
                <w:b/>
                <w:color w:val="7802B5"/>
              </w:rPr>
            </w:pPr>
          </w:p>
          <w:p w14:paraId="30151881"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4.</w:t>
            </w:r>
            <w:r>
              <w:rPr>
                <w:color w:val="7802B5"/>
              </w:rPr>
              <w:t xml:space="preserve"> </w:t>
            </w:r>
            <w:r>
              <w:rPr>
                <w:b/>
                <w:color w:val="7802B5"/>
              </w:rPr>
              <w:t xml:space="preserve">Foster a learning-based organizational culture for loyal and seasoned employees to retrain and sharpen skills during the Fourth Industrial Revolution </w:t>
            </w:r>
          </w:p>
          <w:p w14:paraId="3459CA01" w14:textId="77777777" w:rsidR="00F30DC5" w:rsidRDefault="00F30DC5">
            <w:pPr>
              <w:widowControl w:val="0"/>
              <w:pBdr>
                <w:top w:val="nil"/>
                <w:left w:val="nil"/>
                <w:bottom w:val="nil"/>
                <w:right w:val="nil"/>
                <w:between w:val="nil"/>
              </w:pBdr>
              <w:spacing w:line="240" w:lineRule="auto"/>
              <w:jc w:val="center"/>
              <w:rPr>
                <w:b/>
                <w:color w:val="7802B5"/>
              </w:rPr>
            </w:pPr>
          </w:p>
          <w:p w14:paraId="73A76A97" w14:textId="77777777" w:rsidR="00BF65C0" w:rsidRDefault="00BF65C0">
            <w:pPr>
              <w:widowControl w:val="0"/>
              <w:pBdr>
                <w:top w:val="nil"/>
                <w:left w:val="nil"/>
                <w:bottom w:val="nil"/>
                <w:right w:val="nil"/>
                <w:between w:val="nil"/>
              </w:pBdr>
              <w:spacing w:line="240" w:lineRule="auto"/>
              <w:rPr>
                <w:b/>
                <w:color w:val="7802B5"/>
              </w:rPr>
            </w:pPr>
          </w:p>
          <w:p w14:paraId="78B12813"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6466E424" wp14:editId="5A4B25B9">
                  <wp:extent cx="1200150" cy="1238865"/>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4"/>
                          <a:srcRect/>
                          <a:stretch>
                            <a:fillRect/>
                          </a:stretch>
                        </pic:blipFill>
                        <pic:spPr>
                          <a:xfrm>
                            <a:off x="0" y="0"/>
                            <a:ext cx="1200150" cy="1238865"/>
                          </a:xfrm>
                          <a:prstGeom prst="rect">
                            <a:avLst/>
                          </a:prstGeom>
                          <a:ln/>
                        </pic:spPr>
                      </pic:pic>
                    </a:graphicData>
                  </a:graphic>
                </wp:inline>
              </w:drawing>
            </w:r>
          </w:p>
          <w:p w14:paraId="3F5B5F9B" w14:textId="77777777" w:rsidR="00F30DC5" w:rsidRDefault="00F30DC5">
            <w:pPr>
              <w:widowControl w:val="0"/>
              <w:pBdr>
                <w:top w:val="nil"/>
                <w:left w:val="nil"/>
                <w:bottom w:val="nil"/>
                <w:right w:val="nil"/>
                <w:between w:val="nil"/>
              </w:pBdr>
              <w:spacing w:line="240" w:lineRule="auto"/>
              <w:jc w:val="center"/>
              <w:rPr>
                <w:b/>
                <w:color w:val="9900FF"/>
              </w:rPr>
            </w:pPr>
          </w:p>
          <w:p w14:paraId="2F6F9D25" w14:textId="77777777" w:rsidR="00BF65C0" w:rsidRDefault="00BF65C0">
            <w:pPr>
              <w:widowControl w:val="0"/>
              <w:pBdr>
                <w:top w:val="nil"/>
                <w:left w:val="nil"/>
                <w:bottom w:val="nil"/>
                <w:right w:val="nil"/>
                <w:between w:val="nil"/>
              </w:pBdr>
              <w:spacing w:line="240" w:lineRule="auto"/>
              <w:jc w:val="center"/>
              <w:rPr>
                <w:b/>
                <w:color w:val="9900FF"/>
              </w:rPr>
            </w:pPr>
          </w:p>
          <w:p w14:paraId="67EC5421" w14:textId="77777777" w:rsidR="00BF65C0" w:rsidRDefault="00D2236E">
            <w:pPr>
              <w:widowControl w:val="0"/>
              <w:numPr>
                <w:ilvl w:val="0"/>
                <w:numId w:val="4"/>
              </w:numPr>
              <w:pBdr>
                <w:top w:val="nil"/>
                <w:left w:val="nil"/>
                <w:bottom w:val="nil"/>
                <w:right w:val="nil"/>
                <w:between w:val="nil"/>
              </w:pBdr>
              <w:spacing w:line="240" w:lineRule="auto"/>
            </w:pPr>
            <w:r>
              <w:t>Leverage highly loyal employee population and motivating them through an employee recognition function in Human Resources in order to ensure that they continually learn technical and interpersonal competencies on the job while having 10-, 20-, and 30-years experience working solely at NYU Langone Health (Pfeffer, 1998; Matt et al., 2015).</w:t>
            </w:r>
          </w:p>
          <w:p w14:paraId="70645EF6" w14:textId="77777777" w:rsidR="00BF65C0" w:rsidRDefault="00BF65C0">
            <w:pPr>
              <w:widowControl w:val="0"/>
              <w:pBdr>
                <w:top w:val="nil"/>
                <w:left w:val="nil"/>
                <w:bottom w:val="nil"/>
                <w:right w:val="nil"/>
                <w:between w:val="nil"/>
              </w:pBdr>
              <w:spacing w:line="240" w:lineRule="auto"/>
            </w:pPr>
          </w:p>
          <w:p w14:paraId="559BEF90" w14:textId="77777777" w:rsidR="00F30DC5" w:rsidRDefault="00F30DC5">
            <w:pPr>
              <w:widowControl w:val="0"/>
              <w:pBdr>
                <w:top w:val="nil"/>
                <w:left w:val="nil"/>
                <w:bottom w:val="nil"/>
                <w:right w:val="nil"/>
                <w:between w:val="nil"/>
              </w:pBdr>
              <w:spacing w:line="240" w:lineRule="auto"/>
            </w:pPr>
          </w:p>
          <w:p w14:paraId="5A424C3D" w14:textId="77777777" w:rsidR="00BF65C0" w:rsidRDefault="00D2236E">
            <w:pPr>
              <w:widowControl w:val="0"/>
              <w:numPr>
                <w:ilvl w:val="0"/>
                <w:numId w:val="4"/>
              </w:numPr>
              <w:pBdr>
                <w:top w:val="nil"/>
                <w:left w:val="nil"/>
                <w:bottom w:val="nil"/>
                <w:right w:val="nil"/>
                <w:between w:val="nil"/>
              </w:pBdr>
              <w:spacing w:line="240" w:lineRule="auto"/>
            </w:pPr>
            <w:r>
              <w:t>This retraining and recalibration of one's skill sets in the early stages of the Fourth Industrial Revolution (World Economic Forum, 2016) will allow the employee population to remain flexible during technological upheavals such as advanced data analytics (predictive analytics), machine learning, and greater utilization of automation that threaten to remove manual tasks in job descriptions and functions (Willocks et al., 2015).</w:t>
            </w:r>
          </w:p>
          <w:p w14:paraId="3C73B3B3" w14:textId="77777777" w:rsidR="00BF65C0" w:rsidRDefault="00BF65C0">
            <w:pPr>
              <w:widowControl w:val="0"/>
              <w:pBdr>
                <w:top w:val="nil"/>
                <w:left w:val="nil"/>
                <w:bottom w:val="nil"/>
                <w:right w:val="nil"/>
                <w:between w:val="nil"/>
              </w:pBdr>
              <w:spacing w:line="240" w:lineRule="auto"/>
            </w:pPr>
          </w:p>
          <w:p w14:paraId="3DC1B750" w14:textId="77777777" w:rsidR="00BF65C0" w:rsidRDefault="00BF65C0">
            <w:pPr>
              <w:widowControl w:val="0"/>
              <w:pBdr>
                <w:top w:val="nil"/>
                <w:left w:val="nil"/>
                <w:bottom w:val="nil"/>
                <w:right w:val="nil"/>
                <w:between w:val="nil"/>
              </w:pBdr>
              <w:spacing w:line="240" w:lineRule="auto"/>
              <w:rPr>
                <w:b/>
                <w:color w:val="7802B5"/>
              </w:rPr>
            </w:pPr>
          </w:p>
          <w:p w14:paraId="4BA2575F" w14:textId="77777777" w:rsidR="00F30DC5" w:rsidRDefault="00F30DC5">
            <w:pPr>
              <w:widowControl w:val="0"/>
              <w:pBdr>
                <w:top w:val="nil"/>
                <w:left w:val="nil"/>
                <w:bottom w:val="nil"/>
                <w:right w:val="nil"/>
                <w:between w:val="nil"/>
              </w:pBdr>
              <w:spacing w:line="240" w:lineRule="auto"/>
              <w:rPr>
                <w:b/>
                <w:color w:val="7802B5"/>
              </w:rPr>
            </w:pPr>
          </w:p>
          <w:p w14:paraId="2DFEB327" w14:textId="77777777" w:rsidR="00F30DC5" w:rsidRDefault="00F30DC5">
            <w:pPr>
              <w:widowControl w:val="0"/>
              <w:pBdr>
                <w:top w:val="nil"/>
                <w:left w:val="nil"/>
                <w:bottom w:val="nil"/>
                <w:right w:val="nil"/>
                <w:between w:val="nil"/>
              </w:pBdr>
              <w:spacing w:line="240" w:lineRule="auto"/>
              <w:rPr>
                <w:b/>
                <w:color w:val="7802B5"/>
              </w:rPr>
            </w:pPr>
          </w:p>
          <w:p w14:paraId="1F2B9844" w14:textId="77777777" w:rsidR="00BF65C0" w:rsidRDefault="00BF65C0">
            <w:pPr>
              <w:widowControl w:val="0"/>
              <w:pBdr>
                <w:top w:val="nil"/>
                <w:left w:val="nil"/>
                <w:bottom w:val="nil"/>
                <w:right w:val="nil"/>
                <w:between w:val="nil"/>
              </w:pBdr>
              <w:spacing w:line="240" w:lineRule="auto"/>
              <w:rPr>
                <w:b/>
                <w:color w:val="7802B5"/>
              </w:rPr>
            </w:pPr>
          </w:p>
          <w:p w14:paraId="667D2BE9"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5. Leverage Process Documentation and Process Mapping via Workflows in order to Prepare for Higher Turnover Rates of Millennials and Gen Z Employees</w:t>
            </w:r>
          </w:p>
          <w:p w14:paraId="6B0A8739" w14:textId="77777777" w:rsidR="00BF65C0" w:rsidRDefault="00BF65C0">
            <w:pPr>
              <w:widowControl w:val="0"/>
              <w:pBdr>
                <w:top w:val="nil"/>
                <w:left w:val="nil"/>
                <w:bottom w:val="nil"/>
                <w:right w:val="nil"/>
                <w:between w:val="nil"/>
              </w:pBdr>
              <w:spacing w:line="240" w:lineRule="auto"/>
              <w:rPr>
                <w:b/>
                <w:color w:val="9900FF"/>
              </w:rPr>
            </w:pPr>
          </w:p>
          <w:p w14:paraId="0DF28009"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0FF31296" wp14:editId="7B1CB8F0">
                  <wp:extent cx="1900612" cy="1890713"/>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5"/>
                          <a:srcRect/>
                          <a:stretch>
                            <a:fillRect/>
                          </a:stretch>
                        </pic:blipFill>
                        <pic:spPr>
                          <a:xfrm>
                            <a:off x="0" y="0"/>
                            <a:ext cx="1900612" cy="1890713"/>
                          </a:xfrm>
                          <a:prstGeom prst="rect">
                            <a:avLst/>
                          </a:prstGeom>
                          <a:ln/>
                        </pic:spPr>
                      </pic:pic>
                    </a:graphicData>
                  </a:graphic>
                </wp:inline>
              </w:drawing>
            </w:r>
          </w:p>
          <w:p w14:paraId="2B268328" w14:textId="77777777" w:rsidR="00BF65C0" w:rsidRDefault="00BF65C0">
            <w:pPr>
              <w:widowControl w:val="0"/>
              <w:pBdr>
                <w:top w:val="nil"/>
                <w:left w:val="nil"/>
                <w:bottom w:val="nil"/>
                <w:right w:val="nil"/>
                <w:between w:val="nil"/>
              </w:pBdr>
              <w:spacing w:line="240" w:lineRule="auto"/>
              <w:jc w:val="center"/>
              <w:rPr>
                <w:b/>
                <w:color w:val="9900FF"/>
              </w:rPr>
            </w:pPr>
          </w:p>
          <w:p w14:paraId="7F825D9C" w14:textId="77777777" w:rsidR="00BF65C0" w:rsidRDefault="00D2236E">
            <w:pPr>
              <w:widowControl w:val="0"/>
              <w:numPr>
                <w:ilvl w:val="0"/>
                <w:numId w:val="26"/>
              </w:numPr>
              <w:pBdr>
                <w:top w:val="nil"/>
                <w:left w:val="nil"/>
                <w:bottom w:val="nil"/>
                <w:right w:val="nil"/>
                <w:between w:val="nil"/>
              </w:pBdr>
              <w:spacing w:line="240" w:lineRule="auto"/>
            </w:pPr>
            <w:r>
              <w:t>Prepare for higher turnover rates from Millennial and Gen Z generations due to greater career mobility as a result of decline of defined benefit pension plans (Lyons et al., 2015).</w:t>
            </w:r>
          </w:p>
          <w:p w14:paraId="474E1FD5" w14:textId="77777777" w:rsidR="00BF65C0" w:rsidRDefault="00BF65C0">
            <w:pPr>
              <w:widowControl w:val="0"/>
              <w:pBdr>
                <w:top w:val="nil"/>
                <w:left w:val="nil"/>
                <w:bottom w:val="nil"/>
                <w:right w:val="nil"/>
                <w:between w:val="nil"/>
              </w:pBdr>
              <w:spacing w:line="240" w:lineRule="auto"/>
            </w:pPr>
          </w:p>
          <w:p w14:paraId="1B281974" w14:textId="77777777" w:rsidR="00BF65C0" w:rsidRDefault="00BF65C0">
            <w:pPr>
              <w:widowControl w:val="0"/>
              <w:pBdr>
                <w:top w:val="nil"/>
                <w:left w:val="nil"/>
                <w:bottom w:val="nil"/>
                <w:right w:val="nil"/>
                <w:between w:val="nil"/>
              </w:pBdr>
              <w:spacing w:line="240" w:lineRule="auto"/>
            </w:pPr>
          </w:p>
          <w:p w14:paraId="6C654045" w14:textId="77777777" w:rsidR="00BF65C0" w:rsidRDefault="00D2236E">
            <w:pPr>
              <w:widowControl w:val="0"/>
              <w:numPr>
                <w:ilvl w:val="0"/>
                <w:numId w:val="26"/>
              </w:numPr>
              <w:pBdr>
                <w:top w:val="nil"/>
                <w:left w:val="nil"/>
                <w:bottom w:val="nil"/>
                <w:right w:val="nil"/>
                <w:between w:val="nil"/>
              </w:pBdr>
              <w:spacing w:line="240" w:lineRule="auto"/>
            </w:pPr>
            <w:r>
              <w:t>This entails leveraging project management, operations, IT, and lean management in cross-functional collaborations to document current processes and optimize them into more efficient future states. These standard operating procedures (SOPs) and workflows would be critical in succession planning for high potentials, onboarding, and training for new employees in the organization. This would additionally allow knowledge management to stay in-tact and current amidst the talent management disruptions that higher turnover rates of Millennial and Gen Z employees experience in organizations (Turner &amp; Kalman, 2014).</w:t>
            </w:r>
          </w:p>
          <w:p w14:paraId="035F7BB3" w14:textId="77777777" w:rsidR="00BF65C0" w:rsidRDefault="00BF65C0">
            <w:pPr>
              <w:widowControl w:val="0"/>
              <w:pBdr>
                <w:top w:val="nil"/>
                <w:left w:val="nil"/>
                <w:bottom w:val="nil"/>
                <w:right w:val="nil"/>
                <w:between w:val="nil"/>
              </w:pBdr>
              <w:spacing w:line="240" w:lineRule="auto"/>
            </w:pPr>
          </w:p>
          <w:p w14:paraId="01193369" w14:textId="77777777" w:rsidR="00BF65C0" w:rsidRDefault="00BF65C0">
            <w:pPr>
              <w:widowControl w:val="0"/>
              <w:pBdr>
                <w:top w:val="nil"/>
                <w:left w:val="nil"/>
                <w:bottom w:val="nil"/>
                <w:right w:val="nil"/>
                <w:between w:val="nil"/>
              </w:pBdr>
              <w:spacing w:line="240" w:lineRule="auto"/>
            </w:pPr>
          </w:p>
          <w:p w14:paraId="2FAB3739" w14:textId="77777777" w:rsidR="00BF65C0" w:rsidRDefault="00BF65C0">
            <w:pPr>
              <w:widowControl w:val="0"/>
              <w:pBdr>
                <w:top w:val="nil"/>
                <w:left w:val="nil"/>
                <w:bottom w:val="nil"/>
                <w:right w:val="nil"/>
                <w:between w:val="nil"/>
              </w:pBdr>
              <w:spacing w:line="240" w:lineRule="auto"/>
            </w:pPr>
          </w:p>
          <w:p w14:paraId="567254E8" w14:textId="77777777" w:rsidR="00F30DC5" w:rsidRDefault="00F30DC5">
            <w:pPr>
              <w:widowControl w:val="0"/>
              <w:pBdr>
                <w:top w:val="nil"/>
                <w:left w:val="nil"/>
                <w:bottom w:val="nil"/>
                <w:right w:val="nil"/>
                <w:between w:val="nil"/>
              </w:pBdr>
              <w:spacing w:line="240" w:lineRule="auto"/>
            </w:pPr>
          </w:p>
          <w:p w14:paraId="7B3021E4"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lastRenderedPageBreak/>
              <w:t>6. Matrixed Organization Pivotal in Cross-Functional Collaboration, Employee Experience, and Digital Transformation</w:t>
            </w:r>
          </w:p>
          <w:p w14:paraId="00913153" w14:textId="77777777" w:rsidR="00F30DC5" w:rsidRDefault="00F30DC5">
            <w:pPr>
              <w:widowControl w:val="0"/>
              <w:pBdr>
                <w:top w:val="nil"/>
                <w:left w:val="nil"/>
                <w:bottom w:val="nil"/>
                <w:right w:val="nil"/>
                <w:between w:val="nil"/>
              </w:pBdr>
              <w:spacing w:line="240" w:lineRule="auto"/>
              <w:jc w:val="center"/>
              <w:rPr>
                <w:b/>
                <w:color w:val="7802B5"/>
              </w:rPr>
            </w:pPr>
          </w:p>
          <w:p w14:paraId="5D1DFC9D" w14:textId="77777777" w:rsidR="00BF65C0" w:rsidRDefault="00BF65C0">
            <w:pPr>
              <w:widowControl w:val="0"/>
              <w:pBdr>
                <w:top w:val="nil"/>
                <w:left w:val="nil"/>
                <w:bottom w:val="nil"/>
                <w:right w:val="nil"/>
                <w:between w:val="nil"/>
              </w:pBdr>
              <w:spacing w:line="240" w:lineRule="auto"/>
              <w:rPr>
                <w:b/>
                <w:color w:val="9900FF"/>
              </w:rPr>
            </w:pPr>
          </w:p>
          <w:p w14:paraId="62710D78" w14:textId="77777777" w:rsidR="00BF65C0" w:rsidRDefault="00D2236E">
            <w:pPr>
              <w:widowControl w:val="0"/>
              <w:spacing w:line="240" w:lineRule="auto"/>
              <w:jc w:val="center"/>
              <w:rPr>
                <w:rFonts w:ascii="Roboto" w:eastAsia="Roboto" w:hAnsi="Roboto" w:cs="Roboto"/>
                <w:b/>
                <w:color w:val="283592"/>
              </w:rPr>
            </w:pPr>
            <w:r>
              <w:rPr>
                <w:rFonts w:ascii="Roboto" w:eastAsia="Roboto" w:hAnsi="Roboto" w:cs="Roboto"/>
                <w:b/>
                <w:noProof/>
                <w:color w:val="283592"/>
                <w:lang w:val="en-US"/>
              </w:rPr>
              <w:drawing>
                <wp:inline distT="114300" distB="114300" distL="114300" distR="114300" wp14:anchorId="17EFD516" wp14:editId="66CE773E">
                  <wp:extent cx="1671638" cy="1671638"/>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6"/>
                          <a:srcRect/>
                          <a:stretch>
                            <a:fillRect/>
                          </a:stretch>
                        </pic:blipFill>
                        <pic:spPr>
                          <a:xfrm>
                            <a:off x="0" y="0"/>
                            <a:ext cx="1671638" cy="1671638"/>
                          </a:xfrm>
                          <a:prstGeom prst="rect">
                            <a:avLst/>
                          </a:prstGeom>
                          <a:ln/>
                        </pic:spPr>
                      </pic:pic>
                    </a:graphicData>
                  </a:graphic>
                </wp:inline>
              </w:drawing>
            </w:r>
          </w:p>
          <w:p w14:paraId="261E9242" w14:textId="77777777" w:rsidR="00F30DC5" w:rsidRDefault="00F30DC5">
            <w:pPr>
              <w:widowControl w:val="0"/>
              <w:spacing w:line="240" w:lineRule="auto"/>
              <w:jc w:val="center"/>
              <w:rPr>
                <w:rFonts w:ascii="Roboto" w:eastAsia="Roboto" w:hAnsi="Roboto" w:cs="Roboto"/>
                <w:b/>
                <w:color w:val="283592"/>
              </w:rPr>
            </w:pPr>
          </w:p>
          <w:p w14:paraId="7DDDA366" w14:textId="77777777" w:rsidR="00BF65C0" w:rsidRDefault="00BF65C0">
            <w:pPr>
              <w:widowControl w:val="0"/>
              <w:spacing w:line="240" w:lineRule="auto"/>
              <w:jc w:val="center"/>
              <w:rPr>
                <w:rFonts w:ascii="Roboto" w:eastAsia="Roboto" w:hAnsi="Roboto" w:cs="Roboto"/>
                <w:b/>
                <w:color w:val="283592"/>
              </w:rPr>
            </w:pPr>
          </w:p>
          <w:p w14:paraId="3AD26D73" w14:textId="77777777" w:rsidR="00BF65C0" w:rsidRDefault="00D2236E">
            <w:pPr>
              <w:widowControl w:val="0"/>
              <w:numPr>
                <w:ilvl w:val="0"/>
                <w:numId w:val="17"/>
              </w:numPr>
              <w:pBdr>
                <w:top w:val="nil"/>
                <w:left w:val="nil"/>
                <w:bottom w:val="nil"/>
                <w:right w:val="nil"/>
                <w:between w:val="nil"/>
              </w:pBdr>
              <w:spacing w:line="240" w:lineRule="auto"/>
            </w:pPr>
            <w:r>
              <w:t xml:space="preserve">Leverage the matrixed nature of reporting relationships in the organization in order to foster more cross-functional collaborations across divisions (Allcorn, 1990; Ford &amp; Randolph, 1992). </w:t>
            </w:r>
          </w:p>
          <w:p w14:paraId="35BDB61C" w14:textId="77777777" w:rsidR="00BF65C0" w:rsidRDefault="00BF65C0">
            <w:pPr>
              <w:widowControl w:val="0"/>
              <w:pBdr>
                <w:top w:val="nil"/>
                <w:left w:val="nil"/>
                <w:bottom w:val="nil"/>
                <w:right w:val="nil"/>
                <w:between w:val="nil"/>
              </w:pBdr>
              <w:spacing w:line="240" w:lineRule="auto"/>
            </w:pPr>
          </w:p>
          <w:p w14:paraId="4A002823" w14:textId="77777777" w:rsidR="00BF65C0" w:rsidRDefault="00BF65C0">
            <w:pPr>
              <w:widowControl w:val="0"/>
              <w:pBdr>
                <w:top w:val="nil"/>
                <w:left w:val="nil"/>
                <w:bottom w:val="nil"/>
                <w:right w:val="nil"/>
                <w:between w:val="nil"/>
              </w:pBdr>
              <w:spacing w:line="240" w:lineRule="auto"/>
            </w:pPr>
          </w:p>
          <w:p w14:paraId="0310AA00" w14:textId="77777777" w:rsidR="00BF65C0" w:rsidRDefault="00D2236E">
            <w:pPr>
              <w:widowControl w:val="0"/>
              <w:numPr>
                <w:ilvl w:val="0"/>
                <w:numId w:val="17"/>
              </w:numPr>
              <w:pBdr>
                <w:top w:val="nil"/>
                <w:left w:val="nil"/>
                <w:bottom w:val="nil"/>
                <w:right w:val="nil"/>
                <w:between w:val="nil"/>
              </w:pBdr>
              <w:spacing w:line="240" w:lineRule="auto"/>
            </w:pPr>
            <w:r>
              <w:t>For instance, dotted line reporting relationships would assist in cross-functional Shared Services collaborations between Operations teams in Finance, IT, and Human Resources, causing players to work more collaboratively in a cross-pollination fashion between divisions (Boglind et al., 2011). This more seamless collaboration cross-functionally would maximize the employee experience, smoothen handoffs across teams, while repeating the efficiency benefits of digital transformation (Matt et al., 2015).</w:t>
            </w:r>
          </w:p>
          <w:p w14:paraId="315668F7" w14:textId="77777777" w:rsidR="00BF65C0" w:rsidRDefault="00BF65C0">
            <w:pPr>
              <w:widowControl w:val="0"/>
              <w:pBdr>
                <w:top w:val="nil"/>
                <w:left w:val="nil"/>
                <w:bottom w:val="nil"/>
                <w:right w:val="nil"/>
                <w:between w:val="nil"/>
              </w:pBdr>
              <w:spacing w:line="240" w:lineRule="auto"/>
            </w:pPr>
          </w:p>
          <w:p w14:paraId="5B059097" w14:textId="77777777" w:rsidR="00BF65C0" w:rsidRDefault="00BF65C0">
            <w:pPr>
              <w:widowControl w:val="0"/>
              <w:pBdr>
                <w:top w:val="nil"/>
                <w:left w:val="nil"/>
                <w:bottom w:val="nil"/>
                <w:right w:val="nil"/>
                <w:between w:val="nil"/>
              </w:pBdr>
              <w:spacing w:line="240" w:lineRule="auto"/>
            </w:pPr>
          </w:p>
          <w:p w14:paraId="7F88DEEC" w14:textId="77777777" w:rsidR="00BF65C0" w:rsidRDefault="00BF65C0">
            <w:pPr>
              <w:widowControl w:val="0"/>
              <w:pBdr>
                <w:top w:val="nil"/>
                <w:left w:val="nil"/>
                <w:bottom w:val="nil"/>
                <w:right w:val="nil"/>
                <w:between w:val="nil"/>
              </w:pBdr>
              <w:spacing w:line="240" w:lineRule="auto"/>
            </w:pPr>
          </w:p>
          <w:p w14:paraId="40DCFD6B" w14:textId="77777777" w:rsidR="00BF65C0" w:rsidRDefault="00BF65C0">
            <w:pPr>
              <w:widowControl w:val="0"/>
              <w:pBdr>
                <w:top w:val="nil"/>
                <w:left w:val="nil"/>
                <w:bottom w:val="nil"/>
                <w:right w:val="nil"/>
                <w:between w:val="nil"/>
              </w:pBdr>
              <w:spacing w:line="240" w:lineRule="auto"/>
            </w:pPr>
          </w:p>
          <w:p w14:paraId="78F2CB1C" w14:textId="77777777" w:rsidR="00BF65C0" w:rsidRDefault="00BF65C0">
            <w:pPr>
              <w:widowControl w:val="0"/>
              <w:pBdr>
                <w:top w:val="nil"/>
                <w:left w:val="nil"/>
                <w:bottom w:val="nil"/>
                <w:right w:val="nil"/>
                <w:between w:val="nil"/>
              </w:pBdr>
              <w:spacing w:line="240" w:lineRule="auto"/>
            </w:pPr>
          </w:p>
          <w:p w14:paraId="1566D7D4" w14:textId="77777777" w:rsidR="00BF65C0" w:rsidRDefault="00BF65C0">
            <w:pPr>
              <w:widowControl w:val="0"/>
              <w:pBdr>
                <w:top w:val="nil"/>
                <w:left w:val="nil"/>
                <w:bottom w:val="nil"/>
                <w:right w:val="nil"/>
                <w:between w:val="nil"/>
              </w:pBdr>
              <w:spacing w:line="240" w:lineRule="auto"/>
            </w:pPr>
          </w:p>
        </w:tc>
      </w:tr>
      <w:tr w:rsidR="00BF65C0" w14:paraId="12D6BDA7" w14:textId="77777777">
        <w:tc>
          <w:tcPr>
            <w:tcW w:w="4680" w:type="dxa"/>
            <w:shd w:val="clear" w:color="auto" w:fill="7802B5"/>
            <w:tcMar>
              <w:top w:w="100" w:type="dxa"/>
              <w:left w:w="100" w:type="dxa"/>
              <w:bottom w:w="100" w:type="dxa"/>
              <w:right w:w="100" w:type="dxa"/>
            </w:tcMar>
          </w:tcPr>
          <w:p w14:paraId="36B6A446"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lastRenderedPageBreak/>
              <w:t>WO: Internal Weaknesses and External Opportunities</w:t>
            </w:r>
          </w:p>
        </w:tc>
        <w:tc>
          <w:tcPr>
            <w:tcW w:w="4680" w:type="dxa"/>
            <w:shd w:val="clear" w:color="auto" w:fill="7802B5"/>
            <w:tcMar>
              <w:top w:w="100" w:type="dxa"/>
              <w:left w:w="100" w:type="dxa"/>
              <w:bottom w:w="100" w:type="dxa"/>
              <w:right w:w="100" w:type="dxa"/>
            </w:tcMar>
          </w:tcPr>
          <w:p w14:paraId="17C8F11E" w14:textId="77777777" w:rsidR="00BF65C0" w:rsidRDefault="00D2236E">
            <w:pPr>
              <w:widowControl w:val="0"/>
              <w:pBdr>
                <w:top w:val="nil"/>
                <w:left w:val="nil"/>
                <w:bottom w:val="nil"/>
                <w:right w:val="nil"/>
                <w:between w:val="nil"/>
              </w:pBdr>
              <w:spacing w:line="240" w:lineRule="auto"/>
              <w:jc w:val="center"/>
              <w:rPr>
                <w:b/>
                <w:color w:val="FFFFFF"/>
              </w:rPr>
            </w:pPr>
            <w:r>
              <w:rPr>
                <w:b/>
                <w:color w:val="FFFFFF"/>
              </w:rPr>
              <w:t xml:space="preserve">WT: Internal Weaknesses and External Threats </w:t>
            </w:r>
          </w:p>
        </w:tc>
      </w:tr>
      <w:tr w:rsidR="00BF65C0" w14:paraId="1280CA7E" w14:textId="77777777">
        <w:tc>
          <w:tcPr>
            <w:tcW w:w="4680" w:type="dxa"/>
            <w:shd w:val="clear" w:color="auto" w:fill="auto"/>
            <w:tcMar>
              <w:top w:w="100" w:type="dxa"/>
              <w:left w:w="100" w:type="dxa"/>
              <w:bottom w:w="100" w:type="dxa"/>
              <w:right w:w="100" w:type="dxa"/>
            </w:tcMar>
          </w:tcPr>
          <w:p w14:paraId="53367A85" w14:textId="77777777" w:rsidR="00BF65C0" w:rsidRDefault="00D2236E">
            <w:pPr>
              <w:widowControl w:val="0"/>
              <w:pBdr>
                <w:top w:val="nil"/>
                <w:left w:val="nil"/>
                <w:bottom w:val="nil"/>
                <w:right w:val="nil"/>
                <w:between w:val="nil"/>
              </w:pBdr>
              <w:spacing w:line="240" w:lineRule="auto"/>
              <w:jc w:val="center"/>
              <w:rPr>
                <w:b/>
              </w:rPr>
            </w:pPr>
            <w:r>
              <w:rPr>
                <w:b/>
              </w:rPr>
              <w:t>Minimize weaknesses by taking advantage of opportunities</w:t>
            </w:r>
          </w:p>
          <w:p w14:paraId="6C072BC3" w14:textId="77777777" w:rsidR="00BF65C0" w:rsidRDefault="00BF65C0">
            <w:pPr>
              <w:widowControl w:val="0"/>
              <w:pBdr>
                <w:top w:val="nil"/>
                <w:left w:val="nil"/>
                <w:bottom w:val="nil"/>
                <w:right w:val="nil"/>
                <w:between w:val="nil"/>
              </w:pBdr>
              <w:spacing w:line="240" w:lineRule="auto"/>
              <w:jc w:val="center"/>
            </w:pPr>
          </w:p>
          <w:p w14:paraId="6A26C3CF"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 xml:space="preserve">1. </w:t>
            </w:r>
            <w:r>
              <w:rPr>
                <w:color w:val="7802B5"/>
              </w:rPr>
              <w:t xml:space="preserve"> </w:t>
            </w:r>
            <w:r>
              <w:rPr>
                <w:b/>
                <w:color w:val="7802B5"/>
              </w:rPr>
              <w:t>Finding New and Cheaper Suppliers: Organizational Advocacy to Enable More Cost-effective International Supply Chain Strategy</w:t>
            </w:r>
          </w:p>
          <w:p w14:paraId="6C32D2A9" w14:textId="77777777" w:rsidR="00BF65C0" w:rsidRDefault="00BF65C0">
            <w:pPr>
              <w:widowControl w:val="0"/>
              <w:pBdr>
                <w:top w:val="nil"/>
                <w:left w:val="nil"/>
                <w:bottom w:val="nil"/>
                <w:right w:val="nil"/>
                <w:between w:val="nil"/>
              </w:pBdr>
              <w:spacing w:line="240" w:lineRule="auto"/>
              <w:jc w:val="center"/>
              <w:rPr>
                <w:b/>
                <w:color w:val="7802B5"/>
              </w:rPr>
            </w:pPr>
          </w:p>
          <w:p w14:paraId="74C87DE6" w14:textId="77777777" w:rsidR="00BF65C0" w:rsidRDefault="00BF65C0">
            <w:pPr>
              <w:widowControl w:val="0"/>
              <w:pBdr>
                <w:top w:val="nil"/>
                <w:left w:val="nil"/>
                <w:bottom w:val="nil"/>
                <w:right w:val="nil"/>
                <w:between w:val="nil"/>
              </w:pBdr>
              <w:spacing w:line="240" w:lineRule="auto"/>
              <w:jc w:val="center"/>
              <w:rPr>
                <w:b/>
                <w:color w:val="7802B5"/>
              </w:rPr>
            </w:pPr>
          </w:p>
          <w:p w14:paraId="4A92DEF5"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19C185F4" wp14:editId="303CA1DB">
                  <wp:extent cx="1090613" cy="1090613"/>
                  <wp:effectExtent l="0" t="0" r="0" b="0"/>
                  <wp:docPr id="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7"/>
                          <a:srcRect/>
                          <a:stretch>
                            <a:fillRect/>
                          </a:stretch>
                        </pic:blipFill>
                        <pic:spPr>
                          <a:xfrm>
                            <a:off x="0" y="0"/>
                            <a:ext cx="1090613" cy="1090613"/>
                          </a:xfrm>
                          <a:prstGeom prst="rect">
                            <a:avLst/>
                          </a:prstGeom>
                          <a:ln/>
                        </pic:spPr>
                      </pic:pic>
                    </a:graphicData>
                  </a:graphic>
                </wp:inline>
              </w:drawing>
            </w:r>
          </w:p>
          <w:p w14:paraId="7F804753" w14:textId="77777777" w:rsidR="00BF65C0" w:rsidRDefault="00BF65C0">
            <w:pPr>
              <w:widowControl w:val="0"/>
              <w:pBdr>
                <w:top w:val="nil"/>
                <w:left w:val="nil"/>
                <w:bottom w:val="nil"/>
                <w:right w:val="nil"/>
                <w:between w:val="nil"/>
              </w:pBdr>
              <w:spacing w:line="240" w:lineRule="auto"/>
              <w:rPr>
                <w:b/>
                <w:color w:val="9900FF"/>
              </w:rPr>
            </w:pPr>
          </w:p>
          <w:p w14:paraId="773D31B0" w14:textId="77777777" w:rsidR="00BF65C0" w:rsidRDefault="00BF65C0">
            <w:pPr>
              <w:widowControl w:val="0"/>
              <w:pBdr>
                <w:top w:val="nil"/>
                <w:left w:val="nil"/>
                <w:bottom w:val="nil"/>
                <w:right w:val="nil"/>
                <w:between w:val="nil"/>
              </w:pBdr>
              <w:spacing w:line="240" w:lineRule="auto"/>
              <w:rPr>
                <w:b/>
                <w:color w:val="9900FF"/>
              </w:rPr>
            </w:pPr>
          </w:p>
          <w:p w14:paraId="01A81491" w14:textId="77777777" w:rsidR="00BF65C0" w:rsidRDefault="00D2236E">
            <w:pPr>
              <w:widowControl w:val="0"/>
              <w:numPr>
                <w:ilvl w:val="0"/>
                <w:numId w:val="22"/>
              </w:numPr>
              <w:pBdr>
                <w:top w:val="nil"/>
                <w:left w:val="nil"/>
                <w:bottom w:val="nil"/>
                <w:right w:val="nil"/>
                <w:between w:val="nil"/>
              </w:pBdr>
              <w:spacing w:line="240" w:lineRule="auto"/>
            </w:pPr>
            <w:r>
              <w:t>Support proposed bills in legislative chambers at the national-level that would allow American companies and public and private hospitals to source prescriptions from abroad from adjacent countries like Canada. This would create cost efficiencies and savings in health system departments, such as Pharmacy (Tanne, 2003).</w:t>
            </w:r>
          </w:p>
          <w:p w14:paraId="2829BA3F" w14:textId="77777777" w:rsidR="00BF65C0" w:rsidRDefault="00BF65C0">
            <w:pPr>
              <w:widowControl w:val="0"/>
              <w:pBdr>
                <w:top w:val="nil"/>
                <w:left w:val="nil"/>
                <w:bottom w:val="nil"/>
                <w:right w:val="nil"/>
                <w:between w:val="nil"/>
              </w:pBdr>
              <w:spacing w:line="240" w:lineRule="auto"/>
              <w:ind w:left="720"/>
            </w:pPr>
          </w:p>
          <w:p w14:paraId="63DAC5DF" w14:textId="77777777" w:rsidR="00BF65C0" w:rsidRDefault="00BF65C0" w:rsidP="00F30DC5">
            <w:pPr>
              <w:widowControl w:val="0"/>
              <w:pBdr>
                <w:top w:val="nil"/>
                <w:left w:val="nil"/>
                <w:bottom w:val="nil"/>
                <w:right w:val="nil"/>
                <w:between w:val="nil"/>
              </w:pBdr>
              <w:spacing w:line="240" w:lineRule="auto"/>
            </w:pPr>
          </w:p>
          <w:p w14:paraId="5AE5F030"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2. Develop more aggressive marketing campaigns: Immigrant-Dense and Economically Underserved Neighborhoods &amp; Leveraging Employee Resource Groups</w:t>
            </w:r>
          </w:p>
          <w:p w14:paraId="423C4072" w14:textId="77777777" w:rsidR="00F30DC5" w:rsidRDefault="00F30DC5">
            <w:pPr>
              <w:widowControl w:val="0"/>
              <w:pBdr>
                <w:top w:val="nil"/>
                <w:left w:val="nil"/>
                <w:bottom w:val="nil"/>
                <w:right w:val="nil"/>
                <w:between w:val="nil"/>
              </w:pBdr>
              <w:spacing w:line="240" w:lineRule="auto"/>
              <w:jc w:val="center"/>
              <w:rPr>
                <w:b/>
                <w:color w:val="7802B5"/>
              </w:rPr>
            </w:pPr>
          </w:p>
          <w:p w14:paraId="1C813B8B" w14:textId="77777777" w:rsidR="00BF65C0" w:rsidRDefault="00BF65C0">
            <w:pPr>
              <w:widowControl w:val="0"/>
              <w:pBdr>
                <w:top w:val="nil"/>
                <w:left w:val="nil"/>
                <w:bottom w:val="nil"/>
                <w:right w:val="nil"/>
                <w:between w:val="nil"/>
              </w:pBdr>
              <w:spacing w:line="240" w:lineRule="auto"/>
              <w:rPr>
                <w:b/>
                <w:color w:val="9900FF"/>
              </w:rPr>
            </w:pPr>
          </w:p>
          <w:p w14:paraId="24D60D14"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211A1B96" wp14:editId="01A118D8">
                  <wp:extent cx="1009650" cy="825407"/>
                  <wp:effectExtent l="0" t="0" r="0" b="0"/>
                  <wp:docPr id="29"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8"/>
                          <a:srcRect/>
                          <a:stretch>
                            <a:fillRect/>
                          </a:stretch>
                        </pic:blipFill>
                        <pic:spPr>
                          <a:xfrm>
                            <a:off x="0" y="0"/>
                            <a:ext cx="1009650" cy="825407"/>
                          </a:xfrm>
                          <a:prstGeom prst="rect">
                            <a:avLst/>
                          </a:prstGeom>
                          <a:ln/>
                        </pic:spPr>
                      </pic:pic>
                    </a:graphicData>
                  </a:graphic>
                </wp:inline>
              </w:drawing>
            </w:r>
          </w:p>
          <w:p w14:paraId="42C079FA" w14:textId="77777777" w:rsidR="00F30DC5" w:rsidRDefault="00F30DC5">
            <w:pPr>
              <w:widowControl w:val="0"/>
              <w:pBdr>
                <w:top w:val="nil"/>
                <w:left w:val="nil"/>
                <w:bottom w:val="nil"/>
                <w:right w:val="nil"/>
                <w:between w:val="nil"/>
              </w:pBdr>
              <w:spacing w:line="240" w:lineRule="auto"/>
              <w:jc w:val="center"/>
              <w:rPr>
                <w:b/>
                <w:color w:val="9900FF"/>
              </w:rPr>
            </w:pPr>
          </w:p>
          <w:p w14:paraId="6D14511F" w14:textId="77777777" w:rsidR="00BF65C0" w:rsidRDefault="00D2236E">
            <w:pPr>
              <w:widowControl w:val="0"/>
              <w:numPr>
                <w:ilvl w:val="0"/>
                <w:numId w:val="8"/>
              </w:numPr>
              <w:pBdr>
                <w:top w:val="nil"/>
                <w:left w:val="nil"/>
                <w:bottom w:val="nil"/>
                <w:right w:val="nil"/>
                <w:between w:val="nil"/>
              </w:pBdr>
              <w:spacing w:line="240" w:lineRule="auto"/>
            </w:pPr>
            <w:r>
              <w:t xml:space="preserve">Overcome diversity and inclusion marketing shortcomings by participating in marketing primary care services in immigrant-dense and </w:t>
            </w:r>
            <w:r>
              <w:lastRenderedPageBreak/>
              <w:t>economically underserved neighborhoods (Rao, 2006).</w:t>
            </w:r>
          </w:p>
          <w:p w14:paraId="3F790248" w14:textId="77777777" w:rsidR="00BF65C0" w:rsidRDefault="00BF65C0">
            <w:pPr>
              <w:widowControl w:val="0"/>
              <w:pBdr>
                <w:top w:val="nil"/>
                <w:left w:val="nil"/>
                <w:bottom w:val="nil"/>
                <w:right w:val="nil"/>
                <w:between w:val="nil"/>
              </w:pBdr>
              <w:spacing w:line="240" w:lineRule="auto"/>
            </w:pPr>
          </w:p>
          <w:p w14:paraId="20594CEA" w14:textId="77777777" w:rsidR="00BF65C0" w:rsidRDefault="00D2236E">
            <w:pPr>
              <w:widowControl w:val="0"/>
              <w:numPr>
                <w:ilvl w:val="0"/>
                <w:numId w:val="8"/>
              </w:numPr>
              <w:pBdr>
                <w:top w:val="nil"/>
                <w:left w:val="nil"/>
                <w:bottom w:val="nil"/>
                <w:right w:val="nil"/>
                <w:between w:val="nil"/>
              </w:pBdr>
              <w:spacing w:line="240" w:lineRule="auto"/>
            </w:pPr>
            <w:r>
              <w:t>Overcome diversity and inclusion communications weaknesses by working with identity-based employee resource groups and creating employee portal news story themes and organization-wide diversity employee recognition strategies that foster engagement, inclusion, and belonging in the health system, showcasing the varied ways the organization as a great place to work (Rodriguez, 2008).</w:t>
            </w:r>
          </w:p>
          <w:p w14:paraId="1CE86ECC" w14:textId="77777777" w:rsidR="00BF65C0" w:rsidRDefault="00BF65C0">
            <w:pPr>
              <w:widowControl w:val="0"/>
              <w:pBdr>
                <w:top w:val="nil"/>
                <w:left w:val="nil"/>
                <w:bottom w:val="nil"/>
                <w:right w:val="nil"/>
                <w:between w:val="nil"/>
              </w:pBdr>
              <w:spacing w:line="240" w:lineRule="auto"/>
            </w:pPr>
          </w:p>
          <w:p w14:paraId="1BEF4E05" w14:textId="77777777" w:rsidR="00F30DC5" w:rsidRDefault="00F30DC5">
            <w:pPr>
              <w:widowControl w:val="0"/>
              <w:pBdr>
                <w:top w:val="nil"/>
                <w:left w:val="nil"/>
                <w:bottom w:val="nil"/>
                <w:right w:val="nil"/>
                <w:between w:val="nil"/>
              </w:pBdr>
              <w:spacing w:line="240" w:lineRule="auto"/>
            </w:pPr>
          </w:p>
          <w:p w14:paraId="4690DB5A" w14:textId="77777777" w:rsidR="00F30DC5" w:rsidRDefault="00F30DC5">
            <w:pPr>
              <w:widowControl w:val="0"/>
              <w:pBdr>
                <w:top w:val="nil"/>
                <w:left w:val="nil"/>
                <w:bottom w:val="nil"/>
                <w:right w:val="nil"/>
                <w:between w:val="nil"/>
              </w:pBdr>
              <w:spacing w:line="240" w:lineRule="auto"/>
            </w:pPr>
          </w:p>
          <w:p w14:paraId="3E3BD4C0"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3. Review Operational Processes to Reduce Costs: Lean Management &amp; Financial Reduction Incentive Goals for Merit Compensation Increases</w:t>
            </w:r>
          </w:p>
          <w:p w14:paraId="185DA76A" w14:textId="77777777" w:rsidR="00F30DC5" w:rsidRDefault="00F30DC5">
            <w:pPr>
              <w:widowControl w:val="0"/>
              <w:pBdr>
                <w:top w:val="nil"/>
                <w:left w:val="nil"/>
                <w:bottom w:val="nil"/>
                <w:right w:val="nil"/>
                <w:between w:val="nil"/>
              </w:pBdr>
              <w:spacing w:line="240" w:lineRule="auto"/>
              <w:jc w:val="center"/>
              <w:rPr>
                <w:b/>
                <w:color w:val="7802B5"/>
              </w:rPr>
            </w:pPr>
          </w:p>
          <w:p w14:paraId="5BEC42EE" w14:textId="77777777" w:rsidR="00F30DC5" w:rsidRDefault="00F30DC5">
            <w:pPr>
              <w:widowControl w:val="0"/>
              <w:pBdr>
                <w:top w:val="nil"/>
                <w:left w:val="nil"/>
                <w:bottom w:val="nil"/>
                <w:right w:val="nil"/>
                <w:between w:val="nil"/>
              </w:pBdr>
              <w:spacing w:line="240" w:lineRule="auto"/>
              <w:jc w:val="center"/>
              <w:rPr>
                <w:b/>
                <w:color w:val="7802B5"/>
              </w:rPr>
            </w:pPr>
          </w:p>
          <w:p w14:paraId="11D091DC"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1C42D7A9" wp14:editId="4B5822EC">
                  <wp:extent cx="1195388" cy="962728"/>
                  <wp:effectExtent l="0" t="0" r="0" b="0"/>
                  <wp:docPr id="16" name="image17.jpg"/>
                  <wp:cNvGraphicFramePr/>
                  <a:graphic xmlns:a="http://schemas.openxmlformats.org/drawingml/2006/main">
                    <a:graphicData uri="http://schemas.openxmlformats.org/drawingml/2006/picture">
                      <pic:pic xmlns:pic="http://schemas.openxmlformats.org/drawingml/2006/picture">
                        <pic:nvPicPr>
                          <pic:cNvPr id="0" name="image17.jpg"/>
                          <pic:cNvPicPr preferRelativeResize="0"/>
                        </pic:nvPicPr>
                        <pic:blipFill>
                          <a:blip r:embed="rId39"/>
                          <a:srcRect/>
                          <a:stretch>
                            <a:fillRect/>
                          </a:stretch>
                        </pic:blipFill>
                        <pic:spPr>
                          <a:xfrm>
                            <a:off x="0" y="0"/>
                            <a:ext cx="1195388" cy="962728"/>
                          </a:xfrm>
                          <a:prstGeom prst="rect">
                            <a:avLst/>
                          </a:prstGeom>
                          <a:ln/>
                        </pic:spPr>
                      </pic:pic>
                    </a:graphicData>
                  </a:graphic>
                </wp:inline>
              </w:drawing>
            </w:r>
          </w:p>
          <w:p w14:paraId="09785FE5" w14:textId="77777777" w:rsidR="00F30DC5" w:rsidRDefault="00F30DC5">
            <w:pPr>
              <w:widowControl w:val="0"/>
              <w:pBdr>
                <w:top w:val="nil"/>
                <w:left w:val="nil"/>
                <w:bottom w:val="nil"/>
                <w:right w:val="nil"/>
                <w:between w:val="nil"/>
              </w:pBdr>
              <w:spacing w:line="240" w:lineRule="auto"/>
              <w:jc w:val="center"/>
              <w:rPr>
                <w:b/>
                <w:color w:val="9900FF"/>
              </w:rPr>
            </w:pPr>
          </w:p>
          <w:p w14:paraId="6A0385CB" w14:textId="77777777" w:rsidR="00BF65C0" w:rsidRDefault="00D2236E">
            <w:pPr>
              <w:widowControl w:val="0"/>
              <w:numPr>
                <w:ilvl w:val="0"/>
                <w:numId w:val="19"/>
              </w:numPr>
              <w:pBdr>
                <w:top w:val="nil"/>
                <w:left w:val="nil"/>
                <w:bottom w:val="nil"/>
                <w:right w:val="nil"/>
                <w:between w:val="nil"/>
              </w:pBdr>
              <w:spacing w:line="240" w:lineRule="auto"/>
            </w:pPr>
            <w:r>
              <w:t>Apply lean management to all mission areas: patient care, research, education, and corporate services (Salah et al., 2010).</w:t>
            </w:r>
          </w:p>
          <w:p w14:paraId="2430A007" w14:textId="77777777" w:rsidR="00BF65C0" w:rsidRDefault="00BF65C0">
            <w:pPr>
              <w:widowControl w:val="0"/>
              <w:pBdr>
                <w:top w:val="nil"/>
                <w:left w:val="nil"/>
                <w:bottom w:val="nil"/>
                <w:right w:val="nil"/>
                <w:between w:val="nil"/>
              </w:pBdr>
              <w:spacing w:line="240" w:lineRule="auto"/>
            </w:pPr>
          </w:p>
          <w:p w14:paraId="7877F9DE" w14:textId="77777777" w:rsidR="00F30DC5" w:rsidRDefault="00F30DC5">
            <w:pPr>
              <w:widowControl w:val="0"/>
              <w:pBdr>
                <w:top w:val="nil"/>
                <w:left w:val="nil"/>
                <w:bottom w:val="nil"/>
                <w:right w:val="nil"/>
                <w:between w:val="nil"/>
              </w:pBdr>
              <w:spacing w:line="240" w:lineRule="auto"/>
            </w:pPr>
          </w:p>
          <w:p w14:paraId="2DB9A4DF" w14:textId="77777777" w:rsidR="00BF65C0" w:rsidRDefault="00D2236E">
            <w:pPr>
              <w:widowControl w:val="0"/>
              <w:numPr>
                <w:ilvl w:val="0"/>
                <w:numId w:val="19"/>
              </w:numPr>
              <w:pBdr>
                <w:top w:val="nil"/>
                <w:left w:val="nil"/>
                <w:bottom w:val="nil"/>
                <w:right w:val="nil"/>
                <w:between w:val="nil"/>
              </w:pBdr>
              <w:spacing w:line="240" w:lineRule="auto"/>
            </w:pPr>
            <w:r>
              <w:t>Cross-functional collaboration between Finance and Human Resource’s Compensation and Organizational Development and Learning teams in order to create incentive goals of reducing financial spending.</w:t>
            </w:r>
          </w:p>
          <w:p w14:paraId="45F6D627" w14:textId="77777777" w:rsidR="00BF65C0" w:rsidRDefault="00BF65C0">
            <w:pPr>
              <w:widowControl w:val="0"/>
              <w:pBdr>
                <w:top w:val="nil"/>
                <w:left w:val="nil"/>
                <w:bottom w:val="nil"/>
                <w:right w:val="nil"/>
                <w:between w:val="nil"/>
              </w:pBdr>
              <w:spacing w:line="240" w:lineRule="auto"/>
              <w:ind w:left="720"/>
            </w:pPr>
          </w:p>
          <w:p w14:paraId="29827986" w14:textId="77777777" w:rsidR="00F30DC5" w:rsidRDefault="00F30DC5">
            <w:pPr>
              <w:widowControl w:val="0"/>
              <w:pBdr>
                <w:top w:val="nil"/>
                <w:left w:val="nil"/>
                <w:bottom w:val="nil"/>
                <w:right w:val="nil"/>
                <w:between w:val="nil"/>
              </w:pBdr>
              <w:spacing w:line="240" w:lineRule="auto"/>
              <w:ind w:left="720"/>
            </w:pPr>
          </w:p>
          <w:p w14:paraId="0D7CDDFA" w14:textId="77777777" w:rsidR="00F30DC5" w:rsidRDefault="00F30DC5">
            <w:pPr>
              <w:widowControl w:val="0"/>
              <w:pBdr>
                <w:top w:val="nil"/>
                <w:left w:val="nil"/>
                <w:bottom w:val="nil"/>
                <w:right w:val="nil"/>
                <w:between w:val="nil"/>
              </w:pBdr>
              <w:spacing w:line="240" w:lineRule="auto"/>
              <w:ind w:left="720"/>
            </w:pPr>
          </w:p>
          <w:p w14:paraId="0A5C8090" w14:textId="77777777" w:rsidR="00F30DC5" w:rsidRDefault="00F30DC5">
            <w:pPr>
              <w:widowControl w:val="0"/>
              <w:pBdr>
                <w:top w:val="nil"/>
                <w:left w:val="nil"/>
                <w:bottom w:val="nil"/>
                <w:right w:val="nil"/>
                <w:between w:val="nil"/>
              </w:pBdr>
              <w:spacing w:line="240" w:lineRule="auto"/>
              <w:ind w:left="720"/>
            </w:pPr>
          </w:p>
          <w:p w14:paraId="19BCC565" w14:textId="77777777" w:rsidR="00F30DC5" w:rsidRDefault="00F30DC5">
            <w:pPr>
              <w:widowControl w:val="0"/>
              <w:pBdr>
                <w:top w:val="nil"/>
                <w:left w:val="nil"/>
                <w:bottom w:val="nil"/>
                <w:right w:val="nil"/>
                <w:between w:val="nil"/>
              </w:pBdr>
              <w:spacing w:line="240" w:lineRule="auto"/>
              <w:ind w:left="720"/>
            </w:pPr>
          </w:p>
          <w:p w14:paraId="79ED6631" w14:textId="77777777" w:rsidR="00BF65C0" w:rsidRDefault="00D2236E">
            <w:pPr>
              <w:widowControl w:val="0"/>
              <w:spacing w:line="240" w:lineRule="auto"/>
              <w:jc w:val="center"/>
              <w:rPr>
                <w:b/>
                <w:color w:val="7802B5"/>
              </w:rPr>
            </w:pPr>
            <w:r>
              <w:rPr>
                <w:b/>
                <w:color w:val="7802B5"/>
              </w:rPr>
              <w:lastRenderedPageBreak/>
              <w:t>4. Mergers and Acquisitions: Primary Care, Community Health, Sex Discrimination, and Workplace Gender Transition Guidelines</w:t>
            </w:r>
          </w:p>
          <w:p w14:paraId="23764FFA" w14:textId="77777777" w:rsidR="00F30DC5" w:rsidRDefault="00F30DC5">
            <w:pPr>
              <w:widowControl w:val="0"/>
              <w:spacing w:line="240" w:lineRule="auto"/>
              <w:jc w:val="center"/>
              <w:rPr>
                <w:b/>
                <w:color w:val="7802B5"/>
              </w:rPr>
            </w:pPr>
          </w:p>
          <w:p w14:paraId="0CE6EC23" w14:textId="77777777" w:rsidR="00BF65C0" w:rsidRDefault="00D2236E">
            <w:pPr>
              <w:widowControl w:val="0"/>
              <w:spacing w:line="240" w:lineRule="auto"/>
              <w:jc w:val="center"/>
              <w:rPr>
                <w:b/>
                <w:color w:val="9900FF"/>
              </w:rPr>
            </w:pPr>
            <w:r>
              <w:rPr>
                <w:b/>
                <w:noProof/>
                <w:color w:val="9900FF"/>
                <w:lang w:val="en-US"/>
              </w:rPr>
              <w:drawing>
                <wp:inline distT="114300" distB="114300" distL="114300" distR="114300" wp14:anchorId="0F408361" wp14:editId="38FCCE8B">
                  <wp:extent cx="776288" cy="776288"/>
                  <wp:effectExtent l="0" t="0" r="0" b="0"/>
                  <wp:docPr id="3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0"/>
                          <a:srcRect/>
                          <a:stretch>
                            <a:fillRect/>
                          </a:stretch>
                        </pic:blipFill>
                        <pic:spPr>
                          <a:xfrm>
                            <a:off x="0" y="0"/>
                            <a:ext cx="776288" cy="776288"/>
                          </a:xfrm>
                          <a:prstGeom prst="rect">
                            <a:avLst/>
                          </a:prstGeom>
                          <a:ln/>
                        </pic:spPr>
                      </pic:pic>
                    </a:graphicData>
                  </a:graphic>
                </wp:inline>
              </w:drawing>
            </w:r>
          </w:p>
          <w:p w14:paraId="11FDA4AE" w14:textId="77777777" w:rsidR="00F30DC5" w:rsidRDefault="00F30DC5">
            <w:pPr>
              <w:widowControl w:val="0"/>
              <w:spacing w:line="240" w:lineRule="auto"/>
              <w:jc w:val="center"/>
              <w:rPr>
                <w:b/>
                <w:color w:val="9900FF"/>
              </w:rPr>
            </w:pPr>
          </w:p>
          <w:p w14:paraId="4AA34FE6" w14:textId="77777777" w:rsidR="00BF65C0" w:rsidRDefault="00D2236E">
            <w:pPr>
              <w:widowControl w:val="0"/>
              <w:numPr>
                <w:ilvl w:val="0"/>
                <w:numId w:val="12"/>
              </w:numPr>
              <w:spacing w:line="240" w:lineRule="auto"/>
            </w:pPr>
            <w:r>
              <w:t>Overcome lack of emphasis on primary care and community health through acquisition of faculty group practice networks in underserved neighborhoods and locations (Field, 2003).</w:t>
            </w:r>
          </w:p>
          <w:p w14:paraId="763CF63B" w14:textId="77777777" w:rsidR="00BF65C0" w:rsidRDefault="00BF65C0">
            <w:pPr>
              <w:widowControl w:val="0"/>
              <w:spacing w:line="240" w:lineRule="auto"/>
            </w:pPr>
          </w:p>
          <w:p w14:paraId="1BBF20CF" w14:textId="77777777" w:rsidR="00BF65C0" w:rsidRDefault="00D2236E">
            <w:pPr>
              <w:widowControl w:val="0"/>
              <w:numPr>
                <w:ilvl w:val="0"/>
                <w:numId w:val="12"/>
              </w:numPr>
              <w:spacing w:line="240" w:lineRule="auto"/>
            </w:pPr>
            <w:r>
              <w:t>Utilize large asset mergers like at Hospital for Joints Disease and Lutheran Hospital in Brooklyn in order to merge and apply for more National Institutes of Health (NIH) grants from the US federal government (Hauptman et al., 2017) to further develop the research mission in the integrated academic health system.</w:t>
            </w:r>
          </w:p>
          <w:p w14:paraId="0E5A63EB" w14:textId="77777777" w:rsidR="00BF65C0" w:rsidRDefault="00BF65C0">
            <w:pPr>
              <w:widowControl w:val="0"/>
              <w:spacing w:line="240" w:lineRule="auto"/>
            </w:pPr>
          </w:p>
          <w:p w14:paraId="3CB7E31F" w14:textId="77777777" w:rsidR="00BF65C0" w:rsidRDefault="00D2236E">
            <w:pPr>
              <w:widowControl w:val="0"/>
              <w:numPr>
                <w:ilvl w:val="0"/>
                <w:numId w:val="12"/>
              </w:numPr>
              <w:spacing w:line="240" w:lineRule="auto"/>
            </w:pPr>
            <w:r>
              <w:t xml:space="preserve">Align legally compliant organizational policies, processes, and procedures into newly merged or acquired entities. From a Human Resources Employee &amp; Labor Relations and Legal perspective, all organizations that receive federal money must comply with all U.S. Department of Education policies.This includes compliance to </w:t>
            </w:r>
            <w:r>
              <w:rPr>
                <w:i/>
              </w:rPr>
              <w:t>Title IX</w:t>
            </w:r>
            <w:r>
              <w:t xml:space="preserve">, which is a federal civil rights law that prohibits sex discrimination, which has been interpreted since the Obama Administration to be encompassing of transgender individuals (Riccucci, 2002). </w:t>
            </w:r>
          </w:p>
          <w:p w14:paraId="7590F14D" w14:textId="77777777" w:rsidR="00BF65C0" w:rsidRDefault="00BF65C0">
            <w:pPr>
              <w:widowControl w:val="0"/>
              <w:spacing w:line="240" w:lineRule="auto"/>
            </w:pPr>
          </w:p>
          <w:p w14:paraId="54861D65" w14:textId="77777777" w:rsidR="00BF65C0" w:rsidRDefault="00D2236E">
            <w:pPr>
              <w:widowControl w:val="0"/>
              <w:numPr>
                <w:ilvl w:val="0"/>
                <w:numId w:val="12"/>
              </w:numPr>
              <w:spacing w:line="240" w:lineRule="auto"/>
            </w:pPr>
            <w:r>
              <w:t xml:space="preserve">Apply a Gender Transition Guidelines, which is a document that has recommendations on how to facilitate a gender transition in the workplace </w:t>
            </w:r>
            <w:r>
              <w:lastRenderedPageBreak/>
              <w:t xml:space="preserve">for transgender and non-binary individuals. This would be done to comply with gender identity and gender expression protections in the </w:t>
            </w:r>
            <w:r>
              <w:rPr>
                <w:i/>
              </w:rPr>
              <w:t>New York City Human Rights Law</w:t>
            </w:r>
            <w:r>
              <w:t xml:space="preserve"> and the state-level </w:t>
            </w:r>
            <w:r>
              <w:rPr>
                <w:i/>
              </w:rPr>
              <w:t>New York Human Rights Law</w:t>
            </w:r>
            <w:r>
              <w:t xml:space="preserve"> and as recommended by professional organizations such as the Transgender Law Center, Out &amp; Equal Workplace Advocates, and the Human Rights Campaign. These gender transition guidelines as organizational policies would apply to all locations, inclusive of out of state locations, such as Nevada and Florida, where legal protections are absent,  in order to improve employee experience from a diversity, equity, and inclusion perspective seamlessly as NYU Langone Health grows as an organization (Pizzuti, 2018).</w:t>
            </w:r>
          </w:p>
          <w:p w14:paraId="38228070" w14:textId="77777777" w:rsidR="00BF65C0" w:rsidRDefault="00BF65C0">
            <w:pPr>
              <w:widowControl w:val="0"/>
              <w:spacing w:line="240" w:lineRule="auto"/>
              <w:ind w:left="720"/>
            </w:pPr>
          </w:p>
          <w:p w14:paraId="1EA60CE0" w14:textId="77777777" w:rsidR="00F30DC5" w:rsidRDefault="00F30DC5">
            <w:pPr>
              <w:widowControl w:val="0"/>
              <w:spacing w:line="240" w:lineRule="auto"/>
              <w:ind w:left="720"/>
            </w:pPr>
          </w:p>
          <w:p w14:paraId="6348AC17" w14:textId="77777777" w:rsidR="00BF65C0" w:rsidRDefault="00D2236E">
            <w:pPr>
              <w:widowControl w:val="0"/>
              <w:spacing w:line="240" w:lineRule="auto"/>
              <w:jc w:val="center"/>
              <w:rPr>
                <w:b/>
                <w:color w:val="7802B5"/>
              </w:rPr>
            </w:pPr>
            <w:r>
              <w:rPr>
                <w:b/>
                <w:color w:val="7802B5"/>
              </w:rPr>
              <w:t>5.</w:t>
            </w:r>
            <w:r>
              <w:rPr>
                <w:color w:val="7802B5"/>
              </w:rPr>
              <w:t xml:space="preserve"> </w:t>
            </w:r>
            <w:r>
              <w:rPr>
                <w:b/>
                <w:color w:val="7802B5"/>
              </w:rPr>
              <w:t>Bring new products to markets to get better position globally: Local-Level, Emerging Markets, Rural Locations, and Canada</w:t>
            </w:r>
          </w:p>
          <w:p w14:paraId="75FEC977" w14:textId="77777777" w:rsidR="00F30DC5" w:rsidRDefault="00F30DC5">
            <w:pPr>
              <w:widowControl w:val="0"/>
              <w:spacing w:line="240" w:lineRule="auto"/>
              <w:jc w:val="center"/>
              <w:rPr>
                <w:b/>
                <w:color w:val="7802B5"/>
              </w:rPr>
            </w:pPr>
          </w:p>
          <w:p w14:paraId="4A83D5A3" w14:textId="77777777" w:rsidR="00F30DC5" w:rsidRDefault="00F30DC5">
            <w:pPr>
              <w:widowControl w:val="0"/>
              <w:spacing w:line="240" w:lineRule="auto"/>
              <w:jc w:val="center"/>
              <w:rPr>
                <w:b/>
                <w:color w:val="7802B5"/>
              </w:rPr>
            </w:pPr>
          </w:p>
          <w:p w14:paraId="3EA7AE59" w14:textId="77777777" w:rsidR="00BF65C0" w:rsidRDefault="00D2236E">
            <w:pPr>
              <w:widowControl w:val="0"/>
              <w:spacing w:line="240" w:lineRule="auto"/>
              <w:jc w:val="center"/>
              <w:rPr>
                <w:b/>
                <w:color w:val="9900FF"/>
              </w:rPr>
            </w:pPr>
            <w:r>
              <w:rPr>
                <w:b/>
                <w:noProof/>
                <w:color w:val="9900FF"/>
                <w:lang w:val="en-US"/>
              </w:rPr>
              <w:drawing>
                <wp:inline distT="114300" distB="114300" distL="114300" distR="114300" wp14:anchorId="558C8E13" wp14:editId="0C33581B">
                  <wp:extent cx="1147763" cy="648411"/>
                  <wp:effectExtent l="0" t="0" r="0" b="0"/>
                  <wp:docPr id="39"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41"/>
                          <a:srcRect/>
                          <a:stretch>
                            <a:fillRect/>
                          </a:stretch>
                        </pic:blipFill>
                        <pic:spPr>
                          <a:xfrm>
                            <a:off x="0" y="0"/>
                            <a:ext cx="1147763" cy="648411"/>
                          </a:xfrm>
                          <a:prstGeom prst="rect">
                            <a:avLst/>
                          </a:prstGeom>
                          <a:ln/>
                        </pic:spPr>
                      </pic:pic>
                    </a:graphicData>
                  </a:graphic>
                </wp:inline>
              </w:drawing>
            </w:r>
          </w:p>
          <w:p w14:paraId="41D867E5" w14:textId="77777777" w:rsidR="00BF65C0" w:rsidRDefault="00BF65C0">
            <w:pPr>
              <w:widowControl w:val="0"/>
              <w:spacing w:line="240" w:lineRule="auto"/>
              <w:rPr>
                <w:b/>
                <w:color w:val="9900FF"/>
              </w:rPr>
            </w:pPr>
          </w:p>
          <w:p w14:paraId="261694AF" w14:textId="77777777" w:rsidR="00BF65C0" w:rsidRDefault="00D2236E">
            <w:pPr>
              <w:widowControl w:val="0"/>
              <w:numPr>
                <w:ilvl w:val="0"/>
                <w:numId w:val="18"/>
              </w:numPr>
              <w:spacing w:line="240" w:lineRule="auto"/>
            </w:pPr>
            <w:r>
              <w:t>School Based Health Clinics through strategic partnerships with local-level Departments of Education, such as the New York City Department of Education (Chatterji et al., 2004).</w:t>
            </w:r>
          </w:p>
          <w:p w14:paraId="4B52C4E8" w14:textId="77777777" w:rsidR="00BF65C0" w:rsidRDefault="00BF65C0">
            <w:pPr>
              <w:widowControl w:val="0"/>
              <w:spacing w:line="240" w:lineRule="auto"/>
            </w:pPr>
          </w:p>
          <w:p w14:paraId="4158CF20" w14:textId="618AD8FD" w:rsidR="00BF65C0" w:rsidRDefault="00D2236E">
            <w:pPr>
              <w:widowControl w:val="0"/>
              <w:numPr>
                <w:ilvl w:val="0"/>
                <w:numId w:val="18"/>
              </w:numPr>
              <w:spacing w:line="240" w:lineRule="auto"/>
            </w:pPr>
            <w:r>
              <w:t xml:space="preserve">Make-up for </w:t>
            </w:r>
            <w:r w:rsidR="00E13906">
              <w:t>absent</w:t>
            </w:r>
            <w:r>
              <w:t xml:space="preserve"> physical patient care facilities in emerging markets by buttress cultural competency, intercultural communications, and multilingual staff in the marketing and communications functions in order to cater telemedicine services to emerging markets, especially in China and India (Hill, 2018; Hofstede, 2001; </w:t>
            </w:r>
            <w:r>
              <w:lastRenderedPageBreak/>
              <w:t>Isaacson, 2014; Mathur, 2001; Meyer et al., 2008; Meyer et al., 2009; Ferris &amp; Lacktman, 2014; Shobert, 2015; Truong et al., 2014).</w:t>
            </w:r>
          </w:p>
          <w:p w14:paraId="070EC61C" w14:textId="77777777" w:rsidR="00BF65C0" w:rsidRDefault="00BF65C0">
            <w:pPr>
              <w:widowControl w:val="0"/>
              <w:spacing w:line="240" w:lineRule="auto"/>
            </w:pPr>
          </w:p>
          <w:p w14:paraId="5CD2DE96" w14:textId="77777777" w:rsidR="00BF65C0" w:rsidRDefault="00D2236E">
            <w:pPr>
              <w:widowControl w:val="0"/>
              <w:numPr>
                <w:ilvl w:val="0"/>
                <w:numId w:val="18"/>
              </w:numPr>
              <w:spacing w:line="240" w:lineRule="auto"/>
            </w:pPr>
            <w:r>
              <w:t>Compensate for lack of brick-and-mortar and physical patient care facilities in rural locations by craft a diversity and inclusion product positioning and customer segmentation strategy to cater to indigenous populations in the “Fourth World” who are prevalent in remote locations in the United States (Hooley et al., 2018; Tanner &amp; Raymond, 2010; “Diversity and Inclusion”, 2018; Levitz &amp; Bauerlei, 2017).</w:t>
            </w:r>
          </w:p>
          <w:p w14:paraId="20B20619" w14:textId="77777777" w:rsidR="00BF65C0" w:rsidRDefault="00BF65C0">
            <w:pPr>
              <w:widowControl w:val="0"/>
              <w:spacing w:line="240" w:lineRule="auto"/>
            </w:pPr>
          </w:p>
          <w:p w14:paraId="68A0AC3F" w14:textId="77777777" w:rsidR="00BF65C0" w:rsidRDefault="00D2236E">
            <w:pPr>
              <w:widowControl w:val="0"/>
              <w:numPr>
                <w:ilvl w:val="0"/>
                <w:numId w:val="18"/>
              </w:numPr>
              <w:spacing w:line="240" w:lineRule="auto"/>
            </w:pPr>
            <w:r>
              <w:t xml:space="preserve">Compensate for lack of brick-and-mortar and physical patient care facilities abroad by expand markets to neighboring countries such as Canada, which has a single-payer universal healthcare system, in order to attract middle class, upper-middle class, and wealthy potential patients who may not be willing to endure waiting times in the Canadian healthcare system. Marketing to this segment would also entail showcasing instantaneous access to primary care via telemedicine is an attractive option for those in Canada who are unable to schedule primary care visits to a general practitioner due to physician shortages in North America (Islam, 2014).  </w:t>
            </w:r>
          </w:p>
        </w:tc>
        <w:tc>
          <w:tcPr>
            <w:tcW w:w="4680" w:type="dxa"/>
            <w:shd w:val="clear" w:color="auto" w:fill="auto"/>
            <w:tcMar>
              <w:top w:w="100" w:type="dxa"/>
              <w:left w:w="100" w:type="dxa"/>
              <w:bottom w:w="100" w:type="dxa"/>
              <w:right w:w="100" w:type="dxa"/>
            </w:tcMar>
          </w:tcPr>
          <w:p w14:paraId="76FCCB71" w14:textId="77777777" w:rsidR="00BF65C0" w:rsidRDefault="00D2236E" w:rsidP="00F30DC5">
            <w:pPr>
              <w:widowControl w:val="0"/>
              <w:pBdr>
                <w:top w:val="nil"/>
                <w:left w:val="nil"/>
                <w:bottom w:val="nil"/>
                <w:right w:val="nil"/>
                <w:between w:val="nil"/>
              </w:pBdr>
              <w:spacing w:line="240" w:lineRule="auto"/>
              <w:jc w:val="center"/>
              <w:rPr>
                <w:b/>
              </w:rPr>
            </w:pPr>
            <w:r>
              <w:rPr>
                <w:b/>
              </w:rPr>
              <w:lastRenderedPageBreak/>
              <w:t>Minimize weaknesses and avoid threats</w:t>
            </w:r>
          </w:p>
          <w:p w14:paraId="5B15B718" w14:textId="77777777" w:rsidR="00F30DC5" w:rsidRDefault="00F30DC5" w:rsidP="00F30DC5">
            <w:pPr>
              <w:widowControl w:val="0"/>
              <w:pBdr>
                <w:top w:val="nil"/>
                <w:left w:val="nil"/>
                <w:bottom w:val="nil"/>
                <w:right w:val="nil"/>
                <w:between w:val="nil"/>
              </w:pBdr>
              <w:spacing w:line="240" w:lineRule="auto"/>
              <w:jc w:val="center"/>
              <w:rPr>
                <w:b/>
              </w:rPr>
            </w:pPr>
          </w:p>
          <w:p w14:paraId="6B1DF619" w14:textId="77777777" w:rsidR="00BF65C0" w:rsidRDefault="00BF65C0">
            <w:pPr>
              <w:widowControl w:val="0"/>
              <w:pBdr>
                <w:top w:val="nil"/>
                <w:left w:val="nil"/>
                <w:bottom w:val="nil"/>
                <w:right w:val="nil"/>
                <w:between w:val="nil"/>
              </w:pBdr>
              <w:spacing w:line="240" w:lineRule="auto"/>
            </w:pPr>
          </w:p>
          <w:p w14:paraId="777709E0"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1.</w:t>
            </w:r>
            <w:r>
              <w:rPr>
                <w:color w:val="7802B5"/>
              </w:rPr>
              <w:t xml:space="preserve"> </w:t>
            </w:r>
            <w:r>
              <w:rPr>
                <w:b/>
                <w:color w:val="7802B5"/>
              </w:rPr>
              <w:t>Close Out Poor Revenue-Generating Products while Maintaining Internal Career Mobility to Buttress Retention and Talent Development and Ward Off Talent Poaching from Competitors</w:t>
            </w:r>
          </w:p>
          <w:p w14:paraId="2CC2CCB0" w14:textId="77777777" w:rsidR="00BF65C0" w:rsidRDefault="00BF65C0">
            <w:pPr>
              <w:widowControl w:val="0"/>
              <w:pBdr>
                <w:top w:val="nil"/>
                <w:left w:val="nil"/>
                <w:bottom w:val="nil"/>
                <w:right w:val="nil"/>
                <w:between w:val="nil"/>
              </w:pBdr>
              <w:spacing w:line="240" w:lineRule="auto"/>
              <w:rPr>
                <w:b/>
                <w:color w:val="9900FF"/>
              </w:rPr>
            </w:pPr>
          </w:p>
          <w:p w14:paraId="48334E95"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28C7B82F" wp14:editId="10F1BBA5">
                  <wp:extent cx="995363" cy="995363"/>
                  <wp:effectExtent l="0" t="0" r="0" b="0"/>
                  <wp:docPr id="3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2"/>
                          <a:srcRect/>
                          <a:stretch>
                            <a:fillRect/>
                          </a:stretch>
                        </pic:blipFill>
                        <pic:spPr>
                          <a:xfrm>
                            <a:off x="0" y="0"/>
                            <a:ext cx="995363" cy="995363"/>
                          </a:xfrm>
                          <a:prstGeom prst="rect">
                            <a:avLst/>
                          </a:prstGeom>
                          <a:ln/>
                        </pic:spPr>
                      </pic:pic>
                    </a:graphicData>
                  </a:graphic>
                </wp:inline>
              </w:drawing>
            </w:r>
          </w:p>
          <w:p w14:paraId="735A9161" w14:textId="77777777" w:rsidR="00BF65C0" w:rsidRDefault="00BF65C0">
            <w:pPr>
              <w:widowControl w:val="0"/>
              <w:pBdr>
                <w:top w:val="nil"/>
                <w:left w:val="nil"/>
                <w:bottom w:val="nil"/>
                <w:right w:val="nil"/>
                <w:between w:val="nil"/>
              </w:pBdr>
              <w:spacing w:line="240" w:lineRule="auto"/>
              <w:jc w:val="center"/>
              <w:rPr>
                <w:b/>
                <w:color w:val="9900FF"/>
              </w:rPr>
            </w:pPr>
          </w:p>
          <w:p w14:paraId="74881B9D" w14:textId="77777777" w:rsidR="00BF65C0" w:rsidRDefault="00BF65C0">
            <w:pPr>
              <w:widowControl w:val="0"/>
              <w:pBdr>
                <w:top w:val="nil"/>
                <w:left w:val="nil"/>
                <w:bottom w:val="nil"/>
                <w:right w:val="nil"/>
                <w:between w:val="nil"/>
              </w:pBdr>
              <w:spacing w:line="240" w:lineRule="auto"/>
              <w:jc w:val="center"/>
              <w:rPr>
                <w:b/>
                <w:color w:val="9900FF"/>
              </w:rPr>
            </w:pPr>
          </w:p>
          <w:p w14:paraId="24984D19" w14:textId="77777777" w:rsidR="00BF65C0" w:rsidRDefault="00D2236E">
            <w:pPr>
              <w:widowControl w:val="0"/>
              <w:numPr>
                <w:ilvl w:val="0"/>
                <w:numId w:val="13"/>
              </w:numPr>
              <w:pBdr>
                <w:top w:val="nil"/>
                <w:left w:val="nil"/>
                <w:bottom w:val="nil"/>
                <w:right w:val="nil"/>
                <w:between w:val="nil"/>
              </w:pBdr>
              <w:spacing w:line="240" w:lineRule="auto"/>
            </w:pPr>
            <w:r>
              <w:t>Poor-performing services in newly acquired institutions, such as Brooklyn’s Lutheran Hospital, will be shuttered in a cross-functional collaboration between Strategy &amp; Business Development, Human Resources, Finance, Hospital Operations, and Real Estate Development &amp; Facilities and the US Department for Urban Housing and Development. In particular, Shore Hill, Harbor Hill, and Sunset Gardens, which are retirement housing projects for seniors, will be phased out and replaced with ambulatory sites to complement in-patient sites in Brooklyn.</w:t>
            </w:r>
          </w:p>
          <w:p w14:paraId="01D283B0" w14:textId="77777777" w:rsidR="00BF65C0" w:rsidRDefault="00BF65C0">
            <w:pPr>
              <w:widowControl w:val="0"/>
              <w:pBdr>
                <w:top w:val="nil"/>
                <w:left w:val="nil"/>
                <w:bottom w:val="nil"/>
                <w:right w:val="nil"/>
                <w:between w:val="nil"/>
              </w:pBdr>
              <w:spacing w:line="240" w:lineRule="auto"/>
            </w:pPr>
          </w:p>
          <w:p w14:paraId="0412B4FB" w14:textId="77777777" w:rsidR="00BF65C0" w:rsidRDefault="00BF65C0">
            <w:pPr>
              <w:widowControl w:val="0"/>
              <w:pBdr>
                <w:top w:val="nil"/>
                <w:left w:val="nil"/>
                <w:bottom w:val="nil"/>
                <w:right w:val="nil"/>
                <w:between w:val="nil"/>
              </w:pBdr>
              <w:spacing w:line="240" w:lineRule="auto"/>
            </w:pPr>
          </w:p>
          <w:p w14:paraId="5CB5C3F2" w14:textId="77777777" w:rsidR="00BF65C0" w:rsidRDefault="00D2236E">
            <w:pPr>
              <w:widowControl w:val="0"/>
              <w:numPr>
                <w:ilvl w:val="0"/>
                <w:numId w:val="13"/>
              </w:numPr>
              <w:pBdr>
                <w:top w:val="nil"/>
                <w:left w:val="nil"/>
                <w:bottom w:val="nil"/>
                <w:right w:val="nil"/>
                <w:between w:val="nil"/>
              </w:pBdr>
              <w:spacing w:line="240" w:lineRule="auto"/>
            </w:pPr>
            <w:r>
              <w:t xml:space="preserve">Create Internal Career Mobility team with Avature as the internal career mobility system (Kaur, 2015) in Human Resources’ Talent Acquisition department in order to ensure current employees losing their job in poor-performing facilities will have jobs to transfer into. This cultivation of internal talent mobility through a dedicated team and with the </w:t>
            </w:r>
            <w:r>
              <w:lastRenderedPageBreak/>
              <w:t>assistance of an internal talent mobility platform would ensure that NYU Langone Health does not lose its most valuable assets, its employees, to other academic health systems such as Mount Sinai Hospital, New York Presbyterian Hospital (Columbia and Cornell University Hospitals), and Northwell Health (Chugh &amp; Bhatnagar, 2006).</w:t>
            </w:r>
          </w:p>
          <w:p w14:paraId="442B05AD" w14:textId="77777777" w:rsidR="00BF65C0" w:rsidRDefault="00BF65C0" w:rsidP="00F30DC5">
            <w:pPr>
              <w:widowControl w:val="0"/>
              <w:pBdr>
                <w:top w:val="nil"/>
                <w:left w:val="nil"/>
                <w:bottom w:val="nil"/>
                <w:right w:val="nil"/>
                <w:between w:val="nil"/>
              </w:pBdr>
              <w:spacing w:line="240" w:lineRule="auto"/>
            </w:pPr>
          </w:p>
          <w:p w14:paraId="4185A88C" w14:textId="77777777" w:rsidR="00BF65C0" w:rsidRDefault="00BF65C0">
            <w:pPr>
              <w:widowControl w:val="0"/>
              <w:pBdr>
                <w:top w:val="nil"/>
                <w:left w:val="nil"/>
                <w:bottom w:val="nil"/>
                <w:right w:val="nil"/>
                <w:between w:val="nil"/>
              </w:pBdr>
              <w:spacing w:line="240" w:lineRule="auto"/>
              <w:ind w:left="720"/>
            </w:pPr>
          </w:p>
          <w:p w14:paraId="3F9FCF83"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2. Terminate Repeat Offenders and Violators of Legal and Organizational Policy Workplace Protections &amp; Demonstrate Change Agility vis-a-vis #MeToo</w:t>
            </w:r>
          </w:p>
          <w:p w14:paraId="70E8A775" w14:textId="77777777" w:rsidR="00BF65C0" w:rsidRDefault="00BF65C0">
            <w:pPr>
              <w:widowControl w:val="0"/>
              <w:pBdr>
                <w:top w:val="nil"/>
                <w:left w:val="nil"/>
                <w:bottom w:val="nil"/>
                <w:right w:val="nil"/>
                <w:between w:val="nil"/>
              </w:pBdr>
              <w:spacing w:line="240" w:lineRule="auto"/>
              <w:jc w:val="center"/>
              <w:rPr>
                <w:b/>
                <w:color w:val="7802B5"/>
              </w:rPr>
            </w:pPr>
          </w:p>
          <w:p w14:paraId="286D2FA9"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24B850E1" wp14:editId="4E039A75">
                  <wp:extent cx="818969" cy="995363"/>
                  <wp:effectExtent l="0" t="0" r="0" b="0"/>
                  <wp:docPr id="2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3"/>
                          <a:srcRect/>
                          <a:stretch>
                            <a:fillRect/>
                          </a:stretch>
                        </pic:blipFill>
                        <pic:spPr>
                          <a:xfrm>
                            <a:off x="0" y="0"/>
                            <a:ext cx="818969" cy="995363"/>
                          </a:xfrm>
                          <a:prstGeom prst="rect">
                            <a:avLst/>
                          </a:prstGeom>
                          <a:ln/>
                        </pic:spPr>
                      </pic:pic>
                    </a:graphicData>
                  </a:graphic>
                </wp:inline>
              </w:drawing>
            </w:r>
          </w:p>
          <w:p w14:paraId="7FCA3F7B" w14:textId="77777777" w:rsidR="00BF65C0" w:rsidRDefault="00BF65C0">
            <w:pPr>
              <w:widowControl w:val="0"/>
              <w:pBdr>
                <w:top w:val="nil"/>
                <w:left w:val="nil"/>
                <w:bottom w:val="nil"/>
                <w:right w:val="nil"/>
                <w:between w:val="nil"/>
              </w:pBdr>
              <w:spacing w:line="240" w:lineRule="auto"/>
              <w:jc w:val="center"/>
              <w:rPr>
                <w:b/>
                <w:color w:val="9900FF"/>
              </w:rPr>
            </w:pPr>
          </w:p>
          <w:p w14:paraId="0CF250C4" w14:textId="77777777" w:rsidR="00BF65C0" w:rsidRDefault="00D2236E">
            <w:pPr>
              <w:widowControl w:val="0"/>
              <w:numPr>
                <w:ilvl w:val="0"/>
                <w:numId w:val="27"/>
              </w:numPr>
              <w:pBdr>
                <w:top w:val="nil"/>
                <w:left w:val="nil"/>
                <w:bottom w:val="nil"/>
                <w:right w:val="nil"/>
                <w:between w:val="nil"/>
              </w:pBdr>
              <w:spacing w:line="240" w:lineRule="auto"/>
            </w:pPr>
            <w:r>
              <w:t xml:space="preserve">In pursuit of greater compliance with existing workplace protections emanating from the local-, state-, and federal-levels and in pursuit of a workplace culture of culture and employee engagement, poor performers as defined by failing to abide by workplace protection laws and the organizational anti-discrimination policy would be terminated from the organization (Sheets &amp; Ting, 1988). </w:t>
            </w:r>
          </w:p>
          <w:p w14:paraId="47112514" w14:textId="77777777" w:rsidR="00BF65C0" w:rsidRDefault="00BF65C0">
            <w:pPr>
              <w:widowControl w:val="0"/>
              <w:pBdr>
                <w:top w:val="nil"/>
                <w:left w:val="nil"/>
                <w:bottom w:val="nil"/>
                <w:right w:val="nil"/>
                <w:between w:val="nil"/>
              </w:pBdr>
              <w:spacing w:line="240" w:lineRule="auto"/>
            </w:pPr>
          </w:p>
          <w:p w14:paraId="77C83ABE" w14:textId="77777777" w:rsidR="00BF65C0" w:rsidRDefault="00BF65C0">
            <w:pPr>
              <w:widowControl w:val="0"/>
              <w:pBdr>
                <w:top w:val="nil"/>
                <w:left w:val="nil"/>
                <w:bottom w:val="nil"/>
                <w:right w:val="nil"/>
                <w:between w:val="nil"/>
              </w:pBdr>
              <w:spacing w:line="240" w:lineRule="auto"/>
            </w:pPr>
          </w:p>
          <w:p w14:paraId="578279FE" w14:textId="77777777" w:rsidR="00BF65C0" w:rsidRDefault="00D2236E" w:rsidP="00F30DC5">
            <w:pPr>
              <w:widowControl w:val="0"/>
              <w:numPr>
                <w:ilvl w:val="0"/>
                <w:numId w:val="27"/>
              </w:numPr>
              <w:pBdr>
                <w:top w:val="nil"/>
                <w:left w:val="nil"/>
                <w:bottom w:val="nil"/>
                <w:right w:val="nil"/>
                <w:between w:val="nil"/>
              </w:pBdr>
              <w:spacing w:line="240" w:lineRule="auto"/>
            </w:pPr>
            <w:r>
              <w:t>This act would demonstrate organizational change agility during the Fourth Wave of Feminism in the #MeToo movement (Gill &amp; Orgad, 2018) that seeks to combat sexual harassment by specifically voicing out concerns within or in relation to the workplace in a digital fashion (Mendes et al., 2018).</w:t>
            </w:r>
          </w:p>
          <w:p w14:paraId="438EDF90" w14:textId="77777777" w:rsidR="00F30DC5" w:rsidRDefault="00F30DC5" w:rsidP="00F30DC5">
            <w:pPr>
              <w:widowControl w:val="0"/>
              <w:pBdr>
                <w:top w:val="nil"/>
                <w:left w:val="nil"/>
                <w:bottom w:val="nil"/>
                <w:right w:val="nil"/>
                <w:between w:val="nil"/>
              </w:pBdr>
              <w:spacing w:line="240" w:lineRule="auto"/>
            </w:pPr>
          </w:p>
          <w:p w14:paraId="5B236C6E"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lastRenderedPageBreak/>
              <w:t>3.</w:t>
            </w:r>
            <w:r>
              <w:rPr>
                <w:color w:val="7802B5"/>
              </w:rPr>
              <w:t xml:space="preserve"> </w:t>
            </w:r>
            <w:r>
              <w:rPr>
                <w:b/>
                <w:color w:val="7802B5"/>
              </w:rPr>
              <w:t>Institute a Zero-Tolerance Policy for Sexual Harassment &amp; Mandate Required Organizational Learning on Prevention</w:t>
            </w:r>
          </w:p>
          <w:p w14:paraId="79039EFC" w14:textId="77777777" w:rsidR="00F30DC5" w:rsidRDefault="00F30DC5">
            <w:pPr>
              <w:widowControl w:val="0"/>
              <w:pBdr>
                <w:top w:val="nil"/>
                <w:left w:val="nil"/>
                <w:bottom w:val="nil"/>
                <w:right w:val="nil"/>
                <w:between w:val="nil"/>
              </w:pBdr>
              <w:spacing w:line="240" w:lineRule="auto"/>
              <w:jc w:val="center"/>
              <w:rPr>
                <w:b/>
                <w:color w:val="7802B5"/>
              </w:rPr>
            </w:pPr>
          </w:p>
          <w:p w14:paraId="1AF72063" w14:textId="77777777" w:rsidR="00F30DC5" w:rsidRDefault="00F30DC5">
            <w:pPr>
              <w:widowControl w:val="0"/>
              <w:pBdr>
                <w:top w:val="nil"/>
                <w:left w:val="nil"/>
                <w:bottom w:val="nil"/>
                <w:right w:val="nil"/>
                <w:between w:val="nil"/>
              </w:pBdr>
              <w:spacing w:line="240" w:lineRule="auto"/>
              <w:jc w:val="center"/>
              <w:rPr>
                <w:b/>
                <w:color w:val="7802B5"/>
              </w:rPr>
            </w:pPr>
          </w:p>
          <w:p w14:paraId="15A22CBE"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7B4968B8" wp14:editId="4A436277">
                  <wp:extent cx="1128713" cy="1128713"/>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4"/>
                          <a:srcRect/>
                          <a:stretch>
                            <a:fillRect/>
                          </a:stretch>
                        </pic:blipFill>
                        <pic:spPr>
                          <a:xfrm>
                            <a:off x="0" y="0"/>
                            <a:ext cx="1128713" cy="1128713"/>
                          </a:xfrm>
                          <a:prstGeom prst="rect">
                            <a:avLst/>
                          </a:prstGeom>
                          <a:ln/>
                        </pic:spPr>
                      </pic:pic>
                    </a:graphicData>
                  </a:graphic>
                </wp:inline>
              </w:drawing>
            </w:r>
          </w:p>
          <w:p w14:paraId="099B2009" w14:textId="77777777" w:rsidR="00BF65C0" w:rsidRDefault="00BF65C0">
            <w:pPr>
              <w:widowControl w:val="0"/>
              <w:pBdr>
                <w:top w:val="nil"/>
                <w:left w:val="nil"/>
                <w:bottom w:val="nil"/>
                <w:right w:val="nil"/>
                <w:between w:val="nil"/>
              </w:pBdr>
              <w:spacing w:line="240" w:lineRule="auto"/>
              <w:jc w:val="center"/>
              <w:rPr>
                <w:b/>
                <w:color w:val="9900FF"/>
              </w:rPr>
            </w:pPr>
          </w:p>
          <w:p w14:paraId="1F28B6CA" w14:textId="77777777" w:rsidR="00BF65C0" w:rsidRDefault="00D2236E">
            <w:pPr>
              <w:widowControl w:val="0"/>
              <w:numPr>
                <w:ilvl w:val="0"/>
                <w:numId w:val="25"/>
              </w:numPr>
              <w:pBdr>
                <w:top w:val="nil"/>
                <w:left w:val="nil"/>
                <w:bottom w:val="nil"/>
                <w:right w:val="nil"/>
                <w:between w:val="nil"/>
              </w:pBdr>
              <w:spacing w:line="240" w:lineRule="auto"/>
            </w:pPr>
            <w:r>
              <w:t>Decrease discrimination and harassment cases by fostering greater compliance with regulatory bodies and their regulations. For instance, sexual harassment and the cases that correspond to them can be decreased through leveraging required organizational learning in the Organizational Development &amp; Learning function in Human Resources. Additionally, instituting a zero-tolerance policy for sexual harassment can be designed and implemented by Human Resource’s Employee and Labor Relations (Bates et al., 2018).</w:t>
            </w:r>
          </w:p>
          <w:p w14:paraId="77F91BBA" w14:textId="77777777" w:rsidR="00BF65C0" w:rsidRDefault="00BF65C0">
            <w:pPr>
              <w:widowControl w:val="0"/>
              <w:pBdr>
                <w:top w:val="nil"/>
                <w:left w:val="nil"/>
                <w:bottom w:val="nil"/>
                <w:right w:val="nil"/>
                <w:between w:val="nil"/>
              </w:pBdr>
              <w:spacing w:line="240" w:lineRule="auto"/>
            </w:pPr>
          </w:p>
          <w:p w14:paraId="2AA99F30" w14:textId="77777777" w:rsidR="00BF65C0" w:rsidRDefault="00BF65C0">
            <w:pPr>
              <w:widowControl w:val="0"/>
              <w:pBdr>
                <w:top w:val="nil"/>
                <w:left w:val="nil"/>
                <w:bottom w:val="nil"/>
                <w:right w:val="nil"/>
                <w:between w:val="nil"/>
              </w:pBdr>
              <w:spacing w:line="240" w:lineRule="auto"/>
            </w:pPr>
          </w:p>
          <w:p w14:paraId="484CCE93" w14:textId="77777777" w:rsidR="00BF65C0" w:rsidRDefault="00BF65C0">
            <w:pPr>
              <w:widowControl w:val="0"/>
              <w:pBdr>
                <w:top w:val="nil"/>
                <w:left w:val="nil"/>
                <w:bottom w:val="nil"/>
                <w:right w:val="nil"/>
                <w:between w:val="nil"/>
              </w:pBdr>
              <w:spacing w:line="240" w:lineRule="auto"/>
            </w:pPr>
          </w:p>
          <w:p w14:paraId="459DCAF3" w14:textId="77777777" w:rsidR="00BF65C0" w:rsidRDefault="00D2236E">
            <w:pPr>
              <w:widowControl w:val="0"/>
              <w:pBdr>
                <w:top w:val="nil"/>
                <w:left w:val="nil"/>
                <w:bottom w:val="nil"/>
                <w:right w:val="nil"/>
                <w:between w:val="nil"/>
              </w:pBdr>
              <w:spacing w:line="240" w:lineRule="auto"/>
              <w:jc w:val="center"/>
              <w:rPr>
                <w:b/>
                <w:color w:val="7802B5"/>
              </w:rPr>
            </w:pPr>
            <w:r>
              <w:rPr>
                <w:b/>
                <w:color w:val="7802B5"/>
              </w:rPr>
              <w:t>4. Bolster Bias-Reporting to React Swiftly to Hate Crimes in the Workplace</w:t>
            </w:r>
          </w:p>
          <w:p w14:paraId="517F952F" w14:textId="77777777" w:rsidR="00F30DC5" w:rsidRDefault="00F30DC5">
            <w:pPr>
              <w:widowControl w:val="0"/>
              <w:pBdr>
                <w:top w:val="nil"/>
                <w:left w:val="nil"/>
                <w:bottom w:val="nil"/>
                <w:right w:val="nil"/>
                <w:between w:val="nil"/>
              </w:pBdr>
              <w:spacing w:line="240" w:lineRule="auto"/>
              <w:jc w:val="center"/>
              <w:rPr>
                <w:b/>
                <w:color w:val="7802B5"/>
              </w:rPr>
            </w:pPr>
          </w:p>
          <w:p w14:paraId="268AFBCD" w14:textId="77777777" w:rsidR="00BF65C0" w:rsidRDefault="00D2236E">
            <w:pPr>
              <w:widowControl w:val="0"/>
              <w:pBdr>
                <w:top w:val="nil"/>
                <w:left w:val="nil"/>
                <w:bottom w:val="nil"/>
                <w:right w:val="nil"/>
                <w:between w:val="nil"/>
              </w:pBdr>
              <w:spacing w:line="240" w:lineRule="auto"/>
              <w:jc w:val="center"/>
              <w:rPr>
                <w:b/>
                <w:color w:val="9900FF"/>
              </w:rPr>
            </w:pPr>
            <w:r>
              <w:rPr>
                <w:b/>
                <w:noProof/>
                <w:color w:val="9900FF"/>
                <w:lang w:val="en-US"/>
              </w:rPr>
              <w:drawing>
                <wp:inline distT="114300" distB="114300" distL="114300" distR="114300" wp14:anchorId="16254061" wp14:editId="2E239837">
                  <wp:extent cx="1436346" cy="99536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5"/>
                          <a:srcRect/>
                          <a:stretch>
                            <a:fillRect/>
                          </a:stretch>
                        </pic:blipFill>
                        <pic:spPr>
                          <a:xfrm>
                            <a:off x="0" y="0"/>
                            <a:ext cx="1436346" cy="995363"/>
                          </a:xfrm>
                          <a:prstGeom prst="rect">
                            <a:avLst/>
                          </a:prstGeom>
                          <a:ln/>
                        </pic:spPr>
                      </pic:pic>
                    </a:graphicData>
                  </a:graphic>
                </wp:inline>
              </w:drawing>
            </w:r>
          </w:p>
          <w:p w14:paraId="3CEAA524" w14:textId="77777777" w:rsidR="00F30DC5" w:rsidRDefault="00F30DC5">
            <w:pPr>
              <w:widowControl w:val="0"/>
              <w:pBdr>
                <w:top w:val="nil"/>
                <w:left w:val="nil"/>
                <w:bottom w:val="nil"/>
                <w:right w:val="nil"/>
                <w:between w:val="nil"/>
              </w:pBdr>
              <w:spacing w:line="240" w:lineRule="auto"/>
              <w:jc w:val="center"/>
              <w:rPr>
                <w:b/>
                <w:color w:val="9900FF"/>
              </w:rPr>
            </w:pPr>
          </w:p>
          <w:p w14:paraId="10CE1C5D" w14:textId="77777777" w:rsidR="00BF65C0" w:rsidRDefault="00BF65C0">
            <w:pPr>
              <w:widowControl w:val="0"/>
              <w:pBdr>
                <w:top w:val="nil"/>
                <w:left w:val="nil"/>
                <w:bottom w:val="nil"/>
                <w:right w:val="nil"/>
                <w:between w:val="nil"/>
              </w:pBdr>
              <w:spacing w:line="240" w:lineRule="auto"/>
              <w:jc w:val="center"/>
              <w:rPr>
                <w:b/>
                <w:color w:val="9900FF"/>
              </w:rPr>
            </w:pPr>
          </w:p>
          <w:p w14:paraId="4E22DDCC" w14:textId="77777777" w:rsidR="00BF65C0" w:rsidRDefault="00D2236E">
            <w:pPr>
              <w:widowControl w:val="0"/>
              <w:numPr>
                <w:ilvl w:val="0"/>
                <w:numId w:val="27"/>
              </w:numPr>
              <w:pBdr>
                <w:top w:val="nil"/>
                <w:left w:val="nil"/>
                <w:bottom w:val="nil"/>
                <w:right w:val="nil"/>
                <w:between w:val="nil"/>
              </w:pBdr>
              <w:spacing w:line="240" w:lineRule="auto"/>
            </w:pPr>
            <w:r>
              <w:t xml:space="preserve">Bolster bias-reporting as a diversity and inclusion and employee relations functions in Human Resources through the institution of redundancies in bias reporting, which can be done online or in-person across multiple </w:t>
            </w:r>
            <w:r>
              <w:lastRenderedPageBreak/>
              <w:t xml:space="preserve">stakeholders across the health system’s various mission areas of patient care, research, education, and corporate. </w:t>
            </w:r>
          </w:p>
          <w:p w14:paraId="2AA3B5ED" w14:textId="77777777" w:rsidR="00BF65C0" w:rsidRDefault="00BF65C0">
            <w:pPr>
              <w:widowControl w:val="0"/>
              <w:pBdr>
                <w:top w:val="nil"/>
                <w:left w:val="nil"/>
                <w:bottom w:val="nil"/>
                <w:right w:val="nil"/>
                <w:between w:val="nil"/>
              </w:pBdr>
              <w:spacing w:line="240" w:lineRule="auto"/>
              <w:ind w:left="720"/>
            </w:pPr>
          </w:p>
          <w:p w14:paraId="6586FE44" w14:textId="77777777" w:rsidR="00BF65C0" w:rsidRDefault="00BF65C0">
            <w:pPr>
              <w:widowControl w:val="0"/>
              <w:pBdr>
                <w:top w:val="nil"/>
                <w:left w:val="nil"/>
                <w:bottom w:val="nil"/>
                <w:right w:val="nil"/>
                <w:between w:val="nil"/>
              </w:pBdr>
              <w:spacing w:line="240" w:lineRule="auto"/>
              <w:ind w:left="720"/>
            </w:pPr>
          </w:p>
          <w:p w14:paraId="06D56740" w14:textId="77777777" w:rsidR="00BF65C0" w:rsidRDefault="00D2236E">
            <w:pPr>
              <w:widowControl w:val="0"/>
              <w:numPr>
                <w:ilvl w:val="0"/>
                <w:numId w:val="27"/>
              </w:numPr>
              <w:pBdr>
                <w:top w:val="nil"/>
                <w:left w:val="nil"/>
                <w:bottom w:val="nil"/>
                <w:right w:val="nil"/>
                <w:between w:val="nil"/>
              </w:pBdr>
              <w:spacing w:line="240" w:lineRule="auto"/>
            </w:pPr>
            <w:r>
              <w:t xml:space="preserve">This would ensure that there is infrastructure and a culture of trust in place, which is pivotal to cultivating a sense of belonging for diverse employee populations as the organization can learn about and react swiftly on high-profile incidences, such as hate crimes against underserved populations, which has increased with upticks in xenophobic, sexist, racist, homophobic, and ablesit rhetoric during the Donald Trump presidency (Ott, 2016; Harnish, 2017; Goodley &amp; Lawthom, 2019). </w:t>
            </w:r>
          </w:p>
          <w:p w14:paraId="43E6AEFB" w14:textId="77777777" w:rsidR="00BF65C0" w:rsidRDefault="00BF65C0">
            <w:pPr>
              <w:widowControl w:val="0"/>
              <w:pBdr>
                <w:top w:val="nil"/>
                <w:left w:val="nil"/>
                <w:bottom w:val="nil"/>
                <w:right w:val="nil"/>
                <w:between w:val="nil"/>
              </w:pBdr>
              <w:spacing w:line="240" w:lineRule="auto"/>
            </w:pPr>
          </w:p>
          <w:p w14:paraId="03D3BDE3" w14:textId="77777777" w:rsidR="00BF65C0" w:rsidRDefault="00BF65C0">
            <w:pPr>
              <w:widowControl w:val="0"/>
              <w:pBdr>
                <w:top w:val="nil"/>
                <w:left w:val="nil"/>
                <w:bottom w:val="nil"/>
                <w:right w:val="nil"/>
                <w:between w:val="nil"/>
              </w:pBdr>
              <w:spacing w:line="240" w:lineRule="auto"/>
            </w:pPr>
          </w:p>
          <w:p w14:paraId="6D2853C0" w14:textId="77777777" w:rsidR="00BF65C0" w:rsidRDefault="00D2236E">
            <w:pPr>
              <w:widowControl w:val="0"/>
              <w:numPr>
                <w:ilvl w:val="0"/>
                <w:numId w:val="27"/>
              </w:numPr>
              <w:pBdr>
                <w:top w:val="nil"/>
                <w:left w:val="nil"/>
                <w:bottom w:val="nil"/>
                <w:right w:val="nil"/>
                <w:between w:val="nil"/>
              </w:pBdr>
              <w:spacing w:line="240" w:lineRule="auto"/>
            </w:pPr>
            <w:r>
              <w:t>Taking this proactive approach would also prevent negative comments about the organization and its workplace culture in crowd-sourced employment-based social media networks, such as Glassdoor, where employees can read anonymously-written comments from employees on their experience working for and interacting with a given organization in all parts of the candidate and employee life-cycle (Pritchard, 2008).</w:t>
            </w:r>
          </w:p>
          <w:p w14:paraId="3F21E5FC" w14:textId="77777777" w:rsidR="00BF65C0" w:rsidRDefault="00BF65C0">
            <w:pPr>
              <w:widowControl w:val="0"/>
              <w:pBdr>
                <w:top w:val="nil"/>
                <w:left w:val="nil"/>
                <w:bottom w:val="nil"/>
                <w:right w:val="nil"/>
                <w:between w:val="nil"/>
              </w:pBdr>
              <w:spacing w:line="240" w:lineRule="auto"/>
            </w:pPr>
          </w:p>
        </w:tc>
      </w:tr>
    </w:tbl>
    <w:p w14:paraId="71E5045C" w14:textId="77777777" w:rsidR="00BF65C0" w:rsidRDefault="00BF65C0"/>
    <w:p w14:paraId="79E52D49" w14:textId="77777777" w:rsidR="00BF65C0" w:rsidRDefault="00BF65C0"/>
    <w:p w14:paraId="68075110" w14:textId="77777777" w:rsidR="00F30DC5" w:rsidRDefault="00F30DC5"/>
    <w:p w14:paraId="7BBDC347" w14:textId="77777777" w:rsidR="00F30DC5" w:rsidRDefault="00F30DC5"/>
    <w:p w14:paraId="39F96D49" w14:textId="77777777" w:rsidR="00F30DC5" w:rsidRDefault="00F30DC5"/>
    <w:p w14:paraId="30E251FA" w14:textId="77777777" w:rsidR="00F30DC5" w:rsidRDefault="00F30DC5"/>
    <w:p w14:paraId="756FB018" w14:textId="77777777" w:rsidR="00F30DC5" w:rsidRDefault="00F30DC5"/>
    <w:p w14:paraId="58C38579" w14:textId="77777777" w:rsidR="00F30DC5" w:rsidRDefault="00F30DC5"/>
    <w:p w14:paraId="5FE45D6E" w14:textId="77777777" w:rsidR="00F30DC5" w:rsidRDefault="00F30DC5"/>
    <w:p w14:paraId="160B48C7" w14:textId="77777777" w:rsidR="00F30DC5" w:rsidRDefault="00F30DC5"/>
    <w:p w14:paraId="49F3A899" w14:textId="77777777" w:rsidR="00BF65C0" w:rsidRDefault="00D2236E">
      <w:pPr>
        <w:jc w:val="center"/>
        <w:rPr>
          <w:b/>
        </w:rPr>
      </w:pPr>
      <w:r>
        <w:rPr>
          <w:b/>
        </w:rPr>
        <w:lastRenderedPageBreak/>
        <w:t>References</w:t>
      </w:r>
    </w:p>
    <w:p w14:paraId="2397D92A" w14:textId="77777777" w:rsidR="00BF65C0" w:rsidRDefault="00BF65C0"/>
    <w:p w14:paraId="1372E319" w14:textId="77777777" w:rsidR="00F30DC5" w:rsidRDefault="00D2236E">
      <w:r>
        <w:t xml:space="preserve">Adobor, H. &amp; McMullen, R., (2007). Supplier Diversity and Supply Chain Management: A </w:t>
      </w:r>
    </w:p>
    <w:p w14:paraId="397EEA75" w14:textId="77777777" w:rsidR="00BF65C0" w:rsidRDefault="00D2236E" w:rsidP="00E10284">
      <w:pPr>
        <w:ind w:left="720"/>
      </w:pPr>
      <w:r>
        <w:t xml:space="preserve">Strategic Approach. </w:t>
      </w:r>
      <w:r>
        <w:rPr>
          <w:i/>
        </w:rPr>
        <w:t>Business Horizons, 50</w:t>
      </w:r>
      <w:r>
        <w:t xml:space="preserve">(3), 219-229. Retrieved from </w:t>
      </w:r>
      <w:hyperlink r:id="rId46">
        <w:r>
          <w:rPr>
            <w:u w:val="single"/>
          </w:rPr>
          <w:t>https://doi.org/10.1016/j. bushor.2006.10.003</w:t>
        </w:r>
      </w:hyperlink>
      <w:r>
        <w:t xml:space="preserve"> . </w:t>
      </w:r>
    </w:p>
    <w:p w14:paraId="54F56311" w14:textId="77777777" w:rsidR="00BF65C0" w:rsidRDefault="00BF65C0"/>
    <w:p w14:paraId="64E677D6" w14:textId="77777777" w:rsidR="00BF65C0" w:rsidRDefault="00D2236E">
      <w:r>
        <w:t xml:space="preserve">Allcorn, S. (1990). Using Matrix Organization to Manage Health Care Delivery Organizations. </w:t>
      </w:r>
    </w:p>
    <w:p w14:paraId="789045D3" w14:textId="77777777" w:rsidR="00BF65C0" w:rsidRDefault="00D2236E">
      <w:pPr>
        <w:ind w:firstLine="720"/>
      </w:pPr>
      <w:r>
        <w:rPr>
          <w:i/>
        </w:rPr>
        <w:t>Hospital &amp; Health Services Administration, 35</w:t>
      </w:r>
      <w:r>
        <w:t xml:space="preserve">(4), 575. </w:t>
      </w:r>
    </w:p>
    <w:p w14:paraId="51D39DDF" w14:textId="77777777" w:rsidR="00BF65C0" w:rsidRDefault="00BF65C0"/>
    <w:p w14:paraId="3E5C5558" w14:textId="77777777" w:rsidR="00BF65C0" w:rsidRDefault="00D2236E">
      <w:r>
        <w:t xml:space="preserve">Amarasingham, R. Patzer, R.E., Heusch, M., Nguyen, N.Q., &amp; Xie, B. Implementing Electronic </w:t>
      </w:r>
    </w:p>
    <w:p w14:paraId="7742E8EE" w14:textId="77777777" w:rsidR="00BF65C0" w:rsidRDefault="00D2236E">
      <w:pPr>
        <w:ind w:left="720"/>
      </w:pPr>
      <w:r>
        <w:t xml:space="preserve">Health Care Predictive Analytics: Considerations and Challenges. </w:t>
      </w:r>
      <w:r>
        <w:rPr>
          <w:i/>
        </w:rPr>
        <w:t>Health Affairs Journal 33</w:t>
      </w:r>
      <w:r>
        <w:t xml:space="preserve">(7). Retrieved from </w:t>
      </w:r>
      <w:hyperlink r:id="rId47">
        <w:r>
          <w:rPr>
            <w:u w:val="single"/>
          </w:rPr>
          <w:t>https://doi.org/10.1377/hlthaff.2014.0352</w:t>
        </w:r>
      </w:hyperlink>
      <w:r>
        <w:t xml:space="preserve">. </w:t>
      </w:r>
    </w:p>
    <w:p w14:paraId="5CEEFC1A" w14:textId="77777777" w:rsidR="00BF65C0" w:rsidRDefault="00BF65C0"/>
    <w:p w14:paraId="574A6535" w14:textId="77777777" w:rsidR="00BF65C0" w:rsidRDefault="00D2236E">
      <w:r>
        <w:t xml:space="preserve">Andersen, O. (1997). Internationalization and Market Entry Mode: A Review of Theories and </w:t>
      </w:r>
    </w:p>
    <w:p w14:paraId="5C199471" w14:textId="77777777" w:rsidR="00BF65C0" w:rsidRDefault="00D2236E">
      <w:pPr>
        <w:ind w:left="720"/>
      </w:pPr>
      <w:r>
        <w:t xml:space="preserve">Conceptual Frameworks. </w:t>
      </w:r>
      <w:r>
        <w:rPr>
          <w:i/>
        </w:rPr>
        <w:t>MIR: Management International Review</w:t>
      </w:r>
      <w:r>
        <w:t xml:space="preserve">, </w:t>
      </w:r>
      <w:r>
        <w:rPr>
          <w:i/>
        </w:rPr>
        <w:t>37</w:t>
      </w:r>
      <w:r>
        <w:t xml:space="preserve">, 27-42. Retrieved from </w:t>
      </w:r>
      <w:hyperlink r:id="rId48" w:anchor="metadata_info_tab_contents">
        <w:r>
          <w:rPr>
            <w:u w:val="single"/>
          </w:rPr>
          <w:t>https://www.jstor.org/stable/40228431?casa_token=QdDcpDE2DZQAAAAA: 51hRXBFiRcHAy41u2K2Md6iGfVumE845PGB-5M0mcUfpjEPKSP43B5PCG-zKNae8RkkOS7_hFCrB9v5F--5UNCoAy74itWv768B9hau2m_gfxCTXhAeP&amp;seq=1#metadata_info_tab_contents</w:t>
        </w:r>
      </w:hyperlink>
      <w:r>
        <w:t xml:space="preserve">. </w:t>
      </w:r>
    </w:p>
    <w:p w14:paraId="5C60AC5C" w14:textId="77777777" w:rsidR="00BF65C0" w:rsidRDefault="00BF65C0"/>
    <w:p w14:paraId="03C12230" w14:textId="77777777" w:rsidR="00E10284" w:rsidRDefault="00D2236E" w:rsidP="00E10284">
      <w:r>
        <w:t xml:space="preserve">Anderson, J.G. &amp; Abrahamson, K. (2017). Your Health Care May Kill You: Medical Errors. </w:t>
      </w:r>
    </w:p>
    <w:p w14:paraId="234939F8" w14:textId="77777777" w:rsidR="00BF65C0" w:rsidRPr="00E10284" w:rsidRDefault="00D2236E" w:rsidP="00E10284">
      <w:pPr>
        <w:ind w:firstLine="720"/>
        <w:rPr>
          <w:i/>
        </w:rPr>
      </w:pPr>
      <w:r>
        <w:rPr>
          <w:i/>
        </w:rPr>
        <w:t>Studies in Health Technology and Informatics</w:t>
      </w:r>
      <w:r>
        <w:t xml:space="preserve">, 234, 13-17. </w:t>
      </w:r>
    </w:p>
    <w:p w14:paraId="4B41B137" w14:textId="77777777" w:rsidR="00BF65C0" w:rsidRDefault="00BF65C0"/>
    <w:p w14:paraId="323867D1" w14:textId="77777777" w:rsidR="00BF65C0" w:rsidRDefault="00D2236E">
      <w:r>
        <w:t xml:space="preserve">Aon Hewitt. (2017) Managing Engagement in Times of Change. New York: Aon Hewitt Talent, </w:t>
      </w:r>
    </w:p>
    <w:p w14:paraId="38F398CA" w14:textId="77777777" w:rsidR="00BF65C0" w:rsidRDefault="00D2236E">
      <w:pPr>
        <w:ind w:firstLine="720"/>
      </w:pPr>
      <w:r>
        <w:t>Rewards &amp; Performance.</w:t>
      </w:r>
    </w:p>
    <w:p w14:paraId="74394B61" w14:textId="77777777" w:rsidR="00BF65C0" w:rsidRDefault="00BF65C0">
      <w:pPr>
        <w:ind w:firstLine="720"/>
      </w:pPr>
    </w:p>
    <w:p w14:paraId="550DCBD0" w14:textId="77777777" w:rsidR="00BF65C0" w:rsidRDefault="00D2236E">
      <w:r>
        <w:t xml:space="preserve">ASQ. (2019). Quality in Healthcare: Kaizen Blitz Road Map. </w:t>
      </w:r>
      <w:r>
        <w:rPr>
          <w:i/>
        </w:rPr>
        <w:t>American Society for Quality</w:t>
      </w:r>
      <w:r>
        <w:t xml:space="preserve">. </w:t>
      </w:r>
    </w:p>
    <w:p w14:paraId="0D50C2E8" w14:textId="77777777" w:rsidR="00BF65C0" w:rsidRDefault="00D2236E">
      <w:pPr>
        <w:ind w:firstLine="720"/>
      </w:pPr>
      <w:r>
        <w:t xml:space="preserve">Retrieved from: </w:t>
      </w:r>
      <w:hyperlink r:id="rId49">
        <w:r>
          <w:rPr>
            <w:u w:val="single"/>
          </w:rPr>
          <w:t>http://asq.org/healthcare-use/why-quality/kaizen-blitz.html</w:t>
        </w:r>
      </w:hyperlink>
      <w:r>
        <w:t xml:space="preserve">.  </w:t>
      </w:r>
    </w:p>
    <w:p w14:paraId="6E51F7AC" w14:textId="77777777" w:rsidR="00BF65C0" w:rsidRDefault="00BF65C0"/>
    <w:p w14:paraId="599786EE" w14:textId="77777777" w:rsidR="00BF65C0" w:rsidRDefault="00D2236E">
      <w:r>
        <w:t xml:space="preserve">Baker, D., Day, R., &amp; Salas, E. (2006). Teamwork as an Essential Component of High Reliability </w:t>
      </w:r>
    </w:p>
    <w:p w14:paraId="252045A2" w14:textId="77777777" w:rsidR="00BF65C0" w:rsidRDefault="00D2236E">
      <w:pPr>
        <w:ind w:firstLine="720"/>
      </w:pPr>
      <w:r>
        <w:t xml:space="preserve">Organizations. </w:t>
      </w:r>
      <w:r>
        <w:rPr>
          <w:i/>
        </w:rPr>
        <w:t>Health Services Research 41</w:t>
      </w:r>
      <w:r>
        <w:t xml:space="preserve">(4p2), 1576-1598. </w:t>
      </w:r>
    </w:p>
    <w:p w14:paraId="621C2447" w14:textId="77777777" w:rsidR="00BF65C0" w:rsidRDefault="00BF65C0"/>
    <w:p w14:paraId="6CA89C1F" w14:textId="77777777" w:rsidR="00BF65C0" w:rsidRDefault="00D2236E">
      <w:r>
        <w:t xml:space="preserve">Bakker, A.B. (2010). Engagement and “Job Crafting”: Engaged Employees Create Their Own </w:t>
      </w:r>
    </w:p>
    <w:p w14:paraId="1B7A336C" w14:textId="77777777" w:rsidR="00BF65C0" w:rsidRDefault="00D2236E">
      <w:pPr>
        <w:ind w:left="720"/>
      </w:pPr>
      <w:r>
        <w:t xml:space="preserve">Great Place to Work. In Albrecht, S.L. </w:t>
      </w:r>
      <w:r>
        <w:rPr>
          <w:i/>
        </w:rPr>
        <w:t>New Horizons in Management: Handbook of Employee Engagement Perspectives, Issues, Research, and Practice</w:t>
      </w:r>
      <w:r>
        <w:t xml:space="preserve">. Northampton, MA: Edward Elgar Publishing. Retrieved from </w:t>
      </w:r>
      <w:hyperlink r:id="rId50">
        <w:r>
          <w:rPr>
            <w:u w:val="single"/>
          </w:rPr>
          <w:t>http://dx.doi.org/10.4337/9781849806374.00027</w:t>
        </w:r>
      </w:hyperlink>
      <w:r>
        <w:t xml:space="preserve">. </w:t>
      </w:r>
    </w:p>
    <w:p w14:paraId="3A1367EA" w14:textId="77777777" w:rsidR="00BF65C0" w:rsidRDefault="00BF65C0"/>
    <w:p w14:paraId="15863FE5" w14:textId="77777777" w:rsidR="00BF65C0" w:rsidRDefault="00D2236E">
      <w:r>
        <w:t xml:space="preserve">Bates, C.K., Gordon, L.K., Travis, E., Chatterjee, A., Gillis, M., Means, O., Chaudron, L., </w:t>
      </w:r>
    </w:p>
    <w:p w14:paraId="5A4DFD65" w14:textId="77777777" w:rsidR="00BF65C0" w:rsidRDefault="00D2236E">
      <w:pPr>
        <w:ind w:left="720"/>
      </w:pPr>
      <w:r>
        <w:t xml:space="preserve">Ganetzsky, R., Gulati, M., Fivush, B., Sharma, P., Grover, A., Lautenberger, D., &amp; Flotte, T.R. (2018). It Is Time for Zero Tolerance for Sexual Harassment in Academic Medicine. </w:t>
      </w:r>
      <w:r>
        <w:rPr>
          <w:i/>
        </w:rPr>
        <w:t>Academic Medicine, 93</w:t>
      </w:r>
      <w:r>
        <w:t>(2), 163-165.</w:t>
      </w:r>
    </w:p>
    <w:p w14:paraId="7CFEF749" w14:textId="77777777" w:rsidR="00BF65C0" w:rsidRDefault="00BF65C0"/>
    <w:p w14:paraId="5C61A56D" w14:textId="77777777" w:rsidR="00BF65C0" w:rsidRDefault="00D2236E">
      <w:pPr>
        <w:rPr>
          <w:i/>
        </w:rPr>
      </w:pPr>
      <w:r>
        <w:lastRenderedPageBreak/>
        <w:t xml:space="preserve">Beaton, T. (2018). Uninsured Rate Among Working Adults Rises to 15.5% in 2018. </w:t>
      </w:r>
      <w:r>
        <w:rPr>
          <w:i/>
        </w:rPr>
        <w:t xml:space="preserve">Health </w:t>
      </w:r>
    </w:p>
    <w:p w14:paraId="291434D2" w14:textId="77777777" w:rsidR="00BF65C0" w:rsidRDefault="00D2236E">
      <w:pPr>
        <w:ind w:left="720"/>
      </w:pPr>
      <w:r>
        <w:rPr>
          <w:i/>
        </w:rPr>
        <w:t>Payer Intelligence</w:t>
      </w:r>
      <w:r>
        <w:t xml:space="preserve">. Retrieved from </w:t>
      </w:r>
      <w:hyperlink r:id="rId51">
        <w:r>
          <w:rPr>
            <w:u w:val="single"/>
          </w:rPr>
          <w:t>https://healthpayerintelligence.com/news/uninsured-rate-among-working-adults-rises-to-15.5-in-2018</w:t>
        </w:r>
      </w:hyperlink>
      <w:r>
        <w:t xml:space="preserve">. </w:t>
      </w:r>
    </w:p>
    <w:p w14:paraId="073B1730" w14:textId="77777777" w:rsidR="00BF65C0" w:rsidRDefault="00BF65C0">
      <w:pPr>
        <w:spacing w:line="240" w:lineRule="auto"/>
      </w:pPr>
    </w:p>
    <w:p w14:paraId="00F53713" w14:textId="77777777" w:rsidR="00BF65C0" w:rsidRDefault="00D2236E">
      <w:pPr>
        <w:spacing w:line="240" w:lineRule="auto"/>
      </w:pPr>
      <w:r>
        <w:t xml:space="preserve">Becker, B. and Huselid, M. (1998). High Performance Work Systems and Firm Performance: </w:t>
      </w:r>
    </w:p>
    <w:p w14:paraId="5A4E94F0" w14:textId="77777777" w:rsidR="00BF65C0" w:rsidRDefault="00D2236E">
      <w:pPr>
        <w:spacing w:line="240" w:lineRule="auto"/>
        <w:ind w:left="720"/>
      </w:pPr>
      <w:r>
        <w:t xml:space="preserve">A Synthesis of Research and Managerial Implications. </w:t>
      </w:r>
      <w:r>
        <w:rPr>
          <w:i/>
        </w:rPr>
        <w:t>Research in Personnel and Human Resources Journal</w:t>
      </w:r>
      <w:r>
        <w:t>, 16, 53-101.</w:t>
      </w:r>
    </w:p>
    <w:p w14:paraId="13B4AE82" w14:textId="77777777" w:rsidR="00BF65C0" w:rsidRDefault="00BF65C0">
      <w:pPr>
        <w:spacing w:line="240" w:lineRule="auto"/>
        <w:ind w:left="720"/>
      </w:pPr>
    </w:p>
    <w:p w14:paraId="15975EB6" w14:textId="77777777" w:rsidR="00BF65C0" w:rsidRDefault="00D2236E">
      <w:pPr>
        <w:spacing w:line="240" w:lineRule="auto"/>
        <w:rPr>
          <w:i/>
        </w:rPr>
      </w:pPr>
      <w:r>
        <w:t xml:space="preserve">Beer, M. (2009). </w:t>
      </w:r>
      <w:r>
        <w:rPr>
          <w:i/>
        </w:rPr>
        <w:t>High Commitment, High Performance: How to Build a Resilient Organization</w:t>
      </w:r>
    </w:p>
    <w:p w14:paraId="6B192968" w14:textId="77777777" w:rsidR="00BF65C0" w:rsidRDefault="00D2236E">
      <w:pPr>
        <w:spacing w:line="240" w:lineRule="auto"/>
        <w:ind w:firstLine="720"/>
      </w:pPr>
      <w:r>
        <w:rPr>
          <w:i/>
        </w:rPr>
        <w:t>for Sustained Advantage</w:t>
      </w:r>
      <w:r>
        <w:t>. Hoboken, NJ: Jossey-Bass, a Wiley Brand.</w:t>
      </w:r>
    </w:p>
    <w:p w14:paraId="3F566AF3" w14:textId="77777777" w:rsidR="00BF65C0" w:rsidRDefault="00BF65C0">
      <w:pPr>
        <w:spacing w:line="240" w:lineRule="auto"/>
      </w:pPr>
    </w:p>
    <w:p w14:paraId="7151C2F7" w14:textId="77777777" w:rsidR="00BF65C0" w:rsidRDefault="00D2236E">
      <w:pPr>
        <w:spacing w:line="240" w:lineRule="auto"/>
      </w:pPr>
      <w:r>
        <w:t>Bennett, N. &amp; Lemoine, G.J. (2014). What a Difference a Word Makes: Understanding Threats</w:t>
      </w:r>
    </w:p>
    <w:p w14:paraId="68B18400" w14:textId="77777777" w:rsidR="00BF65C0" w:rsidRDefault="00D2236E">
      <w:pPr>
        <w:spacing w:line="240" w:lineRule="auto"/>
        <w:ind w:left="720"/>
      </w:pPr>
      <w:r>
        <w:t xml:space="preserve">to Performance in a VUCA World. </w:t>
      </w:r>
      <w:r>
        <w:rPr>
          <w:i/>
        </w:rPr>
        <w:t>Business Horizons</w:t>
      </w:r>
      <w:r>
        <w:t xml:space="preserve">, (57) 3, 311-317. Retrieved from </w:t>
      </w:r>
      <w:hyperlink r:id="rId52">
        <w:r>
          <w:rPr>
            <w:u w:val="single"/>
          </w:rPr>
          <w:t>https://www.sciencedirect.com/science/article/pii/S0007681314000020</w:t>
        </w:r>
      </w:hyperlink>
      <w:r>
        <w:t xml:space="preserve">.  </w:t>
      </w:r>
    </w:p>
    <w:p w14:paraId="7D21E104" w14:textId="77777777" w:rsidR="00BF65C0" w:rsidRDefault="00BF65C0"/>
    <w:p w14:paraId="17C261AC" w14:textId="77777777" w:rsidR="00BF65C0" w:rsidRDefault="00D2236E">
      <w:r>
        <w:t xml:space="preserve">Bleustein, C., Rothschild, D.B., Valen, A., Vatalis, E., Schweitzer, L., &amp; Jones, R. (2014). Wait </w:t>
      </w:r>
    </w:p>
    <w:p w14:paraId="1729C9D8" w14:textId="77777777" w:rsidR="00BF65C0" w:rsidRDefault="00D2236E">
      <w:pPr>
        <w:ind w:left="720"/>
      </w:pPr>
      <w:r>
        <w:t xml:space="preserve">Times, Patient Satisfaction Scores, and the Perception of Care. </w:t>
      </w:r>
      <w:r>
        <w:rPr>
          <w:i/>
        </w:rPr>
        <w:t>The American Journal of Managed Care</w:t>
      </w:r>
      <w:r>
        <w:t xml:space="preserve"> </w:t>
      </w:r>
      <w:r>
        <w:rPr>
          <w:i/>
        </w:rPr>
        <w:t>20</w:t>
      </w:r>
      <w:r>
        <w:t xml:space="preserve">(5), p. 393-400. Retrieved from </w:t>
      </w:r>
      <w:hyperlink r:id="rId53">
        <w:r>
          <w:rPr>
            <w:u w:val="single"/>
          </w:rPr>
          <w:t>https://europepmc.org/abstract/med/25181568</w:t>
        </w:r>
      </w:hyperlink>
      <w:r>
        <w:t xml:space="preserve">. </w:t>
      </w:r>
    </w:p>
    <w:p w14:paraId="39312C73" w14:textId="77777777" w:rsidR="00BF65C0" w:rsidRDefault="00BF65C0">
      <w:pPr>
        <w:ind w:left="720"/>
      </w:pPr>
    </w:p>
    <w:p w14:paraId="2E830E79" w14:textId="77777777" w:rsidR="00BF65C0" w:rsidRDefault="00D2236E">
      <w:r>
        <w:t xml:space="preserve">Boglind, A., Hallsten, F., and Thilander, P. (2011). HR Transformation and Shared Services: </w:t>
      </w:r>
    </w:p>
    <w:p w14:paraId="74CEF180" w14:textId="77777777" w:rsidR="00BF65C0" w:rsidRDefault="00D2236E">
      <w:pPr>
        <w:ind w:left="720"/>
      </w:pPr>
      <w:r>
        <w:t xml:space="preserve">Adoption and Adaptation in Swedish Organisations. </w:t>
      </w:r>
      <w:r>
        <w:rPr>
          <w:i/>
        </w:rPr>
        <w:t>Personnel Review, 40</w:t>
      </w:r>
      <w:r>
        <w:t xml:space="preserve">(5), 570-588. Retrieved from </w:t>
      </w:r>
      <w:hyperlink r:id="rId54">
        <w:r>
          <w:rPr>
            <w:u w:val="single"/>
          </w:rPr>
          <w:t>https://doi.org/10.1108/00483481111154441</w:t>
        </w:r>
      </w:hyperlink>
      <w:r>
        <w:t xml:space="preserve">. </w:t>
      </w:r>
    </w:p>
    <w:p w14:paraId="4213A885" w14:textId="77777777" w:rsidR="00BF65C0" w:rsidRDefault="00BF65C0"/>
    <w:p w14:paraId="0734DB40" w14:textId="77777777" w:rsidR="00BF65C0" w:rsidRDefault="00D2236E">
      <w:pPr>
        <w:rPr>
          <w:i/>
        </w:rPr>
      </w:pPr>
      <w:r>
        <w:t xml:space="preserve">Brown, T. &amp; Wyatt, J. (2010). Design Thinking for Social Innovation. </w:t>
      </w:r>
      <w:r>
        <w:rPr>
          <w:i/>
        </w:rPr>
        <w:t>Development Outreach,</w:t>
      </w:r>
    </w:p>
    <w:p w14:paraId="11CBCD11" w14:textId="77777777" w:rsidR="00BF65C0" w:rsidRDefault="00D2236E">
      <w:pPr>
        <w:ind w:left="720"/>
      </w:pPr>
      <w:r>
        <w:rPr>
          <w:i/>
        </w:rPr>
        <w:t>12</w:t>
      </w:r>
      <w:r>
        <w:t>(1), p. 29-43. Retrieved from</w:t>
      </w:r>
      <w:hyperlink r:id="rId55">
        <w:r>
          <w:t xml:space="preserve"> </w:t>
        </w:r>
      </w:hyperlink>
      <w:hyperlink r:id="rId56">
        <w:r>
          <w:rPr>
            <w:u w:val="single"/>
          </w:rPr>
          <w:t>https://elibrary.worldbank.org/doi/abs/10.1596</w:t>
        </w:r>
      </w:hyperlink>
      <w:hyperlink r:id="rId57">
        <w:r>
          <w:rPr>
            <w:u w:val="single"/>
          </w:rPr>
          <w:t xml:space="preserve"> /1020-797X_12_1_29?journalCode=deor</w:t>
        </w:r>
      </w:hyperlink>
      <w:r>
        <w:t xml:space="preserve">. </w:t>
      </w:r>
    </w:p>
    <w:p w14:paraId="5286BC19" w14:textId="77777777" w:rsidR="00BF65C0" w:rsidRDefault="00BF65C0"/>
    <w:p w14:paraId="15EAEA65" w14:textId="77777777" w:rsidR="00BF65C0" w:rsidRDefault="00D2236E">
      <w:r>
        <w:t xml:space="preserve">Buckley, P.J. &amp; Casson, M.C. (1998). Analyzing Foreign Market Entry Strategies: Extending the </w:t>
      </w:r>
    </w:p>
    <w:p w14:paraId="702ED9F6" w14:textId="77777777" w:rsidR="00BF65C0" w:rsidRDefault="00D2236E">
      <w:pPr>
        <w:ind w:firstLine="720"/>
      </w:pPr>
      <w:r>
        <w:t xml:space="preserve">Internationalization Approach. </w:t>
      </w:r>
      <w:r>
        <w:rPr>
          <w:i/>
        </w:rPr>
        <w:t>Journal of International Business Studies</w:t>
      </w:r>
      <w:r>
        <w:t xml:space="preserve">, </w:t>
      </w:r>
      <w:r>
        <w:rPr>
          <w:i/>
        </w:rPr>
        <w:t>29</w:t>
      </w:r>
      <w:r>
        <w:t xml:space="preserve">(3), 539-561. </w:t>
      </w:r>
    </w:p>
    <w:p w14:paraId="506CB830" w14:textId="77777777" w:rsidR="00BF65C0" w:rsidRDefault="00D2236E">
      <w:pPr>
        <w:ind w:firstLine="720"/>
      </w:pPr>
      <w:r>
        <w:t xml:space="preserve">Retrieved from </w:t>
      </w:r>
      <w:hyperlink r:id="rId58">
        <w:r>
          <w:rPr>
            <w:u w:val="single"/>
          </w:rPr>
          <w:t>https://link.springer.com/article/10.1057/palgrave.jibs.8490006</w:t>
        </w:r>
      </w:hyperlink>
      <w:r>
        <w:t xml:space="preserve">. </w:t>
      </w:r>
    </w:p>
    <w:p w14:paraId="75E2F329" w14:textId="77777777" w:rsidR="00BF65C0" w:rsidRDefault="00BF65C0"/>
    <w:p w14:paraId="1E97510D" w14:textId="77777777" w:rsidR="00BF65C0" w:rsidRDefault="00D2236E">
      <w:r>
        <w:t xml:space="preserve">Carey, G. &amp; Crammond, B. (2015). Systems Change for the Social Determinants of Health. </w:t>
      </w:r>
    </w:p>
    <w:p w14:paraId="2E0D1B97" w14:textId="77777777" w:rsidR="00BF65C0" w:rsidRDefault="00D2236E">
      <w:pPr>
        <w:ind w:left="720"/>
      </w:pPr>
      <w:r>
        <w:rPr>
          <w:i/>
        </w:rPr>
        <w:t>BMC Public Health,15</w:t>
      </w:r>
      <w:r>
        <w:t xml:space="preserve">(662), p. 662. Retrieved from </w:t>
      </w:r>
      <w:hyperlink r:id="rId59">
        <w:r>
          <w:rPr>
            <w:u w:val="single"/>
          </w:rPr>
          <w:t>https://www.ncbi.nlm.nih.gov/pubmed/26168785</w:t>
        </w:r>
      </w:hyperlink>
      <w:r>
        <w:t xml:space="preserve">. </w:t>
      </w:r>
    </w:p>
    <w:p w14:paraId="47E84EB7" w14:textId="77777777" w:rsidR="00BF65C0" w:rsidRDefault="00BF65C0">
      <w:pPr>
        <w:spacing w:line="240" w:lineRule="auto"/>
      </w:pPr>
    </w:p>
    <w:p w14:paraId="36209AAC" w14:textId="77777777" w:rsidR="00BF65C0" w:rsidRDefault="00D2236E">
      <w:pPr>
        <w:spacing w:line="240" w:lineRule="auto"/>
      </w:pPr>
      <w:r>
        <w:t xml:space="preserve">Carmichael, B. &amp; Smith, W.W. (2004). Canadian Domestic Travel Behaviour: A Market </w:t>
      </w:r>
    </w:p>
    <w:p w14:paraId="1BDA8A4F" w14:textId="77777777" w:rsidR="00BF65C0" w:rsidRDefault="00D2236E">
      <w:pPr>
        <w:spacing w:line="240" w:lineRule="auto"/>
        <w:ind w:left="720"/>
      </w:pPr>
      <w:r>
        <w:t xml:space="preserve">Segmentation Study of Rural Shoppers. </w:t>
      </w:r>
      <w:r>
        <w:rPr>
          <w:i/>
        </w:rPr>
        <w:t>Journal of Vacation Marketing, 10</w:t>
      </w:r>
      <w:r>
        <w:t xml:space="preserve">(4), 333-347. Retrieved from </w:t>
      </w:r>
      <w:hyperlink r:id="rId60">
        <w:r>
          <w:rPr>
            <w:u w:val="single"/>
          </w:rPr>
          <w:t>https://doi.org/10.1177/135676670401000405</w:t>
        </w:r>
      </w:hyperlink>
      <w:r>
        <w:t xml:space="preserve">. </w:t>
      </w:r>
    </w:p>
    <w:p w14:paraId="29F8B9AA" w14:textId="77777777" w:rsidR="00BF65C0" w:rsidRDefault="00BF65C0"/>
    <w:p w14:paraId="45F774BE" w14:textId="77777777" w:rsidR="00BF65C0" w:rsidRDefault="00D2236E">
      <w:pPr>
        <w:spacing w:line="240" w:lineRule="auto"/>
      </w:pPr>
      <w:r>
        <w:t>Cartwright, S. &amp; Cooper, C. (2012).</w:t>
      </w:r>
      <w:r>
        <w:rPr>
          <w:i/>
        </w:rPr>
        <w:t xml:space="preserve"> Managing Mergers, Acquisitions, and Strategic Alliances</w:t>
      </w:r>
      <w:r>
        <w:t>.</w:t>
      </w:r>
    </w:p>
    <w:p w14:paraId="41466987" w14:textId="77777777" w:rsidR="00BF65C0" w:rsidRDefault="00D2236E">
      <w:pPr>
        <w:spacing w:line="240" w:lineRule="auto"/>
        <w:ind w:firstLine="720"/>
      </w:pPr>
      <w:r>
        <w:t xml:space="preserve">New York: Routledge. </w:t>
      </w:r>
    </w:p>
    <w:p w14:paraId="454B24FA" w14:textId="77777777" w:rsidR="00BF65C0" w:rsidRDefault="00BF65C0"/>
    <w:p w14:paraId="6ED668DA" w14:textId="77777777" w:rsidR="00BF65C0" w:rsidRDefault="00D2236E">
      <w:pPr>
        <w:spacing w:line="240" w:lineRule="auto"/>
      </w:pPr>
      <w:r>
        <w:t xml:space="preserve">Chatterji, P., Caffray, C.M., Crowe, M., Freeman, L., &amp; Jensen, P. (2004). Cost Assessment of a </w:t>
      </w:r>
    </w:p>
    <w:p w14:paraId="328171D3" w14:textId="77777777" w:rsidR="00BF65C0" w:rsidRDefault="00D2236E">
      <w:pPr>
        <w:spacing w:line="240" w:lineRule="auto"/>
        <w:ind w:left="720"/>
      </w:pPr>
      <w:r>
        <w:lastRenderedPageBreak/>
        <w:t xml:space="preserve">School-Based Mental Health Screening and Treatment Program in New York City. </w:t>
      </w:r>
      <w:r>
        <w:rPr>
          <w:i/>
        </w:rPr>
        <w:t>Mental Health Services Research, 6</w:t>
      </w:r>
      <w:r>
        <w:t xml:space="preserve">(3) 155-166. Retrieved from </w:t>
      </w:r>
      <w:hyperlink r:id="rId61">
        <w:r>
          <w:rPr>
            <w:u w:val="single"/>
          </w:rPr>
          <w:t>https://doi.org/10.1023/B:MHSR.0000036489.50470.cb</w:t>
        </w:r>
      </w:hyperlink>
      <w:r>
        <w:t xml:space="preserve">. </w:t>
      </w:r>
    </w:p>
    <w:p w14:paraId="2AF88498" w14:textId="77777777" w:rsidR="00BF65C0" w:rsidRDefault="00BF65C0">
      <w:pPr>
        <w:spacing w:line="240" w:lineRule="auto"/>
      </w:pPr>
    </w:p>
    <w:p w14:paraId="1B038600" w14:textId="77777777" w:rsidR="00BF65C0" w:rsidRDefault="00D2236E">
      <w:pPr>
        <w:spacing w:line="240" w:lineRule="auto"/>
        <w:rPr>
          <w:i/>
        </w:rPr>
      </w:pPr>
      <w:r>
        <w:t xml:space="preserve">Chen, D.W. (2018). Surprise Gift: Free Tuition for All NYU Medical Students. </w:t>
      </w:r>
      <w:r>
        <w:rPr>
          <w:i/>
        </w:rPr>
        <w:t xml:space="preserve">The New York </w:t>
      </w:r>
    </w:p>
    <w:p w14:paraId="71386C1D" w14:textId="77777777" w:rsidR="00BF65C0" w:rsidRDefault="00D2236E">
      <w:pPr>
        <w:spacing w:line="240" w:lineRule="auto"/>
        <w:ind w:left="720"/>
      </w:pPr>
      <w:r>
        <w:rPr>
          <w:i/>
        </w:rPr>
        <w:t>Times</w:t>
      </w:r>
      <w:r>
        <w:t xml:space="preserve">. Retrieved from </w:t>
      </w:r>
      <w:hyperlink r:id="rId62">
        <w:r>
          <w:rPr>
            <w:u w:val="single"/>
          </w:rPr>
          <w:t>https://www.nytimes.com/2018/08/16/nyregion/nyu-free-tuition-medical-school.html</w:t>
        </w:r>
      </w:hyperlink>
      <w:r>
        <w:t xml:space="preserve">. </w:t>
      </w:r>
    </w:p>
    <w:p w14:paraId="1C9884A1" w14:textId="77777777" w:rsidR="00BF65C0" w:rsidRDefault="00BF65C0">
      <w:pPr>
        <w:spacing w:line="240" w:lineRule="auto"/>
      </w:pPr>
    </w:p>
    <w:p w14:paraId="2224E424" w14:textId="77777777" w:rsidR="00BF65C0" w:rsidRDefault="00D2236E">
      <w:pPr>
        <w:spacing w:line="240" w:lineRule="auto"/>
      </w:pPr>
      <w:r>
        <w:t xml:space="preserve">Chugh, S. &amp; Bhatnagar, J. (2006). Talent Management as High Performance Work Practice: </w:t>
      </w:r>
    </w:p>
    <w:p w14:paraId="7C50EFC6" w14:textId="77777777" w:rsidR="00BF65C0" w:rsidRDefault="00D2236E">
      <w:pPr>
        <w:spacing w:line="240" w:lineRule="auto"/>
        <w:ind w:firstLine="720"/>
      </w:pPr>
      <w:r>
        <w:t xml:space="preserve">Emerging Strategic HRM Dimension. </w:t>
      </w:r>
      <w:r>
        <w:rPr>
          <w:i/>
        </w:rPr>
        <w:t>Management and Labor Studies</w:t>
      </w:r>
      <w:r>
        <w:t>,</w:t>
      </w:r>
      <w:r>
        <w:rPr>
          <w:i/>
        </w:rPr>
        <w:t xml:space="preserve"> 31</w:t>
      </w:r>
      <w:r>
        <w:t xml:space="preserve">(3), 228-253. </w:t>
      </w:r>
    </w:p>
    <w:p w14:paraId="480B6FB2" w14:textId="77777777" w:rsidR="00BF65C0" w:rsidRDefault="00BF65C0">
      <w:pPr>
        <w:spacing w:line="240" w:lineRule="auto"/>
      </w:pPr>
    </w:p>
    <w:p w14:paraId="79C8E7BC" w14:textId="77777777" w:rsidR="00BF65C0" w:rsidRDefault="00D2236E">
      <w:pPr>
        <w:spacing w:line="240" w:lineRule="auto"/>
      </w:pPr>
      <w:r>
        <w:t>CIPD. (2015). Employee Engagement. London: Chartered Institute of Personnel and</w:t>
      </w:r>
    </w:p>
    <w:p w14:paraId="2B6F22F7" w14:textId="77777777" w:rsidR="00BF65C0" w:rsidRDefault="00D2236E">
      <w:pPr>
        <w:spacing w:line="240" w:lineRule="auto"/>
        <w:ind w:firstLine="720"/>
      </w:pPr>
      <w:r>
        <w:t xml:space="preserve">Development. </w:t>
      </w:r>
    </w:p>
    <w:p w14:paraId="619D2762" w14:textId="77777777" w:rsidR="00BF65C0" w:rsidRDefault="00BF65C0">
      <w:pPr>
        <w:spacing w:line="240" w:lineRule="auto"/>
        <w:ind w:firstLine="720"/>
      </w:pPr>
    </w:p>
    <w:p w14:paraId="64FCC9A5" w14:textId="77777777" w:rsidR="00BF65C0" w:rsidRDefault="00D2236E">
      <w:r>
        <w:t xml:space="preserve">Comarow, A. &amp; Harder, B. (2018). 2018-19 Best Hospitals Honor Roll and Medical Specialties </w:t>
      </w:r>
    </w:p>
    <w:p w14:paraId="50D0A01F" w14:textId="77777777" w:rsidR="00BF65C0" w:rsidRDefault="00D2236E">
      <w:pPr>
        <w:ind w:left="720"/>
      </w:pPr>
      <w:r>
        <w:t xml:space="preserve">Rankings. </w:t>
      </w:r>
      <w:r>
        <w:rPr>
          <w:i/>
        </w:rPr>
        <w:t>US News and World Report.</w:t>
      </w:r>
      <w:r>
        <w:t xml:space="preserve"> Retrieved from </w:t>
      </w:r>
      <w:hyperlink r:id="rId63">
        <w:r>
          <w:rPr>
            <w:u w:val="single"/>
          </w:rPr>
          <w:t>https://health.usnews.com/health-care/best-hospitals/articles/best-hospitals-honor-roll-and-overview</w:t>
        </w:r>
      </w:hyperlink>
      <w:r>
        <w:t xml:space="preserve">. </w:t>
      </w:r>
    </w:p>
    <w:p w14:paraId="6E9BB5A7" w14:textId="77777777" w:rsidR="00BF65C0" w:rsidRDefault="00BF65C0"/>
    <w:p w14:paraId="6694B330" w14:textId="77777777" w:rsidR="00BF65C0" w:rsidRDefault="00D2236E">
      <w:r>
        <w:t xml:space="preserve">Daye, D., Patel, C.B., Ahn, J., &amp; Nguyen, F.T. (2015). Challenges and Opportunities for </w:t>
      </w:r>
    </w:p>
    <w:p w14:paraId="71AB2B73" w14:textId="77777777" w:rsidR="00BF65C0" w:rsidRDefault="00D2236E">
      <w:pPr>
        <w:ind w:left="720"/>
      </w:pPr>
      <w:r>
        <w:t xml:space="preserve">Reinvigorating the Physician-Scientists Pipeline. </w:t>
      </w:r>
      <w:r>
        <w:rPr>
          <w:i/>
        </w:rPr>
        <w:t>Journal of Clinical Investigation</w:t>
      </w:r>
      <w:r>
        <w:t xml:space="preserve">, 125(3), p. 883-887. Retrieved from </w:t>
      </w:r>
      <w:hyperlink r:id="rId64">
        <w:r>
          <w:rPr>
            <w:u w:val="single"/>
          </w:rPr>
          <w:t>https://www.ncbi.nlm.nih.gov/pubmed/25689260</w:t>
        </w:r>
      </w:hyperlink>
      <w:r>
        <w:t xml:space="preserve">. </w:t>
      </w:r>
    </w:p>
    <w:p w14:paraId="4EAED403" w14:textId="77777777" w:rsidR="00BF65C0" w:rsidRDefault="00BF65C0"/>
    <w:p w14:paraId="24084D09" w14:textId="77777777" w:rsidR="00BF65C0" w:rsidRDefault="00D2236E">
      <w:pPr>
        <w:widowControl w:val="0"/>
      </w:pPr>
      <w:r>
        <w:t xml:space="preserve">De Blasio. (2018). Message from the Mayor About the Office of M/WBE. Retrieved from </w:t>
      </w:r>
    </w:p>
    <w:p w14:paraId="6D8012DB" w14:textId="77777777" w:rsidR="00BF65C0" w:rsidRDefault="00B81413">
      <w:pPr>
        <w:widowControl w:val="0"/>
        <w:ind w:firstLine="720"/>
      </w:pPr>
      <w:hyperlink r:id="rId65">
        <w:r w:rsidR="00D2236E">
          <w:rPr>
            <w:u w:val="single"/>
          </w:rPr>
          <w:t>https://www1.nyc.gov/nycbusiness/mwbe?page=about</w:t>
        </w:r>
      </w:hyperlink>
      <w:r w:rsidR="00D2236E">
        <w:t xml:space="preserve">. </w:t>
      </w:r>
    </w:p>
    <w:p w14:paraId="65604B6D" w14:textId="77777777" w:rsidR="00BF65C0" w:rsidRDefault="00BF65C0"/>
    <w:p w14:paraId="3A3A75C8" w14:textId="77777777" w:rsidR="00BF65C0" w:rsidRDefault="00D2236E">
      <w:r>
        <w:t xml:space="preserve">“Diversity and Inclusion.” (2018) NYU Langone Health. Retrieved from </w:t>
      </w:r>
    </w:p>
    <w:p w14:paraId="6FC543AF" w14:textId="77777777" w:rsidR="00BF65C0" w:rsidRDefault="00B81413">
      <w:pPr>
        <w:ind w:firstLine="720"/>
      </w:pPr>
      <w:hyperlink r:id="rId66">
        <w:r w:rsidR="00D2236E">
          <w:rPr>
            <w:u w:val="single"/>
          </w:rPr>
          <w:t>https://med.nyu.edu/our-community/why-nyu-school-medicine/diversity-inclusion/</w:t>
        </w:r>
      </w:hyperlink>
      <w:r w:rsidR="00D2236E">
        <w:t xml:space="preserve">. </w:t>
      </w:r>
    </w:p>
    <w:p w14:paraId="7DC27C18" w14:textId="77777777" w:rsidR="00BF65C0" w:rsidRDefault="00BF65C0">
      <w:pPr>
        <w:spacing w:line="240" w:lineRule="auto"/>
      </w:pPr>
    </w:p>
    <w:p w14:paraId="291F97BC" w14:textId="77777777" w:rsidR="00BF65C0" w:rsidRDefault="00D2236E">
      <w:pPr>
        <w:spacing w:line="240" w:lineRule="auto"/>
      </w:pPr>
      <w:r>
        <w:t xml:space="preserve">Dobbin, F. &amp; Kalev, A. (2007). The Architecture of Inclusion: Evidence from Corporate Diversity </w:t>
      </w:r>
    </w:p>
    <w:p w14:paraId="3C0CDA3E" w14:textId="77777777" w:rsidR="00BF65C0" w:rsidRDefault="00D2236E">
      <w:pPr>
        <w:spacing w:line="240" w:lineRule="auto"/>
        <w:ind w:left="720"/>
      </w:pPr>
      <w:r>
        <w:t xml:space="preserve">Programs. </w:t>
      </w:r>
      <w:r>
        <w:rPr>
          <w:i/>
        </w:rPr>
        <w:t>Harvard Journal of Law and Gender, 30</w:t>
      </w:r>
      <w:r>
        <w:t xml:space="preserve">(2), 279-301. Retrieved from </w:t>
      </w:r>
      <w:hyperlink r:id="rId67">
        <w:r>
          <w:rPr>
            <w:u w:val="single"/>
          </w:rPr>
          <w:t>https://scholar.harvard.edu/dobbin/publications/architecture-inclusion-evidence-corporate-diversity-programs</w:t>
        </w:r>
      </w:hyperlink>
      <w:r>
        <w:t>.</w:t>
      </w:r>
    </w:p>
    <w:p w14:paraId="541D5949" w14:textId="77777777" w:rsidR="00BF65C0" w:rsidRDefault="00BF65C0">
      <w:pPr>
        <w:spacing w:line="240" w:lineRule="auto"/>
      </w:pPr>
    </w:p>
    <w:p w14:paraId="04F71A6B" w14:textId="77777777" w:rsidR="00E10284" w:rsidRDefault="00D2236E" w:rsidP="00E10284">
      <w:pPr>
        <w:spacing w:line="240" w:lineRule="auto"/>
        <w:rPr>
          <w:i/>
        </w:rPr>
      </w:pPr>
      <w:r>
        <w:t xml:space="preserve">Dobbs, M.F. (1996). Managing Diversity: Lessons from the Private Sector. </w:t>
      </w:r>
      <w:r>
        <w:rPr>
          <w:i/>
        </w:rPr>
        <w:t xml:space="preserve">Sage Journals, </w:t>
      </w:r>
    </w:p>
    <w:p w14:paraId="16BD26A2" w14:textId="77777777" w:rsidR="00BF65C0" w:rsidRPr="00E10284" w:rsidRDefault="00D2236E" w:rsidP="00E10284">
      <w:pPr>
        <w:spacing w:line="240" w:lineRule="auto"/>
        <w:ind w:left="720"/>
        <w:rPr>
          <w:i/>
        </w:rPr>
      </w:pPr>
      <w:r>
        <w:rPr>
          <w:i/>
        </w:rPr>
        <w:t>25</w:t>
      </w:r>
      <w:r>
        <w:t xml:space="preserve">(3). Retrieved from </w:t>
      </w:r>
      <w:hyperlink r:id="rId68" w:history="1">
        <w:r w:rsidR="00E10284" w:rsidRPr="00F579B9">
          <w:rPr>
            <w:rStyle w:val="Hyperlink"/>
          </w:rPr>
          <w:t>https://journals.sagepub.com/doi/abs/10.1177/00910260960 2500308?casa_token=ExFfdi5wThYAAAAA:uPn1s9lTbaSaOhzeAe9Vc2oiX4K8zXdaFZu4FIttlh0Xr5IC72adFF0SurVDbv9Z7K65dCyHpTvLAA</w:t>
        </w:r>
      </w:hyperlink>
      <w:r>
        <w:t xml:space="preserve">. </w:t>
      </w:r>
    </w:p>
    <w:p w14:paraId="717FCB52" w14:textId="77777777" w:rsidR="00BF65C0" w:rsidRDefault="00BF65C0"/>
    <w:p w14:paraId="4EA80B04" w14:textId="77777777" w:rsidR="00BF65C0" w:rsidRDefault="00D2236E">
      <w:r>
        <w:t xml:space="preserve">Dogra, B. and Ghuman, K. (2008). </w:t>
      </w:r>
      <w:r>
        <w:rPr>
          <w:i/>
        </w:rPr>
        <w:t>Rural Marketing: Concepts and Practices</w:t>
      </w:r>
      <w:r>
        <w:t xml:space="preserve">. New Delhi: Tata </w:t>
      </w:r>
    </w:p>
    <w:p w14:paraId="1FBB669B" w14:textId="77777777" w:rsidR="00BF65C0" w:rsidRDefault="00D2236E">
      <w:pPr>
        <w:ind w:firstLine="720"/>
      </w:pPr>
      <w:r>
        <w:t>McGraw-Hill Publishing.</w:t>
      </w:r>
    </w:p>
    <w:p w14:paraId="735C0D17" w14:textId="77777777" w:rsidR="00BF65C0" w:rsidRDefault="00BF65C0">
      <w:pPr>
        <w:ind w:firstLine="720"/>
      </w:pPr>
    </w:p>
    <w:p w14:paraId="2D6F21D2" w14:textId="77777777" w:rsidR="00BF65C0" w:rsidRDefault="00D2236E">
      <w:pPr>
        <w:spacing w:line="240" w:lineRule="auto"/>
      </w:pPr>
      <w:r>
        <w:t>Dyer, L. &amp; Shafer, R. (1998). From Human Resource Strategy to Organizational Effectiveness:</w:t>
      </w:r>
    </w:p>
    <w:p w14:paraId="1B712F83" w14:textId="77777777" w:rsidR="00BF65C0" w:rsidRDefault="00D2236E">
      <w:pPr>
        <w:spacing w:line="240" w:lineRule="auto"/>
        <w:ind w:left="720"/>
      </w:pPr>
      <w:r>
        <w:t xml:space="preserve">Lessons from Research on Organizational Agility. </w:t>
      </w:r>
      <w:r>
        <w:rPr>
          <w:i/>
        </w:rPr>
        <w:t>Center for Advanced Human Resource Studies Working Paper Series</w:t>
      </w:r>
      <w:r>
        <w:t xml:space="preserve">, 1-35. Retrieved from </w:t>
      </w:r>
      <w:hyperlink r:id="rId69">
        <w:r>
          <w:rPr>
            <w:u w:val="single"/>
          </w:rPr>
          <w:t>https://digitalcommons.ilr.cornell.edu /cgi/viewcontent.cgi?referer=&amp;httpsredir=1&amp;article=1124&amp;context=cahrswp</w:t>
        </w:r>
      </w:hyperlink>
      <w:r>
        <w:t xml:space="preserve">. </w:t>
      </w:r>
    </w:p>
    <w:p w14:paraId="60386D3C" w14:textId="77777777" w:rsidR="00BF65C0" w:rsidRDefault="00BF65C0"/>
    <w:p w14:paraId="6FC37CEC" w14:textId="77777777" w:rsidR="00BF65C0" w:rsidRDefault="00D2236E">
      <w:pPr>
        <w:spacing w:line="240" w:lineRule="auto"/>
      </w:pPr>
      <w:r>
        <w:t>Evans, P. and Lorange, L. (1989). The Two Logics Behind Human Resource Management.</w:t>
      </w:r>
    </w:p>
    <w:p w14:paraId="399C59AE" w14:textId="77777777" w:rsidR="00BF65C0" w:rsidRDefault="00D2236E">
      <w:pPr>
        <w:spacing w:line="240" w:lineRule="auto"/>
        <w:ind w:firstLine="720"/>
      </w:pPr>
      <w:r>
        <w:rPr>
          <w:i/>
        </w:rPr>
        <w:t>Human Resource Management in International Firms</w:t>
      </w:r>
      <w:r>
        <w:t>, London: Macmillan.</w:t>
      </w:r>
    </w:p>
    <w:p w14:paraId="3E292A13" w14:textId="77777777" w:rsidR="00BF65C0" w:rsidRDefault="00BF65C0"/>
    <w:p w14:paraId="4C3FE7C7" w14:textId="77777777" w:rsidR="00BF65C0" w:rsidRDefault="00D2236E">
      <w:r>
        <w:t xml:space="preserve">Ferris, R. &amp; Lacktman, N. (2014). China issues New Telemedicine Options for China and </w:t>
      </w:r>
    </w:p>
    <w:p w14:paraId="4AABA511" w14:textId="77777777" w:rsidR="00BF65C0" w:rsidRDefault="00D2236E">
      <w:pPr>
        <w:ind w:left="720"/>
      </w:pPr>
      <w:r>
        <w:t xml:space="preserve">Foreign-Based Providers. </w:t>
      </w:r>
      <w:r>
        <w:rPr>
          <w:i/>
        </w:rPr>
        <w:t>Foley &amp; Lardner, LLP</w:t>
      </w:r>
      <w:r>
        <w:t xml:space="preserve">. Retrieved from </w:t>
      </w:r>
      <w:hyperlink r:id="rId70">
        <w:r>
          <w:rPr>
            <w:u w:val="single"/>
          </w:rPr>
          <w:t>https://www.healthcarelawtoday.com/2014/09/16/china-issues-new-telemedicine-opinions-for-china-and-foreign-based-providers/</w:t>
        </w:r>
      </w:hyperlink>
      <w:r>
        <w:t xml:space="preserve">. </w:t>
      </w:r>
    </w:p>
    <w:p w14:paraId="35E86CF8" w14:textId="77777777" w:rsidR="00BF65C0" w:rsidRDefault="00BF65C0">
      <w:pPr>
        <w:spacing w:line="240" w:lineRule="auto"/>
      </w:pPr>
    </w:p>
    <w:p w14:paraId="30A9403C" w14:textId="77777777" w:rsidR="00E10284" w:rsidRDefault="00D2236E" w:rsidP="00E10284">
      <w:pPr>
        <w:spacing w:line="240" w:lineRule="auto"/>
      </w:pPr>
      <w:r>
        <w:t xml:space="preserve">Field, J. (2003). Mergers and Acquisitions in the Private Sector: What Are the Lessons for </w:t>
      </w:r>
    </w:p>
    <w:p w14:paraId="681204FA" w14:textId="77777777" w:rsidR="00BF65C0" w:rsidRDefault="00D2236E" w:rsidP="00E10284">
      <w:pPr>
        <w:spacing w:line="240" w:lineRule="auto"/>
        <w:ind w:left="720"/>
      </w:pPr>
      <w:r>
        <w:t xml:space="preserve">Health and Social Services? </w:t>
      </w:r>
      <w:r>
        <w:rPr>
          <w:i/>
        </w:rPr>
        <w:t>Social Policy Administration, 27</w:t>
      </w:r>
      <w:r>
        <w:t xml:space="preserve">(7), 742-755. Retrieved from </w:t>
      </w:r>
      <w:hyperlink r:id="rId71">
        <w:r>
          <w:rPr>
            <w:u w:val="single"/>
          </w:rPr>
          <w:t>https://doi.org/10.1046/j.1467-9515.2003.00369.x</w:t>
        </w:r>
      </w:hyperlink>
      <w:r>
        <w:t xml:space="preserve">.  </w:t>
      </w:r>
    </w:p>
    <w:p w14:paraId="1655DA17" w14:textId="77777777" w:rsidR="00BF65C0" w:rsidRDefault="00BF65C0">
      <w:pPr>
        <w:spacing w:line="240" w:lineRule="auto"/>
      </w:pPr>
    </w:p>
    <w:p w14:paraId="769C7413" w14:textId="77777777" w:rsidR="00BF65C0" w:rsidRDefault="00D2236E">
      <w:pPr>
        <w:spacing w:line="240" w:lineRule="auto"/>
      </w:pPr>
      <w:r>
        <w:t xml:space="preserve">Fishkin, R. (2019). Mozlow’s Hierarchy of SEO Needs. </w:t>
      </w:r>
      <w:r>
        <w:rPr>
          <w:i/>
        </w:rPr>
        <w:t>Moz</w:t>
      </w:r>
      <w:r>
        <w:t xml:space="preserve">. Retrieved from </w:t>
      </w:r>
      <w:hyperlink r:id="rId72">
        <w:r>
          <w:rPr>
            <w:u w:val="single"/>
          </w:rPr>
          <w:t xml:space="preserve">https://moz.com/ </w:t>
        </w:r>
      </w:hyperlink>
    </w:p>
    <w:p w14:paraId="6B1E074B" w14:textId="77777777" w:rsidR="00BF65C0" w:rsidRDefault="00B81413">
      <w:pPr>
        <w:spacing w:line="240" w:lineRule="auto"/>
        <w:ind w:firstLine="720"/>
      </w:pPr>
      <w:hyperlink r:id="rId73">
        <w:r w:rsidR="00D2236E">
          <w:rPr>
            <w:u w:val="single"/>
          </w:rPr>
          <w:t>beginners-guide-to-seo</w:t>
        </w:r>
      </w:hyperlink>
      <w:r w:rsidR="00D2236E">
        <w:t xml:space="preserve">. </w:t>
      </w:r>
    </w:p>
    <w:p w14:paraId="7A0AB4F7" w14:textId="77777777" w:rsidR="00BF65C0" w:rsidRDefault="00BF65C0"/>
    <w:p w14:paraId="07CD5727" w14:textId="77777777" w:rsidR="00BF65C0" w:rsidRDefault="00D2236E">
      <w:pPr>
        <w:rPr>
          <w:i/>
        </w:rPr>
      </w:pPr>
      <w:r>
        <w:t xml:space="preserve">Flegel, K. (2015). Tertiary Hospitals Must Provide General Care. </w:t>
      </w:r>
      <w:r>
        <w:rPr>
          <w:i/>
        </w:rPr>
        <w:t xml:space="preserve">Canadian Medical Association </w:t>
      </w:r>
    </w:p>
    <w:p w14:paraId="6B952A8A" w14:textId="77777777" w:rsidR="00BF65C0" w:rsidRDefault="00D2236E">
      <w:pPr>
        <w:ind w:left="720"/>
      </w:pPr>
      <w:r>
        <w:rPr>
          <w:i/>
        </w:rPr>
        <w:t>Journal, 187</w:t>
      </w:r>
      <w:r>
        <w:t xml:space="preserve">(4), p. 235. Retrieved from </w:t>
      </w:r>
      <w:hyperlink r:id="rId74">
        <w:r>
          <w:rPr>
            <w:u w:val="single"/>
          </w:rPr>
          <w:t>https://www.ncbi.nlm.nih.gov/pmc/articles/PMC4347764/</w:t>
        </w:r>
      </w:hyperlink>
      <w:r>
        <w:t xml:space="preserve">. </w:t>
      </w:r>
    </w:p>
    <w:p w14:paraId="548DD2E3" w14:textId="77777777" w:rsidR="00BF65C0" w:rsidRDefault="00BF65C0">
      <w:pPr>
        <w:spacing w:line="240" w:lineRule="auto"/>
      </w:pPr>
    </w:p>
    <w:p w14:paraId="5FE037E3" w14:textId="77777777" w:rsidR="00BF65C0" w:rsidRDefault="00D2236E">
      <w:pPr>
        <w:spacing w:line="240" w:lineRule="auto"/>
      </w:pPr>
      <w:r>
        <w:t xml:space="preserve">Ford, R.C. &amp; Randolph, W.A. (1992). Cross-Functional Structures: A Review and Integration of </w:t>
      </w:r>
    </w:p>
    <w:p w14:paraId="37CCEF1C" w14:textId="77777777" w:rsidR="00BF65C0" w:rsidRDefault="00D2236E">
      <w:pPr>
        <w:spacing w:line="240" w:lineRule="auto"/>
        <w:ind w:left="720"/>
      </w:pPr>
      <w:r>
        <w:t xml:space="preserve">Matrix Organization and Project Management. </w:t>
      </w:r>
      <w:r>
        <w:rPr>
          <w:i/>
        </w:rPr>
        <w:t>Journal of Management, 18</w:t>
      </w:r>
      <w:r>
        <w:t xml:space="preserve">(2), 1992. Retrieved from </w:t>
      </w:r>
      <w:hyperlink r:id="rId75">
        <w:r>
          <w:rPr>
            <w:u w:val="single"/>
          </w:rPr>
          <w:t>https://doi.org/10.1177/014920639201800204</w:t>
        </w:r>
      </w:hyperlink>
      <w:r>
        <w:t xml:space="preserve">. </w:t>
      </w:r>
    </w:p>
    <w:p w14:paraId="4BFDD160" w14:textId="77777777" w:rsidR="00BF65C0" w:rsidRDefault="00BF65C0">
      <w:pPr>
        <w:spacing w:line="240" w:lineRule="auto"/>
      </w:pPr>
    </w:p>
    <w:p w14:paraId="63561F4C" w14:textId="77777777" w:rsidR="00BF65C0" w:rsidRDefault="00D2236E">
      <w:pPr>
        <w:spacing w:line="240" w:lineRule="auto"/>
        <w:rPr>
          <w:i/>
        </w:rPr>
      </w:pPr>
      <w:r>
        <w:t xml:space="preserve">Front, S. and Kalman, D. (2016). </w:t>
      </w:r>
      <w:r>
        <w:rPr>
          <w:i/>
        </w:rPr>
        <w:t>Inclusive Talent Management: How Business Can Thrive in an</w:t>
      </w:r>
    </w:p>
    <w:p w14:paraId="79FB9520" w14:textId="77777777" w:rsidR="00BF65C0" w:rsidRDefault="00D2236E">
      <w:pPr>
        <w:spacing w:line="240" w:lineRule="auto"/>
        <w:ind w:firstLine="720"/>
      </w:pPr>
      <w:r>
        <w:rPr>
          <w:i/>
        </w:rPr>
        <w:t>Age of Diversity</w:t>
      </w:r>
      <w:r>
        <w:t xml:space="preserve">. London: Kogan Page. </w:t>
      </w:r>
    </w:p>
    <w:p w14:paraId="4394E9C1" w14:textId="77777777" w:rsidR="00BF65C0" w:rsidRDefault="00BF65C0"/>
    <w:p w14:paraId="42D87824" w14:textId="77777777" w:rsidR="00BF65C0" w:rsidRDefault="00D2236E">
      <w:r>
        <w:t xml:space="preserve">Gill, R. &amp; Orgad, S. (2018). The Shifting Terrain of Sex and Power: From the “Sexualization of </w:t>
      </w:r>
    </w:p>
    <w:p w14:paraId="0585CD8E" w14:textId="77777777" w:rsidR="00BF65C0" w:rsidRDefault="00D2236E">
      <w:pPr>
        <w:ind w:left="720"/>
      </w:pPr>
      <w:r>
        <w:t xml:space="preserve">Culture” to #MeToo. </w:t>
      </w:r>
      <w:r>
        <w:rPr>
          <w:i/>
        </w:rPr>
        <w:t>Sexualities Journal 21</w:t>
      </w:r>
      <w:r>
        <w:t xml:space="preserve">(8), 1313-1324. Retrieved from </w:t>
      </w:r>
      <w:hyperlink r:id="rId76">
        <w:r>
          <w:rPr>
            <w:u w:val="single"/>
          </w:rPr>
          <w:t>https://doi.org/10.1177/1363460718794647</w:t>
        </w:r>
      </w:hyperlink>
      <w:r>
        <w:t xml:space="preserve">. </w:t>
      </w:r>
    </w:p>
    <w:p w14:paraId="792B7735" w14:textId="77777777" w:rsidR="00BF65C0" w:rsidRDefault="00BF65C0"/>
    <w:p w14:paraId="1389160E" w14:textId="77777777" w:rsidR="00E10284" w:rsidRDefault="00D2236E">
      <w:r>
        <w:t xml:space="preserve">Gooderham, P.N., Nordhaug, O., and Ringdal, K. (1999). Institutional and Rational </w:t>
      </w:r>
    </w:p>
    <w:p w14:paraId="0D1FDCD9" w14:textId="77777777" w:rsidR="00BF65C0" w:rsidRDefault="00D2236E" w:rsidP="00E10284">
      <w:pPr>
        <w:ind w:left="720"/>
      </w:pPr>
      <w:r>
        <w:t xml:space="preserve">Determinants of Organizational Practices: Human Resource Management in European Firms. </w:t>
      </w:r>
      <w:r>
        <w:rPr>
          <w:i/>
        </w:rPr>
        <w:t>Administrative Science Quarterly, 44</w:t>
      </w:r>
      <w:r>
        <w:t xml:space="preserve">(3), 507-531. Retrieved from </w:t>
      </w:r>
      <w:hyperlink r:id="rId77">
        <w:r>
          <w:rPr>
            <w:u w:val="single"/>
          </w:rPr>
          <w:t>https://doi.org/10.2307/ 2666960</w:t>
        </w:r>
      </w:hyperlink>
      <w:r>
        <w:t xml:space="preserve">. </w:t>
      </w:r>
    </w:p>
    <w:p w14:paraId="1A68286E" w14:textId="77777777" w:rsidR="00BF65C0" w:rsidRDefault="00BF65C0"/>
    <w:p w14:paraId="28E3D543" w14:textId="77777777" w:rsidR="00BF65C0" w:rsidRDefault="00D2236E">
      <w:r>
        <w:t xml:space="preserve">Goodley, D. &amp; Lawthom, R. (2019). Critical Disability Studies, Brexit and Trump: A Time of </w:t>
      </w:r>
    </w:p>
    <w:p w14:paraId="477921E3" w14:textId="77777777" w:rsidR="00BF65C0" w:rsidRDefault="00D2236E">
      <w:pPr>
        <w:ind w:left="720"/>
      </w:pPr>
      <w:r>
        <w:t xml:space="preserve">Neoliberal-Ableism. </w:t>
      </w:r>
      <w:r>
        <w:rPr>
          <w:i/>
        </w:rPr>
        <w:t>Rethinking History</w:t>
      </w:r>
      <w:r>
        <w:t xml:space="preserve"> 23(2), 233-251. Retrieved from </w:t>
      </w:r>
      <w:hyperlink r:id="rId78">
        <w:r>
          <w:rPr>
            <w:u w:val="single"/>
          </w:rPr>
          <w:t>https://doi.org/10.1080/13642529.2019.1607476</w:t>
        </w:r>
      </w:hyperlink>
      <w:r>
        <w:t xml:space="preserve">. </w:t>
      </w:r>
    </w:p>
    <w:p w14:paraId="0D15E44C" w14:textId="77777777" w:rsidR="00BF65C0" w:rsidRDefault="00BF65C0"/>
    <w:p w14:paraId="1BE4017E" w14:textId="77777777" w:rsidR="00BF65C0" w:rsidRDefault="00D2236E">
      <w:r>
        <w:t xml:space="preserve">Gorman, N. &amp; DeVries, D. (2017). Family Health Centers at NYU Langone Provide Important </w:t>
      </w:r>
    </w:p>
    <w:p w14:paraId="1519F600" w14:textId="77777777" w:rsidR="00BF65C0" w:rsidRDefault="00D2236E">
      <w:pPr>
        <w:ind w:left="720"/>
      </w:pPr>
      <w:r>
        <w:t xml:space="preserve">School-Based Health: A Vital Safety Net in At-Risk and Underserved Communities. Retrieved from </w:t>
      </w:r>
      <w:hyperlink r:id="rId79">
        <w:r>
          <w:rPr>
            <w:u w:val="single"/>
          </w:rPr>
          <w:t>https://nyulangone.org/press-releases/family-health-centers-at-nyu-langone-provide-important-school-based-health</w:t>
        </w:r>
      </w:hyperlink>
      <w:r>
        <w:t xml:space="preserve">. </w:t>
      </w:r>
    </w:p>
    <w:p w14:paraId="1FFF0C75" w14:textId="77777777" w:rsidR="00BF65C0" w:rsidRDefault="00BF65C0">
      <w:pPr>
        <w:spacing w:line="240" w:lineRule="auto"/>
      </w:pPr>
    </w:p>
    <w:p w14:paraId="168DAFA9" w14:textId="77777777" w:rsidR="00BF65C0" w:rsidRDefault="00D2236E">
      <w:pPr>
        <w:spacing w:line="240" w:lineRule="auto"/>
      </w:pPr>
      <w:r>
        <w:t xml:space="preserve">Griffiths, D. and Inman, M. (2016). High Performance Workplaces: A Practical Approach to </w:t>
      </w:r>
    </w:p>
    <w:p w14:paraId="5498A0FD" w14:textId="77777777" w:rsidR="00BF65C0" w:rsidRDefault="00D2236E">
      <w:pPr>
        <w:spacing w:line="240" w:lineRule="auto"/>
        <w:ind w:left="720"/>
      </w:pPr>
      <w:r>
        <w:lastRenderedPageBreak/>
        <w:t xml:space="preserve">Managing Complexity and Coping with Change. </w:t>
      </w:r>
      <w:r>
        <w:rPr>
          <w:i/>
        </w:rPr>
        <w:t>Winning Ideas: Leading through Change and Uncertainty</w:t>
      </w:r>
      <w:r>
        <w:t>. London: Chartered Management Institute.</w:t>
      </w:r>
    </w:p>
    <w:p w14:paraId="7E64E565" w14:textId="77777777" w:rsidR="00BF65C0" w:rsidRDefault="00BF65C0"/>
    <w:p w14:paraId="7FC14B93" w14:textId="77777777" w:rsidR="00BF65C0" w:rsidRDefault="00D2236E">
      <w:pPr>
        <w:rPr>
          <w:i/>
        </w:rPr>
      </w:pPr>
      <w:r>
        <w:t xml:space="preserve">Harnish, A. (2016). Ableism and the Trump Phenomenon. </w:t>
      </w:r>
      <w:r>
        <w:rPr>
          <w:i/>
        </w:rPr>
        <w:t xml:space="preserve">Journal of Disability and Society, </w:t>
      </w:r>
    </w:p>
    <w:p w14:paraId="357D3838" w14:textId="77777777" w:rsidR="00BF65C0" w:rsidRDefault="00D2236E">
      <w:pPr>
        <w:ind w:firstLine="720"/>
      </w:pPr>
      <w:r>
        <w:rPr>
          <w:i/>
        </w:rPr>
        <w:t>32</w:t>
      </w:r>
      <w:r>
        <w:t xml:space="preserve">(3), 423-428. Retrieved from </w:t>
      </w:r>
      <w:hyperlink r:id="rId80">
        <w:r>
          <w:rPr>
            <w:u w:val="single"/>
          </w:rPr>
          <w:t>https://doi.org/10.1080/09687599.2017.1288684</w:t>
        </w:r>
      </w:hyperlink>
      <w:r>
        <w:t xml:space="preserve">. </w:t>
      </w:r>
    </w:p>
    <w:p w14:paraId="1FE292E3" w14:textId="77777777" w:rsidR="00BF65C0" w:rsidRDefault="00BF65C0"/>
    <w:p w14:paraId="5229E070" w14:textId="77777777" w:rsidR="00BF65C0" w:rsidRDefault="00D2236E">
      <w:r>
        <w:t xml:space="preserve">Hassan, M. (2013). Applying Lean Six Sigma for Waste Reduction in a Manufacturing </w:t>
      </w:r>
    </w:p>
    <w:p w14:paraId="2B93F797" w14:textId="77777777" w:rsidR="00BF65C0" w:rsidRDefault="00D2236E">
      <w:pPr>
        <w:ind w:left="720"/>
      </w:pPr>
      <w:r>
        <w:t xml:space="preserve">Environment. </w:t>
      </w:r>
      <w:r>
        <w:rPr>
          <w:i/>
        </w:rPr>
        <w:t>American Journal of Industrial Engineering, 1</w:t>
      </w:r>
      <w:r>
        <w:t xml:space="preserve">(2), 28-35. Retrieved from </w:t>
      </w:r>
      <w:hyperlink r:id="rId81">
        <w:r>
          <w:rPr>
            <w:u w:val="single"/>
          </w:rPr>
          <w:t>http://pubs.sciepub.com/ajie/1/2/4</w:t>
        </w:r>
      </w:hyperlink>
      <w:r>
        <w:t xml:space="preserve">. </w:t>
      </w:r>
    </w:p>
    <w:p w14:paraId="668E1998" w14:textId="77777777" w:rsidR="00BF65C0" w:rsidRDefault="00BF65C0">
      <w:pPr>
        <w:ind w:left="720"/>
      </w:pPr>
    </w:p>
    <w:p w14:paraId="7478CFD5" w14:textId="77777777" w:rsidR="00BF65C0" w:rsidRDefault="00D2236E">
      <w:r>
        <w:t xml:space="preserve">Hauptman, P.J., Bookman, R.J., &amp; Heinig, S. Advancing the Research Mission in a Time of </w:t>
      </w:r>
    </w:p>
    <w:p w14:paraId="59CA02A2" w14:textId="77777777" w:rsidR="00BF65C0" w:rsidRDefault="00D2236E">
      <w:pPr>
        <w:ind w:left="720"/>
      </w:pPr>
      <w:r>
        <w:t xml:space="preserve">Mergers and Acquisitions. </w:t>
      </w:r>
      <w:r>
        <w:rPr>
          <w:i/>
        </w:rPr>
        <w:t>JAMA 318</w:t>
      </w:r>
      <w:r>
        <w:t xml:space="preserve">(14), 1321-1322. Retrieved from </w:t>
      </w:r>
      <w:hyperlink r:id="rId82">
        <w:r>
          <w:rPr>
            <w:u w:val="single"/>
          </w:rPr>
          <w:t>https://doi:10.1001/jama.2017.11812</w:t>
        </w:r>
      </w:hyperlink>
      <w:r>
        <w:t xml:space="preserve">. </w:t>
      </w:r>
    </w:p>
    <w:p w14:paraId="35D3DC31" w14:textId="77777777" w:rsidR="00BF65C0" w:rsidRDefault="00BF65C0"/>
    <w:p w14:paraId="1BB30763" w14:textId="77777777" w:rsidR="00BF65C0" w:rsidRDefault="00D2236E">
      <w:pPr>
        <w:rPr>
          <w:i/>
        </w:rPr>
      </w:pPr>
      <w:r>
        <w:t xml:space="preserve">He, X. and Hayya, J. (2002). The Impact of Just-In-Time Production on Food Quality. </w:t>
      </w:r>
      <w:r>
        <w:rPr>
          <w:i/>
        </w:rPr>
        <w:t xml:space="preserve">Total </w:t>
      </w:r>
    </w:p>
    <w:p w14:paraId="3E2F34A9" w14:textId="77777777" w:rsidR="00BF65C0" w:rsidRDefault="00D2236E">
      <w:pPr>
        <w:ind w:left="720"/>
      </w:pPr>
      <w:r>
        <w:rPr>
          <w:i/>
        </w:rPr>
        <w:t>Quality Management, 13</w:t>
      </w:r>
      <w:r>
        <w:t xml:space="preserve">(5), 651-670. Retrieved from </w:t>
      </w:r>
      <w:hyperlink r:id="rId83">
        <w:r>
          <w:rPr>
            <w:u w:val="single"/>
          </w:rPr>
          <w:t>https://www.researchgate.net/ publication/233102984_The_impact_of_just-in-time_production_on_food_quality</w:t>
        </w:r>
      </w:hyperlink>
      <w:r>
        <w:t xml:space="preserve">. </w:t>
      </w:r>
    </w:p>
    <w:p w14:paraId="34040D1D" w14:textId="77777777" w:rsidR="00BF65C0" w:rsidRDefault="00BF65C0"/>
    <w:p w14:paraId="1A77E396" w14:textId="77777777" w:rsidR="00E10284" w:rsidRDefault="00D2236E">
      <w:pPr>
        <w:rPr>
          <w:i/>
        </w:rPr>
      </w:pPr>
      <w:r>
        <w:t xml:space="preserve">Hill, C. (2008). International Business: Competing in the Global Market Place. </w:t>
      </w:r>
      <w:r>
        <w:rPr>
          <w:i/>
        </w:rPr>
        <w:t xml:space="preserve">Strategic </w:t>
      </w:r>
    </w:p>
    <w:p w14:paraId="0462A100" w14:textId="77777777" w:rsidR="00BF65C0" w:rsidRPr="00E10284" w:rsidRDefault="00D2236E" w:rsidP="00E10284">
      <w:pPr>
        <w:ind w:left="720"/>
        <w:rPr>
          <w:i/>
        </w:rPr>
      </w:pPr>
      <w:r>
        <w:rPr>
          <w:i/>
        </w:rPr>
        <w:t>Direction, 24</w:t>
      </w:r>
      <w:r>
        <w:t xml:space="preserve">(9). Retrieved from </w:t>
      </w:r>
      <w:hyperlink r:id="rId84">
        <w:r>
          <w:rPr>
            <w:u w:val="single"/>
          </w:rPr>
          <w:t>https://www.emeraldinsight.com/doi/abs/10.1108/sd.2008. 05624iae.001?journalCode=sd</w:t>
        </w:r>
      </w:hyperlink>
      <w:r>
        <w:t xml:space="preserve">. </w:t>
      </w:r>
    </w:p>
    <w:p w14:paraId="56C7369E" w14:textId="77777777" w:rsidR="00BF65C0" w:rsidRDefault="00BF65C0"/>
    <w:p w14:paraId="33873F63" w14:textId="77777777" w:rsidR="00E10284" w:rsidRDefault="00D2236E">
      <w:r>
        <w:t xml:space="preserve">Hofacker, C.F., Ruyter, K., Lurie, N.H., Machanda, P., and Donaldson, J. (2016). Gamification </w:t>
      </w:r>
    </w:p>
    <w:p w14:paraId="669799B2" w14:textId="77777777" w:rsidR="00BF65C0" w:rsidRDefault="00D2236E" w:rsidP="00E10284">
      <w:pPr>
        <w:ind w:left="720"/>
      </w:pPr>
      <w:r>
        <w:t xml:space="preserve">and Mobile Marketing Effectiveness. </w:t>
      </w:r>
      <w:r>
        <w:rPr>
          <w:i/>
        </w:rPr>
        <w:t>Journal of Interactive Marketing</w:t>
      </w:r>
      <w:r>
        <w:t>,</w:t>
      </w:r>
      <w:r>
        <w:rPr>
          <w:i/>
        </w:rPr>
        <w:t xml:space="preserve"> 34</w:t>
      </w:r>
      <w:r>
        <w:t xml:space="preserve">, 25-36. Retrieved from </w:t>
      </w:r>
      <w:hyperlink r:id="rId85">
        <w:r>
          <w:rPr>
            <w:u w:val="single"/>
          </w:rPr>
          <w:t>https://doi.org/10.1016/j.intmar.2016.03.001</w:t>
        </w:r>
      </w:hyperlink>
      <w:r>
        <w:t xml:space="preserve">. </w:t>
      </w:r>
    </w:p>
    <w:p w14:paraId="60F02E9C" w14:textId="77777777" w:rsidR="00BF65C0" w:rsidRDefault="00BF65C0"/>
    <w:p w14:paraId="7938F48E" w14:textId="77777777" w:rsidR="00BF65C0" w:rsidRDefault="00D2236E">
      <w:pPr>
        <w:rPr>
          <w:i/>
        </w:rPr>
      </w:pPr>
      <w:r>
        <w:t xml:space="preserve">Hofstede, G. (2001). </w:t>
      </w:r>
      <w:r>
        <w:rPr>
          <w:i/>
        </w:rPr>
        <w:t>Culture’s Consequences: Comparing Values, Behaviours,</w:t>
      </w:r>
    </w:p>
    <w:p w14:paraId="190ADC48" w14:textId="77777777" w:rsidR="00BF65C0" w:rsidRDefault="00D2236E">
      <w:pPr>
        <w:ind w:firstLine="720"/>
      </w:pPr>
      <w:r>
        <w:rPr>
          <w:i/>
        </w:rPr>
        <w:t>Institutions and Organisations Across Nations</w:t>
      </w:r>
      <w:r>
        <w:t>. Thousand Oaks, CA: Sage.</w:t>
      </w:r>
    </w:p>
    <w:p w14:paraId="50B170D3" w14:textId="77777777" w:rsidR="00BF65C0" w:rsidRDefault="00BF65C0"/>
    <w:p w14:paraId="4242311C" w14:textId="77777777" w:rsidR="00BF65C0" w:rsidRDefault="00D2236E">
      <w:r>
        <w:t>Hollensen, S. (2009).Essentials of Global Marketing. London: Pearson.</w:t>
      </w:r>
    </w:p>
    <w:p w14:paraId="0062CC94" w14:textId="77777777" w:rsidR="00BF65C0" w:rsidRDefault="00BF65C0"/>
    <w:p w14:paraId="694EEF3A" w14:textId="77777777" w:rsidR="00BF65C0" w:rsidRDefault="00D2236E">
      <w:pPr>
        <w:rPr>
          <w:i/>
        </w:rPr>
      </w:pPr>
      <w:r>
        <w:t xml:space="preserve">Hooley, G., Piercy, N., Nicoulaud, B., and Rudd, J. (2018). </w:t>
      </w:r>
      <w:r>
        <w:rPr>
          <w:i/>
        </w:rPr>
        <w:t xml:space="preserve">Marketing Strategy and Competitive </w:t>
      </w:r>
    </w:p>
    <w:p w14:paraId="143C7D62" w14:textId="77777777" w:rsidR="00BF65C0" w:rsidRDefault="00D2236E">
      <w:pPr>
        <w:ind w:firstLine="720"/>
      </w:pPr>
      <w:r>
        <w:rPr>
          <w:i/>
        </w:rPr>
        <w:t>Positioning.</w:t>
      </w:r>
      <w:r>
        <w:t xml:space="preserve"> London: Pearson. </w:t>
      </w:r>
    </w:p>
    <w:p w14:paraId="6FA2DD62" w14:textId="77777777" w:rsidR="00BF65C0" w:rsidRDefault="00BF65C0"/>
    <w:p w14:paraId="5613EF10" w14:textId="77777777" w:rsidR="00BF65C0" w:rsidRDefault="00D2236E">
      <w:pPr>
        <w:spacing w:line="240" w:lineRule="auto"/>
      </w:pPr>
      <w:r>
        <w:t>Holt, D., Armenakis, A., &amp; Field, H. (2007). Readiness for Organizational Change: The</w:t>
      </w:r>
    </w:p>
    <w:p w14:paraId="55C71965" w14:textId="77777777" w:rsidR="00BF65C0" w:rsidRDefault="00D2236E">
      <w:pPr>
        <w:spacing w:line="240" w:lineRule="auto"/>
        <w:ind w:firstLine="720"/>
      </w:pPr>
      <w:r>
        <w:t xml:space="preserve">Systematic Development of a Scale. </w:t>
      </w:r>
      <w:r>
        <w:rPr>
          <w:i/>
        </w:rPr>
        <w:t>The Journal of Applied Behavioral Science</w:t>
      </w:r>
      <w:r>
        <w:t xml:space="preserve">, (43) </w:t>
      </w:r>
    </w:p>
    <w:p w14:paraId="522616B3" w14:textId="77777777" w:rsidR="00BF65C0" w:rsidRDefault="00D2236E">
      <w:pPr>
        <w:spacing w:line="240" w:lineRule="auto"/>
        <w:ind w:left="720"/>
      </w:pPr>
      <w:r>
        <w:t>2, 232-255. Retrieved from</w:t>
      </w:r>
      <w:hyperlink r:id="rId86">
        <w:r>
          <w:t xml:space="preserve"> </w:t>
        </w:r>
      </w:hyperlink>
      <w:hyperlink r:id="rId87">
        <w:r>
          <w:rPr>
            <w:u w:val="single"/>
          </w:rPr>
          <w:t>https://journals.sa</w:t>
        </w:r>
      </w:hyperlink>
    </w:p>
    <w:p w14:paraId="1A41B728" w14:textId="77777777" w:rsidR="00BF65C0" w:rsidRDefault="00BF65C0">
      <w:pPr>
        <w:spacing w:line="240" w:lineRule="auto"/>
        <w:ind w:left="720"/>
      </w:pPr>
    </w:p>
    <w:p w14:paraId="661C431C" w14:textId="77777777" w:rsidR="00E10284" w:rsidRDefault="00D2236E">
      <w:r>
        <w:t xml:space="preserve">Holtbruegge, D. &amp; Baron, A. (2013). Market Entry Strategies in Emerging Markets: An </w:t>
      </w:r>
    </w:p>
    <w:p w14:paraId="6547713F" w14:textId="77777777" w:rsidR="00E10284" w:rsidRDefault="00D2236E" w:rsidP="00E10284">
      <w:pPr>
        <w:ind w:firstLine="720"/>
        <w:rPr>
          <w:i/>
        </w:rPr>
      </w:pPr>
      <w:r>
        <w:t xml:space="preserve">Institutional Study in the BRIC Countries. </w:t>
      </w:r>
      <w:r>
        <w:rPr>
          <w:i/>
        </w:rPr>
        <w:t xml:space="preserve">Thunderbird International Business Review, </w:t>
      </w:r>
    </w:p>
    <w:p w14:paraId="00D06332" w14:textId="77777777" w:rsidR="00BF65C0" w:rsidRDefault="00D2236E" w:rsidP="00E10284">
      <w:pPr>
        <w:ind w:left="720"/>
      </w:pPr>
      <w:r>
        <w:rPr>
          <w:i/>
        </w:rPr>
        <w:t>55</w:t>
      </w:r>
      <w:r>
        <w:t xml:space="preserve">(3), 237-252. Retrieved from </w:t>
      </w:r>
      <w:hyperlink r:id="rId88">
        <w:r>
          <w:rPr>
            <w:u w:val="single"/>
          </w:rPr>
          <w:t>https://onlinelibrary.wiley.com/doi/full/10.1002/tie.21541</w:t>
        </w:r>
      </w:hyperlink>
      <w:r>
        <w:t xml:space="preserve">. </w:t>
      </w:r>
    </w:p>
    <w:p w14:paraId="557A1874" w14:textId="77777777" w:rsidR="00BF65C0" w:rsidRDefault="00BF65C0"/>
    <w:p w14:paraId="4809092F" w14:textId="77777777" w:rsidR="00BF65C0" w:rsidRDefault="00D2236E">
      <w:r>
        <w:t xml:space="preserve">Houtari, K. &amp; Hamari, J. (2017). A Definition for Gamification: Anchoring Gamification in the </w:t>
      </w:r>
    </w:p>
    <w:p w14:paraId="1DB23CB9" w14:textId="77777777" w:rsidR="00BF65C0" w:rsidRDefault="00D2236E">
      <w:pPr>
        <w:ind w:left="720"/>
      </w:pPr>
      <w:r>
        <w:lastRenderedPageBreak/>
        <w:t xml:space="preserve">Service Marketing Literature. </w:t>
      </w:r>
      <w:r>
        <w:rPr>
          <w:i/>
        </w:rPr>
        <w:t>Electronic Markets</w:t>
      </w:r>
      <w:r>
        <w:t>,</w:t>
      </w:r>
      <w:r>
        <w:rPr>
          <w:i/>
        </w:rPr>
        <w:t xml:space="preserve"> 27</w:t>
      </w:r>
      <w:r>
        <w:t xml:space="preserve">(1), 21-31. Retrieved from </w:t>
      </w:r>
      <w:hyperlink r:id="rId89">
        <w:r>
          <w:rPr>
            <w:u w:val="single"/>
          </w:rPr>
          <w:t>https://link.springer.com/article/10.1007/s12525-015-0212-z</w:t>
        </w:r>
      </w:hyperlink>
      <w:r>
        <w:t xml:space="preserve">. </w:t>
      </w:r>
    </w:p>
    <w:p w14:paraId="59D04738" w14:textId="77777777" w:rsidR="00BF65C0" w:rsidRDefault="00BF65C0"/>
    <w:p w14:paraId="26490A29" w14:textId="77777777" w:rsidR="00BF65C0" w:rsidRDefault="00D2236E">
      <w:pPr>
        <w:rPr>
          <w:i/>
        </w:rPr>
      </w:pPr>
      <w:r>
        <w:t xml:space="preserve">Isaacson, M. (2014). Clarifying Concepts: Cultural Humility or Competency. </w:t>
      </w:r>
      <w:r>
        <w:rPr>
          <w:i/>
        </w:rPr>
        <w:t>Journal of</w:t>
      </w:r>
    </w:p>
    <w:p w14:paraId="5B178010" w14:textId="77777777" w:rsidR="00BF65C0" w:rsidRDefault="00D2236E">
      <w:pPr>
        <w:ind w:left="720"/>
      </w:pPr>
      <w:r>
        <w:rPr>
          <w:i/>
        </w:rPr>
        <w:t>Professional Nursing, 30</w:t>
      </w:r>
      <w:r>
        <w:t>(3):, p. 251-258. Retrieved from</w:t>
      </w:r>
      <w:hyperlink r:id="rId90">
        <w:r>
          <w:t xml:space="preserve"> </w:t>
        </w:r>
      </w:hyperlink>
      <w:hyperlink r:id="rId91">
        <w:r>
          <w:rPr>
            <w:u w:val="single"/>
          </w:rPr>
          <w:t>https://www.ncbi.nlm.nih.gov/</w:t>
        </w:r>
      </w:hyperlink>
      <w:hyperlink r:id="rId92">
        <w:r>
          <w:rPr>
            <w:u w:val="single"/>
          </w:rPr>
          <w:t xml:space="preserve"> pubmed/24939335</w:t>
        </w:r>
      </w:hyperlink>
      <w:r>
        <w:t xml:space="preserve">. </w:t>
      </w:r>
    </w:p>
    <w:p w14:paraId="2F98D65B" w14:textId="77777777" w:rsidR="00BF65C0" w:rsidRDefault="00BF65C0">
      <w:pPr>
        <w:ind w:left="720"/>
      </w:pPr>
    </w:p>
    <w:p w14:paraId="15643428" w14:textId="77777777" w:rsidR="00BF65C0" w:rsidRDefault="00D2236E">
      <w:pPr>
        <w:spacing w:line="240" w:lineRule="auto"/>
      </w:pPr>
      <w:r>
        <w:t xml:space="preserve">Islam, N. (2014). The Dilemma of Physician Shortage and International Recruitment in Canada. </w:t>
      </w:r>
    </w:p>
    <w:p w14:paraId="4031A6DE" w14:textId="77777777" w:rsidR="00BF65C0" w:rsidRDefault="00D2236E">
      <w:pPr>
        <w:spacing w:line="240" w:lineRule="auto"/>
        <w:ind w:left="720"/>
      </w:pPr>
      <w:r>
        <w:rPr>
          <w:i/>
        </w:rPr>
        <w:t>International Journal of Health Policy Management, 3</w:t>
      </w:r>
      <w:r>
        <w:t xml:space="preserve">(1), 29-32. Retrieved from  </w:t>
      </w:r>
      <w:hyperlink r:id="rId93">
        <w:r>
          <w:rPr>
            <w:u w:val="single"/>
          </w:rPr>
          <w:t>https://www.ncbi.nlm.nih.gov/pmc/articles/PMC4075100/</w:t>
        </w:r>
      </w:hyperlink>
      <w:r>
        <w:t xml:space="preserve">. </w:t>
      </w:r>
    </w:p>
    <w:p w14:paraId="4BDB5F4D" w14:textId="77777777" w:rsidR="00BF65C0" w:rsidRDefault="00BF65C0">
      <w:pPr>
        <w:spacing w:line="240" w:lineRule="auto"/>
      </w:pPr>
    </w:p>
    <w:p w14:paraId="39E3DFD8" w14:textId="77777777" w:rsidR="00BF65C0" w:rsidRDefault="00D2236E">
      <w:pPr>
        <w:spacing w:line="240" w:lineRule="auto"/>
      </w:pPr>
      <w:r>
        <w:t xml:space="preserve">Jayaram, D., Manrai, A.K., and Manrai, L.A. (2015). Effective Use of Marketing Technology in </w:t>
      </w:r>
    </w:p>
    <w:p w14:paraId="760F3742" w14:textId="77777777" w:rsidR="00BF65C0" w:rsidRDefault="00D2236E">
      <w:pPr>
        <w:spacing w:line="240" w:lineRule="auto"/>
        <w:ind w:left="720"/>
      </w:pPr>
      <w:r>
        <w:t xml:space="preserve">Eastern Europe: Web Analytics, Social Media, Customer Analytics, Digital Campaigns, and Mobile Applications. </w:t>
      </w:r>
      <w:r>
        <w:rPr>
          <w:i/>
        </w:rPr>
        <w:t>Journal of Economics, Finance, and Administrative Science, 20</w:t>
      </w:r>
      <w:r>
        <w:t xml:space="preserve">(39), 118-132. Retrieved from </w:t>
      </w:r>
      <w:hyperlink r:id="rId94">
        <w:r>
          <w:rPr>
            <w:u w:val="single"/>
          </w:rPr>
          <w:t>https://doi.org/10.1016/j.jefas.2015.07.001</w:t>
        </w:r>
      </w:hyperlink>
      <w:r>
        <w:t xml:space="preserve">. </w:t>
      </w:r>
    </w:p>
    <w:p w14:paraId="40C7DE5B" w14:textId="77777777" w:rsidR="00BF65C0" w:rsidRDefault="00BF65C0"/>
    <w:p w14:paraId="4EAA1ACE" w14:textId="77777777" w:rsidR="00BF65C0" w:rsidRDefault="00D2236E">
      <w:pPr>
        <w:spacing w:line="240" w:lineRule="auto"/>
        <w:rPr>
          <w:i/>
        </w:rPr>
      </w:pPr>
      <w:r>
        <w:t xml:space="preserve">Johansen, B. &amp; Euchner, J. (2013). Navigating the VUCA World. </w:t>
      </w:r>
      <w:r>
        <w:rPr>
          <w:i/>
        </w:rPr>
        <w:t xml:space="preserve">Research-Technology </w:t>
      </w:r>
    </w:p>
    <w:p w14:paraId="6ED33131" w14:textId="77777777" w:rsidR="00BF65C0" w:rsidRDefault="00D2236E">
      <w:pPr>
        <w:spacing w:line="240" w:lineRule="auto"/>
        <w:ind w:left="720"/>
      </w:pPr>
      <w:r>
        <w:rPr>
          <w:i/>
        </w:rPr>
        <w:t>Management</w:t>
      </w:r>
      <w:r>
        <w:t>, (56) 1, 10-15. Retrieved from</w:t>
      </w:r>
      <w:hyperlink r:id="rId95">
        <w:r>
          <w:t xml:space="preserve"> </w:t>
        </w:r>
      </w:hyperlink>
      <w:hyperlink r:id="rId96">
        <w:r>
          <w:rPr>
            <w:u w:val="single"/>
          </w:rPr>
          <w:t>https://www.tandfonline.com/doi/pdf/ 10.5437/</w:t>
        </w:r>
      </w:hyperlink>
      <w:hyperlink r:id="rId97">
        <w:r>
          <w:rPr>
            <w:u w:val="single"/>
          </w:rPr>
          <w:t>08956308X5601003?casa_token=_UwMgfrxn4cAAAAA%3AbNOsuWZpSCnZSY6hThoMoSs6PTBxKvRQBRSWfxq3iflf08urVAWvt9s_Toe6qQRzIKhVnIxm-IMhSg&amp;</w:t>
        </w:r>
      </w:hyperlink>
      <w:r>
        <w:t xml:space="preserve">. </w:t>
      </w:r>
    </w:p>
    <w:p w14:paraId="37131545" w14:textId="77777777" w:rsidR="00BF65C0" w:rsidRDefault="00BF65C0"/>
    <w:p w14:paraId="7223C444" w14:textId="77777777" w:rsidR="00BF65C0" w:rsidRDefault="00D2236E">
      <w:pPr>
        <w:rPr>
          <w:i/>
        </w:rPr>
      </w:pPr>
      <w:r>
        <w:t xml:space="preserve">Kaur, P. (2015). E-Recruitment: A Conceptual Study. </w:t>
      </w:r>
      <w:r>
        <w:rPr>
          <w:i/>
        </w:rPr>
        <w:t xml:space="preserve">International Journal of Applied Research, </w:t>
      </w:r>
    </w:p>
    <w:p w14:paraId="612D5A7D" w14:textId="77777777" w:rsidR="00BF65C0" w:rsidRDefault="00D2236E">
      <w:pPr>
        <w:ind w:firstLine="720"/>
      </w:pPr>
      <w:r>
        <w:rPr>
          <w:i/>
        </w:rPr>
        <w:t>1</w:t>
      </w:r>
      <w:r>
        <w:t xml:space="preserve">(8), 78-82. </w:t>
      </w:r>
    </w:p>
    <w:p w14:paraId="23F55BEE" w14:textId="77777777" w:rsidR="00BF65C0" w:rsidRDefault="00BF65C0"/>
    <w:p w14:paraId="16D4903B" w14:textId="77777777" w:rsidR="00BF65C0" w:rsidRDefault="00D2236E">
      <w:r>
        <w:t xml:space="preserve">Kucsera, J. (2014). New York State’s Extreme School Segregation: Inequality, Inaction and a </w:t>
      </w:r>
    </w:p>
    <w:p w14:paraId="73ADE7F2" w14:textId="77777777" w:rsidR="00BF65C0" w:rsidRDefault="00D2236E">
      <w:pPr>
        <w:ind w:left="720"/>
      </w:pPr>
      <w:r>
        <w:t xml:space="preserve">Damaged Future. Los Angeles: University of California. Retrieved from </w:t>
      </w:r>
      <w:hyperlink r:id="rId98">
        <w:r>
          <w:rPr>
            <w:u w:val="single"/>
          </w:rPr>
          <w:t>https://www.civilrightsproject.ucla.edu/research/k-12-education/integration-and-diversity/ny-norflet-report-placeholder</w:t>
        </w:r>
      </w:hyperlink>
      <w:r>
        <w:t xml:space="preserve"> </w:t>
      </w:r>
    </w:p>
    <w:p w14:paraId="71A817D0" w14:textId="77777777" w:rsidR="00BF65C0" w:rsidRDefault="00BF65C0"/>
    <w:p w14:paraId="58A66BCA" w14:textId="77777777" w:rsidR="00BF65C0" w:rsidRDefault="00D2236E">
      <w:pPr>
        <w:rPr>
          <w:i/>
        </w:rPr>
      </w:pPr>
      <w:r>
        <w:t xml:space="preserve">Levitz, J. &amp; Bauerlei, V. (2017). Rural America is Stranded in the Dial-Up Age. </w:t>
      </w:r>
      <w:r>
        <w:rPr>
          <w:i/>
        </w:rPr>
        <w:t xml:space="preserve">The Wall Street </w:t>
      </w:r>
    </w:p>
    <w:p w14:paraId="03820D83" w14:textId="77777777" w:rsidR="00BF65C0" w:rsidRDefault="00D2236E">
      <w:pPr>
        <w:ind w:left="720"/>
      </w:pPr>
      <w:r>
        <w:rPr>
          <w:i/>
        </w:rPr>
        <w:t>Journal</w:t>
      </w:r>
      <w:r>
        <w:t xml:space="preserve">. Retrieved from </w:t>
      </w:r>
      <w:hyperlink r:id="rId99">
        <w:r>
          <w:rPr>
            <w:u w:val="single"/>
          </w:rPr>
          <w:t>https://www.wsj.com/articles/rural-america-is-stranded-in-the-dial-up-age-1497535841?mg=prod/accounts-wsj</w:t>
        </w:r>
      </w:hyperlink>
      <w:r>
        <w:t xml:space="preserve">. </w:t>
      </w:r>
    </w:p>
    <w:p w14:paraId="2F4D07FF" w14:textId="77777777" w:rsidR="00BF65C0" w:rsidRDefault="00BF65C0"/>
    <w:p w14:paraId="39389E53" w14:textId="77777777" w:rsidR="00BF65C0" w:rsidRDefault="00D2236E">
      <w:r>
        <w:t xml:space="preserve">Li, J. (1995). Foreign Entry and Survival: Effects of Strategic Choices on Performance in </w:t>
      </w:r>
    </w:p>
    <w:p w14:paraId="4C1EA414" w14:textId="77777777" w:rsidR="00BF65C0" w:rsidRDefault="00D2236E">
      <w:pPr>
        <w:ind w:firstLine="720"/>
      </w:pPr>
      <w:r>
        <w:t xml:space="preserve">International Markets. </w:t>
      </w:r>
      <w:r>
        <w:rPr>
          <w:i/>
        </w:rPr>
        <w:t>Strategic Management Journal, 16</w:t>
      </w:r>
      <w:r>
        <w:t xml:space="preserve">(5), 333-351. Retrieved from </w:t>
      </w:r>
    </w:p>
    <w:p w14:paraId="4E896982" w14:textId="77777777" w:rsidR="00BF65C0" w:rsidRDefault="00B81413">
      <w:pPr>
        <w:ind w:firstLine="720"/>
      </w:pPr>
      <w:hyperlink r:id="rId100">
        <w:r w:rsidR="00D2236E">
          <w:rPr>
            <w:u w:val="single"/>
          </w:rPr>
          <w:t>https://onlinelibrary.wiley.com/doi/abs/10.1002/smj.4250160502</w:t>
        </w:r>
      </w:hyperlink>
      <w:r w:rsidR="00D2236E">
        <w:t>.</w:t>
      </w:r>
    </w:p>
    <w:p w14:paraId="08A17CB1" w14:textId="77777777" w:rsidR="00BF65C0" w:rsidRDefault="00BF65C0"/>
    <w:p w14:paraId="36394B52" w14:textId="77777777" w:rsidR="00E10284" w:rsidRDefault="00D2236E" w:rsidP="00E10284">
      <w:pPr>
        <w:spacing w:line="240" w:lineRule="auto"/>
      </w:pPr>
      <w:r>
        <w:t>Lopatovska, I., Rink, K., Knight, I., Raines, K., Cosenza, K., William</w:t>
      </w:r>
      <w:r w:rsidR="00E10284">
        <w:t xml:space="preserve">s, H., Sorsche, P., Hirsch, </w:t>
      </w:r>
    </w:p>
    <w:p w14:paraId="4F0B6B65" w14:textId="77777777" w:rsidR="00BF65C0" w:rsidRDefault="00E10284" w:rsidP="00E10284">
      <w:pPr>
        <w:spacing w:line="240" w:lineRule="auto"/>
        <w:ind w:left="720"/>
      </w:pPr>
      <w:r>
        <w:t xml:space="preserve">D., </w:t>
      </w:r>
      <w:r w:rsidR="00D2236E">
        <w:t xml:space="preserve">Li, Q., &amp; Martinez, A. Talk to Me: Exploring User Interactions with the Amazon Alexa. </w:t>
      </w:r>
      <w:r w:rsidR="00D2236E">
        <w:rPr>
          <w:i/>
        </w:rPr>
        <w:t>Journal of Librarianship and Information Science</w:t>
      </w:r>
      <w:r w:rsidR="00D2236E">
        <w:t xml:space="preserve">. Retrieved from </w:t>
      </w:r>
      <w:hyperlink r:id="rId101">
        <w:r w:rsidR="00D2236E">
          <w:rPr>
            <w:u w:val="single"/>
          </w:rPr>
          <w:t>https://doi.org/10.1177/0961000618759414</w:t>
        </w:r>
      </w:hyperlink>
      <w:r w:rsidR="00D2236E">
        <w:t xml:space="preserve">. </w:t>
      </w:r>
    </w:p>
    <w:p w14:paraId="0423DD08" w14:textId="77777777" w:rsidR="00BF65C0" w:rsidRDefault="00BF65C0">
      <w:pPr>
        <w:spacing w:line="240" w:lineRule="auto"/>
      </w:pPr>
    </w:p>
    <w:p w14:paraId="6EE33F7D" w14:textId="77777777" w:rsidR="00BF65C0" w:rsidRDefault="00D2236E">
      <w:pPr>
        <w:spacing w:line="240" w:lineRule="auto"/>
      </w:pPr>
      <w:r>
        <w:t xml:space="preserve">Love, L.F. &amp; Singh, P. (2011). Workplace Branding: Leveraging Human Resource Management </w:t>
      </w:r>
    </w:p>
    <w:p w14:paraId="1F079878" w14:textId="77777777" w:rsidR="00BF65C0" w:rsidRDefault="00D2236E">
      <w:pPr>
        <w:spacing w:line="240" w:lineRule="auto"/>
        <w:ind w:left="720"/>
      </w:pPr>
      <w:r>
        <w:t xml:space="preserve">Practices for Competitive Advantage Through “Best Employer” Surveys. </w:t>
      </w:r>
      <w:r>
        <w:rPr>
          <w:i/>
        </w:rPr>
        <w:t>Journal of Business and Psychology 26</w:t>
      </w:r>
      <w:r>
        <w:t xml:space="preserve">(175). Retrieved from </w:t>
      </w:r>
      <w:hyperlink r:id="rId102">
        <w:r>
          <w:rPr>
            <w:u w:val="single"/>
          </w:rPr>
          <w:t>https://doi.org/10.1007/s10869-011-9226-5</w:t>
        </w:r>
      </w:hyperlink>
      <w:r>
        <w:t xml:space="preserve">. </w:t>
      </w:r>
    </w:p>
    <w:p w14:paraId="01710964" w14:textId="77777777" w:rsidR="00BF65C0" w:rsidRDefault="00BF65C0">
      <w:pPr>
        <w:spacing w:line="240" w:lineRule="auto"/>
      </w:pPr>
    </w:p>
    <w:p w14:paraId="6881F3FA" w14:textId="77777777" w:rsidR="00BF65C0" w:rsidRDefault="00D2236E">
      <w:pPr>
        <w:spacing w:line="240" w:lineRule="auto"/>
      </w:pPr>
      <w:r>
        <w:t>Luthans, F., &amp; Youssef, C.M. (2004). Human, Social, and Now Positive Psychological Capital</w:t>
      </w:r>
    </w:p>
    <w:p w14:paraId="5C79B5EE" w14:textId="77777777" w:rsidR="00BF65C0" w:rsidRDefault="00D2236E">
      <w:pPr>
        <w:spacing w:line="240" w:lineRule="auto"/>
        <w:ind w:firstLine="720"/>
      </w:pPr>
      <w:r>
        <w:t xml:space="preserve">Management: Investing in People for Competitive Advantage. </w:t>
      </w:r>
      <w:r>
        <w:rPr>
          <w:i/>
        </w:rPr>
        <w:t>Organizational Dynamics</w:t>
      </w:r>
      <w:r>
        <w:t xml:space="preserve">, </w:t>
      </w:r>
    </w:p>
    <w:p w14:paraId="44455748" w14:textId="77777777" w:rsidR="00BF65C0" w:rsidRDefault="00D2236E">
      <w:pPr>
        <w:spacing w:line="240" w:lineRule="auto"/>
        <w:ind w:left="720"/>
      </w:pPr>
      <w:r>
        <w:rPr>
          <w:i/>
        </w:rPr>
        <w:t>(33)</w:t>
      </w:r>
      <w:r>
        <w:t xml:space="preserve">2, 143-160. Retrieved from </w:t>
      </w:r>
      <w:hyperlink r:id="rId103">
        <w:r>
          <w:rPr>
            <w:u w:val="single"/>
          </w:rPr>
          <w:t>https://digitalcommons.unl.edu/management facpub/154/</w:t>
        </w:r>
      </w:hyperlink>
      <w:r>
        <w:t xml:space="preserve">. </w:t>
      </w:r>
    </w:p>
    <w:p w14:paraId="33324D9B" w14:textId="77777777" w:rsidR="00BF65C0" w:rsidRDefault="00BF65C0">
      <w:pPr>
        <w:spacing w:line="240" w:lineRule="auto"/>
      </w:pPr>
    </w:p>
    <w:p w14:paraId="2BD81517" w14:textId="77777777" w:rsidR="00BF65C0" w:rsidRDefault="00D2236E">
      <w:pPr>
        <w:rPr>
          <w:i/>
        </w:rPr>
      </w:pPr>
      <w:r>
        <w:t xml:space="preserve">Lymbersky, C. (2008). </w:t>
      </w:r>
      <w:r>
        <w:rPr>
          <w:i/>
        </w:rPr>
        <w:t xml:space="preserve">Market Entry Strategies: Text, Cases and Readings in Market Entry </w:t>
      </w:r>
    </w:p>
    <w:p w14:paraId="1BADEEC5" w14:textId="77777777" w:rsidR="00BF65C0" w:rsidRDefault="00D2236E">
      <w:pPr>
        <w:ind w:firstLine="720"/>
      </w:pPr>
      <w:r>
        <w:rPr>
          <w:i/>
        </w:rPr>
        <w:t xml:space="preserve">Management. </w:t>
      </w:r>
      <w:r>
        <w:t xml:space="preserve">Hamburg, Germany: Management Laboratory Press. </w:t>
      </w:r>
    </w:p>
    <w:p w14:paraId="7AADC61E" w14:textId="77777777" w:rsidR="00BF65C0" w:rsidRDefault="00BF65C0"/>
    <w:p w14:paraId="779662D5" w14:textId="77777777" w:rsidR="00BF65C0" w:rsidRDefault="00D2236E">
      <w:r>
        <w:t xml:space="preserve">Lyons, S.T., Schweitzer, L., &amp; Ng, E.S.W. How Have Careers Changed? An Investigation of </w:t>
      </w:r>
    </w:p>
    <w:p w14:paraId="5F5A81FC" w14:textId="77777777" w:rsidR="00BF65C0" w:rsidRDefault="00D2236E">
      <w:pPr>
        <w:ind w:left="720"/>
      </w:pPr>
      <w:r>
        <w:t xml:space="preserve">Changing Career Patterns Across Four Generations. </w:t>
      </w:r>
      <w:r>
        <w:rPr>
          <w:i/>
        </w:rPr>
        <w:t>Journal of Managerial Psychology, 30</w:t>
      </w:r>
      <w:r>
        <w:t xml:space="preserve">(1), 8-21. Retrieved from </w:t>
      </w:r>
      <w:hyperlink r:id="rId104">
        <w:r>
          <w:rPr>
            <w:u w:val="single"/>
          </w:rPr>
          <w:t>https://doi.org/10.1108/JMP-07-2014-0210</w:t>
        </w:r>
      </w:hyperlink>
      <w:r>
        <w:t xml:space="preserve">. </w:t>
      </w:r>
    </w:p>
    <w:p w14:paraId="2E397D16" w14:textId="77777777" w:rsidR="00BF65C0" w:rsidRDefault="00BF65C0"/>
    <w:p w14:paraId="6E8074FA" w14:textId="77777777" w:rsidR="00BF65C0" w:rsidRDefault="00D2236E">
      <w:pPr>
        <w:rPr>
          <w:i/>
        </w:rPr>
      </w:pPr>
      <w:r>
        <w:t xml:space="preserve">Mack, O., Khare, A., Kraemer, A., &amp; Burgartz, T. (2015). </w:t>
      </w:r>
      <w:r>
        <w:rPr>
          <w:i/>
        </w:rPr>
        <w:t xml:space="preserve">Managing in a VUCA World. </w:t>
      </w:r>
    </w:p>
    <w:p w14:paraId="51149FAB" w14:textId="77777777" w:rsidR="00BF65C0" w:rsidRDefault="00D2236E">
      <w:pPr>
        <w:ind w:firstLine="720"/>
      </w:pPr>
      <w:r>
        <w:t>Heidelberg: Springer.</w:t>
      </w:r>
    </w:p>
    <w:p w14:paraId="1F3E3EE9" w14:textId="77777777" w:rsidR="00BF65C0" w:rsidRDefault="00BF65C0">
      <w:pPr>
        <w:spacing w:line="240" w:lineRule="auto"/>
      </w:pPr>
    </w:p>
    <w:p w14:paraId="320037AD" w14:textId="77777777" w:rsidR="00BF65C0" w:rsidRDefault="00D2236E">
      <w:r>
        <w:t xml:space="preserve">Magtibay-Ramos, N., Estrada, G., &amp; Felipe, J. (2008). An Input-Output Analysis of the Philippine </w:t>
      </w:r>
    </w:p>
    <w:p w14:paraId="4D64C92E" w14:textId="77777777" w:rsidR="00BF65C0" w:rsidRDefault="00D2236E">
      <w:pPr>
        <w:ind w:left="720"/>
      </w:pPr>
      <w:r>
        <w:t xml:space="preserve">BPO Industry. </w:t>
      </w:r>
      <w:r>
        <w:rPr>
          <w:i/>
        </w:rPr>
        <w:t>Asian-Pacific Economic Literature, 22</w:t>
      </w:r>
      <w:r>
        <w:t xml:space="preserve">(1), 41-56. Retrieved from </w:t>
      </w:r>
      <w:hyperlink r:id="rId105">
        <w:r>
          <w:rPr>
            <w:u w:val="single"/>
          </w:rPr>
          <w:t>https://doi.org/10.1111/j.1467-8411.2008.00211.x</w:t>
        </w:r>
      </w:hyperlink>
      <w:r>
        <w:t xml:space="preserve">. </w:t>
      </w:r>
    </w:p>
    <w:p w14:paraId="2E86C1AE" w14:textId="77777777" w:rsidR="00BF65C0" w:rsidRDefault="00BF65C0"/>
    <w:p w14:paraId="02C0ED22" w14:textId="77777777" w:rsidR="00BF65C0" w:rsidRDefault="00D2236E">
      <w:r>
        <w:t xml:space="preserve">Makary, M. &amp; Daniel, M. (2016). Medical Error—The Third Leading Cause of Death in the US. </w:t>
      </w:r>
    </w:p>
    <w:p w14:paraId="3E55D851" w14:textId="77777777" w:rsidR="00BF65C0" w:rsidRDefault="00D2236E">
      <w:pPr>
        <w:ind w:left="720"/>
      </w:pPr>
      <w:r>
        <w:rPr>
          <w:i/>
        </w:rPr>
        <w:t>The British Medical Journal (BMJ)</w:t>
      </w:r>
      <w:r>
        <w:t xml:space="preserve">. Retrieved from </w:t>
      </w:r>
      <w:hyperlink r:id="rId106">
        <w:r>
          <w:rPr>
            <w:u w:val="single"/>
          </w:rPr>
          <w:t>https://www.bmj.com/content/353/bmj.i2139</w:t>
        </w:r>
      </w:hyperlink>
      <w:r>
        <w:t xml:space="preserve">. </w:t>
      </w:r>
    </w:p>
    <w:p w14:paraId="7E586049" w14:textId="77777777" w:rsidR="00BF65C0" w:rsidRDefault="00BF65C0"/>
    <w:p w14:paraId="1F72BE97" w14:textId="77777777" w:rsidR="00BF65C0" w:rsidRDefault="00D2236E">
      <w:r>
        <w:t xml:space="preserve">Mathur, K.B. (2001). </w:t>
      </w:r>
      <w:r>
        <w:rPr>
          <w:i/>
        </w:rPr>
        <w:t>Intercultural Communication: An Agenda for Developing Countries.</w:t>
      </w:r>
      <w:r>
        <w:t xml:space="preserve"> New </w:t>
      </w:r>
    </w:p>
    <w:p w14:paraId="10067A41" w14:textId="77777777" w:rsidR="00BF65C0" w:rsidRDefault="00D2236E">
      <w:pPr>
        <w:ind w:firstLine="720"/>
      </w:pPr>
      <w:r>
        <w:t xml:space="preserve">Delhi, India: Allied Publishers Limited.  </w:t>
      </w:r>
    </w:p>
    <w:p w14:paraId="638CC975" w14:textId="77777777" w:rsidR="00BF65C0" w:rsidRDefault="00BF65C0">
      <w:pPr>
        <w:spacing w:line="240" w:lineRule="auto"/>
      </w:pPr>
    </w:p>
    <w:p w14:paraId="2B197009" w14:textId="77777777" w:rsidR="00BF65C0" w:rsidRDefault="00D2236E">
      <w:pPr>
        <w:spacing w:line="240" w:lineRule="auto"/>
        <w:rPr>
          <w:i/>
        </w:rPr>
      </w:pPr>
      <w:r>
        <w:t xml:space="preserve">Marchington, M. and Wilkinson, A. (2005). High Commitment HRM and Performance. </w:t>
      </w:r>
      <w:r>
        <w:rPr>
          <w:i/>
        </w:rPr>
        <w:t>Human</w:t>
      </w:r>
    </w:p>
    <w:p w14:paraId="09EBDDA4" w14:textId="77777777" w:rsidR="00BF65C0" w:rsidRDefault="00D2236E">
      <w:pPr>
        <w:spacing w:line="240" w:lineRule="auto"/>
        <w:ind w:left="720"/>
      </w:pPr>
      <w:r>
        <w:rPr>
          <w:i/>
        </w:rPr>
        <w:t>Resource Management at Work</w:t>
      </w:r>
      <w:r>
        <w:t>. London: Chartered Institute of Personnel and Development.</w:t>
      </w:r>
    </w:p>
    <w:p w14:paraId="38A2A449" w14:textId="77777777" w:rsidR="00BF65C0" w:rsidRDefault="00BF65C0">
      <w:pPr>
        <w:spacing w:line="240" w:lineRule="auto"/>
        <w:ind w:left="720"/>
      </w:pPr>
    </w:p>
    <w:p w14:paraId="528557D7" w14:textId="77777777" w:rsidR="00BF65C0" w:rsidRDefault="00D2236E">
      <w:pPr>
        <w:spacing w:line="240" w:lineRule="auto"/>
      </w:pPr>
      <w:r>
        <w:t xml:space="preserve">Matt, C., Hess, T., &amp; Benlian, A. (2015). Digital Transformation Strategies. Business &amp; </w:t>
      </w:r>
    </w:p>
    <w:p w14:paraId="6087AC58" w14:textId="77777777" w:rsidR="00BF65C0" w:rsidRDefault="00D2236E">
      <w:pPr>
        <w:spacing w:line="240" w:lineRule="auto"/>
        <w:ind w:left="720"/>
      </w:pPr>
      <w:r>
        <w:t xml:space="preserve">Information Systems Engineering 57(5), 339-343. Retrieved from </w:t>
      </w:r>
      <w:hyperlink r:id="rId107">
        <w:r>
          <w:rPr>
            <w:u w:val="single"/>
          </w:rPr>
          <w:t>https://doi.org/10.1007/s12599-015-0401-5</w:t>
        </w:r>
      </w:hyperlink>
      <w:r>
        <w:t xml:space="preserve">. </w:t>
      </w:r>
    </w:p>
    <w:p w14:paraId="4FEB929F" w14:textId="77777777" w:rsidR="00BF65C0" w:rsidRDefault="00BF65C0">
      <w:pPr>
        <w:spacing w:line="240" w:lineRule="auto"/>
      </w:pPr>
    </w:p>
    <w:p w14:paraId="1B64B1C2" w14:textId="77777777" w:rsidR="00BF65C0" w:rsidRDefault="00D2236E">
      <w:pPr>
        <w:spacing w:line="240" w:lineRule="auto"/>
      </w:pPr>
      <w:r>
        <w:t xml:space="preserve">McKinsey &amp; Company. (2018). </w:t>
      </w:r>
      <w:r>
        <w:rPr>
          <w:i/>
        </w:rPr>
        <w:t>Delivering Through Diversity</w:t>
      </w:r>
      <w:r>
        <w:t>. New York: McKinsey &amp;</w:t>
      </w:r>
    </w:p>
    <w:p w14:paraId="01042AB5" w14:textId="77777777" w:rsidR="00BF65C0" w:rsidRDefault="00D2236E">
      <w:pPr>
        <w:spacing w:line="240" w:lineRule="auto"/>
        <w:ind w:firstLine="720"/>
      </w:pPr>
      <w:r>
        <w:t xml:space="preserve">Company. </w:t>
      </w:r>
    </w:p>
    <w:p w14:paraId="17E72352" w14:textId="77777777" w:rsidR="00BF65C0" w:rsidRDefault="00BF65C0"/>
    <w:p w14:paraId="1942B1CC" w14:textId="77777777" w:rsidR="00E10284" w:rsidRDefault="00D2236E">
      <w:r>
        <w:t xml:space="preserve">Mendes, K., Ringrose, J., &amp; Keller, J. (2018). #MeToo and the Promise and Pitfalls of </w:t>
      </w:r>
    </w:p>
    <w:p w14:paraId="2EAB9625" w14:textId="77777777" w:rsidR="00BF65C0" w:rsidRDefault="00D2236E" w:rsidP="00E10284">
      <w:pPr>
        <w:ind w:left="720"/>
      </w:pPr>
      <w:r>
        <w:t xml:space="preserve">Challenging Rape Culture through Digital Feminist Activism. </w:t>
      </w:r>
      <w:r>
        <w:rPr>
          <w:i/>
        </w:rPr>
        <w:t>European Journal of Women’s Studies 25</w:t>
      </w:r>
      <w:r>
        <w:t xml:space="preserve">(2),236-246. Retrieved from </w:t>
      </w:r>
      <w:hyperlink r:id="rId108">
        <w:r>
          <w:rPr>
            <w:u w:val="single"/>
          </w:rPr>
          <w:t>https://doi.org/10.1177/1350506818765318</w:t>
        </w:r>
      </w:hyperlink>
      <w:r>
        <w:t xml:space="preserve">. </w:t>
      </w:r>
    </w:p>
    <w:p w14:paraId="07ABE006" w14:textId="77777777" w:rsidR="00BF65C0" w:rsidRDefault="00BF65C0"/>
    <w:p w14:paraId="67BE0874" w14:textId="77777777" w:rsidR="00BF65C0" w:rsidRDefault="00D2236E">
      <w:r>
        <w:t xml:space="preserve">Meyer, K.E., Estrin, S., Bhaumik, S.K., &amp; Peng, M.W. (2008). Institutions, Resources, and Entry </w:t>
      </w:r>
    </w:p>
    <w:p w14:paraId="00572A2A" w14:textId="77777777" w:rsidR="00BF65C0" w:rsidRDefault="00D2236E">
      <w:pPr>
        <w:ind w:firstLine="720"/>
      </w:pPr>
      <w:r>
        <w:t xml:space="preserve">Strategies in Emerging Economies. </w:t>
      </w:r>
      <w:r>
        <w:rPr>
          <w:i/>
        </w:rPr>
        <w:t>Strategic Management Journal, 30</w:t>
      </w:r>
      <w:r>
        <w:t xml:space="preserve">(1), 61-80. </w:t>
      </w:r>
    </w:p>
    <w:p w14:paraId="2AF94B26" w14:textId="77777777" w:rsidR="00BF65C0" w:rsidRDefault="00D2236E">
      <w:pPr>
        <w:ind w:left="720"/>
      </w:pPr>
      <w:r>
        <w:t xml:space="preserve">Retrieved from </w:t>
      </w:r>
      <w:hyperlink r:id="rId109">
        <w:r>
          <w:rPr>
            <w:u w:val="single"/>
          </w:rPr>
          <w:t>https://onlinelibrary.wiley.com/doi/abs/10.1002/smj.720</w:t>
        </w:r>
      </w:hyperlink>
      <w:r>
        <w:t xml:space="preserve">.  </w:t>
      </w:r>
    </w:p>
    <w:p w14:paraId="38C4CBFF" w14:textId="77777777" w:rsidR="00BF65C0" w:rsidRDefault="00BF65C0"/>
    <w:p w14:paraId="70D2B9AB" w14:textId="77777777" w:rsidR="00BF65C0" w:rsidRDefault="00D2236E">
      <w:r>
        <w:t xml:space="preserve">Meyer, K.E., Wright, M. &amp; Pruthi, S. (2009). Managing Knowledge in Foreign Entry Strategies: A </w:t>
      </w:r>
    </w:p>
    <w:p w14:paraId="5F29D2A0" w14:textId="77777777" w:rsidR="00BF65C0" w:rsidRDefault="00D2236E">
      <w:pPr>
        <w:ind w:left="720"/>
      </w:pPr>
      <w:r>
        <w:t xml:space="preserve">Resource-Based Analysis. </w:t>
      </w:r>
      <w:r>
        <w:rPr>
          <w:i/>
        </w:rPr>
        <w:t>Strategic Management Journal, 30</w:t>
      </w:r>
      <w:r>
        <w:t xml:space="preserve">(5), 557-574. Retrieved from </w:t>
      </w:r>
      <w:hyperlink r:id="rId110">
        <w:r>
          <w:rPr>
            <w:u w:val="single"/>
          </w:rPr>
          <w:t>https://onlinelibrary.wiley.com/doi/abs/10.1002/smj.756</w:t>
        </w:r>
      </w:hyperlink>
      <w:r>
        <w:t xml:space="preserve">. </w:t>
      </w:r>
    </w:p>
    <w:p w14:paraId="6282278E" w14:textId="77777777" w:rsidR="00BF65C0" w:rsidRDefault="00BF65C0"/>
    <w:p w14:paraId="36344DD9" w14:textId="77777777" w:rsidR="00BF65C0" w:rsidRDefault="00D2236E">
      <w:r>
        <w:t xml:space="preserve">Nunn, A., Yoken, A., Cutler, B., Trooskin, S., Wilson, P., Little, S., and Mayer, K. (2014) </w:t>
      </w:r>
    </w:p>
    <w:p w14:paraId="0F9B60D1" w14:textId="77777777" w:rsidR="00BF65C0" w:rsidRDefault="00D2236E">
      <w:pPr>
        <w:ind w:left="720"/>
      </w:pPr>
      <w:r>
        <w:t xml:space="preserve">Geography Should Not Be Destiny: Focusing HIV/AIDS Implementation Research and Programs on Microepidemics in US Neighborhoods. </w:t>
      </w:r>
      <w:r>
        <w:rPr>
          <w:i/>
        </w:rPr>
        <w:t>American Journal of Public Health</w:t>
      </w:r>
      <w:r>
        <w:t xml:space="preserve"> </w:t>
      </w:r>
      <w:r>
        <w:rPr>
          <w:i/>
        </w:rPr>
        <w:t>104</w:t>
      </w:r>
      <w:r>
        <w:t xml:space="preserve">(5), p. 775-80. </w:t>
      </w:r>
    </w:p>
    <w:p w14:paraId="56DDE361" w14:textId="77777777" w:rsidR="00BF65C0" w:rsidRDefault="00BF65C0"/>
    <w:p w14:paraId="1968D596" w14:textId="77777777" w:rsidR="00E10284" w:rsidRDefault="00D2236E">
      <w:r>
        <w:t xml:space="preserve">Orlikowski, W. (1996). Improvising Organizational Transformation Over Time: A Situated </w:t>
      </w:r>
    </w:p>
    <w:p w14:paraId="65D68AB2" w14:textId="77777777" w:rsidR="00BF65C0" w:rsidRDefault="00D2236E" w:rsidP="00E10284">
      <w:pPr>
        <w:ind w:left="720"/>
      </w:pPr>
      <w:r>
        <w:t xml:space="preserve">Change Perspective. </w:t>
      </w:r>
      <w:r>
        <w:rPr>
          <w:i/>
        </w:rPr>
        <w:t>Information Systems Research, 7</w:t>
      </w:r>
      <w:r>
        <w:t xml:space="preserve">(1), 5-134. Retrieved from </w:t>
      </w:r>
      <w:hyperlink r:id="rId111">
        <w:r>
          <w:rPr>
            <w:u w:val="single"/>
          </w:rPr>
          <w:t>https://doi.org/10.1287/isre.7.1.63</w:t>
        </w:r>
      </w:hyperlink>
      <w:r>
        <w:t xml:space="preserve">. </w:t>
      </w:r>
    </w:p>
    <w:p w14:paraId="7293B922" w14:textId="77777777" w:rsidR="00BF65C0" w:rsidRDefault="00BF65C0"/>
    <w:p w14:paraId="283251D4" w14:textId="77777777" w:rsidR="00BF65C0" w:rsidRDefault="00D2236E">
      <w:pPr>
        <w:rPr>
          <w:i/>
        </w:rPr>
      </w:pPr>
      <w:r>
        <w:t xml:space="preserve">Pan, Y. &amp; Tse, D. (2000). The Hierarchical Model of Market Entry Modes. </w:t>
      </w:r>
      <w:r>
        <w:rPr>
          <w:i/>
        </w:rPr>
        <w:t xml:space="preserve">Journal of </w:t>
      </w:r>
    </w:p>
    <w:p w14:paraId="2D79EAE3" w14:textId="77777777" w:rsidR="00BF65C0" w:rsidRDefault="00D2236E">
      <w:pPr>
        <w:ind w:left="720"/>
      </w:pPr>
      <w:r>
        <w:rPr>
          <w:i/>
        </w:rPr>
        <w:t>International Business Studies, 31</w:t>
      </w:r>
      <w:r>
        <w:t xml:space="preserve">(4), 535-554. Retrieved from </w:t>
      </w:r>
      <w:hyperlink r:id="rId112">
        <w:r>
          <w:rPr>
            <w:u w:val="single"/>
          </w:rPr>
          <w:t>https://link.springer.com /article /10.1057/palgrave.jibs.8490921</w:t>
        </w:r>
      </w:hyperlink>
      <w:r>
        <w:t xml:space="preserve">.  </w:t>
      </w:r>
    </w:p>
    <w:p w14:paraId="3934DB22" w14:textId="77777777" w:rsidR="00BF65C0" w:rsidRDefault="00BF65C0"/>
    <w:p w14:paraId="3BC78AEF" w14:textId="77777777" w:rsidR="00BF65C0" w:rsidRDefault="00D2236E">
      <w:pPr>
        <w:spacing w:line="240" w:lineRule="auto"/>
      </w:pPr>
      <w:r>
        <w:t xml:space="preserve">Pfeffer, J. (1998) </w:t>
      </w:r>
      <w:r>
        <w:rPr>
          <w:i/>
        </w:rPr>
        <w:t>The Human Equation: Building Profits by Putting People First</w:t>
      </w:r>
      <w:r>
        <w:t>. Cambridge,</w:t>
      </w:r>
    </w:p>
    <w:p w14:paraId="7129B5A8" w14:textId="77777777" w:rsidR="00BF65C0" w:rsidRDefault="00D2236E">
      <w:pPr>
        <w:spacing w:line="240" w:lineRule="auto"/>
        <w:ind w:firstLine="720"/>
      </w:pPr>
      <w:r>
        <w:t xml:space="preserve">MA: Harvard Business School Press. </w:t>
      </w:r>
    </w:p>
    <w:p w14:paraId="682AEF21" w14:textId="77777777" w:rsidR="00BF65C0" w:rsidRDefault="00BF65C0"/>
    <w:p w14:paraId="5224C3FE" w14:textId="77777777" w:rsidR="00BF65C0" w:rsidRDefault="00D2236E">
      <w:r>
        <w:t>Pizzuti, D. (2018). Transitioning in the Workplace. Philadelphia: Jessica Kingsley Publishers.</w:t>
      </w:r>
    </w:p>
    <w:p w14:paraId="677FBC8A" w14:textId="77777777" w:rsidR="00BF65C0" w:rsidRDefault="00BF65C0"/>
    <w:p w14:paraId="2A70EF19" w14:textId="77777777" w:rsidR="00BF65C0" w:rsidRDefault="00D2236E">
      <w:r>
        <w:t xml:space="preserve">Porter, M.E. (1979). How Competitive Forces Shape Strategy. </w:t>
      </w:r>
      <w:r>
        <w:rPr>
          <w:i/>
        </w:rPr>
        <w:t>Harvard Business Review 57</w:t>
      </w:r>
      <w:r>
        <w:t xml:space="preserve">(2), </w:t>
      </w:r>
    </w:p>
    <w:p w14:paraId="49915A50" w14:textId="77777777" w:rsidR="00BF65C0" w:rsidRDefault="00D2236E">
      <w:pPr>
        <w:ind w:firstLine="720"/>
      </w:pPr>
      <w:r>
        <w:t xml:space="preserve">137-145. </w:t>
      </w:r>
    </w:p>
    <w:p w14:paraId="68428CCC" w14:textId="77777777" w:rsidR="00BF65C0" w:rsidRDefault="00BF65C0"/>
    <w:p w14:paraId="5C2050DD" w14:textId="77777777" w:rsidR="00BF65C0" w:rsidRDefault="00D2236E">
      <w:pPr>
        <w:spacing w:after="240"/>
      </w:pPr>
      <w:r>
        <w:t xml:space="preserve">Porter, M.E. (2008). The Five Competitive Forces That Shape Strategy. </w:t>
      </w:r>
      <w:r>
        <w:rPr>
          <w:i/>
        </w:rPr>
        <w:t>Harvard Business</w:t>
      </w:r>
      <w:r>
        <w:rPr>
          <w:i/>
        </w:rPr>
        <w:br/>
      </w:r>
      <w:r>
        <w:rPr>
          <w:i/>
        </w:rPr>
        <w:tab/>
        <w:t>Review</w:t>
      </w:r>
      <w:r>
        <w:t xml:space="preserve">. Retrieved from: </w:t>
      </w:r>
      <w:r>
        <w:br/>
      </w:r>
      <w:r>
        <w:tab/>
      </w:r>
      <w:hyperlink r:id="rId113">
        <w:r>
          <w:rPr>
            <w:u w:val="single"/>
          </w:rPr>
          <w:t>https://hbr.org/2008/01/the-five-competitive-forces-that-shape-strategy</w:t>
        </w:r>
      </w:hyperlink>
      <w:r>
        <w:t xml:space="preserve">. </w:t>
      </w:r>
    </w:p>
    <w:p w14:paraId="5ECB178F" w14:textId="77777777" w:rsidR="00E10284" w:rsidRDefault="00D2236E" w:rsidP="00E10284">
      <w:pPr>
        <w:rPr>
          <w:i/>
        </w:rPr>
      </w:pPr>
      <w:r>
        <w:t xml:space="preserve">Pritchard, K. (2008). Employee Engagement in the UK. </w:t>
      </w:r>
      <w:r>
        <w:rPr>
          <w:i/>
        </w:rPr>
        <w:t xml:space="preserve">Development and Learning in </w:t>
      </w:r>
    </w:p>
    <w:p w14:paraId="3053AAA8" w14:textId="77777777" w:rsidR="00BF65C0" w:rsidRPr="00E10284" w:rsidRDefault="00D2236E" w:rsidP="00E10284">
      <w:pPr>
        <w:ind w:left="720"/>
        <w:rPr>
          <w:i/>
        </w:rPr>
      </w:pPr>
      <w:r>
        <w:rPr>
          <w:i/>
        </w:rPr>
        <w:t>Organizations, 22(6)</w:t>
      </w:r>
      <w:r>
        <w:t xml:space="preserve">, 15-17. Retrieved from </w:t>
      </w:r>
      <w:hyperlink r:id="rId114">
        <w:r>
          <w:rPr>
            <w:u w:val="single"/>
          </w:rPr>
          <w:t>https://doi.org/10.1108/14777280810910302</w:t>
        </w:r>
      </w:hyperlink>
      <w:r>
        <w:t xml:space="preserve">. </w:t>
      </w:r>
    </w:p>
    <w:p w14:paraId="14C6C37A" w14:textId="77777777" w:rsidR="00BF65C0" w:rsidRDefault="00BF65C0"/>
    <w:p w14:paraId="2845EDFF" w14:textId="77777777" w:rsidR="00BF65C0" w:rsidRDefault="00D2236E">
      <w:r>
        <w:t xml:space="preserve">Prosci. (2019). ADKAR Model and Prosci Methodology. Prosci Change Management. Retrieved </w:t>
      </w:r>
    </w:p>
    <w:p w14:paraId="1DC81ED7" w14:textId="77777777" w:rsidR="00BF65C0" w:rsidRDefault="00D2236E">
      <w:pPr>
        <w:ind w:firstLine="720"/>
      </w:pPr>
      <w:r>
        <w:t xml:space="preserve">from </w:t>
      </w:r>
      <w:hyperlink r:id="rId115">
        <w:r>
          <w:rPr>
            <w:u w:val="single"/>
          </w:rPr>
          <w:t>https://www.prosci.com.au/adkar-model-and-prosci-methodology</w:t>
        </w:r>
      </w:hyperlink>
      <w:r>
        <w:t xml:space="preserve">. </w:t>
      </w:r>
    </w:p>
    <w:p w14:paraId="2153D15C" w14:textId="77777777" w:rsidR="00BF65C0" w:rsidRDefault="00BF65C0"/>
    <w:p w14:paraId="27937331" w14:textId="77777777" w:rsidR="00BF65C0" w:rsidRDefault="00D2236E">
      <w:r>
        <w:t xml:space="preserve">Riccucci, N. (2002). </w:t>
      </w:r>
      <w:r>
        <w:rPr>
          <w:i/>
        </w:rPr>
        <w:t>Managing Diversity in Public Sector Workforces</w:t>
      </w:r>
      <w:r>
        <w:t xml:space="preserve">. New York: Routledge. </w:t>
      </w:r>
    </w:p>
    <w:p w14:paraId="5EB6DE30" w14:textId="77777777" w:rsidR="00BF65C0" w:rsidRDefault="00BF65C0"/>
    <w:p w14:paraId="2876CAE7" w14:textId="77777777" w:rsidR="00E10284" w:rsidRDefault="00D2236E">
      <w:r>
        <w:t xml:space="preserve">Rao, C.P. (2006). </w:t>
      </w:r>
      <w:r>
        <w:rPr>
          <w:i/>
        </w:rPr>
        <w:t>Marketing and Multicultural Diversity</w:t>
      </w:r>
      <w:r>
        <w:t xml:space="preserve">. Ashgate Burlington, Vermont: </w:t>
      </w:r>
    </w:p>
    <w:p w14:paraId="7052D63C" w14:textId="77777777" w:rsidR="00BF65C0" w:rsidRDefault="00D2236E" w:rsidP="00E10284">
      <w:pPr>
        <w:ind w:firstLine="720"/>
      </w:pPr>
      <w:r>
        <w:t xml:space="preserve">Publishing. </w:t>
      </w:r>
    </w:p>
    <w:p w14:paraId="34F19F3A" w14:textId="77777777" w:rsidR="00BF65C0" w:rsidRDefault="00BF65C0"/>
    <w:p w14:paraId="34764F69" w14:textId="77777777" w:rsidR="00BF65C0" w:rsidRDefault="00D2236E">
      <w:r>
        <w:t xml:space="preserve">Reshmi, S. &amp; Balakrishnan, K. (2016). Implementation of an Inquisitive Chatbot for Database </w:t>
      </w:r>
    </w:p>
    <w:p w14:paraId="39D132BB" w14:textId="77777777" w:rsidR="00BF65C0" w:rsidRDefault="00D2236E">
      <w:pPr>
        <w:ind w:left="720"/>
      </w:pPr>
      <w:r>
        <w:lastRenderedPageBreak/>
        <w:t xml:space="preserve">Supported Knowledge Bases. </w:t>
      </w:r>
      <w:r>
        <w:rPr>
          <w:i/>
        </w:rPr>
        <w:t>Sadhana Journal, 41</w:t>
      </w:r>
      <w:r>
        <w:t xml:space="preserve">(10), 1173-1178. Retrieved from </w:t>
      </w:r>
      <w:hyperlink r:id="rId116">
        <w:r>
          <w:rPr>
            <w:u w:val="single"/>
          </w:rPr>
          <w:t>https://doi.org/10.1007/s12046-016-0544-1</w:t>
        </w:r>
      </w:hyperlink>
      <w:r>
        <w:t xml:space="preserve">. </w:t>
      </w:r>
    </w:p>
    <w:p w14:paraId="299403A1" w14:textId="77777777" w:rsidR="00BF65C0" w:rsidRDefault="00BF65C0"/>
    <w:p w14:paraId="2E5C0D35" w14:textId="77777777" w:rsidR="00BF65C0" w:rsidRDefault="00D2236E">
      <w:r>
        <w:t xml:space="preserve">Rodriguez, R. (2008). Latino Talent: Effective Strategies to Recruit, Retain, and Develop </w:t>
      </w:r>
    </w:p>
    <w:p w14:paraId="1C737C4E" w14:textId="77777777" w:rsidR="00BF65C0" w:rsidRDefault="00D2236E">
      <w:pPr>
        <w:ind w:firstLine="720"/>
      </w:pPr>
      <w:r>
        <w:t>Hispanic Professionals. Hoboken, New Jersey: John Wiley &amp; Sons.</w:t>
      </w:r>
    </w:p>
    <w:p w14:paraId="15746BD8" w14:textId="77777777" w:rsidR="00BF65C0" w:rsidRDefault="00BF65C0"/>
    <w:p w14:paraId="2E59F717" w14:textId="77777777" w:rsidR="00BF65C0" w:rsidRDefault="00D2236E">
      <w:r>
        <w:t xml:space="preserve">Salah, S., Rahim, A., and Carretero., J. (2010). The Integration of Six Sigma and Lean </w:t>
      </w:r>
    </w:p>
    <w:p w14:paraId="4C68FAFB" w14:textId="77777777" w:rsidR="00BF65C0" w:rsidRDefault="00D2236E">
      <w:pPr>
        <w:ind w:left="720"/>
      </w:pPr>
      <w:r>
        <w:t xml:space="preserve">Management. </w:t>
      </w:r>
      <w:r>
        <w:rPr>
          <w:i/>
        </w:rPr>
        <w:t>International Journal of Lean Six Sigma, 1</w:t>
      </w:r>
      <w:r>
        <w:t xml:space="preserve">(3), 249-274. Retrieved from </w:t>
      </w:r>
      <w:hyperlink r:id="rId117">
        <w:r>
          <w:rPr>
            <w:u w:val="single"/>
          </w:rPr>
          <w:t>https://doi.org/10.1108/20401461011075035</w:t>
        </w:r>
      </w:hyperlink>
      <w:r>
        <w:t xml:space="preserve">. </w:t>
      </w:r>
    </w:p>
    <w:p w14:paraId="72714FEA" w14:textId="77777777" w:rsidR="00BF65C0" w:rsidRDefault="00BF65C0"/>
    <w:p w14:paraId="0013B0F5" w14:textId="77777777" w:rsidR="00E10284" w:rsidRDefault="00D2236E">
      <w:r>
        <w:t xml:space="preserve">Shanafelt, T.D. &amp; Noseworthy, J.H. (2017). Executive Leadership and Physician Well-Being: </w:t>
      </w:r>
    </w:p>
    <w:p w14:paraId="0E785EAE" w14:textId="77777777" w:rsidR="00E10284" w:rsidRDefault="00D2236E" w:rsidP="00E10284">
      <w:pPr>
        <w:ind w:firstLine="720"/>
        <w:rPr>
          <w:i/>
        </w:rPr>
      </w:pPr>
      <w:r>
        <w:t xml:space="preserve">Nine Organizational Strategies to Promote Engagement and Reduce Burnout. </w:t>
      </w:r>
      <w:r>
        <w:rPr>
          <w:i/>
        </w:rPr>
        <w:t xml:space="preserve">Mayo </w:t>
      </w:r>
    </w:p>
    <w:p w14:paraId="3AD4EB1D" w14:textId="77777777" w:rsidR="00BF65C0" w:rsidRDefault="00D2236E" w:rsidP="00E10284">
      <w:pPr>
        <w:ind w:left="720"/>
      </w:pPr>
      <w:r>
        <w:rPr>
          <w:i/>
        </w:rPr>
        <w:t>Clinic Proceedings, 92</w:t>
      </w:r>
      <w:r>
        <w:t xml:space="preserve">(1), 129-146. Retrieved from </w:t>
      </w:r>
      <w:hyperlink r:id="rId118">
        <w:r>
          <w:rPr>
            <w:u w:val="single"/>
          </w:rPr>
          <w:t>https://doi.org/10.1016/j.mayocp.2016.10.004</w:t>
        </w:r>
      </w:hyperlink>
      <w:r>
        <w:t xml:space="preserve">. </w:t>
      </w:r>
    </w:p>
    <w:p w14:paraId="154C9DFC" w14:textId="77777777" w:rsidR="00BF65C0" w:rsidRDefault="00BF65C0"/>
    <w:p w14:paraId="375583C5" w14:textId="77777777" w:rsidR="00BF65C0" w:rsidRDefault="00D2236E">
      <w:r>
        <w:t xml:space="preserve">Sheets, R.G. &amp; Ting, Y. (1988). Determinants of Employee-Termination Benefits in </w:t>
      </w:r>
    </w:p>
    <w:p w14:paraId="66ACF162" w14:textId="77777777" w:rsidR="00BF65C0" w:rsidRDefault="00D2236E">
      <w:pPr>
        <w:ind w:left="720"/>
      </w:pPr>
      <w:r>
        <w:t xml:space="preserve">Organizations. </w:t>
      </w:r>
      <w:r>
        <w:rPr>
          <w:i/>
        </w:rPr>
        <w:t>Administrative Science Quarterly, 33</w:t>
      </w:r>
      <w:r>
        <w:t xml:space="preserve">(4), 607-624. Retrieved from </w:t>
      </w:r>
      <w:hyperlink r:id="rId119">
        <w:r>
          <w:rPr>
            <w:u w:val="single"/>
          </w:rPr>
          <w:t>https://www.jstor.org/stable/2392646</w:t>
        </w:r>
      </w:hyperlink>
      <w:r>
        <w:t xml:space="preserve">. </w:t>
      </w:r>
    </w:p>
    <w:p w14:paraId="13B52E1F" w14:textId="77777777" w:rsidR="00BF65C0" w:rsidRDefault="00BF65C0"/>
    <w:p w14:paraId="28B715DB" w14:textId="77777777" w:rsidR="00BF65C0" w:rsidRDefault="00D2236E">
      <w:r>
        <w:t xml:space="preserve">Shobert, B. (2015). China’s Telemedicine Industry Gets Ready to Roar. </w:t>
      </w:r>
      <w:r>
        <w:rPr>
          <w:i/>
        </w:rPr>
        <w:t>Forbes Magazine</w:t>
      </w:r>
      <w:r>
        <w:t xml:space="preserve">. </w:t>
      </w:r>
    </w:p>
    <w:p w14:paraId="12CE4E0D" w14:textId="77777777" w:rsidR="00BF65C0" w:rsidRDefault="00D2236E">
      <w:pPr>
        <w:ind w:left="720"/>
      </w:pPr>
      <w:r>
        <w:t xml:space="preserve">Retrieved from </w:t>
      </w:r>
      <w:hyperlink r:id="rId120" w:anchor="23271c2645c2">
        <w:r>
          <w:rPr>
            <w:u w:val="single"/>
          </w:rPr>
          <w:t>https://www.forbes.com/sites/benjaminshobert/2015/03/03/chinas-telemedicine-industry-gets-ready-to-roar/#23271c2645c2</w:t>
        </w:r>
      </w:hyperlink>
      <w:r>
        <w:t xml:space="preserve">. </w:t>
      </w:r>
    </w:p>
    <w:p w14:paraId="0F94F3E2" w14:textId="77777777" w:rsidR="00BF65C0" w:rsidRDefault="00BF65C0"/>
    <w:p w14:paraId="605CF08D" w14:textId="77777777" w:rsidR="00E10284" w:rsidRDefault="00D2236E">
      <w:r>
        <w:t xml:space="preserve">Smith-Hunter, A.E. &amp; Boyd, R.L. (2003). Applying Theories of Entrepreneurship to A </w:t>
      </w:r>
    </w:p>
    <w:p w14:paraId="68854E0D" w14:textId="77777777" w:rsidR="00E10284" w:rsidRDefault="00D2236E" w:rsidP="00E10284">
      <w:pPr>
        <w:ind w:firstLine="720"/>
        <w:rPr>
          <w:i/>
        </w:rPr>
      </w:pPr>
      <w:r>
        <w:t xml:space="preserve">Comparative Analysis of White and Minority Women Business Owners. </w:t>
      </w:r>
      <w:r>
        <w:rPr>
          <w:i/>
        </w:rPr>
        <w:t xml:space="preserve">Women in </w:t>
      </w:r>
    </w:p>
    <w:p w14:paraId="5D103A16" w14:textId="77777777" w:rsidR="00BF65C0" w:rsidRDefault="00D2236E" w:rsidP="00E10284">
      <w:pPr>
        <w:ind w:left="720"/>
      </w:pPr>
      <w:r>
        <w:rPr>
          <w:i/>
        </w:rPr>
        <w:t>Management Review, 19</w:t>
      </w:r>
      <w:r>
        <w:t xml:space="preserve">(1), 18-28. Retrieved from </w:t>
      </w:r>
      <w:hyperlink r:id="rId121">
        <w:r>
          <w:rPr>
            <w:u w:val="single"/>
          </w:rPr>
          <w:t>https://doi.org/10.1108/09649420410518403</w:t>
        </w:r>
      </w:hyperlink>
      <w:r>
        <w:t xml:space="preserve">. </w:t>
      </w:r>
    </w:p>
    <w:p w14:paraId="52915760" w14:textId="77777777" w:rsidR="00BF65C0" w:rsidRDefault="00BF65C0"/>
    <w:p w14:paraId="2CD1E19B" w14:textId="77777777" w:rsidR="00BF65C0" w:rsidRDefault="00D2236E">
      <w:r>
        <w:t xml:space="preserve">Stavros, J. &amp; Hinrichs, G. (2009). The Thin Book of SOAR: Building Strengths-Based Strategy. </w:t>
      </w:r>
    </w:p>
    <w:p w14:paraId="0AC8C816" w14:textId="77777777" w:rsidR="00BF65C0" w:rsidRDefault="00D2236E">
      <w:pPr>
        <w:ind w:firstLine="720"/>
      </w:pPr>
      <w:r>
        <w:t>Bend, Oregon: Thin Book Publishing.</w:t>
      </w:r>
    </w:p>
    <w:p w14:paraId="53B0A020" w14:textId="77777777" w:rsidR="00BF65C0" w:rsidRDefault="00BF65C0"/>
    <w:p w14:paraId="39FBC4F1" w14:textId="77777777" w:rsidR="00BF65C0" w:rsidRDefault="00D2236E">
      <w:r>
        <w:t xml:space="preserve">Stavros, J., Cole, M., &amp; Hitchcock, J. (2014). Appreciative Inquiry Research Review &amp; Notes: A </w:t>
      </w:r>
    </w:p>
    <w:p w14:paraId="0ABF18D0" w14:textId="77777777" w:rsidR="00BF65C0" w:rsidRDefault="00D2236E">
      <w:pPr>
        <w:ind w:left="720"/>
      </w:pPr>
      <w:r>
        <w:t xml:space="preserve">Research Review of SOAR. </w:t>
      </w:r>
      <w:r>
        <w:rPr>
          <w:i/>
        </w:rPr>
        <w:t>AI Practitioner, 16</w:t>
      </w:r>
      <w:r>
        <w:t xml:space="preserve">(3). Retrieved from: </w:t>
      </w:r>
      <w:hyperlink r:id="rId122">
        <w:r>
          <w:rPr>
            <w:u w:val="single"/>
          </w:rPr>
          <w:t>https://www.researchgate.net/publication/284380692_Appreciative_Inquiry_Research_Review_Notes_A_Research_Review_of_SOAR</w:t>
        </w:r>
      </w:hyperlink>
      <w:r>
        <w:t>.</w:t>
      </w:r>
    </w:p>
    <w:p w14:paraId="60278D12" w14:textId="77777777" w:rsidR="00BF65C0" w:rsidRDefault="00BF65C0"/>
    <w:p w14:paraId="685BDD81" w14:textId="77777777" w:rsidR="00BF65C0" w:rsidRDefault="00D2236E">
      <w:pPr>
        <w:rPr>
          <w:i/>
        </w:rPr>
      </w:pPr>
      <w:r>
        <w:t xml:space="preserve">Stringer, S. (2016). Diploma Disparities: High School Graduation Rates in New York City. </w:t>
      </w:r>
      <w:r>
        <w:rPr>
          <w:i/>
        </w:rPr>
        <w:t xml:space="preserve">New </w:t>
      </w:r>
    </w:p>
    <w:p w14:paraId="274D8245" w14:textId="77777777" w:rsidR="00BF65C0" w:rsidRDefault="00D2236E">
      <w:pPr>
        <w:ind w:left="720"/>
      </w:pPr>
      <w:r>
        <w:rPr>
          <w:i/>
        </w:rPr>
        <w:t>York City Comptroller</w:t>
      </w:r>
      <w:r>
        <w:t xml:space="preserve"> </w:t>
      </w:r>
      <w:r>
        <w:rPr>
          <w:i/>
        </w:rPr>
        <w:t>Office</w:t>
      </w:r>
      <w:r>
        <w:t xml:space="preserve">. Retrieved from </w:t>
      </w:r>
      <w:hyperlink r:id="rId123">
        <w:r>
          <w:rPr>
            <w:u w:val="single"/>
          </w:rPr>
          <w:t>https://comptroller.nyc.gov/reports/diploma-disparities-high-school-graduation-rates-in-new-york-city/</w:t>
        </w:r>
      </w:hyperlink>
      <w:r>
        <w:t xml:space="preserve">. </w:t>
      </w:r>
    </w:p>
    <w:p w14:paraId="638B53D3" w14:textId="77777777" w:rsidR="00BF65C0" w:rsidRDefault="00BF65C0"/>
    <w:p w14:paraId="731BBFC8" w14:textId="77777777" w:rsidR="00BF65C0" w:rsidRDefault="00D2236E">
      <w:r>
        <w:t xml:space="preserve">Tanne, J.H. (2003). Local Governments in US Buy Cheaper Prescription Drugs from Canada. </w:t>
      </w:r>
    </w:p>
    <w:p w14:paraId="0A995EB6" w14:textId="77777777" w:rsidR="00BF65C0" w:rsidRDefault="00D2236E">
      <w:pPr>
        <w:ind w:firstLine="720"/>
      </w:pPr>
      <w:r>
        <w:rPr>
          <w:i/>
        </w:rPr>
        <w:t>British Medical Journal (BMJ) 327</w:t>
      </w:r>
      <w:r>
        <w:t>(7424), 1126.</w:t>
      </w:r>
    </w:p>
    <w:p w14:paraId="38D313C1" w14:textId="77777777" w:rsidR="00BF65C0" w:rsidRDefault="00BF65C0"/>
    <w:p w14:paraId="14A9B054" w14:textId="77777777" w:rsidR="00BF65C0" w:rsidRDefault="00D2236E">
      <w:r>
        <w:lastRenderedPageBreak/>
        <w:t xml:space="preserve">Tanner, J. and Raymond, M.A. (2010). How Markets are Segmented. </w:t>
      </w:r>
      <w:r>
        <w:rPr>
          <w:i/>
        </w:rPr>
        <w:t>Principles of Marketing</w:t>
      </w:r>
      <w:r>
        <w:t xml:space="preserve">. </w:t>
      </w:r>
    </w:p>
    <w:p w14:paraId="4CDE387E" w14:textId="77777777" w:rsidR="00BF65C0" w:rsidRDefault="00D2236E">
      <w:pPr>
        <w:ind w:firstLine="720"/>
      </w:pPr>
      <w:r>
        <w:t xml:space="preserve">Boston: FlatWorld. </w:t>
      </w:r>
    </w:p>
    <w:p w14:paraId="042A1989" w14:textId="77777777" w:rsidR="00BF65C0" w:rsidRDefault="00BF65C0"/>
    <w:p w14:paraId="5E22557D" w14:textId="77777777" w:rsidR="00BF65C0" w:rsidRDefault="00D2236E">
      <w:pPr>
        <w:rPr>
          <w:i/>
        </w:rPr>
      </w:pPr>
      <w:r>
        <w:t xml:space="preserve">Trompenaars, F. and Turner, C.H. (1997). </w:t>
      </w:r>
      <w:r>
        <w:rPr>
          <w:i/>
        </w:rPr>
        <w:t xml:space="preserve">Riding the Waves of Culture: Understanding Cultural </w:t>
      </w:r>
    </w:p>
    <w:p w14:paraId="66368981" w14:textId="77777777" w:rsidR="00BF65C0" w:rsidRDefault="00D2236E">
      <w:pPr>
        <w:ind w:firstLine="720"/>
      </w:pPr>
      <w:r>
        <w:rPr>
          <w:i/>
        </w:rPr>
        <w:t>Diversity in Business</w:t>
      </w:r>
      <w:r>
        <w:t xml:space="preserve">. London: Nicholas Brealey Publishing Ltd. </w:t>
      </w:r>
    </w:p>
    <w:p w14:paraId="554605AF" w14:textId="77777777" w:rsidR="00BF65C0" w:rsidRDefault="00BF65C0"/>
    <w:p w14:paraId="7A54F305" w14:textId="77777777" w:rsidR="00BF65C0" w:rsidRDefault="00D2236E">
      <w:r>
        <w:t xml:space="preserve">Truong, M., Paradies, Y., Priest, N. (2014). Interventions to Improve Cultural Competency in </w:t>
      </w:r>
    </w:p>
    <w:p w14:paraId="27FC0EF7" w14:textId="77777777" w:rsidR="00BF65C0" w:rsidRDefault="00D2236E">
      <w:pPr>
        <w:ind w:left="720"/>
      </w:pPr>
      <w:r>
        <w:t xml:space="preserve">Healthcare. BMC Health Services Research, 14(99). Retrieved from </w:t>
      </w:r>
      <w:hyperlink r:id="rId124">
        <w:r>
          <w:rPr>
            <w:u w:val="single"/>
          </w:rPr>
          <w:t>https://www.ncbi.nlm.nih.gov/pubmed/24589335</w:t>
        </w:r>
      </w:hyperlink>
      <w:r>
        <w:t xml:space="preserve">. </w:t>
      </w:r>
    </w:p>
    <w:p w14:paraId="0BD6CEDC" w14:textId="77777777" w:rsidR="00BF65C0" w:rsidRDefault="00BF65C0"/>
    <w:p w14:paraId="4ACA7915" w14:textId="77777777" w:rsidR="00BF65C0" w:rsidRDefault="00D2236E">
      <w:pPr>
        <w:spacing w:line="240" w:lineRule="auto"/>
        <w:rPr>
          <w:i/>
        </w:rPr>
      </w:pPr>
      <w:r>
        <w:t xml:space="preserve">Turner, P. and Kalman, D. (2014). </w:t>
      </w:r>
      <w:r>
        <w:rPr>
          <w:i/>
        </w:rPr>
        <w:t>Make Your People Before You Make Your Products: Using</w:t>
      </w:r>
    </w:p>
    <w:p w14:paraId="5493E615" w14:textId="77777777" w:rsidR="00BF65C0" w:rsidRDefault="00D2236E">
      <w:pPr>
        <w:spacing w:line="240" w:lineRule="auto"/>
        <w:ind w:left="720"/>
      </w:pPr>
      <w:r>
        <w:rPr>
          <w:i/>
        </w:rPr>
        <w:t>Talent Management to Achieve Competitive Advantage in Global Organizations</w:t>
      </w:r>
      <w:r>
        <w:t xml:space="preserve">. Chichester: Wiley. </w:t>
      </w:r>
    </w:p>
    <w:p w14:paraId="48EE8A19" w14:textId="77777777" w:rsidR="00BF65C0" w:rsidRDefault="00BF65C0"/>
    <w:p w14:paraId="0234AC17" w14:textId="77777777" w:rsidR="00BF65C0" w:rsidRDefault="00D2236E">
      <w:pPr>
        <w:rPr>
          <w:i/>
        </w:rPr>
      </w:pPr>
      <w:r>
        <w:t xml:space="preserve">US News and World Report. (2018). Best Hospitals in New York, NY. </w:t>
      </w:r>
      <w:r>
        <w:rPr>
          <w:i/>
        </w:rPr>
        <w:t xml:space="preserve">US News and World </w:t>
      </w:r>
    </w:p>
    <w:p w14:paraId="39BA9B03" w14:textId="77777777" w:rsidR="00BF65C0" w:rsidRDefault="00D2236E">
      <w:pPr>
        <w:ind w:firstLine="720"/>
      </w:pPr>
      <w:r>
        <w:rPr>
          <w:i/>
        </w:rPr>
        <w:t>Report</w:t>
      </w:r>
      <w:r>
        <w:t xml:space="preserve">. Retrieved from </w:t>
      </w:r>
      <w:hyperlink r:id="rId125">
        <w:r>
          <w:rPr>
            <w:u w:val="single"/>
          </w:rPr>
          <w:t>https://health.usnews.com/best-hospitals/area/new-york-ny</w:t>
        </w:r>
      </w:hyperlink>
      <w:r>
        <w:t xml:space="preserve">. </w:t>
      </w:r>
    </w:p>
    <w:p w14:paraId="46D9A5D2" w14:textId="77777777" w:rsidR="00BF65C0" w:rsidRDefault="00BF65C0"/>
    <w:p w14:paraId="26BB5111" w14:textId="77777777" w:rsidR="00BF65C0" w:rsidRDefault="00D2236E">
      <w:pPr>
        <w:rPr>
          <w:i/>
        </w:rPr>
      </w:pPr>
      <w:r>
        <w:t xml:space="preserve">US News and World Report. (2018). New York University (Langone). </w:t>
      </w:r>
      <w:r>
        <w:rPr>
          <w:i/>
        </w:rPr>
        <w:t xml:space="preserve">US News and World </w:t>
      </w:r>
    </w:p>
    <w:p w14:paraId="7B21C29A" w14:textId="77777777" w:rsidR="00BF65C0" w:rsidRDefault="00D2236E">
      <w:pPr>
        <w:ind w:left="720"/>
      </w:pPr>
      <w:r>
        <w:rPr>
          <w:i/>
        </w:rPr>
        <w:t xml:space="preserve">Report. </w:t>
      </w:r>
      <w:r>
        <w:t xml:space="preserve">Retrieved from </w:t>
      </w:r>
      <w:hyperlink r:id="rId126">
        <w:r>
          <w:rPr>
            <w:u w:val="single"/>
          </w:rPr>
          <w:t>https://www.usnews.com/best-graduate-schools/top-medical-schools/new-york-university-04073</w:t>
        </w:r>
      </w:hyperlink>
      <w:r>
        <w:t xml:space="preserve">. </w:t>
      </w:r>
    </w:p>
    <w:p w14:paraId="59338E72" w14:textId="77777777" w:rsidR="00BF65C0" w:rsidRDefault="00BF65C0"/>
    <w:p w14:paraId="29EC9909" w14:textId="77777777" w:rsidR="00BF65C0" w:rsidRDefault="00D2236E">
      <w:pPr>
        <w:rPr>
          <w:i/>
        </w:rPr>
      </w:pPr>
      <w:r>
        <w:t xml:space="preserve">Vowel, S. (2017). </w:t>
      </w:r>
      <w:r>
        <w:rPr>
          <w:i/>
        </w:rPr>
        <w:t xml:space="preserve">Hacking Supplier Diversity: Cracking the Code for the Business Case: </w:t>
      </w:r>
    </w:p>
    <w:p w14:paraId="74B7BE24" w14:textId="77777777" w:rsidR="00BF65C0" w:rsidRDefault="00D2236E">
      <w:pPr>
        <w:ind w:left="720"/>
      </w:pPr>
      <w:r>
        <w:rPr>
          <w:i/>
        </w:rPr>
        <w:t>Revenue Generation, Economic Impact, and Return on Investment</w:t>
      </w:r>
      <w:r>
        <w:t xml:space="preserve">. Institute for Thought Diversity. </w:t>
      </w:r>
    </w:p>
    <w:p w14:paraId="48065D0B" w14:textId="77777777" w:rsidR="00BF65C0" w:rsidRDefault="00BF65C0"/>
    <w:p w14:paraId="372C537A" w14:textId="77777777" w:rsidR="00E10284" w:rsidRDefault="00D2236E">
      <w:r>
        <w:t xml:space="preserve">Weihrich, H. (1999). Analyzing the Competitive Advantages and Disadvantages of Germany </w:t>
      </w:r>
    </w:p>
    <w:p w14:paraId="3A8B390D" w14:textId="77777777" w:rsidR="00BF65C0" w:rsidRDefault="00D2236E" w:rsidP="00E10284">
      <w:pPr>
        <w:ind w:left="720"/>
      </w:pPr>
      <w:r>
        <w:t xml:space="preserve">with the TOWS Matrix - An Alternative to Porter’s Model. </w:t>
      </w:r>
      <w:r>
        <w:rPr>
          <w:i/>
        </w:rPr>
        <w:t>European Business Review, 99</w:t>
      </w:r>
      <w:r>
        <w:t xml:space="preserve">(1), 9-22. Retrieved from </w:t>
      </w:r>
      <w:hyperlink r:id="rId127">
        <w:r>
          <w:rPr>
            <w:u w:val="single"/>
          </w:rPr>
          <w:t>https://www.emeraldinsight.com/doi/abs/10.1108/095553499 10251822</w:t>
        </w:r>
      </w:hyperlink>
      <w:r>
        <w:t xml:space="preserve">. </w:t>
      </w:r>
    </w:p>
    <w:p w14:paraId="0A187760" w14:textId="77777777" w:rsidR="00BF65C0" w:rsidRDefault="00BF65C0"/>
    <w:p w14:paraId="67A85492" w14:textId="77777777" w:rsidR="00BF65C0" w:rsidRDefault="00D2236E">
      <w:pPr>
        <w:spacing w:line="240" w:lineRule="auto"/>
      </w:pPr>
      <w:r>
        <w:t xml:space="preserve">Woodruff, J. (2019). Difference Between SWOT &amp; TOWS Analysis. Chron Small Business. </w:t>
      </w:r>
    </w:p>
    <w:p w14:paraId="3FC155CE" w14:textId="77777777" w:rsidR="00BF65C0" w:rsidRDefault="00D2236E">
      <w:pPr>
        <w:spacing w:line="240" w:lineRule="auto"/>
        <w:ind w:left="720"/>
      </w:pPr>
      <w:r>
        <w:t xml:space="preserve">Retrieved from </w:t>
      </w:r>
      <w:hyperlink r:id="rId128">
        <w:r>
          <w:rPr>
            <w:u w:val="single"/>
          </w:rPr>
          <w:t>https://smallbusiness.chron.com/difference-between-swot-tows- analysis-23169.html</w:t>
        </w:r>
      </w:hyperlink>
      <w:r>
        <w:t xml:space="preserve">. </w:t>
      </w:r>
    </w:p>
    <w:p w14:paraId="7705A7D5" w14:textId="77777777" w:rsidR="00BF65C0" w:rsidRDefault="00BF65C0">
      <w:pPr>
        <w:spacing w:line="240" w:lineRule="auto"/>
        <w:ind w:left="720"/>
      </w:pPr>
    </w:p>
    <w:p w14:paraId="2F049B14" w14:textId="77777777" w:rsidR="00BF65C0" w:rsidRDefault="00D2236E">
      <w:pPr>
        <w:spacing w:line="240" w:lineRule="auto"/>
      </w:pPr>
      <w:r>
        <w:t xml:space="preserve">Whitfield, G. &amp; Landeros, R. (2006). Supplier Diversity Effectiveness: Does Organizational </w:t>
      </w:r>
    </w:p>
    <w:p w14:paraId="5EBE1C1D" w14:textId="77777777" w:rsidR="00BF65C0" w:rsidRDefault="00D2236E">
      <w:pPr>
        <w:spacing w:line="240" w:lineRule="auto"/>
        <w:ind w:left="720"/>
      </w:pPr>
      <w:r>
        <w:t xml:space="preserve">Culture Really Matter? </w:t>
      </w:r>
      <w:r>
        <w:rPr>
          <w:i/>
        </w:rPr>
        <w:t>Journal of Supply Chain Management, 42</w:t>
      </w:r>
      <w:r>
        <w:t xml:space="preserve">(4), 16-28. Retrieved from </w:t>
      </w:r>
      <w:hyperlink r:id="rId129">
        <w:r>
          <w:rPr>
            <w:u w:val="single"/>
          </w:rPr>
          <w:t>https://doi.org/10.1111/j.1745-493X.2006.00019.x</w:t>
        </w:r>
      </w:hyperlink>
      <w:r>
        <w:t>.</w:t>
      </w:r>
    </w:p>
    <w:p w14:paraId="3E497A2C" w14:textId="77777777" w:rsidR="00BF65C0" w:rsidRDefault="00BF65C0">
      <w:pPr>
        <w:spacing w:line="240" w:lineRule="auto"/>
        <w:ind w:left="720"/>
      </w:pPr>
    </w:p>
    <w:p w14:paraId="23E0CA92" w14:textId="77777777" w:rsidR="00BF65C0" w:rsidRDefault="00D2236E">
      <w:pPr>
        <w:spacing w:line="240" w:lineRule="auto"/>
      </w:pPr>
      <w:r>
        <w:t xml:space="preserve">Willcocks, L., Lacity, M., &amp; Craig, A. (2015). The IT Function and Robotic Process Automation. </w:t>
      </w:r>
    </w:p>
    <w:p w14:paraId="01C7FBB0" w14:textId="77777777" w:rsidR="00BF65C0" w:rsidRDefault="00D2236E">
      <w:pPr>
        <w:spacing w:line="240" w:lineRule="auto"/>
        <w:ind w:left="720"/>
      </w:pPr>
      <w:r>
        <w:rPr>
          <w:i/>
        </w:rPr>
        <w:t xml:space="preserve">The Outsourcing Unit Working Research Paper Series. </w:t>
      </w:r>
      <w:r>
        <w:t xml:space="preserve">Retrieved from </w:t>
      </w:r>
      <w:hyperlink r:id="rId130">
        <w:r>
          <w:rPr>
            <w:u w:val="single"/>
          </w:rPr>
          <w:t>http://eprints.lse.ac.uk/64519/1/OUWRPS_15_05_published.pdf</w:t>
        </w:r>
      </w:hyperlink>
      <w:r>
        <w:t xml:space="preserve">. </w:t>
      </w:r>
    </w:p>
    <w:p w14:paraId="700F4EB3" w14:textId="77777777" w:rsidR="00BF65C0" w:rsidRDefault="00BF65C0">
      <w:pPr>
        <w:spacing w:line="240" w:lineRule="auto"/>
      </w:pPr>
    </w:p>
    <w:p w14:paraId="164B18FA" w14:textId="77777777" w:rsidR="00BF65C0" w:rsidRDefault="00D2236E">
      <w:pPr>
        <w:spacing w:line="240" w:lineRule="auto"/>
      </w:pPr>
      <w:r>
        <w:t xml:space="preserve">World Economic Forum. (2016). The Future of Jobs: Employment, Skills and Workforce </w:t>
      </w:r>
    </w:p>
    <w:p w14:paraId="5A09E13F" w14:textId="77777777" w:rsidR="00BF65C0" w:rsidRDefault="00D2236E">
      <w:pPr>
        <w:spacing w:line="240" w:lineRule="auto"/>
        <w:ind w:left="720"/>
      </w:pPr>
      <w:r>
        <w:t xml:space="preserve">Strategy for the Fourth Industrial Revolution. </w:t>
      </w:r>
      <w:r>
        <w:rPr>
          <w:i/>
        </w:rPr>
        <w:t>World Economic Forum</w:t>
      </w:r>
      <w:r>
        <w:t xml:space="preserve">. Retrieved from </w:t>
      </w:r>
      <w:hyperlink r:id="rId131">
        <w:r>
          <w:rPr>
            <w:u w:val="single"/>
          </w:rPr>
          <w:t>https://www.voced.edu.au/content/ngv:71706</w:t>
        </w:r>
      </w:hyperlink>
      <w:r>
        <w:t xml:space="preserve">. </w:t>
      </w:r>
    </w:p>
    <w:p w14:paraId="48131117" w14:textId="77777777" w:rsidR="00BF65C0" w:rsidRDefault="00BF65C0">
      <w:pPr>
        <w:spacing w:line="240" w:lineRule="auto"/>
      </w:pPr>
    </w:p>
    <w:p w14:paraId="1E838C14" w14:textId="77777777" w:rsidR="00BF65C0" w:rsidRDefault="00D2236E">
      <w:pPr>
        <w:spacing w:line="240" w:lineRule="auto"/>
      </w:pPr>
      <w:r>
        <w:lastRenderedPageBreak/>
        <w:t xml:space="preserve">Worthington, I., Ram, M., Boyal, H., and Shah, M. (2008). Researching the Drivers of Socially </w:t>
      </w:r>
    </w:p>
    <w:p w14:paraId="37A1A43F" w14:textId="77777777" w:rsidR="00BF65C0" w:rsidRDefault="00D2236E">
      <w:pPr>
        <w:spacing w:line="240" w:lineRule="auto"/>
        <w:ind w:left="720"/>
      </w:pPr>
      <w:r>
        <w:t xml:space="preserve">Responsible Purchasing: A Cross-National Study of Supplier Diversity Initiatives. </w:t>
      </w:r>
      <w:r>
        <w:rPr>
          <w:i/>
        </w:rPr>
        <w:t>Journal of Business Ethics, 79</w:t>
      </w:r>
      <w:r>
        <w:t xml:space="preserve">(3), 319-331. Retrieved from </w:t>
      </w:r>
      <w:hyperlink r:id="rId132">
        <w:r>
          <w:rPr>
            <w:u w:val="single"/>
          </w:rPr>
          <w:t>https://link.springer.com/article/10. 1007/s10551-007-9400-x</w:t>
        </w:r>
      </w:hyperlink>
      <w:r>
        <w:t xml:space="preserve">. </w:t>
      </w:r>
    </w:p>
    <w:p w14:paraId="4F26DB94" w14:textId="77777777" w:rsidR="00BF65C0" w:rsidRDefault="00BF65C0">
      <w:pPr>
        <w:spacing w:line="240" w:lineRule="auto"/>
      </w:pPr>
    </w:p>
    <w:p w14:paraId="20C29CAD" w14:textId="77777777" w:rsidR="00BF65C0" w:rsidRDefault="00BF65C0">
      <w:pPr>
        <w:spacing w:line="240" w:lineRule="auto"/>
      </w:pPr>
    </w:p>
    <w:p w14:paraId="1EFB23B1" w14:textId="77777777" w:rsidR="00613681" w:rsidRDefault="00613681">
      <w:pPr>
        <w:spacing w:line="240" w:lineRule="auto"/>
      </w:pPr>
    </w:p>
    <w:p w14:paraId="2394EFA8" w14:textId="77777777" w:rsidR="00613681" w:rsidRDefault="00613681">
      <w:pPr>
        <w:spacing w:line="240" w:lineRule="auto"/>
      </w:pPr>
    </w:p>
    <w:p w14:paraId="23BAB5E8" w14:textId="77777777" w:rsidR="00613681" w:rsidRDefault="00613681">
      <w:pPr>
        <w:spacing w:line="240" w:lineRule="auto"/>
      </w:pPr>
    </w:p>
    <w:p w14:paraId="4CE14FC2" w14:textId="77777777" w:rsidR="00613681" w:rsidRDefault="00613681">
      <w:pPr>
        <w:spacing w:line="240" w:lineRule="auto"/>
      </w:pPr>
    </w:p>
    <w:p w14:paraId="7ABDB471" w14:textId="77777777" w:rsidR="00613681" w:rsidRDefault="00613681">
      <w:pPr>
        <w:spacing w:line="240" w:lineRule="auto"/>
      </w:pPr>
    </w:p>
    <w:p w14:paraId="5AC053A0" w14:textId="77777777" w:rsidR="00613681" w:rsidRDefault="00613681">
      <w:pPr>
        <w:spacing w:line="240" w:lineRule="auto"/>
      </w:pPr>
    </w:p>
    <w:p w14:paraId="1F5515A4" w14:textId="77777777" w:rsidR="00613681" w:rsidRDefault="00613681">
      <w:pPr>
        <w:spacing w:line="240" w:lineRule="auto"/>
      </w:pPr>
    </w:p>
    <w:p w14:paraId="1E2BF95D" w14:textId="77777777" w:rsidR="00613681" w:rsidRDefault="00613681">
      <w:pPr>
        <w:spacing w:line="240" w:lineRule="auto"/>
      </w:pPr>
    </w:p>
    <w:p w14:paraId="180A34E3" w14:textId="77777777" w:rsidR="00613681" w:rsidRDefault="00613681">
      <w:pPr>
        <w:spacing w:line="240" w:lineRule="auto"/>
      </w:pPr>
    </w:p>
    <w:p w14:paraId="5A9BA29C" w14:textId="77777777" w:rsidR="00613681" w:rsidRDefault="00613681">
      <w:pPr>
        <w:spacing w:line="240" w:lineRule="auto"/>
      </w:pPr>
    </w:p>
    <w:p w14:paraId="1FBA12B7" w14:textId="77777777" w:rsidR="00613681" w:rsidRDefault="00613681">
      <w:pPr>
        <w:spacing w:line="240" w:lineRule="auto"/>
      </w:pPr>
    </w:p>
    <w:p w14:paraId="406CBA5E" w14:textId="77777777" w:rsidR="00613681" w:rsidRDefault="00613681">
      <w:pPr>
        <w:spacing w:line="240" w:lineRule="auto"/>
      </w:pPr>
    </w:p>
    <w:p w14:paraId="2636715B" w14:textId="77777777" w:rsidR="00613681" w:rsidRDefault="00613681">
      <w:pPr>
        <w:spacing w:line="240" w:lineRule="auto"/>
      </w:pPr>
    </w:p>
    <w:p w14:paraId="11A7754C" w14:textId="77777777" w:rsidR="00613681" w:rsidRDefault="00613681">
      <w:pPr>
        <w:spacing w:line="240" w:lineRule="auto"/>
      </w:pPr>
    </w:p>
    <w:p w14:paraId="604B91CA" w14:textId="77777777" w:rsidR="00613681" w:rsidRDefault="00613681">
      <w:pPr>
        <w:spacing w:line="240" w:lineRule="auto"/>
      </w:pPr>
    </w:p>
    <w:p w14:paraId="4E24E087" w14:textId="77777777" w:rsidR="00613681" w:rsidRDefault="00613681">
      <w:pPr>
        <w:spacing w:line="240" w:lineRule="auto"/>
      </w:pPr>
    </w:p>
    <w:p w14:paraId="77C67554" w14:textId="77777777" w:rsidR="00613681" w:rsidRDefault="00613681">
      <w:pPr>
        <w:spacing w:line="240" w:lineRule="auto"/>
      </w:pPr>
    </w:p>
    <w:p w14:paraId="13901300" w14:textId="77777777" w:rsidR="00613681" w:rsidRDefault="00613681">
      <w:pPr>
        <w:spacing w:line="240" w:lineRule="auto"/>
      </w:pPr>
    </w:p>
    <w:p w14:paraId="1935A7AA" w14:textId="77777777" w:rsidR="00613681" w:rsidRDefault="00613681">
      <w:pPr>
        <w:spacing w:line="240" w:lineRule="auto"/>
      </w:pPr>
    </w:p>
    <w:p w14:paraId="3A6DF53B" w14:textId="77777777" w:rsidR="00613681" w:rsidRDefault="00613681">
      <w:pPr>
        <w:spacing w:line="240" w:lineRule="auto"/>
      </w:pPr>
    </w:p>
    <w:p w14:paraId="2765B56C" w14:textId="77777777" w:rsidR="00613681" w:rsidRDefault="00613681">
      <w:pPr>
        <w:spacing w:line="240" w:lineRule="auto"/>
      </w:pPr>
    </w:p>
    <w:p w14:paraId="03EDB3AD" w14:textId="77777777" w:rsidR="00613681" w:rsidRDefault="00613681">
      <w:pPr>
        <w:spacing w:line="240" w:lineRule="auto"/>
      </w:pPr>
    </w:p>
    <w:p w14:paraId="5112933E" w14:textId="77777777" w:rsidR="00613681" w:rsidRDefault="00613681">
      <w:pPr>
        <w:spacing w:line="240" w:lineRule="auto"/>
      </w:pPr>
    </w:p>
    <w:p w14:paraId="50A78F7C" w14:textId="77777777" w:rsidR="00613681" w:rsidRDefault="00613681">
      <w:pPr>
        <w:spacing w:line="240" w:lineRule="auto"/>
      </w:pPr>
    </w:p>
    <w:p w14:paraId="47385958" w14:textId="77777777" w:rsidR="00613681" w:rsidRDefault="00613681">
      <w:pPr>
        <w:spacing w:line="240" w:lineRule="auto"/>
      </w:pPr>
    </w:p>
    <w:p w14:paraId="57C861E1" w14:textId="77777777" w:rsidR="00613681" w:rsidRDefault="00613681">
      <w:pPr>
        <w:spacing w:line="240" w:lineRule="auto"/>
      </w:pPr>
    </w:p>
    <w:p w14:paraId="3D5FD792" w14:textId="77777777" w:rsidR="00613681" w:rsidRDefault="00613681">
      <w:pPr>
        <w:spacing w:line="240" w:lineRule="auto"/>
      </w:pPr>
    </w:p>
    <w:p w14:paraId="20DDC5EC" w14:textId="77777777" w:rsidR="00613681" w:rsidRDefault="00613681">
      <w:pPr>
        <w:spacing w:line="240" w:lineRule="auto"/>
      </w:pPr>
    </w:p>
    <w:p w14:paraId="76FEA5F4" w14:textId="77777777" w:rsidR="00613681" w:rsidRDefault="00613681">
      <w:pPr>
        <w:spacing w:line="240" w:lineRule="auto"/>
      </w:pPr>
    </w:p>
    <w:p w14:paraId="22317CD3" w14:textId="77777777" w:rsidR="00613681" w:rsidRDefault="00613681">
      <w:pPr>
        <w:spacing w:line="240" w:lineRule="auto"/>
      </w:pPr>
    </w:p>
    <w:p w14:paraId="5F8E75CE" w14:textId="77777777" w:rsidR="00613681" w:rsidRDefault="00613681">
      <w:pPr>
        <w:spacing w:line="240" w:lineRule="auto"/>
      </w:pPr>
    </w:p>
    <w:p w14:paraId="774A40CA" w14:textId="77777777" w:rsidR="00613681" w:rsidRDefault="00613681">
      <w:pPr>
        <w:spacing w:line="240" w:lineRule="auto"/>
      </w:pPr>
    </w:p>
    <w:p w14:paraId="76A4873B" w14:textId="77777777" w:rsidR="00613681" w:rsidRDefault="00613681">
      <w:pPr>
        <w:spacing w:line="240" w:lineRule="auto"/>
      </w:pPr>
    </w:p>
    <w:p w14:paraId="20E4DA65" w14:textId="77777777" w:rsidR="00613681" w:rsidRDefault="00613681">
      <w:pPr>
        <w:spacing w:line="240" w:lineRule="auto"/>
      </w:pPr>
    </w:p>
    <w:p w14:paraId="069B2731" w14:textId="77777777" w:rsidR="00613681" w:rsidRDefault="00613681">
      <w:pPr>
        <w:spacing w:line="240" w:lineRule="auto"/>
      </w:pPr>
    </w:p>
    <w:p w14:paraId="093B35C1" w14:textId="77777777" w:rsidR="00613681" w:rsidRDefault="00613681">
      <w:pPr>
        <w:spacing w:line="240" w:lineRule="auto"/>
      </w:pPr>
    </w:p>
    <w:p w14:paraId="3F89F45F" w14:textId="77777777" w:rsidR="00613681" w:rsidRDefault="00613681">
      <w:pPr>
        <w:spacing w:line="240" w:lineRule="auto"/>
      </w:pPr>
    </w:p>
    <w:p w14:paraId="2A70B063" w14:textId="77777777" w:rsidR="00613681" w:rsidRDefault="00613681">
      <w:pPr>
        <w:spacing w:line="240" w:lineRule="auto"/>
      </w:pPr>
    </w:p>
    <w:p w14:paraId="402B9191" w14:textId="77777777" w:rsidR="00613681" w:rsidRDefault="00613681">
      <w:pPr>
        <w:spacing w:line="240" w:lineRule="auto"/>
      </w:pPr>
    </w:p>
    <w:p w14:paraId="627C4C14" w14:textId="77777777" w:rsidR="00613681" w:rsidRDefault="00613681">
      <w:pPr>
        <w:spacing w:line="240" w:lineRule="auto"/>
      </w:pPr>
    </w:p>
    <w:p w14:paraId="557F8464" w14:textId="77777777" w:rsidR="00613681" w:rsidRDefault="00613681">
      <w:pPr>
        <w:spacing w:line="240" w:lineRule="auto"/>
      </w:pPr>
    </w:p>
    <w:p w14:paraId="1806C41A" w14:textId="77777777" w:rsidR="00613681" w:rsidRDefault="00613681">
      <w:pPr>
        <w:spacing w:line="240" w:lineRule="auto"/>
      </w:pPr>
    </w:p>
    <w:p w14:paraId="569DCFC4" w14:textId="77777777" w:rsidR="00613681" w:rsidRDefault="00613681">
      <w:pPr>
        <w:spacing w:line="240" w:lineRule="auto"/>
      </w:pPr>
    </w:p>
    <w:p w14:paraId="7F38867D" w14:textId="77777777" w:rsidR="00613681" w:rsidRDefault="00613681">
      <w:pPr>
        <w:spacing w:line="240" w:lineRule="auto"/>
      </w:pPr>
      <w:bookmarkStart w:id="0" w:name="_GoBack"/>
      <w:bookmarkEnd w:id="0"/>
    </w:p>
    <w:p w14:paraId="65015F81" w14:textId="77777777" w:rsidR="00BF65C0" w:rsidRDefault="00D2236E">
      <w:pPr>
        <w:spacing w:line="240" w:lineRule="auto"/>
        <w:jc w:val="center"/>
        <w:rPr>
          <w:b/>
        </w:rPr>
      </w:pPr>
      <w:r>
        <w:rPr>
          <w:b/>
        </w:rPr>
        <w:lastRenderedPageBreak/>
        <w:t>Appendix</w:t>
      </w:r>
    </w:p>
    <w:p w14:paraId="00B9BCB9" w14:textId="77777777" w:rsidR="00BF65C0" w:rsidRDefault="00BF65C0">
      <w:pPr>
        <w:spacing w:line="240" w:lineRule="auto"/>
        <w:jc w:val="center"/>
        <w:rPr>
          <w:b/>
        </w:rPr>
      </w:pPr>
    </w:p>
    <w:p w14:paraId="7089A50D" w14:textId="77777777" w:rsidR="00BF65C0" w:rsidRDefault="00BF65C0">
      <w:pPr>
        <w:spacing w:line="240" w:lineRule="auto"/>
        <w:jc w:val="center"/>
        <w:rPr>
          <w:b/>
        </w:rPr>
      </w:pPr>
    </w:p>
    <w:p w14:paraId="6B8DC521" w14:textId="77777777" w:rsidR="00BF65C0" w:rsidRDefault="00D2236E">
      <w:pPr>
        <w:spacing w:line="240" w:lineRule="auto"/>
        <w:jc w:val="center"/>
      </w:pPr>
      <w:r>
        <w:t>Exhibit A</w:t>
      </w:r>
    </w:p>
    <w:p w14:paraId="38D06D76" w14:textId="77777777" w:rsidR="00BF65C0" w:rsidRDefault="00BF65C0">
      <w:pPr>
        <w:spacing w:line="240" w:lineRule="auto"/>
      </w:pPr>
    </w:p>
    <w:p w14:paraId="2F04260E" w14:textId="77777777" w:rsidR="00BF65C0" w:rsidRDefault="00D2236E">
      <w:pPr>
        <w:spacing w:line="240" w:lineRule="auto"/>
        <w:jc w:val="center"/>
      </w:pPr>
      <w:r>
        <w:rPr>
          <w:noProof/>
          <w:lang w:val="en-US"/>
        </w:rPr>
        <w:drawing>
          <wp:inline distT="114300" distB="114300" distL="114300" distR="114300" wp14:anchorId="26933AB1" wp14:editId="793F616D">
            <wp:extent cx="5867400" cy="3300413"/>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3"/>
                    <a:srcRect/>
                    <a:stretch>
                      <a:fillRect/>
                    </a:stretch>
                  </pic:blipFill>
                  <pic:spPr>
                    <a:xfrm>
                      <a:off x="0" y="0"/>
                      <a:ext cx="5867400" cy="3300413"/>
                    </a:xfrm>
                    <a:prstGeom prst="rect">
                      <a:avLst/>
                    </a:prstGeom>
                    <a:ln/>
                  </pic:spPr>
                </pic:pic>
              </a:graphicData>
            </a:graphic>
          </wp:inline>
        </w:drawing>
      </w:r>
    </w:p>
    <w:p w14:paraId="4D34A6ED" w14:textId="77777777" w:rsidR="00BF65C0" w:rsidRDefault="00BF65C0">
      <w:pPr>
        <w:spacing w:line="240" w:lineRule="auto"/>
        <w:ind w:left="720"/>
        <w:rPr>
          <w:rFonts w:ascii="Roboto" w:eastAsia="Roboto" w:hAnsi="Roboto" w:cs="Roboto"/>
        </w:rPr>
      </w:pPr>
    </w:p>
    <w:p w14:paraId="77F4A2A4" w14:textId="77777777" w:rsidR="00BF65C0" w:rsidRDefault="00D2236E">
      <w:pPr>
        <w:spacing w:line="240" w:lineRule="auto"/>
        <w:ind w:left="720"/>
        <w:jc w:val="center"/>
        <w:rPr>
          <w:rFonts w:ascii="Roboto" w:eastAsia="Roboto" w:hAnsi="Roboto" w:cs="Roboto"/>
        </w:rPr>
      </w:pPr>
      <w:r>
        <w:rPr>
          <w:rFonts w:ascii="Roboto" w:eastAsia="Roboto" w:hAnsi="Roboto" w:cs="Roboto"/>
        </w:rPr>
        <w:t>Footprint of NYU Langone Health locations as of March 2019</w:t>
      </w:r>
    </w:p>
    <w:sectPr w:rsidR="00BF65C0" w:rsidSect="00E13906">
      <w:headerReference w:type="default" r:id="rId134"/>
      <w:footerReference w:type="default" r:id="rId135"/>
      <w:headerReference w:type="first" r:id="rId13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EDBF69" w14:textId="77777777" w:rsidR="00B81413" w:rsidRDefault="00B81413">
      <w:pPr>
        <w:spacing w:line="240" w:lineRule="auto"/>
      </w:pPr>
      <w:r>
        <w:separator/>
      </w:r>
    </w:p>
  </w:endnote>
  <w:endnote w:type="continuationSeparator" w:id="0">
    <w:p w14:paraId="2499D39D" w14:textId="77777777" w:rsidR="00B81413" w:rsidRDefault="00B814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Roboto">
    <w:altName w:val="Times New Roman"/>
    <w:charset w:val="00"/>
    <w:family w:val="auto"/>
    <w:pitch w:val="default"/>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C13B90" w14:textId="7299F4D7" w:rsidR="003B48E4" w:rsidRDefault="003B48E4">
    <w:pPr>
      <w:jc w:val="right"/>
      <w:rPr>
        <w:sz w:val="20"/>
        <w:szCs w:val="20"/>
      </w:rPr>
    </w:pPr>
    <w:r>
      <w:rPr>
        <w:sz w:val="20"/>
        <w:szCs w:val="20"/>
      </w:rPr>
      <w:t>Student ID Number: 1705758</w:t>
    </w:r>
    <w:r w:rsidR="00C309A6">
      <w:rPr>
        <w:sz w:val="20"/>
        <w:szCs w:val="20"/>
      </w:rPr>
      <w:br/>
    </w:r>
    <w:r w:rsidR="00427C06">
      <w:rPr>
        <w:sz w:val="20"/>
        <w:szCs w:val="20"/>
      </w:rPr>
      <w:t>Strategic Management</w:t>
    </w:r>
    <w:r w:rsidR="00C309A6">
      <w:rPr>
        <w:sz w:val="20"/>
        <w:szCs w:val="20"/>
      </w:rPr>
      <w:t xml:space="preserve"> </w:t>
    </w:r>
    <w:r w:rsidR="00427C06">
      <w:rPr>
        <w:sz w:val="20"/>
        <w:szCs w:val="20"/>
      </w:rPr>
      <w:t>(</w:t>
    </w:r>
    <w:r w:rsidR="00C309A6">
      <w:rPr>
        <w:sz w:val="20"/>
        <w:szCs w:val="20"/>
      </w:rPr>
      <w:t>SBMA7103D</w:t>
    </w:r>
    <w:r w:rsidR="00427C06">
      <w:rPr>
        <w:sz w:val="20"/>
        <w:szCs w:val="20"/>
      </w:rPr>
      <w:t>)</w:t>
    </w:r>
  </w:p>
  <w:p w14:paraId="5216C4F3" w14:textId="791F8BF7" w:rsidR="003B48E4" w:rsidRDefault="003B48E4">
    <w:pPr>
      <w:jc w:val="right"/>
      <w:rPr>
        <w:sz w:val="20"/>
        <w:szCs w:val="20"/>
      </w:rPr>
    </w:pPr>
    <w:r>
      <w:rPr>
        <w:sz w:val="20"/>
        <w:szCs w:val="20"/>
      </w:rPr>
      <w:t>Submission Date: 2</w:t>
    </w:r>
    <w:r w:rsidR="000A71AB">
      <w:rPr>
        <w:sz w:val="20"/>
        <w:szCs w:val="20"/>
      </w:rPr>
      <w:t>8</w:t>
    </w:r>
    <w:r>
      <w:rPr>
        <w:sz w:val="20"/>
        <w:szCs w:val="20"/>
      </w:rPr>
      <w:t xml:space="preserve"> July 2019</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6C2412" w14:textId="77777777" w:rsidR="00B81413" w:rsidRDefault="00B81413">
      <w:pPr>
        <w:spacing w:line="240" w:lineRule="auto"/>
      </w:pPr>
      <w:r>
        <w:separator/>
      </w:r>
    </w:p>
  </w:footnote>
  <w:footnote w:type="continuationSeparator" w:id="0">
    <w:p w14:paraId="29AF3ECB" w14:textId="77777777" w:rsidR="00B81413" w:rsidRDefault="00B81413">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73FB98" w14:textId="77777777" w:rsidR="003B48E4" w:rsidRDefault="003B48E4">
    <w:r>
      <w:rPr>
        <w:noProof/>
        <w:lang w:val="en-US"/>
      </w:rPr>
      <w:drawing>
        <wp:inline distT="114300" distB="114300" distL="114300" distR="114300" wp14:anchorId="056AEB55" wp14:editId="71D2DF29">
          <wp:extent cx="1223963" cy="488408"/>
          <wp:effectExtent l="0" t="0" r="0" b="0"/>
          <wp:docPr id="28" name="image23.jpg"/>
          <wp:cNvGraphicFramePr/>
          <a:graphic xmlns:a="http://schemas.openxmlformats.org/drawingml/2006/main">
            <a:graphicData uri="http://schemas.openxmlformats.org/drawingml/2006/picture">
              <pic:pic xmlns:pic="http://schemas.openxmlformats.org/drawingml/2006/picture">
                <pic:nvPicPr>
                  <pic:cNvPr id="0" name="image23.jpg"/>
                  <pic:cNvPicPr preferRelativeResize="0"/>
                </pic:nvPicPr>
                <pic:blipFill>
                  <a:blip r:embed="rId1"/>
                  <a:srcRect/>
                  <a:stretch>
                    <a:fillRect/>
                  </a:stretch>
                </pic:blipFill>
                <pic:spPr>
                  <a:xfrm>
                    <a:off x="0" y="0"/>
                    <a:ext cx="1223963" cy="488408"/>
                  </a:xfrm>
                  <a:prstGeom prst="rect">
                    <a:avLst/>
                  </a:prstGeom>
                  <a:ln/>
                </pic:spPr>
              </pic:pic>
            </a:graphicData>
          </a:graphic>
        </wp:inline>
      </w:drawing>
    </w:r>
    <w:r>
      <w:tab/>
    </w:r>
    <w:r>
      <w:tab/>
    </w:r>
    <w:r>
      <w:tab/>
    </w:r>
    <w:r>
      <w:tab/>
    </w:r>
    <w:r>
      <w:tab/>
    </w:r>
    <w:r>
      <w:tab/>
    </w:r>
    <w:r>
      <w:tab/>
    </w:r>
    <w:r>
      <w:tab/>
    </w:r>
    <w:r>
      <w:tab/>
      <w:t xml:space="preserve">Fernando </w:t>
    </w:r>
    <w:r>
      <w:fldChar w:fldCharType="begin"/>
    </w:r>
    <w:r>
      <w:instrText>PAGE</w:instrText>
    </w:r>
    <w:r>
      <w:fldChar w:fldCharType="separate"/>
    </w:r>
    <w:r w:rsidR="00613681">
      <w:rPr>
        <w:noProof/>
      </w:rPr>
      <w:t>33</w:t>
    </w:r>
    <w: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4F60CF" w14:textId="77777777" w:rsidR="003B48E4" w:rsidRDefault="003B48E4">
    <w:r>
      <w:rPr>
        <w:noProof/>
        <w:lang w:val="en-US"/>
      </w:rPr>
      <w:drawing>
        <wp:inline distT="114300" distB="114300" distL="114300" distR="114300" wp14:anchorId="41C82C71" wp14:editId="375DD154">
          <wp:extent cx="1204913" cy="480806"/>
          <wp:effectExtent l="0" t="0" r="0" b="0"/>
          <wp:docPr id="38" name="image26.jpg"/>
          <wp:cNvGraphicFramePr/>
          <a:graphic xmlns:a="http://schemas.openxmlformats.org/drawingml/2006/main">
            <a:graphicData uri="http://schemas.openxmlformats.org/drawingml/2006/picture">
              <pic:pic xmlns:pic="http://schemas.openxmlformats.org/drawingml/2006/picture">
                <pic:nvPicPr>
                  <pic:cNvPr id="0" name="image26.jpg"/>
                  <pic:cNvPicPr preferRelativeResize="0"/>
                </pic:nvPicPr>
                <pic:blipFill>
                  <a:blip r:embed="rId1"/>
                  <a:srcRect/>
                  <a:stretch>
                    <a:fillRect/>
                  </a:stretch>
                </pic:blipFill>
                <pic:spPr>
                  <a:xfrm>
                    <a:off x="0" y="0"/>
                    <a:ext cx="1204913" cy="480806"/>
                  </a:xfrm>
                  <a:prstGeom prst="rect">
                    <a:avLst/>
                  </a:prstGeom>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532A1"/>
    <w:multiLevelType w:val="multilevel"/>
    <w:tmpl w:val="F4AE59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17C2D0D"/>
    <w:multiLevelType w:val="multilevel"/>
    <w:tmpl w:val="F54E4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5BC33D2"/>
    <w:multiLevelType w:val="multilevel"/>
    <w:tmpl w:val="98020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CC923AE"/>
    <w:multiLevelType w:val="multilevel"/>
    <w:tmpl w:val="23CA4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506341B"/>
    <w:multiLevelType w:val="multilevel"/>
    <w:tmpl w:val="624C9C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1AB724E8"/>
    <w:multiLevelType w:val="multilevel"/>
    <w:tmpl w:val="293C25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1B1D6675"/>
    <w:multiLevelType w:val="multilevel"/>
    <w:tmpl w:val="B06473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20115AAB"/>
    <w:multiLevelType w:val="multilevel"/>
    <w:tmpl w:val="529CAD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224D2084"/>
    <w:multiLevelType w:val="multilevel"/>
    <w:tmpl w:val="33269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22EA2F97"/>
    <w:multiLevelType w:val="multilevel"/>
    <w:tmpl w:val="FEE09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24B320B4"/>
    <w:multiLevelType w:val="multilevel"/>
    <w:tmpl w:val="8F088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2BD124EB"/>
    <w:multiLevelType w:val="multilevel"/>
    <w:tmpl w:val="10ACDE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345B5332"/>
    <w:multiLevelType w:val="multilevel"/>
    <w:tmpl w:val="FD24D6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361176E3"/>
    <w:multiLevelType w:val="multilevel"/>
    <w:tmpl w:val="81424E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3A517421"/>
    <w:multiLevelType w:val="multilevel"/>
    <w:tmpl w:val="E8301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40B6535A"/>
    <w:multiLevelType w:val="multilevel"/>
    <w:tmpl w:val="DAC44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40E854C3"/>
    <w:multiLevelType w:val="multilevel"/>
    <w:tmpl w:val="EEA242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428F24DD"/>
    <w:multiLevelType w:val="multilevel"/>
    <w:tmpl w:val="C6B49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44DA319C"/>
    <w:multiLevelType w:val="multilevel"/>
    <w:tmpl w:val="DB563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4D602133"/>
    <w:multiLevelType w:val="multilevel"/>
    <w:tmpl w:val="D6FC3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51B7296F"/>
    <w:multiLevelType w:val="multilevel"/>
    <w:tmpl w:val="63728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5AC61AA3"/>
    <w:multiLevelType w:val="multilevel"/>
    <w:tmpl w:val="4914E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5B242DD1"/>
    <w:multiLevelType w:val="multilevel"/>
    <w:tmpl w:val="EC4A7E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nsid w:val="627323CB"/>
    <w:multiLevelType w:val="multilevel"/>
    <w:tmpl w:val="BB344F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6645327A"/>
    <w:multiLevelType w:val="multilevel"/>
    <w:tmpl w:val="3B244B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nsid w:val="6B032C75"/>
    <w:multiLevelType w:val="multilevel"/>
    <w:tmpl w:val="6E0E6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nsid w:val="6D314A18"/>
    <w:multiLevelType w:val="multilevel"/>
    <w:tmpl w:val="5CE4E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nsid w:val="6F8B708F"/>
    <w:multiLevelType w:val="multilevel"/>
    <w:tmpl w:val="FB9654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nsid w:val="715468DF"/>
    <w:multiLevelType w:val="multilevel"/>
    <w:tmpl w:val="E93A1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nsid w:val="7281058F"/>
    <w:multiLevelType w:val="multilevel"/>
    <w:tmpl w:val="FA760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nsid w:val="73524EB8"/>
    <w:multiLevelType w:val="multilevel"/>
    <w:tmpl w:val="51A6B6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nsid w:val="75D37A54"/>
    <w:multiLevelType w:val="multilevel"/>
    <w:tmpl w:val="7012EE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nsid w:val="76060837"/>
    <w:multiLevelType w:val="multilevel"/>
    <w:tmpl w:val="BF665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0"/>
  </w:num>
  <w:num w:numId="2">
    <w:abstractNumId w:val="17"/>
  </w:num>
  <w:num w:numId="3">
    <w:abstractNumId w:val="21"/>
  </w:num>
  <w:num w:numId="4">
    <w:abstractNumId w:val="5"/>
  </w:num>
  <w:num w:numId="5">
    <w:abstractNumId w:val="6"/>
  </w:num>
  <w:num w:numId="6">
    <w:abstractNumId w:val="32"/>
  </w:num>
  <w:num w:numId="7">
    <w:abstractNumId w:val="7"/>
  </w:num>
  <w:num w:numId="8">
    <w:abstractNumId w:val="26"/>
  </w:num>
  <w:num w:numId="9">
    <w:abstractNumId w:val="0"/>
  </w:num>
  <w:num w:numId="10">
    <w:abstractNumId w:val="4"/>
  </w:num>
  <w:num w:numId="11">
    <w:abstractNumId w:val="13"/>
  </w:num>
  <w:num w:numId="12">
    <w:abstractNumId w:val="24"/>
  </w:num>
  <w:num w:numId="13">
    <w:abstractNumId w:val="15"/>
  </w:num>
  <w:num w:numId="14">
    <w:abstractNumId w:val="14"/>
  </w:num>
  <w:num w:numId="15">
    <w:abstractNumId w:val="2"/>
  </w:num>
  <w:num w:numId="16">
    <w:abstractNumId w:val="9"/>
  </w:num>
  <w:num w:numId="17">
    <w:abstractNumId w:val="25"/>
  </w:num>
  <w:num w:numId="18">
    <w:abstractNumId w:val="19"/>
  </w:num>
  <w:num w:numId="19">
    <w:abstractNumId w:val="23"/>
  </w:num>
  <w:num w:numId="20">
    <w:abstractNumId w:val="10"/>
  </w:num>
  <w:num w:numId="21">
    <w:abstractNumId w:val="12"/>
  </w:num>
  <w:num w:numId="22">
    <w:abstractNumId w:val="22"/>
  </w:num>
  <w:num w:numId="23">
    <w:abstractNumId w:val="18"/>
  </w:num>
  <w:num w:numId="24">
    <w:abstractNumId w:val="11"/>
  </w:num>
  <w:num w:numId="25">
    <w:abstractNumId w:val="16"/>
  </w:num>
  <w:num w:numId="26">
    <w:abstractNumId w:val="31"/>
  </w:num>
  <w:num w:numId="27">
    <w:abstractNumId w:val="3"/>
  </w:num>
  <w:num w:numId="28">
    <w:abstractNumId w:val="27"/>
  </w:num>
  <w:num w:numId="29">
    <w:abstractNumId w:val="8"/>
  </w:num>
  <w:num w:numId="30">
    <w:abstractNumId w:val="1"/>
  </w:num>
  <w:num w:numId="31">
    <w:abstractNumId w:val="30"/>
  </w:num>
  <w:num w:numId="32">
    <w:abstractNumId w:val="28"/>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65C0"/>
    <w:rsid w:val="00082877"/>
    <w:rsid w:val="000A71AB"/>
    <w:rsid w:val="001C1D1E"/>
    <w:rsid w:val="003B48E4"/>
    <w:rsid w:val="00427C06"/>
    <w:rsid w:val="004B33BC"/>
    <w:rsid w:val="00613681"/>
    <w:rsid w:val="006E2903"/>
    <w:rsid w:val="007435FB"/>
    <w:rsid w:val="00A2007B"/>
    <w:rsid w:val="00A55394"/>
    <w:rsid w:val="00AD09C2"/>
    <w:rsid w:val="00B81413"/>
    <w:rsid w:val="00BE79F3"/>
    <w:rsid w:val="00BF65C0"/>
    <w:rsid w:val="00C309A6"/>
    <w:rsid w:val="00C42859"/>
    <w:rsid w:val="00CF6653"/>
    <w:rsid w:val="00D2236E"/>
    <w:rsid w:val="00DA3B06"/>
    <w:rsid w:val="00E10284"/>
    <w:rsid w:val="00E13906"/>
    <w:rsid w:val="00F000A7"/>
    <w:rsid w:val="00F30DC5"/>
    <w:rsid w:val="00FF65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521BD"/>
  <w15:docId w15:val="{C8E2C057-6DEE-4103-ACBC-2DCE33090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character" w:styleId="Hyperlink">
    <w:name w:val="Hyperlink"/>
    <w:basedOn w:val="DefaultParagraphFont"/>
    <w:uiPriority w:val="99"/>
    <w:unhideWhenUsed/>
    <w:rsid w:val="00E10284"/>
    <w:rPr>
      <w:color w:val="0000FF" w:themeColor="hyperlink"/>
      <w:u w:val="single"/>
    </w:rPr>
  </w:style>
  <w:style w:type="paragraph" w:styleId="Header">
    <w:name w:val="header"/>
    <w:basedOn w:val="Normal"/>
    <w:link w:val="HeaderChar"/>
    <w:uiPriority w:val="99"/>
    <w:unhideWhenUsed/>
    <w:rsid w:val="00D2236E"/>
    <w:pPr>
      <w:tabs>
        <w:tab w:val="center" w:pos="4680"/>
        <w:tab w:val="right" w:pos="9360"/>
      </w:tabs>
      <w:spacing w:line="240" w:lineRule="auto"/>
    </w:pPr>
  </w:style>
  <w:style w:type="character" w:customStyle="1" w:styleId="HeaderChar">
    <w:name w:val="Header Char"/>
    <w:basedOn w:val="DefaultParagraphFont"/>
    <w:link w:val="Header"/>
    <w:uiPriority w:val="99"/>
    <w:rsid w:val="00D2236E"/>
  </w:style>
  <w:style w:type="paragraph" w:styleId="Footer">
    <w:name w:val="footer"/>
    <w:basedOn w:val="Normal"/>
    <w:link w:val="FooterChar"/>
    <w:uiPriority w:val="99"/>
    <w:unhideWhenUsed/>
    <w:rsid w:val="00D2236E"/>
    <w:pPr>
      <w:tabs>
        <w:tab w:val="center" w:pos="4680"/>
        <w:tab w:val="right" w:pos="9360"/>
      </w:tabs>
      <w:spacing w:line="240" w:lineRule="auto"/>
    </w:pPr>
  </w:style>
  <w:style w:type="character" w:customStyle="1" w:styleId="FooterChar">
    <w:name w:val="Footer Char"/>
    <w:basedOn w:val="DefaultParagraphFont"/>
    <w:link w:val="Footer"/>
    <w:uiPriority w:val="99"/>
    <w:rsid w:val="00D22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 Id="rId60" Type="http://schemas.openxmlformats.org/officeDocument/2006/relationships/hyperlink" Target="https://doi.org/10.1177/135676670401000405" TargetMode="External"/><Relationship Id="rId61" Type="http://schemas.openxmlformats.org/officeDocument/2006/relationships/hyperlink" Target="https://doi.org/10.1023/B:MHSR.0000036489.50470.cb" TargetMode="External"/><Relationship Id="rId62" Type="http://schemas.openxmlformats.org/officeDocument/2006/relationships/hyperlink" Target="https://www.nytimes.com/2018/08/16/nyregion/nyu-free-tuition-medical-school.html" TargetMode="External"/><Relationship Id="rId63" Type="http://schemas.openxmlformats.org/officeDocument/2006/relationships/hyperlink" Target="https://health.usnews.com/health-care/best-hospitals/articles/best-hospitals-honor-roll-and-overview" TargetMode="External"/><Relationship Id="rId64" Type="http://schemas.openxmlformats.org/officeDocument/2006/relationships/hyperlink" Target="https://www.ncbi.nlm.nih.gov/pubmed/25689260" TargetMode="External"/><Relationship Id="rId65" Type="http://schemas.openxmlformats.org/officeDocument/2006/relationships/hyperlink" Target="https://www1.nyc.gov/nycbusiness/mwbe?page=about" TargetMode="External"/><Relationship Id="rId66" Type="http://schemas.openxmlformats.org/officeDocument/2006/relationships/hyperlink" Target="https://med.nyu.edu/our-community/why-nyu-school-medicine/diversity-inclusion/" TargetMode="External"/><Relationship Id="rId67" Type="http://schemas.openxmlformats.org/officeDocument/2006/relationships/hyperlink" Target="https://scholar.harvard.edu/dobbin/publications/architecture-inclusion-evidence-corporate-diversity-programs" TargetMode="External"/><Relationship Id="rId68" Type="http://schemas.openxmlformats.org/officeDocument/2006/relationships/hyperlink" Target="https://journals.sagepub.com/doi/abs/10.1177/00910260960%202500308?casa_token=ExFfdi5wThYAAAAA:uPn1s9lTbaSaOhzeAe9Vc2oiX4K8zXdaFZu4FIttlh0Xr5IC72adFF0SurVDbv9Z7K65dCyHpTvLAA" TargetMode="External"/><Relationship Id="rId69" Type="http://schemas.openxmlformats.org/officeDocument/2006/relationships/hyperlink" Target="https://digitalcommons.ilr.cornell.edu/cgi/viewcontent.cgi?referer=&amp;httpsredir=1&amp;article=1124&amp;context=cahrswp" TargetMode="External"/><Relationship Id="rId120" Type="http://schemas.openxmlformats.org/officeDocument/2006/relationships/hyperlink" Target="https://www.forbes.com/sites/benjaminshobert/2015/03/03/chinas-telemedicine-industry-gets-ready-to-roar/" TargetMode="External"/><Relationship Id="rId121" Type="http://schemas.openxmlformats.org/officeDocument/2006/relationships/hyperlink" Target="https://doi.org/10.1108/09649420410518403" TargetMode="External"/><Relationship Id="rId122" Type="http://schemas.openxmlformats.org/officeDocument/2006/relationships/hyperlink" Target="https://www.researchgate.net/publication/284380692_Appreciative_Inquiry_Research_Review_Notes_A_Research_Review_of_SOAR" TargetMode="External"/><Relationship Id="rId123" Type="http://schemas.openxmlformats.org/officeDocument/2006/relationships/hyperlink" Target="https://comptroller.nyc.gov/reports/diploma-disparities-high-school-graduation-rates-in-new-york-city/" TargetMode="External"/><Relationship Id="rId124" Type="http://schemas.openxmlformats.org/officeDocument/2006/relationships/hyperlink" Target="https://www.ncbi.nlm.nih.gov/pubmed/24589335" TargetMode="External"/><Relationship Id="rId125" Type="http://schemas.openxmlformats.org/officeDocument/2006/relationships/hyperlink" Target="https://health.usnews.com/best-hospitals/area/new-york-ny" TargetMode="External"/><Relationship Id="rId126" Type="http://schemas.openxmlformats.org/officeDocument/2006/relationships/hyperlink" Target="https://www.usnews.com/best-graduate-schools/top-medical-schools/new-york-university-04073" TargetMode="External"/><Relationship Id="rId127" Type="http://schemas.openxmlformats.org/officeDocument/2006/relationships/hyperlink" Target="https://www.emeraldinsight.com/doi/abs/10.1108/09555349910251822" TargetMode="External"/><Relationship Id="rId128" Type="http://schemas.openxmlformats.org/officeDocument/2006/relationships/hyperlink" Target="https://smallbusiness.chron.com/difference-between-swot-tows-analysis-23169.html" TargetMode="External"/><Relationship Id="rId129" Type="http://schemas.openxmlformats.org/officeDocument/2006/relationships/hyperlink" Target="https://doi.org/10.1111/j.1745-493X.2006.00019.x" TargetMode="External"/><Relationship Id="rId40" Type="http://schemas.openxmlformats.org/officeDocument/2006/relationships/image" Target="media/image34.png"/><Relationship Id="rId41" Type="http://schemas.openxmlformats.org/officeDocument/2006/relationships/image" Target="media/image35.png"/><Relationship Id="rId42" Type="http://schemas.openxmlformats.org/officeDocument/2006/relationships/image" Target="media/image36.png"/><Relationship Id="rId90" Type="http://schemas.openxmlformats.org/officeDocument/2006/relationships/hyperlink" Target="https://www.ncbi.nlm.nih.gov/pubmed/24939335" TargetMode="External"/><Relationship Id="rId91" Type="http://schemas.openxmlformats.org/officeDocument/2006/relationships/hyperlink" Target="https://www.ncbi.nlm.nih.gov/" TargetMode="External"/><Relationship Id="rId92" Type="http://schemas.openxmlformats.org/officeDocument/2006/relationships/hyperlink" Target="https://www.ncbi.nlm.nih.gov/pubmed/24939335" TargetMode="External"/><Relationship Id="rId93" Type="http://schemas.openxmlformats.org/officeDocument/2006/relationships/hyperlink" Target="https://www.ncbi.nlm.nih.gov/pmc/articles/PMC4075100/" TargetMode="External"/><Relationship Id="rId94" Type="http://schemas.openxmlformats.org/officeDocument/2006/relationships/hyperlink" Target="https://doi.org/10.1016/j.jefas.2015.07.001" TargetMode="External"/><Relationship Id="rId95" Type="http://schemas.openxmlformats.org/officeDocument/2006/relationships/hyperlink" Target="https://www.tandfonline.com/doi/pdf/10.5437/08956308X5601003?casa_token=_UwMgfrxn4cAAAAA%3AbNOsuWZpSCnZSY6hThoMoSs6PTBxKvRQBRSWfxq3iflf08urVAWvt9s_Toe6qQRzIKhVnIxm-IMhSg&amp;" TargetMode="External"/><Relationship Id="rId96" Type="http://schemas.openxmlformats.org/officeDocument/2006/relationships/hyperlink" Target="https://www.tandfonline.com/doi/pdf/10.5437/" TargetMode="External"/><Relationship Id="rId101" Type="http://schemas.openxmlformats.org/officeDocument/2006/relationships/hyperlink" Target="https://doi.org/10.1177/0961000618759414" TargetMode="External"/><Relationship Id="rId102" Type="http://schemas.openxmlformats.org/officeDocument/2006/relationships/hyperlink" Target="https://doi.org/10.1007/s10869-011-9226-5" TargetMode="External"/><Relationship Id="rId103" Type="http://schemas.openxmlformats.org/officeDocument/2006/relationships/hyperlink" Target="https://digitalcommons.unl.edu/managementfacpub/154/" TargetMode="External"/><Relationship Id="rId104" Type="http://schemas.openxmlformats.org/officeDocument/2006/relationships/hyperlink" Target="https://doi.org/10.1108/JMP-07-2014-0210" TargetMode="External"/><Relationship Id="rId105" Type="http://schemas.openxmlformats.org/officeDocument/2006/relationships/hyperlink" Target="https://doi.org/10.1111/j.1467-8411.2008.00211.x" TargetMode="External"/><Relationship Id="rId106" Type="http://schemas.openxmlformats.org/officeDocument/2006/relationships/hyperlink" Target="https://www.bmj.com/content/353/bmj.i2139" TargetMode="External"/><Relationship Id="rId107" Type="http://schemas.openxmlformats.org/officeDocument/2006/relationships/hyperlink" Target="https://doi.org/10.1007/s12599-015-0401-5" TargetMode="External"/><Relationship Id="rId108" Type="http://schemas.openxmlformats.org/officeDocument/2006/relationships/hyperlink" Target="https://doi.org/10.1177%2F1350506818765318" TargetMode="External"/><Relationship Id="rId109" Type="http://schemas.openxmlformats.org/officeDocument/2006/relationships/hyperlink" Target="https://onlinelibrary.wiley.com/doi/abs/10.1002/smj.720" TargetMode="External"/><Relationship Id="rId97" Type="http://schemas.openxmlformats.org/officeDocument/2006/relationships/hyperlink" Target="https://www.tandfonline.com/doi/pdf/10.5437/08956308X5601003?casa_token=_UwMgfrxn4cAAAAA%3AbNOsuWZpSCnZSY6hThoMoSs6PTBxKvRQBRSWfxq3iflf08urVAWvt9s_Toe6qQRzIKhVnIxm-IMhSg&amp;" TargetMode="External"/><Relationship Id="rId98" Type="http://schemas.openxmlformats.org/officeDocument/2006/relationships/hyperlink" Target="https://www.civilrightsproject.ucla.edu/research/k-12-education/integration-and-diversity/ny-norflet-report-placeholder" TargetMode="External"/><Relationship Id="rId99" Type="http://schemas.openxmlformats.org/officeDocument/2006/relationships/hyperlink" Target="https://www.wsj.com/articles/rural-america-is-stranded-in-the-dial-up-age-1497535841?mg=prod/accounts-wsj" TargetMode="External"/><Relationship Id="rId43" Type="http://schemas.openxmlformats.org/officeDocument/2006/relationships/image" Target="media/image37.png"/><Relationship Id="rId44" Type="http://schemas.openxmlformats.org/officeDocument/2006/relationships/image" Target="media/image38.png"/><Relationship Id="rId45" Type="http://schemas.openxmlformats.org/officeDocument/2006/relationships/image" Target="media/image39.png"/><Relationship Id="rId46" Type="http://schemas.openxmlformats.org/officeDocument/2006/relationships/hyperlink" Target="https://doi.org/10.1016/j.bushor.2006.10.003" TargetMode="External"/><Relationship Id="rId47" Type="http://schemas.openxmlformats.org/officeDocument/2006/relationships/hyperlink" Target="https://doi.org/10.1377/hlthaff.2014.0352" TargetMode="External"/><Relationship Id="rId48" Type="http://schemas.openxmlformats.org/officeDocument/2006/relationships/hyperlink" Target="https://www.jstor.org/stable/40228431?casa_token=QdDcpDE2DZQAAAAA:51hRXBFiRcHAy41u2K2Md6iGfVumE845PGB-5M0mcUfpjEPKSP43B5PCG-zKNae8RkkOS7_hFCrB9v5F--5UNCoAy74itWv768B9hau2m_gfxCTXhAeP&amp;seq=1" TargetMode="External"/><Relationship Id="rId49" Type="http://schemas.openxmlformats.org/officeDocument/2006/relationships/hyperlink" Target="http://asq.org/healthcare-use/why-quality/kaizen-blitz.html" TargetMode="External"/><Relationship Id="rId100" Type="http://schemas.openxmlformats.org/officeDocument/2006/relationships/hyperlink" Target="https://onlinelibrary.wiley.com/doi/abs/10.1002/smj.4250160502" TargetMode="External"/><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image" Target="media/image16.png"/><Relationship Id="rId70" Type="http://schemas.openxmlformats.org/officeDocument/2006/relationships/hyperlink" Target="https://www.healthcarelawtoday.com/2014/09/16/china-issues-new-telemedicine-opinions-for-china-and-foreign-based-providers/" TargetMode="External"/><Relationship Id="rId71" Type="http://schemas.openxmlformats.org/officeDocument/2006/relationships/hyperlink" Target="https://doi.org/10.1046/j.1467-9515.2003.00369.x" TargetMode="External"/><Relationship Id="rId72" Type="http://schemas.openxmlformats.org/officeDocument/2006/relationships/hyperlink" Target="https://moz.com/beginners-guide-to-seo" TargetMode="External"/><Relationship Id="rId73" Type="http://schemas.openxmlformats.org/officeDocument/2006/relationships/hyperlink" Target="https://moz.com/beginners-guide-to-seo" TargetMode="External"/><Relationship Id="rId74" Type="http://schemas.openxmlformats.org/officeDocument/2006/relationships/hyperlink" Target="https://www.ncbi.nlm.nih.gov/pmc/articles/PMC4347764/" TargetMode="External"/><Relationship Id="rId75" Type="http://schemas.openxmlformats.org/officeDocument/2006/relationships/hyperlink" Target="https://doi.org/10.1177%2F014920639201800204" TargetMode="External"/><Relationship Id="rId76" Type="http://schemas.openxmlformats.org/officeDocument/2006/relationships/hyperlink" Target="https://doi.org/10.1177%2F1363460718794647" TargetMode="External"/><Relationship Id="rId77" Type="http://schemas.openxmlformats.org/officeDocument/2006/relationships/hyperlink" Target="https://doi.org/10.2307/2666960" TargetMode="External"/><Relationship Id="rId78" Type="http://schemas.openxmlformats.org/officeDocument/2006/relationships/hyperlink" Target="https://doi.org/10.1080/13642529.2019.1607476" TargetMode="External"/><Relationship Id="rId79" Type="http://schemas.openxmlformats.org/officeDocument/2006/relationships/hyperlink" Target="https://nyulangone.org/press-releases/family-health-centers-at-nyu-langone-provide-important-school-based-health" TargetMode="External"/><Relationship Id="rId23" Type="http://schemas.openxmlformats.org/officeDocument/2006/relationships/image" Target="media/image17.png"/><Relationship Id="rId24" Type="http://schemas.openxmlformats.org/officeDocument/2006/relationships/image" Target="media/image18.png"/><Relationship Id="rId25" Type="http://schemas.openxmlformats.org/officeDocument/2006/relationships/image" Target="media/image19.png"/><Relationship Id="rId26" Type="http://schemas.openxmlformats.org/officeDocument/2006/relationships/image" Target="media/image20.png"/><Relationship Id="rId27" Type="http://schemas.openxmlformats.org/officeDocument/2006/relationships/image" Target="media/image21.png"/><Relationship Id="rId28" Type="http://schemas.openxmlformats.org/officeDocument/2006/relationships/image" Target="media/image22.png"/><Relationship Id="rId29" Type="http://schemas.openxmlformats.org/officeDocument/2006/relationships/image" Target="media/image23.png"/><Relationship Id="rId130" Type="http://schemas.openxmlformats.org/officeDocument/2006/relationships/hyperlink" Target="http://eprints.lse.ac.uk/64519/1/OUWRPS_15_05_published.pdf" TargetMode="External"/><Relationship Id="rId131" Type="http://schemas.openxmlformats.org/officeDocument/2006/relationships/hyperlink" Target="https://www.voced.edu.au/content/ngv:71706" TargetMode="External"/><Relationship Id="rId132" Type="http://schemas.openxmlformats.org/officeDocument/2006/relationships/hyperlink" Target="https://link.springer.com/article/10.1007/s10551-007-9400-x" TargetMode="External"/><Relationship Id="rId133" Type="http://schemas.openxmlformats.org/officeDocument/2006/relationships/image" Target="media/image40.png"/><Relationship Id="rId134" Type="http://schemas.openxmlformats.org/officeDocument/2006/relationships/header" Target="header1.xml"/><Relationship Id="rId135" Type="http://schemas.openxmlformats.org/officeDocument/2006/relationships/footer" Target="footer1.xml"/><Relationship Id="rId136" Type="http://schemas.openxmlformats.org/officeDocument/2006/relationships/header" Target="header2.xml"/><Relationship Id="rId137" Type="http://schemas.openxmlformats.org/officeDocument/2006/relationships/fontTable" Target="fontTable.xml"/><Relationship Id="rId13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jpg"/><Relationship Id="rId9" Type="http://schemas.openxmlformats.org/officeDocument/2006/relationships/image" Target="media/image3.png"/><Relationship Id="rId50" Type="http://schemas.openxmlformats.org/officeDocument/2006/relationships/hyperlink" Target="https://psycnet.apa.org/doi/10.4337/9781849806374.00027" TargetMode="External"/><Relationship Id="rId51" Type="http://schemas.openxmlformats.org/officeDocument/2006/relationships/hyperlink" Target="https://healthpayerintelligence.com/news/uninsured-rate-among-working-adults-rises-to-15.5-in-2018" TargetMode="External"/><Relationship Id="rId52" Type="http://schemas.openxmlformats.org/officeDocument/2006/relationships/hyperlink" Target="https://www.sciencedirect.com/science/article/pii/S0007681314000020" TargetMode="External"/><Relationship Id="rId53" Type="http://schemas.openxmlformats.org/officeDocument/2006/relationships/hyperlink" Target="https://europepmc.org/abstract/med/25181568" TargetMode="External"/><Relationship Id="rId54" Type="http://schemas.openxmlformats.org/officeDocument/2006/relationships/hyperlink" Target="https://doi.org/10.1108/00483481111154441" TargetMode="External"/><Relationship Id="rId55" Type="http://schemas.openxmlformats.org/officeDocument/2006/relationships/hyperlink" Target="https://elibrary.worldbank.org/doi/abs/10.1596/1020-797X_12_1_29?journalCode=deor" TargetMode="External"/><Relationship Id="rId56" Type="http://schemas.openxmlformats.org/officeDocument/2006/relationships/hyperlink" Target="https://elibrary.worldbank.org/doi/abs/10.1596" TargetMode="External"/><Relationship Id="rId57" Type="http://schemas.openxmlformats.org/officeDocument/2006/relationships/hyperlink" Target="https://elibrary.worldbank.org/doi/abs/10.1596/1020-797X_12_1_29?journalCode=deor" TargetMode="External"/><Relationship Id="rId58" Type="http://schemas.openxmlformats.org/officeDocument/2006/relationships/hyperlink" Target="https://link.springer.com/article/10.1057/palgrave.jibs.8490006" TargetMode="External"/><Relationship Id="rId59" Type="http://schemas.openxmlformats.org/officeDocument/2006/relationships/hyperlink" Target="https://www.ncbi.nlm.nih.gov/pubmed/26168785" TargetMode="External"/><Relationship Id="rId110" Type="http://schemas.openxmlformats.org/officeDocument/2006/relationships/hyperlink" Target="https://onlinelibrary.wiley.com/doi/abs/10.1002/smj.756" TargetMode="External"/><Relationship Id="rId111" Type="http://schemas.openxmlformats.org/officeDocument/2006/relationships/hyperlink" Target="https://doi.org/10.1287/isre.7.1.63" TargetMode="External"/><Relationship Id="rId112" Type="http://schemas.openxmlformats.org/officeDocument/2006/relationships/hyperlink" Target="https://link.springer.com/article/10.1057/palgrave.jibs.8490921" TargetMode="External"/><Relationship Id="rId113" Type="http://schemas.openxmlformats.org/officeDocument/2006/relationships/hyperlink" Target="https://hbr.org/2008/01/the-five-competitive-forces-that-shape-strategy" TargetMode="External"/><Relationship Id="rId114" Type="http://schemas.openxmlformats.org/officeDocument/2006/relationships/hyperlink" Target="https://doi.org/10.1108/14777280810910302" TargetMode="External"/><Relationship Id="rId115" Type="http://schemas.openxmlformats.org/officeDocument/2006/relationships/hyperlink" Target="https://www.prosci.com.au/adkar-model-and-prosci-methodology" TargetMode="External"/><Relationship Id="rId116" Type="http://schemas.openxmlformats.org/officeDocument/2006/relationships/hyperlink" Target="https://doi.org/10.1007/s12046-016-0544-1" TargetMode="External"/><Relationship Id="rId117" Type="http://schemas.openxmlformats.org/officeDocument/2006/relationships/hyperlink" Target="https://doi.org/10.1108/20401461011075035" TargetMode="External"/><Relationship Id="rId118" Type="http://schemas.openxmlformats.org/officeDocument/2006/relationships/hyperlink" Target="https://doi.org/10.1016/j.mayocp.2016.10.004" TargetMode="External"/><Relationship Id="rId119" Type="http://schemas.openxmlformats.org/officeDocument/2006/relationships/hyperlink" Target="https://www.jstor.org/stable/2392646" TargetMode="External"/><Relationship Id="rId30" Type="http://schemas.openxmlformats.org/officeDocument/2006/relationships/image" Target="media/image24.png"/><Relationship Id="rId31" Type="http://schemas.openxmlformats.org/officeDocument/2006/relationships/image" Target="media/image25.jpg"/><Relationship Id="rId32" Type="http://schemas.openxmlformats.org/officeDocument/2006/relationships/image" Target="media/image26.png"/><Relationship Id="rId33" Type="http://schemas.openxmlformats.org/officeDocument/2006/relationships/image" Target="media/image27.png"/><Relationship Id="rId34" Type="http://schemas.openxmlformats.org/officeDocument/2006/relationships/image" Target="media/image28.png"/><Relationship Id="rId35" Type="http://schemas.openxmlformats.org/officeDocument/2006/relationships/image" Target="media/image29.png"/><Relationship Id="rId36" Type="http://schemas.openxmlformats.org/officeDocument/2006/relationships/image" Target="media/image30.png"/><Relationship Id="rId37" Type="http://schemas.openxmlformats.org/officeDocument/2006/relationships/image" Target="media/image31.png"/><Relationship Id="rId38" Type="http://schemas.openxmlformats.org/officeDocument/2006/relationships/image" Target="media/image32.png"/><Relationship Id="rId39" Type="http://schemas.openxmlformats.org/officeDocument/2006/relationships/image" Target="media/image33.jpg"/><Relationship Id="rId80" Type="http://schemas.openxmlformats.org/officeDocument/2006/relationships/hyperlink" Target="https://doi.org/10.1080/09687599.2017.1288684" TargetMode="External"/><Relationship Id="rId81" Type="http://schemas.openxmlformats.org/officeDocument/2006/relationships/hyperlink" Target="http://pubs.sciepub.com/ajie/1/2/4" TargetMode="External"/><Relationship Id="rId82" Type="http://schemas.openxmlformats.org/officeDocument/2006/relationships/hyperlink" Target="about:blank" TargetMode="External"/><Relationship Id="rId83" Type="http://schemas.openxmlformats.org/officeDocument/2006/relationships/hyperlink" Target="https://www.researchgate.net/publication/233102984_The_impact_of_just-in-time_production_on_food_quality" TargetMode="External"/><Relationship Id="rId84" Type="http://schemas.openxmlformats.org/officeDocument/2006/relationships/hyperlink" Target="https://www.emeraldinsight.com/doi/abs/10.1108/sd.2008.05624iae.001?journalCode=sd" TargetMode="External"/><Relationship Id="rId85" Type="http://schemas.openxmlformats.org/officeDocument/2006/relationships/hyperlink" Target="https://doi.org/10.1016/j.intmar.2016.03.001" TargetMode="External"/><Relationship Id="rId86" Type="http://schemas.openxmlformats.org/officeDocument/2006/relationships/hyperlink" Target="https://journals.sagepub.com/doi/abs/10.1177/0021886306295295?casa_token=mV5p4vbU7doAAAAA%3AjgqJWjL57qW2I1ylYbk-XUPH_42Jo8Blx8SIvzBpHeXiKVxinzE98guvUmbDGZGByDPpmJ19N6TwcQ" TargetMode="External"/><Relationship Id="rId87" Type="http://schemas.openxmlformats.org/officeDocument/2006/relationships/hyperlink" Target="https://journals.sa" TargetMode="External"/><Relationship Id="rId88" Type="http://schemas.openxmlformats.org/officeDocument/2006/relationships/hyperlink" Target="https://onlinelibrary.wiley.com/doi/full/10.1002/tie.21541" TargetMode="External"/><Relationship Id="rId89" Type="http://schemas.openxmlformats.org/officeDocument/2006/relationships/hyperlink" Target="https://link.springer.com/article/10.1007/s12525-015-0212-z"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1.jpg"/></Relationships>
</file>

<file path=word/_rels/header2.xml.rels><?xml version="1.0" encoding="UTF-8" standalone="yes"?>
<Relationships xmlns="http://schemas.openxmlformats.org/package/2006/relationships"><Relationship Id="rId1" Type="http://schemas.openxmlformats.org/officeDocument/2006/relationships/image" Target="media/image4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35</Pages>
  <Words>9943</Words>
  <Characters>56679</Characters>
  <Application>Microsoft Macintosh Word</Application>
  <DocSecurity>0</DocSecurity>
  <Lines>472</Lines>
  <Paragraphs>132</Paragraphs>
  <ScaleCrop>false</ScaleCrop>
  <HeadingPairs>
    <vt:vector size="2" baseType="variant">
      <vt:variant>
        <vt:lpstr>Title</vt:lpstr>
      </vt:variant>
      <vt:variant>
        <vt:i4>1</vt:i4>
      </vt:variant>
    </vt:vector>
  </HeadingPairs>
  <TitlesOfParts>
    <vt:vector size="1" baseType="lpstr">
      <vt:lpstr/>
    </vt:vector>
  </TitlesOfParts>
  <Company>NYU Langone Medical Center</Company>
  <LinksUpToDate>false</LinksUpToDate>
  <CharactersWithSpaces>66490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Fernando, Justin</dc:creator>
  <cp:lastModifiedBy>Microsoft Office User</cp:lastModifiedBy>
  <cp:revision>8</cp:revision>
  <cp:lastPrinted>2019-07-24T21:19:00Z</cp:lastPrinted>
  <dcterms:created xsi:type="dcterms:W3CDTF">2019-07-28T01:32:00Z</dcterms:created>
  <dcterms:modified xsi:type="dcterms:W3CDTF">2019-07-28T01:43:00Z</dcterms:modified>
</cp:coreProperties>
</file>