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0"/>
        <w:ind w:firstLine="720"/>
        <w:jc w:val="center"/>
        <w:rPr>
          <w:rFonts w:cs="Arial"/>
          <w:b/>
          <w:sz w:val="22"/>
          <w:szCs w:val="22"/>
        </w:rPr>
      </w:pPr>
      <w:r>
        <w:rPr>
          <w:rFonts w:cs="Arial"/>
          <w:b/>
          <w:sz w:val="22"/>
          <w:szCs w:val="22"/>
        </w:rPr>
        <w:t>PG1 - MINI RESEARCH PROPOSAL</w:t>
      </w:r>
    </w:p>
    <w:p>
      <w:pPr>
        <w:rPr>
          <w:rFonts w:cs="Arial"/>
          <w:b/>
          <w:sz w:val="22"/>
          <w:szCs w:val="22"/>
        </w:rPr>
      </w:pPr>
    </w:p>
    <w:tbl>
      <w:tblPr>
        <w:tblStyle w:val="1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tcPr>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r>
              <w:fldChar w:fldCharType="begin"/>
            </w:r>
            <w:r>
              <w:instrText xml:space="preserve"> HYPERLINK "mailto:pgresearch@uwtsd.ac.uk" </w:instrText>
            </w:r>
            <w:r>
              <w:fldChar w:fldCharType="separate"/>
            </w:r>
            <w:r>
              <w:rPr>
                <w:rStyle w:val="18"/>
                <w:rFonts w:cs="Arial"/>
                <w:sz w:val="22"/>
                <w:szCs w:val="22"/>
              </w:rPr>
              <w:t>pgresearch@uwtsd.ac.uk</w:t>
            </w:r>
            <w:r>
              <w:rPr>
                <w:rStyle w:val="18"/>
                <w:rFonts w:cs="Arial"/>
                <w:sz w:val="22"/>
                <w:szCs w:val="22"/>
              </w:rPr>
              <w:fldChar w:fldCharType="end"/>
            </w:r>
            <w:r>
              <w:rPr>
                <w:rFonts w:cs="Arial"/>
                <w:b/>
                <w:bCs/>
                <w:sz w:val="22"/>
                <w:szCs w:val="22"/>
              </w:rPr>
              <w:t xml:space="preserve">. </w:t>
            </w:r>
          </w:p>
        </w:tc>
      </w:tr>
    </w:tbl>
    <w:p>
      <w:pPr>
        <w:rPr>
          <w:rFonts w:cs="Arial"/>
          <w:b/>
          <w:sz w:val="22"/>
          <w:szCs w:val="22"/>
        </w:rPr>
      </w:pPr>
    </w:p>
    <w:p>
      <w:pPr>
        <w:spacing w:before="240"/>
        <w:rPr>
          <w:rFonts w:cs="Arial"/>
          <w:b/>
          <w:sz w:val="22"/>
          <w:szCs w:val="22"/>
        </w:rPr>
      </w:pPr>
      <w:r>
        <w:rPr>
          <w:rFonts w:cs="Arial"/>
          <w:b/>
          <w:sz w:val="22"/>
          <w:szCs w:val="22"/>
        </w:rPr>
        <w:t xml:space="preserve">Student Details </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shd w:val="clear" w:color="auto" w:fill="F1F1F1" w:themeFill="background1" w:themeFillShade="F2"/>
          </w:tcPr>
          <w:p>
            <w:pPr>
              <w:tabs>
                <w:tab w:val="center" w:pos="2202"/>
              </w:tabs>
              <w:rPr>
                <w:rFonts w:cs="Arial"/>
                <w:sz w:val="22"/>
                <w:szCs w:val="22"/>
              </w:rPr>
            </w:pPr>
            <w:r>
              <w:rPr>
                <w:rFonts w:cs="Arial"/>
                <w:sz w:val="22"/>
                <w:szCs w:val="22"/>
              </w:rPr>
              <w:t>Student Family / Surname:</w:t>
            </w:r>
          </w:p>
          <w:p>
            <w:pPr>
              <w:rPr>
                <w:rFonts w:cs="Arial"/>
                <w:sz w:val="22"/>
                <w:szCs w:val="22"/>
              </w:rPr>
            </w:pPr>
          </w:p>
        </w:tc>
        <w:tc>
          <w:tcPr>
            <w:tcW w:w="5670" w:type="dxa"/>
            <w:shd w:val="clear" w:color="auto" w:fill="auto"/>
          </w:tcPr>
          <w:p>
            <w:pPr>
              <w:rPr>
                <w:rFonts w:hint="default" w:eastAsia="宋体" w:cs="Arial"/>
                <w:sz w:val="22"/>
                <w:szCs w:val="22"/>
                <w:lang w:val="en-US" w:eastAsia="zh-CN"/>
              </w:rPr>
            </w:pPr>
            <w:r>
              <w:rPr>
                <w:rFonts w:hint="eastAsia" w:eastAsia="宋体" w:cs="Arial"/>
                <w:sz w:val="22"/>
                <w:szCs w:val="22"/>
                <w:lang w:val="en-US" w:eastAsia="zh-CN"/>
              </w:rPr>
              <w:t>HU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shd w:val="clear" w:color="auto" w:fill="F1F1F1" w:themeFill="background1" w:themeFillShade="F2"/>
          </w:tcPr>
          <w:p>
            <w:pPr>
              <w:rPr>
                <w:rFonts w:cs="Arial"/>
                <w:sz w:val="22"/>
                <w:szCs w:val="22"/>
              </w:rPr>
            </w:pPr>
            <w:r>
              <w:rPr>
                <w:rFonts w:cs="Arial"/>
                <w:sz w:val="22"/>
                <w:szCs w:val="22"/>
              </w:rPr>
              <w:t>Student Given / First name:</w:t>
            </w:r>
          </w:p>
          <w:p>
            <w:pPr>
              <w:rPr>
                <w:rFonts w:cs="Arial"/>
                <w:sz w:val="22"/>
                <w:szCs w:val="22"/>
              </w:rPr>
            </w:pPr>
          </w:p>
        </w:tc>
        <w:tc>
          <w:tcPr>
            <w:tcW w:w="5670" w:type="dxa"/>
            <w:shd w:val="clear" w:color="auto" w:fill="auto"/>
          </w:tcPr>
          <w:p>
            <w:pPr>
              <w:rPr>
                <w:rFonts w:hint="default" w:eastAsia="宋体" w:cs="Arial"/>
                <w:sz w:val="22"/>
                <w:szCs w:val="22"/>
                <w:lang w:val="en-US" w:eastAsia="zh-CN"/>
              </w:rPr>
            </w:pPr>
            <w:r>
              <w:rPr>
                <w:rFonts w:hint="eastAsia" w:eastAsia="宋体" w:cs="Arial"/>
                <w:sz w:val="22"/>
                <w:szCs w:val="22"/>
                <w:lang w:val="en-US" w:eastAsia="zh-CN"/>
              </w:rPr>
              <w:t>JIAQI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shd w:val="clear" w:color="auto" w:fill="F1F1F1" w:themeFill="background1" w:themeFillShade="F2"/>
          </w:tcPr>
          <w:p>
            <w:pPr>
              <w:rPr>
                <w:rFonts w:cs="Arial"/>
                <w:sz w:val="22"/>
                <w:szCs w:val="22"/>
              </w:rPr>
            </w:pPr>
            <w:r>
              <w:rPr>
                <w:rFonts w:cs="Arial"/>
                <w:sz w:val="22"/>
                <w:szCs w:val="22"/>
              </w:rPr>
              <w:t>Student Number</w:t>
            </w:r>
          </w:p>
          <w:p>
            <w:pPr>
              <w:tabs>
                <w:tab w:val="center" w:pos="2202"/>
              </w:tabs>
              <w:rPr>
                <w:rFonts w:cs="Arial"/>
                <w:sz w:val="22"/>
                <w:szCs w:val="22"/>
              </w:rPr>
            </w:pPr>
          </w:p>
        </w:tc>
        <w:tc>
          <w:tcPr>
            <w:tcW w:w="5670" w:type="dxa"/>
            <w:shd w:val="clear" w:color="auto" w:fill="auto"/>
          </w:tcPr>
          <w:p>
            <w:pPr>
              <w:rPr>
                <w:rFonts w:hint="default" w:eastAsia="宋体" w:cs="Arial"/>
                <w:sz w:val="22"/>
                <w:szCs w:val="22"/>
                <w:lang w:val="en-US" w:eastAsia="zh-CN"/>
              </w:rPr>
            </w:pPr>
            <w:r>
              <w:rPr>
                <w:rFonts w:hint="eastAsia" w:eastAsia="宋体" w:cs="Arial"/>
                <w:sz w:val="22"/>
                <w:szCs w:val="22"/>
                <w:lang w:val="en-US" w:eastAsia="zh-CN"/>
              </w:rPr>
              <w:t>2005204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111" w:type="dxa"/>
            <w:shd w:val="clear" w:color="auto" w:fill="F1F1F1" w:themeFill="background1" w:themeFillShade="F2"/>
          </w:tcPr>
          <w:p>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shd w:val="clear" w:color="auto" w:fill="auto"/>
          </w:tcPr>
          <w:p>
            <w:pPr>
              <w:rPr>
                <w:rFonts w:cs="Arial"/>
                <w:sz w:val="22"/>
                <w:szCs w:val="22"/>
              </w:rPr>
            </w:pPr>
            <w:r>
              <w:rPr>
                <w:rFonts w:hint="eastAsia" w:cs="Arial"/>
                <w:sz w:val="22"/>
                <w:szCs w:val="22"/>
              </w:rPr>
              <w:t>Institute of</w:t>
            </w:r>
            <w:r>
              <w:rPr>
                <w:rFonts w:hint="eastAsia" w:eastAsia="宋体" w:cs="Arial"/>
                <w:sz w:val="22"/>
                <w:szCs w:val="22"/>
                <w:lang w:val="en-US" w:eastAsia="zh-CN"/>
              </w:rPr>
              <w:t xml:space="preserve"> </w:t>
            </w:r>
            <w:r>
              <w:rPr>
                <w:rFonts w:hint="eastAsia" w:cs="Arial"/>
                <w:sz w:val="22"/>
                <w:szCs w:val="22"/>
              </w:rPr>
              <w:t>Management and Health</w:t>
            </w:r>
          </w:p>
        </w:tc>
      </w:tr>
    </w:tbl>
    <w:p>
      <w:pPr>
        <w:ind w:left="180" w:hanging="270"/>
        <w:rPr>
          <w:rFonts w:cs="Arial"/>
          <w:b/>
          <w:sz w:val="22"/>
          <w:szCs w:val="22"/>
        </w:rPr>
      </w:pPr>
    </w:p>
    <w:p>
      <w:pPr>
        <w:rPr>
          <w:rFonts w:cs="Arial"/>
          <w:sz w:val="22"/>
          <w:szCs w:val="22"/>
        </w:rPr>
      </w:pPr>
    </w:p>
    <w:p>
      <w:pPr>
        <w:ind w:left="-142"/>
        <w:rPr>
          <w:rFonts w:cs="Arial"/>
          <w:bCs/>
          <w:sz w:val="22"/>
          <w:szCs w:val="22"/>
        </w:rPr>
      </w:pPr>
      <w:r>
        <w:rPr>
          <w:rFonts w:cs="Arial"/>
          <w:b/>
          <w:bCs/>
          <w:sz w:val="22"/>
          <w:szCs w:val="22"/>
        </w:rPr>
        <w:t>Proposed Research</w:t>
      </w:r>
    </w:p>
    <w:p>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Current Proposed Title (20 / 30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81" w:type="dxa"/>
            <w:vAlign w:val="center"/>
          </w:tcPr>
          <w:p>
            <w:pPr>
              <w:rPr>
                <w:rFonts w:hint="default" w:eastAsia="宋体" w:cs="Arial"/>
                <w:sz w:val="22"/>
                <w:szCs w:val="22"/>
                <w:lang w:val="en-US" w:eastAsia="zh-CN"/>
              </w:rPr>
            </w:pPr>
            <w:r>
              <w:rPr>
                <w:rFonts w:hint="default" w:ascii="Times New Roman" w:hAnsi="Times New Roman" w:eastAsia="宋体" w:cs="Times New Roman"/>
                <w:sz w:val="24"/>
                <w:szCs w:val="24"/>
                <w:lang w:val="en-US" w:eastAsia="zh-CN"/>
              </w:rPr>
              <w:t>An emprical study on challenges and strategies of corporation managers in ethnic rural tourism industry in China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81" w:type="dxa"/>
            <w:shd w:val="clear" w:color="auto" w:fill="F1F1F1" w:themeFill="background1" w:themeFillShade="F2"/>
            <w:vAlign w:val="center"/>
          </w:tcPr>
          <w:p>
            <w:pPr>
              <w:rPr>
                <w:rFonts w:cs="Arial"/>
                <w:sz w:val="22"/>
                <w:szCs w:val="22"/>
              </w:rPr>
            </w:pPr>
            <w:r>
              <w:rPr>
                <w:rFonts w:cs="Arial"/>
                <w:sz w:val="22"/>
                <w:szCs w:val="22"/>
              </w:rPr>
              <w:t xml:space="preserve"> </w:t>
            </w:r>
          </w:p>
          <w:p>
            <w:pPr>
              <w:rPr>
                <w:rFonts w:cs="Arial"/>
                <w:sz w:val="22"/>
                <w:szCs w:val="22"/>
              </w:rPr>
            </w:pPr>
            <w:r>
              <w:rPr>
                <w:rFonts w:cs="Arial"/>
                <w:sz w:val="22"/>
                <w:szCs w:val="22"/>
              </w:rPr>
              <w:t>Background &amp; Context (approx. 250 words)</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pStyle w:val="26"/>
              <w:autoSpaceDE w:val="0"/>
              <w:autoSpaceDN w:val="0"/>
              <w:adjustRightInd w:val="0"/>
              <w:ind w:left="0" w:leftChars="0" w:firstLine="0" w:firstLineChars="0"/>
              <w:contextualSpacing/>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By hiring local employees, and Using natural heritage and rural culture as attractions or facilities, </w:t>
            </w:r>
            <w:r>
              <w:rPr>
                <w:rFonts w:hint="default" w:ascii="Times New Roman" w:hAnsi="Times New Roman" w:eastAsia="宋体" w:cs="Times New Roman"/>
                <w:b/>
                <w:bCs/>
                <w:sz w:val="24"/>
                <w:szCs w:val="24"/>
                <w:lang w:val="en-US" w:eastAsia="zh-CN"/>
              </w:rPr>
              <w:t>rural tourism</w:t>
            </w:r>
            <w:r>
              <w:rPr>
                <w:rFonts w:hint="default" w:ascii="Times New Roman" w:hAnsi="Times New Roman" w:eastAsia="宋体" w:cs="Times New Roman"/>
                <w:sz w:val="24"/>
                <w:szCs w:val="24"/>
                <w:lang w:val="en-US" w:eastAsia="zh-CN"/>
              </w:rPr>
              <w:t xml:space="preserve">  contributes to regional sustainable development and poverty alleviation(Lane and Kastenholz, 2015; Lan and Kerstetter, 2019; Torre et al, 2017; Wijijayanti et al, 2020) </w:t>
            </w:r>
          </w:p>
          <w:p>
            <w:pPr>
              <w:pStyle w:val="26"/>
              <w:autoSpaceDE w:val="0"/>
              <w:autoSpaceDN w:val="0"/>
              <w:adjustRightInd w:val="0"/>
              <w:ind w:left="0" w:leftChars="0" w:firstLine="0" w:firstLineChars="0"/>
              <w:contextualSpacing/>
              <w:jc w:val="both"/>
              <w:rPr>
                <w:rFonts w:hint="eastAsia" w:ascii="Times New Roman" w:hAnsi="Times New Roman" w:eastAsia="宋体" w:cs="Times New Roman"/>
                <w:sz w:val="24"/>
                <w:szCs w:val="24"/>
                <w:lang w:val="en-US" w:eastAsia="zh-CN"/>
              </w:rPr>
            </w:pPr>
            <w:r>
              <w:rPr>
                <w:rFonts w:hint="default" w:ascii="Times New Roman" w:hAnsi="Times New Roman" w:eastAsia="宋体" w:cs="Times New Roman"/>
                <w:b/>
                <w:bCs/>
                <w:sz w:val="24"/>
                <w:szCs w:val="24"/>
                <w:lang w:val="en-US" w:eastAsia="zh-CN"/>
              </w:rPr>
              <w:t>Ethnic tourism</w:t>
            </w:r>
            <w:r>
              <w:rPr>
                <w:rFonts w:hint="default" w:ascii="Times New Roman" w:hAnsi="Times New Roman" w:eastAsia="宋体" w:cs="Times New Roman"/>
                <w:sz w:val="24"/>
                <w:szCs w:val="24"/>
                <w:lang w:val="en-US" w:eastAsia="zh-CN"/>
              </w:rPr>
              <w:t xml:space="preserve"> is defined as a tourism marketed to the public in terms of the ‘quaint’ customs of indigenous and often exotic peoples</w:t>
            </w:r>
            <w:r>
              <w:rPr>
                <w:rFonts w:hint="eastAsia" w:ascii="Times New Roman" w:hAnsi="Times New Roman" w:eastAsia="宋体" w:cs="Times New Roman"/>
                <w:sz w:val="24"/>
                <w:szCs w:val="24"/>
                <w:lang w:val="en-US" w:eastAsia="zh-CN"/>
              </w:rPr>
              <w:t>, including</w:t>
            </w: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experience of visiting ancient villages, joining festivals and events, purchasing souvenirs.</w:t>
            </w:r>
            <w:r>
              <w:rPr>
                <w:rFonts w:hint="default" w:ascii="Times New Roman" w:hAnsi="Times New Roman" w:eastAsia="宋体" w:cs="Times New Roman"/>
                <w:sz w:val="24"/>
                <w:szCs w:val="24"/>
                <w:lang w:val="en-US" w:eastAsia="zh-CN"/>
              </w:rPr>
              <w:t>(Smith, 1977, P.4</w:t>
            </w:r>
            <w:r>
              <w:rPr>
                <w:rFonts w:hint="eastAsia" w:ascii="Times New Roman" w:hAnsi="Times New Roman" w:eastAsia="宋体" w:cs="Times New Roman"/>
                <w:sz w:val="24"/>
                <w:szCs w:val="24"/>
                <w:lang w:val="en-US" w:eastAsia="zh-CN"/>
              </w:rPr>
              <w:t>; Yang, et. al., 2008</w:t>
            </w: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Nowadays, ethnic tourism is discussed for its influences on regional development and local minorities.(Li, 2010)</w:t>
            </w:r>
          </w:p>
          <w:p>
            <w:pPr>
              <w:pStyle w:val="26"/>
              <w:autoSpaceDE w:val="0"/>
              <w:autoSpaceDN w:val="0"/>
              <w:adjustRightInd w:val="0"/>
              <w:ind w:left="0" w:leftChars="0" w:firstLine="0" w:firstLineChars="0"/>
              <w:contextualSpacing/>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Currently, </w:t>
            </w:r>
            <w:r>
              <w:rPr>
                <w:rFonts w:hint="default" w:ascii="Times New Roman" w:hAnsi="Times New Roman" w:eastAsia="宋体" w:cs="Times New Roman"/>
                <w:b/>
                <w:bCs/>
                <w:sz w:val="24"/>
                <w:szCs w:val="24"/>
                <w:lang w:val="en-US" w:eastAsia="zh-CN"/>
              </w:rPr>
              <w:t>Chinese rural tourism</w:t>
            </w:r>
            <w:r>
              <w:rPr>
                <w:rFonts w:hint="default" w:ascii="Times New Roman" w:hAnsi="Times New Roman" w:eastAsia="宋体" w:cs="Times New Roman"/>
                <w:sz w:val="24"/>
                <w:szCs w:val="24"/>
                <w:lang w:val="en-US" w:eastAsia="zh-CN"/>
              </w:rPr>
              <w:t xml:space="preserve"> is supported and intervened by governments and state-owned companies, which is believe to be an important drive of ‘Targeted Poverty Alleviation’ policy.(Lan and Kerstetter, 2019) Sustainability is emphasized by government in context of Chinese rural tourism development, in which villagers mostly share benefits(income, jobs and facilities construction) instead of making decisions.(Gao and Wu, 2017) </w:t>
            </w:r>
          </w:p>
          <w:p>
            <w:pPr>
              <w:pStyle w:val="26"/>
              <w:autoSpaceDE w:val="0"/>
              <w:autoSpaceDN w:val="0"/>
              <w:adjustRightInd w:val="0"/>
              <w:ind w:left="0" w:leftChars="0" w:firstLine="0" w:firstLineChars="0"/>
              <w:contextualSpacing/>
              <w:jc w:val="both"/>
              <w:rPr>
                <w:rFonts w:hint="eastAsia" w:ascii="Times New Roman" w:hAnsi="Times New Roman" w:cs="Times New Roman"/>
                <w:b w:val="0"/>
                <w:bCs w:val="0"/>
                <w:sz w:val="24"/>
                <w:szCs w:val="24"/>
                <w:lang w:val="en-US" w:eastAsia="zh-CN"/>
              </w:rPr>
            </w:pPr>
            <w:r>
              <w:rPr>
                <w:rFonts w:hint="default" w:ascii="Times New Roman" w:hAnsi="Times New Roman" w:eastAsia="宋体" w:cs="Times New Roman"/>
                <w:sz w:val="24"/>
                <w:szCs w:val="24"/>
                <w:lang w:val="en-US" w:eastAsia="zh-CN"/>
              </w:rPr>
              <w:t xml:space="preserve">In </w:t>
            </w:r>
            <w:r>
              <w:rPr>
                <w:rFonts w:hint="default" w:ascii="Times New Roman" w:hAnsi="Times New Roman" w:eastAsia="宋体" w:cs="Times New Roman"/>
                <w:b/>
                <w:bCs/>
                <w:sz w:val="24"/>
                <w:szCs w:val="24"/>
                <w:lang w:val="en-US" w:eastAsia="zh-CN"/>
              </w:rPr>
              <w:t>China</w:t>
            </w:r>
            <w:r>
              <w:rPr>
                <w:rFonts w:hint="default" w:ascii="Times New Roman" w:hAnsi="Times New Roman" w:eastAsia="宋体" w:cs="Times New Roman"/>
                <w:sz w:val="24"/>
                <w:szCs w:val="24"/>
                <w:lang w:val="en-US" w:eastAsia="zh-CN"/>
              </w:rPr>
              <w:t xml:space="preserve">, as a </w:t>
            </w:r>
            <w:r>
              <w:rPr>
                <w:rFonts w:hint="default" w:ascii="Times New Roman" w:hAnsi="Times New Roman" w:eastAsia="宋体" w:cs="Times New Roman"/>
                <w:b/>
                <w:bCs/>
                <w:sz w:val="24"/>
                <w:szCs w:val="24"/>
                <w:lang w:val="en-US" w:eastAsia="zh-CN"/>
              </w:rPr>
              <w:t>multi-ethnic country</w:t>
            </w:r>
            <w:r>
              <w:rPr>
                <w:rFonts w:hint="default" w:ascii="Times New Roman" w:hAnsi="Times New Roman" w:eastAsia="宋体" w:cs="Times New Roman"/>
                <w:sz w:val="24"/>
                <w:szCs w:val="24"/>
                <w:lang w:val="en-US" w:eastAsia="zh-CN"/>
              </w:rPr>
              <w:t xml:space="preserve">,  there are obvious ‘strong-weak’ and ‘supporter-recipient’ relationships between the majority ethnic Han and other minorities in economy, society and culture.(Zhang et al., 2017) And it is marketed to Han customers from developed areas.(Yang et al., 2013) Hence rural tourism and ethnic tourism could share a similar context in ethnic minority areas of China, such as Ebian </w:t>
            </w:r>
            <w:r>
              <w:rPr>
                <w:rFonts w:hint="eastAsia" w:ascii="Times New Roman" w:hAnsi="Times New Roman" w:cs="Times New Roman"/>
                <w:b w:val="0"/>
                <w:bCs w:val="0"/>
                <w:sz w:val="24"/>
                <w:szCs w:val="24"/>
                <w:lang w:val="en-US" w:eastAsia="zh-CN"/>
              </w:rPr>
              <w:t>Yi Ethnic Minority Autonomous County</w:t>
            </w:r>
            <w:r>
              <w:rPr>
                <w:rFonts w:hint="default" w:ascii="Times New Roman" w:hAnsi="Times New Roman" w:cs="Times New Roman"/>
                <w:b w:val="0"/>
                <w:bCs w:val="0"/>
                <w:sz w:val="24"/>
                <w:szCs w:val="24"/>
                <w:lang w:val="en-US" w:eastAsia="zh-CN"/>
              </w:rPr>
              <w:t xml:space="preserve">, which will be referred as </w:t>
            </w:r>
            <w:r>
              <w:rPr>
                <w:rFonts w:hint="default" w:ascii="Times New Roman" w:hAnsi="Times New Roman" w:cs="Times New Roman"/>
                <w:b/>
                <w:bCs/>
                <w:sz w:val="24"/>
                <w:szCs w:val="24"/>
                <w:lang w:val="en-US" w:eastAsia="zh-CN"/>
              </w:rPr>
              <w:t>ethnic rural tourism</w:t>
            </w:r>
            <w:r>
              <w:rPr>
                <w:rFonts w:hint="default" w:ascii="Times New Roman" w:hAnsi="Times New Roman" w:cs="Times New Roman"/>
                <w:b w:val="0"/>
                <w:bCs w:val="0"/>
                <w:sz w:val="24"/>
                <w:szCs w:val="24"/>
                <w:lang w:val="en-US" w:eastAsia="zh-CN"/>
              </w:rPr>
              <w:t xml:space="preserve"> in this study.</w:t>
            </w:r>
            <w:r>
              <w:rPr>
                <w:rFonts w:hint="eastAsia" w:ascii="Times New Roman" w:hAnsi="Times New Roman" w:cs="Times New Roman"/>
                <w:b w:val="0"/>
                <w:bCs w:val="0"/>
                <w:sz w:val="24"/>
                <w:szCs w:val="24"/>
                <w:lang w:val="en-US" w:eastAsia="zh-CN"/>
              </w:rPr>
              <w:t xml:space="preserve"> </w:t>
            </w:r>
          </w:p>
          <w:p>
            <w:pPr>
              <w:pStyle w:val="26"/>
              <w:autoSpaceDE w:val="0"/>
              <w:autoSpaceDN w:val="0"/>
              <w:adjustRightInd w:val="0"/>
              <w:ind w:left="0" w:leftChars="0" w:firstLine="0" w:firstLineChars="0"/>
              <w:contextualSpacing/>
              <w:jc w:val="both"/>
              <w:rPr>
                <w:rFonts w:hint="default" w:ascii="Times New Roman" w:hAnsi="Times New Roman" w:cs="Times New Roman"/>
                <w:b w:val="0"/>
                <w:bCs w:val="0"/>
                <w:sz w:val="24"/>
                <w:szCs w:val="24"/>
                <w:lang w:val="en-US" w:eastAsia="zh-CN"/>
              </w:rPr>
            </w:pPr>
          </w:p>
          <w:p>
            <w:pPr>
              <w:pStyle w:val="26"/>
              <w:autoSpaceDE w:val="0"/>
              <w:autoSpaceDN w:val="0"/>
              <w:adjustRightInd w:val="0"/>
              <w:ind w:left="0" w:leftChars="0" w:firstLine="0" w:firstLineChars="0"/>
              <w:contextualSpacing/>
              <w:jc w:val="both"/>
              <w:rPr>
                <w:rFonts w:hint="default" w:eastAsia="宋体" w:cs="Arial"/>
                <w:sz w:val="22"/>
                <w:szCs w:val="22"/>
                <w:lang w:val="en-US" w:eastAsia="zh-CN"/>
              </w:rPr>
            </w:pPr>
            <w:r>
              <w:rPr>
                <w:rFonts w:hint="eastAsia" w:ascii="Times New Roman" w:hAnsi="Times New Roman" w:eastAsia="宋体" w:cs="Times New Roman"/>
                <w:b/>
                <w:bCs/>
                <w:sz w:val="24"/>
                <w:szCs w:val="24"/>
                <w:lang w:val="en-US" w:eastAsia="zh-CN"/>
              </w:rPr>
              <w:t>Rationale</w:t>
            </w:r>
            <w:r>
              <w:rPr>
                <w:rFonts w:hint="eastAsia" w:ascii="Times New Roman" w:hAnsi="Times New Roman" w:eastAsia="宋体" w:cs="Times New Roman"/>
                <w:sz w:val="24"/>
                <w:szCs w:val="24"/>
                <w:lang w:val="en-US" w:eastAsia="zh-CN"/>
              </w:rPr>
              <w:t>: E</w:t>
            </w:r>
            <w:r>
              <w:rPr>
                <w:rFonts w:hint="default" w:ascii="Times New Roman" w:hAnsi="Times New Roman" w:eastAsia="宋体" w:cs="Times New Roman"/>
                <w:sz w:val="24"/>
                <w:szCs w:val="24"/>
                <w:lang w:val="en-US" w:eastAsia="zh-CN"/>
              </w:rPr>
              <w:t xml:space="preserve">thnic rural tourism  is one of the most significant </w:t>
            </w:r>
            <w:r>
              <w:rPr>
                <w:rFonts w:hint="eastAsia" w:ascii="Times New Roman" w:hAnsi="Times New Roman" w:eastAsia="宋体" w:cs="Times New Roman"/>
                <w:sz w:val="24"/>
                <w:szCs w:val="24"/>
                <w:lang w:val="en-US" w:eastAsia="zh-CN"/>
              </w:rPr>
              <w:t>drives</w:t>
            </w:r>
            <w:r>
              <w:rPr>
                <w:rFonts w:hint="default" w:ascii="Times New Roman" w:hAnsi="Times New Roman" w:eastAsia="宋体" w:cs="Times New Roman"/>
                <w:sz w:val="24"/>
                <w:szCs w:val="24"/>
                <w:lang w:val="en-US" w:eastAsia="zh-CN"/>
              </w:rPr>
              <w:t xml:space="preserve"> of rural revitalization and poverty alleviation in ethnic minority areas of China. For further development, Academical research results still need to be enriched. Conflicts exist because of  barriers of culture, tradition and belif, and improper behaviors of developers.(Wang and Yotsumoto, 2019) According to most of Chinese tourism researchers, professional staff and managers are required for sustainable development of rural tourism. However In previous survey, challenges  and dilemmas of managers were captured.</w:t>
            </w:r>
            <w:r>
              <w:rPr>
                <w:rFonts w:hint="eastAsia" w:ascii="Times New Roman" w:hAnsi="Times New Roman" w:eastAsia="宋体" w:cs="Times New Roman"/>
                <w:sz w:val="24"/>
                <w:szCs w:val="24"/>
                <w:lang w:val="en-US" w:eastAsia="zh-CN"/>
              </w:rPr>
              <w:t xml:space="preserve"> It could be contributory to both policy makers and corporation managers in Chinese ethnic rural tourism and rural revitalization by identifying and solving these problems.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p>
          <w:p>
            <w:pPr>
              <w:rPr>
                <w:rFonts w:cs="Arial"/>
                <w:sz w:val="22"/>
                <w:szCs w:val="22"/>
              </w:rPr>
            </w:pPr>
            <w:r>
              <w:rPr>
                <w:rFonts w:cs="Arial"/>
                <w:sz w:val="22"/>
                <w:szCs w:val="22"/>
              </w:rPr>
              <w:t>Aims and Objectives (approx.. 250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pStyle w:val="26"/>
              <w:numPr>
                <w:ilvl w:val="0"/>
                <w:numId w:val="0"/>
              </w:numPr>
              <w:autoSpaceDE w:val="0"/>
              <w:autoSpaceDN w:val="0"/>
              <w:adjustRightInd w:val="0"/>
              <w:contextualSpacing/>
              <w:rPr>
                <w:rFonts w:hint="eastAsia" w:ascii="Times New Roman" w:hAnsi="Times New Roman" w:cs="Times New Roman"/>
                <w:b w:val="0"/>
                <w:bCs w:val="0"/>
                <w:sz w:val="24"/>
                <w:szCs w:val="24"/>
                <w:lang w:val="en-US" w:eastAsia="zh-CN"/>
              </w:rPr>
            </w:pPr>
            <w:r>
              <w:rPr>
                <w:rFonts w:hint="default" w:ascii="Times New Roman" w:hAnsi="Times New Roman" w:eastAsia="宋体" w:cs="Times New Roman"/>
                <w:b/>
                <w:bCs/>
                <w:sz w:val="24"/>
                <w:szCs w:val="24"/>
                <w:lang w:val="en-US" w:eastAsia="zh-CN"/>
              </w:rPr>
              <w:t>The research aim</w:t>
            </w:r>
            <w:r>
              <w:rPr>
                <w:rFonts w:hint="default" w:ascii="Times New Roman" w:hAnsi="Times New Roman" w:eastAsia="宋体" w:cs="Times New Roman"/>
                <w:sz w:val="24"/>
                <w:szCs w:val="24"/>
                <w:lang w:val="en-US" w:eastAsia="zh-CN"/>
              </w:rPr>
              <w:t xml:space="preserve"> of this thesis is </w:t>
            </w:r>
            <w:r>
              <w:rPr>
                <w:rFonts w:hint="eastAsia" w:ascii="Times New Roman" w:hAnsi="Times New Roman" w:eastAsia="宋体" w:cs="Times New Roman"/>
                <w:sz w:val="24"/>
                <w:szCs w:val="24"/>
                <w:lang w:val="en-US" w:eastAsia="zh-CN"/>
              </w:rPr>
              <w:t xml:space="preserve">to explore dilemmas and challenges that managers are facing in ethnic rural tourism of China by analyzing the case of rural tourism development in Ebian Yi Ethnic Minority </w:t>
            </w:r>
            <w:r>
              <w:rPr>
                <w:rFonts w:hint="eastAsia" w:ascii="Times New Roman" w:hAnsi="Times New Roman" w:cs="Times New Roman"/>
                <w:b w:val="0"/>
                <w:bCs w:val="0"/>
                <w:sz w:val="24"/>
                <w:szCs w:val="24"/>
                <w:lang w:val="en-US" w:eastAsia="zh-CN"/>
              </w:rPr>
              <w:t>Autonomous County(Ebian County), then try to identify implications and develop strategies for solving them.</w:t>
            </w:r>
          </w:p>
          <w:p>
            <w:pPr>
              <w:pStyle w:val="26"/>
              <w:numPr>
                <w:ilvl w:val="0"/>
                <w:numId w:val="0"/>
              </w:numPr>
              <w:autoSpaceDE w:val="0"/>
              <w:autoSpaceDN w:val="0"/>
              <w:adjustRightInd w:val="0"/>
              <w:contextualSpacing/>
              <w:rPr>
                <w:rFonts w:hint="eastAsia" w:ascii="Times New Roman" w:hAnsi="Times New Roman" w:cs="Times New Roman"/>
                <w:b w:val="0"/>
                <w:bCs w:val="0"/>
                <w:sz w:val="24"/>
                <w:szCs w:val="24"/>
                <w:lang w:val="en-US" w:eastAsia="zh-CN"/>
              </w:rPr>
            </w:pPr>
          </w:p>
          <w:p>
            <w:pPr>
              <w:pStyle w:val="26"/>
              <w:numPr>
                <w:ilvl w:val="0"/>
                <w:numId w:val="0"/>
              </w:numPr>
              <w:autoSpaceDE w:val="0"/>
              <w:autoSpaceDN w:val="0"/>
              <w:adjustRightInd w:val="0"/>
              <w:contextualSpacing/>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Objectives:</w:t>
            </w:r>
          </w:p>
          <w:p>
            <w:pPr>
              <w:pStyle w:val="26"/>
              <w:numPr>
                <w:ilvl w:val="0"/>
                <w:numId w:val="0"/>
              </w:numPr>
              <w:autoSpaceDE w:val="0"/>
              <w:autoSpaceDN w:val="0"/>
              <w:adjustRightInd w:val="0"/>
              <w:contextualSpacing/>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1. Exploring the whole picture and process of rural tourism development in Ebian County by the perspectives of different stakeholders.</w:t>
            </w:r>
          </w:p>
          <w:p>
            <w:pPr>
              <w:pStyle w:val="26"/>
              <w:numPr>
                <w:ilvl w:val="0"/>
                <w:numId w:val="0"/>
              </w:numPr>
              <w:autoSpaceDE w:val="0"/>
              <w:autoSpaceDN w:val="0"/>
              <w:adjustRightInd w:val="0"/>
              <w:contextualSpacing/>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2. Identifying the role of commercial corporation managers in local ethnic rural tourism, by different data sources like stories and observation. Capturing the significant dilemmas and challenges that these managers are facing.</w:t>
            </w:r>
          </w:p>
          <w:p>
            <w:pPr>
              <w:pStyle w:val="26"/>
              <w:numPr>
                <w:ilvl w:val="0"/>
                <w:numId w:val="0"/>
              </w:numPr>
              <w:autoSpaceDE w:val="0"/>
              <w:autoSpaceDN w:val="0"/>
              <w:adjustRightInd w:val="0"/>
              <w:contextualSpacing/>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3. Trying to develop a framework by leadership and rural tourism/ethnic tourism theories(such as Integrated Rural Tourism theory, Adaptive leadership, Complexity leadership) to evaluate  the situation of managers in local ethnic rural tourism.</w:t>
            </w:r>
          </w:p>
          <w:p>
            <w:pPr>
              <w:pStyle w:val="26"/>
              <w:numPr>
                <w:ilvl w:val="0"/>
                <w:numId w:val="0"/>
              </w:numPr>
              <w:autoSpaceDE w:val="0"/>
              <w:autoSpaceDN w:val="0"/>
              <w:adjustRightInd w:val="0"/>
              <w:contextualSpacing/>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4. Identifying implications for managers and their corporations in ethnic rural tourism in China.</w:t>
            </w:r>
          </w:p>
          <w:p>
            <w:pPr>
              <w:pStyle w:val="26"/>
              <w:numPr>
                <w:ilvl w:val="0"/>
                <w:numId w:val="0"/>
              </w:numPr>
              <w:autoSpaceDE w:val="0"/>
              <w:autoSpaceDN w:val="0"/>
              <w:adjustRightInd w:val="0"/>
              <w:contextualSpacing/>
              <w:rPr>
                <w:rFonts w:hint="eastAsia" w:ascii="Times New Roman" w:hAnsi="Times New Roman" w:cs="Times New Roman"/>
                <w:b w:val="0"/>
                <w:bCs w:val="0"/>
                <w:sz w:val="24"/>
                <w:szCs w:val="24"/>
                <w:lang w:val="en-US" w:eastAsia="zh-CN"/>
              </w:rPr>
            </w:pPr>
          </w:p>
          <w:p>
            <w:pPr>
              <w:pStyle w:val="26"/>
              <w:numPr>
                <w:ilvl w:val="0"/>
                <w:numId w:val="0"/>
              </w:numPr>
              <w:autoSpaceDE w:val="0"/>
              <w:autoSpaceDN w:val="0"/>
              <w:adjustRightInd w:val="0"/>
              <w:contextualSpacing/>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Questions:</w:t>
            </w:r>
          </w:p>
          <w:p>
            <w:pPr>
              <w:pStyle w:val="26"/>
              <w:numPr>
                <w:ilvl w:val="0"/>
                <w:numId w:val="0"/>
              </w:numPr>
              <w:autoSpaceDE w:val="0"/>
              <w:autoSpaceDN w:val="0"/>
              <w:adjustRightInd w:val="0"/>
              <w:contextualSpacing/>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1. What role are corporation managers playing in local ethnic rural tourism development?</w:t>
            </w:r>
          </w:p>
          <w:p>
            <w:pPr>
              <w:pStyle w:val="26"/>
              <w:numPr>
                <w:ilvl w:val="0"/>
                <w:numId w:val="0"/>
              </w:numPr>
              <w:autoSpaceDE w:val="0"/>
              <w:autoSpaceDN w:val="0"/>
              <w:adjustRightInd w:val="0"/>
              <w:contextualSpacing/>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2. What kind of dilemmas and challenges are they facing? Why do these problems exist?</w:t>
            </w:r>
          </w:p>
          <w:p>
            <w:pPr>
              <w:pStyle w:val="26"/>
              <w:numPr>
                <w:ilvl w:val="0"/>
                <w:numId w:val="0"/>
              </w:numPr>
              <w:autoSpaceDE w:val="0"/>
              <w:autoSpaceDN w:val="0"/>
              <w:adjustRightInd w:val="0"/>
              <w:contextualSpacing/>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3. Do these managers achieve their goals as experts of tourism or leadership expect?</w:t>
            </w:r>
          </w:p>
          <w:p>
            <w:pPr>
              <w:pStyle w:val="26"/>
              <w:numPr>
                <w:ilvl w:val="0"/>
                <w:numId w:val="0"/>
              </w:numPr>
              <w:autoSpaceDE w:val="0"/>
              <w:autoSpaceDN w:val="0"/>
              <w:adjustRightInd w:val="0"/>
              <w:contextualSpacing/>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4. How should managers overcome existing troubles and make greater contribution to local ethnic rural tourism development?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p>
          <w:p>
            <w:pPr>
              <w:rPr>
                <w:rFonts w:cs="Arial"/>
                <w:sz w:val="22"/>
                <w:szCs w:val="22"/>
              </w:rPr>
            </w:pPr>
            <w:r>
              <w:rPr>
                <w:rFonts w:cs="Arial"/>
                <w:sz w:val="22"/>
                <w:szCs w:val="22"/>
              </w:rPr>
              <w:t xml:space="preserve">Proposed plan of work including timetable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7" w:hRule="atLeast"/>
        </w:trPr>
        <w:tc>
          <w:tcPr>
            <w:tcW w:w="9781" w:type="dxa"/>
          </w:tcPr>
          <w:p>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7"/>
              <w:gridCol w:w="4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cs="Arial"/>
                      <w:sz w:val="22"/>
                      <w:szCs w:val="22"/>
                    </w:rPr>
                  </w:pPr>
                  <w:r>
                    <w:rPr>
                      <w:rFonts w:cs="Arial"/>
                      <w:sz w:val="22"/>
                      <w:szCs w:val="22"/>
                    </w:rPr>
                    <w:t>Planned Development (e.g. submission of form, completion of chapter, submission of thesis)</w:t>
                  </w:r>
                </w:p>
              </w:tc>
              <w:tc>
                <w:tcPr>
                  <w:tcW w:w="4778" w:type="dxa"/>
                </w:tcPr>
                <w:p>
                  <w:pPr>
                    <w:rPr>
                      <w:rFonts w:cs="Arial"/>
                      <w:sz w:val="22"/>
                      <w:szCs w:val="22"/>
                    </w:rPr>
                  </w:pPr>
                  <w:r>
                    <w:rPr>
                      <w:rFonts w:cs="Arial"/>
                      <w:sz w:val="22"/>
                      <w:szCs w:val="22"/>
                    </w:rPr>
                    <w:t>Target 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Submission of the proposal form</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Oct, 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First draft of literature review</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Dec, 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Final version of literature review</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Feb, 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Methodology</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April, 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Data collection</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July, 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Data analysis</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Aug,2022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Findings and Discussion</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June, 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Conclusion</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Aug, 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Footnotes and references</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Sep, 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hint="default" w:eastAsia="宋体" w:cs="Arial"/>
                      <w:sz w:val="22"/>
                      <w:szCs w:val="22"/>
                      <w:lang w:val="en-US" w:eastAsia="zh-CN"/>
                    </w:rPr>
                  </w:pPr>
                  <w:r>
                    <w:rPr>
                      <w:rFonts w:hint="eastAsia" w:eastAsia="宋体" w:cs="Arial"/>
                      <w:sz w:val="22"/>
                      <w:szCs w:val="22"/>
                      <w:lang w:val="en-US" w:eastAsia="zh-CN"/>
                    </w:rPr>
                    <w:t xml:space="preserve">Submission </w:t>
                  </w:r>
                </w:p>
              </w:tc>
              <w:tc>
                <w:tcPr>
                  <w:tcW w:w="4778" w:type="dxa"/>
                </w:tcPr>
                <w:p>
                  <w:pPr>
                    <w:rPr>
                      <w:rFonts w:hint="default" w:eastAsia="宋体" w:cs="Arial"/>
                      <w:sz w:val="22"/>
                      <w:szCs w:val="22"/>
                      <w:lang w:val="en-US" w:eastAsia="zh-CN"/>
                    </w:rPr>
                  </w:pPr>
                  <w:r>
                    <w:rPr>
                      <w:rFonts w:hint="eastAsia" w:eastAsia="宋体" w:cs="Arial"/>
                      <w:sz w:val="22"/>
                      <w:szCs w:val="22"/>
                      <w:lang w:val="en-US" w:eastAsia="zh-CN"/>
                    </w:rPr>
                    <w:t>Sep, 2023</w:t>
                  </w:r>
                </w:p>
              </w:tc>
            </w:tr>
          </w:tbl>
          <w:p>
            <w:pPr>
              <w:rPr>
                <w:rFonts w:cs="Arial"/>
                <w:sz w:val="22"/>
                <w:szCs w:val="22"/>
              </w:rPr>
            </w:pP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methodology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9781" w:type="dxa"/>
            <w:vAlign w:val="center"/>
          </w:tcPr>
          <w:p>
            <w:pPr>
              <w:rPr>
                <w:rFonts w:hint="eastAsia"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Case study</w:t>
            </w:r>
            <w:r>
              <w:rPr>
                <w:rFonts w:hint="eastAsia" w:ascii="Times New Roman" w:hAnsi="Times New Roman" w:cs="Times New Roman"/>
                <w:b/>
                <w:bCs/>
                <w:sz w:val="24"/>
                <w:szCs w:val="24"/>
                <w:lang w:val="en-US" w:eastAsia="zh-CN"/>
              </w:rPr>
              <w:t xml:space="preserve"> method</w:t>
            </w:r>
            <w:r>
              <w:rPr>
                <w:rFonts w:hint="eastAsia" w:ascii="Times New Roman" w:hAnsi="Times New Roman" w:cs="Times New Roman"/>
                <w:sz w:val="24"/>
                <w:szCs w:val="24"/>
                <w:lang w:val="en-US" w:eastAsia="zh-CN"/>
              </w:rPr>
              <w:t xml:space="preserve"> would be employed for this research, which looks at single or multiple time and place bounded cases, which produces data description and case themes from more than one sources to analyze in depth. (Creswell, 2014. P. 99) Ebian Yi ethnic autonomous county has been boosting tourism project for decades, which includes five ancient Yi villages around sightseeing traffic lines. Gatekeepers and practitioners, such as officers who are responsible for tourism project or businessmen who take apart in or  cooperate with local tourism development policies, could be participants that are deeply involved in the case. (Ilbery and Saxena, 2008-2011)</w:t>
            </w:r>
          </w:p>
          <w:p>
            <w:pPr>
              <w:rPr>
                <w:rFonts w:hint="default" w:ascii="Times New Roman" w:hAnsi="Times New Roman"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Data Collection:</w:t>
            </w:r>
          </w:p>
          <w:p>
            <w:pPr>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bCs/>
                <w:sz w:val="24"/>
                <w:szCs w:val="24"/>
                <w:lang w:val="en-US" w:eastAsia="zh-CN"/>
              </w:rPr>
              <w:t xml:space="preserve">Primary Data: </w:t>
            </w:r>
          </w:p>
          <w:p>
            <w:pPr>
              <w:rPr>
                <w:rFonts w:hint="eastAsia" w:ascii="Times New Roman" w:hAnsi="Times New Roman" w:cs="Times New Roman"/>
                <w:sz w:val="24"/>
                <w:szCs w:val="24"/>
                <w:lang w:val="en-US" w:eastAsia="zh-CN"/>
              </w:rPr>
            </w:pPr>
            <w:r>
              <w:rPr>
                <w:rFonts w:hint="eastAsia" w:ascii="Times New Roman" w:hAnsi="Times New Roman" w:eastAsia="宋体" w:cs="Times New Roman"/>
                <w:b/>
                <w:bCs/>
                <w:sz w:val="24"/>
                <w:szCs w:val="24"/>
                <w:lang w:val="en-US" w:eastAsia="zh-CN"/>
              </w:rPr>
              <w:t>Sampling:</w:t>
            </w:r>
            <w:r>
              <w:rPr>
                <w:rFonts w:hint="eastAsia" w:ascii="Times New Roman" w:hAnsi="Times New Roman" w:eastAsia="宋体" w:cs="Times New Roman"/>
                <w:b w:val="0"/>
                <w:bCs w:val="0"/>
                <w:sz w:val="24"/>
                <w:szCs w:val="24"/>
                <w:lang w:val="en-US" w:eastAsia="zh-CN"/>
              </w:rPr>
              <w:t xml:space="preserve"> Snowball sampling and convenient sampling would be used. 3-5 ethnic rural tourism corporations, including restaurants, hotels or traveling agencies, might be chosen by personal access and recommendation.(Li et al., 2017) Managers of these corporations would be main interviewees. Meanwhile different stakeholders of ethnic rural tourism in Ebian would be interviewed or observed as supplementary, such as director of local culture-tourism bureau, local residents, local employees.</w:t>
            </w:r>
            <w:r>
              <w:rPr>
                <w:rFonts w:hint="eastAsia" w:ascii="Times New Roman" w:hAnsi="Times New Roman" w:cs="Times New Roman"/>
                <w:sz w:val="24"/>
                <w:szCs w:val="24"/>
                <w:lang w:val="en-US" w:eastAsia="zh-CN"/>
              </w:rPr>
              <w:t>(Ilbery and Saxena, 2008-2011)</w:t>
            </w:r>
          </w:p>
          <w:p>
            <w:pPr>
              <w:rPr>
                <w:rFonts w:hint="default" w:ascii="Times New Roman" w:hAnsi="Times New Roman" w:eastAsia="宋体" w:cs="Times New Roman"/>
                <w:b w:val="0"/>
                <w:bCs w:val="0"/>
                <w:sz w:val="24"/>
                <w:szCs w:val="24"/>
                <w:lang w:val="en-US" w:eastAsia="zh-CN"/>
              </w:rPr>
            </w:pPr>
          </w:p>
          <w:p>
            <w:pP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bCs/>
                <w:sz w:val="24"/>
                <w:szCs w:val="24"/>
                <w:lang w:val="en-US" w:eastAsia="zh-CN"/>
              </w:rPr>
              <w:t xml:space="preserve">Collection: </w:t>
            </w:r>
            <w:r>
              <w:rPr>
                <w:rFonts w:hint="eastAsia" w:ascii="Times New Roman" w:hAnsi="Times New Roman" w:eastAsia="宋体" w:cs="Times New Roman"/>
                <w:b w:val="0"/>
                <w:bCs w:val="0"/>
                <w:sz w:val="24"/>
                <w:szCs w:val="24"/>
                <w:lang w:val="en-US" w:eastAsia="zh-CN"/>
              </w:rPr>
              <w:t>Researcher would stay in Ebian County for 15-30 days, living in different hotels as study sites.</w:t>
            </w:r>
            <w:r>
              <w:rPr>
                <w:rFonts w:hint="eastAsia" w:ascii="Times New Roman" w:hAnsi="Times New Roman" w:eastAsia="宋体" w:cs="Times New Roman"/>
                <w:b/>
                <w:bCs/>
                <w:sz w:val="24"/>
                <w:szCs w:val="24"/>
                <w:lang w:val="en-US" w:eastAsia="zh-CN"/>
              </w:rPr>
              <w:t xml:space="preserve"> </w:t>
            </w:r>
            <w:r>
              <w:rPr>
                <w:rFonts w:hint="eastAsia" w:ascii="Times New Roman" w:hAnsi="Times New Roman" w:eastAsia="宋体" w:cs="Times New Roman"/>
                <w:b w:val="0"/>
                <w:bCs w:val="0"/>
                <w:sz w:val="24"/>
                <w:szCs w:val="24"/>
                <w:lang w:val="en-US" w:eastAsia="zh-CN"/>
              </w:rPr>
              <w:t>Seminar-interview and individual interview would both be employed.</w:t>
            </w:r>
            <w:r>
              <w:rPr>
                <w:rFonts w:hint="eastAsia" w:ascii="Times New Roman" w:hAnsi="Times New Roman" w:cs="Times New Roman"/>
                <w:sz w:val="24"/>
                <w:szCs w:val="24"/>
                <w:lang w:val="en-US" w:eastAsia="zh-CN"/>
              </w:rPr>
              <w:t>(Ilbery and Saxena, 2008-2011) Unstructured interview and daily observation could also be used to create opportunities for unaware observation.(Zhang et al, 2017)</w:t>
            </w:r>
          </w:p>
          <w:p>
            <w:pPr>
              <w:rPr>
                <w:rFonts w:hint="default" w:ascii="Times New Roman" w:hAnsi="Times New Roman" w:eastAsia="宋体" w:cs="Times New Roman"/>
                <w:sz w:val="24"/>
                <w:szCs w:val="24"/>
                <w:lang w:val="en-US" w:eastAsia="zh-CN"/>
              </w:rPr>
            </w:pPr>
          </w:p>
          <w:p>
            <w:pPr>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Secondary Data：</w:t>
            </w:r>
          </w:p>
          <w:p>
            <w:pP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Documents and data from local government or corporations would be accessed by requiring from participants, and internet. Library of UWTSD  could provide rich data of ethnic rural tourism in articles. CNKI would be used to search Chinese academic results.</w:t>
            </w:r>
          </w:p>
          <w:p>
            <w:pPr>
              <w:rPr>
                <w:rFonts w:hint="default" w:ascii="Times New Roman" w:hAnsi="Times New Roman" w:eastAsia="宋体" w:cs="Times New Roman"/>
                <w:sz w:val="24"/>
                <w:szCs w:val="24"/>
                <w:lang w:val="en-US" w:eastAsia="zh-CN"/>
              </w:rPr>
            </w:pPr>
          </w:p>
          <w:p>
            <w:pPr>
              <w:rPr>
                <w:rFonts w:hint="eastAsia"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Data Analysis</w:t>
            </w:r>
            <w:r>
              <w:rPr>
                <w:rFonts w:hint="eastAsia" w:ascii="Times New Roman" w:hAnsi="Times New Roman" w:eastAsia="宋体" w:cs="Times New Roman"/>
                <w:b/>
                <w:bCs/>
                <w:sz w:val="24"/>
                <w:szCs w:val="24"/>
                <w:lang w:val="en-US" w:eastAsia="zh-CN"/>
              </w:rPr>
              <w:t>:</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Collected data will be </w:t>
            </w:r>
            <w:r>
              <w:rPr>
                <w:rFonts w:hint="eastAsia" w:ascii="Times New Roman" w:hAnsi="Times New Roman" w:cs="Times New Roman"/>
                <w:b/>
                <w:bCs/>
                <w:sz w:val="24"/>
                <w:szCs w:val="24"/>
                <w:lang w:val="en-US" w:eastAsia="zh-CN"/>
              </w:rPr>
              <w:t>textual analyzed</w:t>
            </w:r>
            <w:r>
              <w:rPr>
                <w:rFonts w:hint="eastAsia" w:ascii="Times New Roman" w:hAnsi="Times New Roman" w:cs="Times New Roman"/>
                <w:sz w:val="24"/>
                <w:szCs w:val="24"/>
                <w:lang w:val="en-US" w:eastAsia="zh-CN"/>
              </w:rPr>
              <w:t xml:space="preserve"> by Nvivo, which could help with logical coding and transcribing interview context.(Berg and Stuwerg, 2017, P. 118) </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  framework would be developed to evaluate the situation of these managers, which might be inspired by:</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IRT theory, which emphasizes integrated relationship among different resources and external factors, such as staff, social environment and government support. (Saxena et al, 2007, P. 350)</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4C+4D model, </w:t>
            </w:r>
            <w:r>
              <w:rPr>
                <w:rFonts w:hint="eastAsia" w:ascii="Times New Roman" w:hAnsi="Times New Roman" w:cs="Times New Roman"/>
                <w:b w:val="0"/>
                <w:bCs w:val="0"/>
                <w:i w:val="0"/>
                <w:iCs w:val="0"/>
                <w:sz w:val="24"/>
                <w:szCs w:val="24"/>
                <w:lang w:val="en-US" w:eastAsia="zh-CN"/>
              </w:rPr>
              <w:t xml:space="preserve">drawing a circle in which actors play their proper roles: villagers as the core, government as the guide, corporations as the drive, village committee as the tie. By interaction of multiple roles, higher level of interaction would be achieved, so that a integrated develop trend could be forged, and the traditional villages would keep active during tourism development, which is sustainable.  </w:t>
            </w:r>
            <w:r>
              <w:rPr>
                <w:rFonts w:hint="eastAsia" w:ascii="Times New Roman" w:hAnsi="Times New Roman" w:cs="Times New Roman"/>
                <w:b w:val="0"/>
                <w:bCs w:val="0"/>
                <w:i w:val="0"/>
                <w:iCs w:val="0"/>
                <w:sz w:val="21"/>
                <w:szCs w:val="21"/>
                <w:lang w:val="en-US" w:eastAsia="zh-CN"/>
              </w:rPr>
              <w:t>(Huang et al, 2018, P.124 )</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 levels process of rural tourism: physical, social and spiritual. (Gao and Wu, 2017, P.225)</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Leadership theories, which are believed to have influence on a rural tourism corporation.(Tuan, 2018, P. 199) </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Authentic leadership theories: Three pillars of an authentic leader(Beddoes-Jones and Swailes, 2015; Northouse, 2016),Bass 4 I model(Northouse, 2016), and authentic leadership conceptual model of Avolio and Luthans(Jensen and Luthans, 2006)</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Adaptive theories: model of Adaptive leadership(Northouse, 2016) and Adaptive leadership Maturity model.(Hogan, 2008)</w:t>
            </w:r>
          </w:p>
          <w:p>
            <w:pPr>
              <w:rPr>
                <w:rFonts w:hint="default" w:ascii="Times New Roman" w:hAnsi="Times New Roman" w:eastAsia="宋体"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sz w:val="24"/>
                <w:szCs w:val="24"/>
                <w:lang w:val="en-US" w:eastAsia="zh-CN"/>
              </w:rPr>
            </w:pPr>
            <w:r>
              <w:rPr>
                <w:rFonts w:hint="eastAsia" w:ascii="Times New Roman" w:hAnsi="Times New Roman" w:cs="Times New Roman"/>
                <w:b/>
                <w:bCs/>
                <w:sz w:val="24"/>
                <w:szCs w:val="24"/>
                <w:lang w:val="en-US" w:eastAsia="zh-CN"/>
              </w:rPr>
              <w:t>Ethical risks</w:t>
            </w:r>
            <w:r>
              <w:rPr>
                <w:rFonts w:hint="eastAsia" w:ascii="Times New Roman" w:hAnsi="Times New Roman" w:cs="Times New Roman"/>
                <w:sz w:val="24"/>
                <w:szCs w:val="24"/>
                <w:lang w:val="en-US" w:eastAsia="zh-CN"/>
              </w:rPr>
              <w:t xml:space="preserve"> in this study shall be noticed as well. (Houghton et al, 2010) When researcher stays in the ethnic village and communicate with local people, tradition and cultural difference shall be respected.(Roth and Unger, 2018) In the interview with participant A, who could be normally uneducated and unfamiliar with commercial theory, researcher shall avoid to affect 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original stories and opinions.</w:t>
            </w:r>
            <w:r>
              <w:rPr>
                <w:rFonts w:hint="eastAsia" w:ascii="Times New Roman" w:hAnsi="Times New Roman" w:cs="Times New Roman"/>
                <w:b w:val="0"/>
                <w:bCs w:val="0"/>
                <w:i w:val="0"/>
                <w:iCs w:val="0"/>
                <w:sz w:val="24"/>
                <w:szCs w:val="24"/>
                <w:lang w:val="en-US" w:eastAsia="zh-CN"/>
              </w:rPr>
              <w:t xml:space="preserve">(Husband, 2020)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Introductory bibliography: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jc w:val="both"/>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eastAsiaTheme="minorEastAsia"/>
                <w:sz w:val="24"/>
                <w:szCs w:val="24"/>
                <w:lang w:val="en-US" w:eastAsia="zh-CN"/>
              </w:rPr>
              <w:t>Beddoes-Jones, F. and Swailes, S.</w:t>
            </w:r>
            <w:r>
              <w:rPr>
                <w:rFonts w:hint="eastAsia"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2015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Authentic leadership: development of a new three pillar model</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 Strategic HR Review, 14(3), pp. 94-99.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B</w:t>
            </w:r>
            <w:r>
              <w:rPr>
                <w:rFonts w:hint="eastAsia" w:ascii="Times New Roman" w:hAnsi="Times New Roman" w:cs="Times New Roman"/>
                <w:b w:val="0"/>
                <w:bCs w:val="0"/>
                <w:i w:val="0"/>
                <w:iCs w:val="0"/>
                <w:sz w:val="24"/>
                <w:szCs w:val="24"/>
                <w:lang w:val="en-US" w:eastAsia="zh-CN"/>
              </w:rPr>
              <w:t>erg</w:t>
            </w:r>
            <w:r>
              <w:rPr>
                <w:rFonts w:hint="default" w:ascii="Times New Roman" w:hAnsi="Times New Roman" w:cs="Times New Roman"/>
                <w:b w:val="0"/>
                <w:bCs w:val="0"/>
                <w:i w:val="0"/>
                <w:iCs w:val="0"/>
                <w:sz w:val="24"/>
                <w:szCs w:val="24"/>
                <w:lang w:val="en-US" w:eastAsia="zh-CN"/>
              </w:rPr>
              <w:t>, A. V. D. and S</w:t>
            </w:r>
            <w:r>
              <w:rPr>
                <w:rFonts w:hint="eastAsia" w:ascii="Times New Roman" w:hAnsi="Times New Roman" w:cs="Times New Roman"/>
                <w:b w:val="0"/>
                <w:bCs w:val="0"/>
                <w:i w:val="0"/>
                <w:iCs w:val="0"/>
                <w:sz w:val="24"/>
                <w:szCs w:val="24"/>
                <w:lang w:val="en-US" w:eastAsia="zh-CN"/>
              </w:rPr>
              <w:t>truwig</w:t>
            </w:r>
            <w:r>
              <w:rPr>
                <w:rFonts w:hint="default" w:ascii="Times New Roman" w:hAnsi="Times New Roman" w:cs="Times New Roman"/>
                <w:b w:val="0"/>
                <w:bCs w:val="0"/>
                <w:i w:val="0"/>
                <w:iCs w:val="0"/>
                <w:sz w:val="24"/>
                <w:szCs w:val="24"/>
                <w:lang w:val="en-US" w:eastAsia="zh-CN"/>
              </w:rPr>
              <w:t>, M</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2017</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‘Guidelines for Researchers Using an Adapted Consensual Qualitative Research Approach in Management Research’. </w:t>
            </w:r>
            <w:r>
              <w:rPr>
                <w:rFonts w:hint="default" w:ascii="Times New Roman" w:hAnsi="Times New Roman" w:cs="Times New Roman"/>
                <w:b w:val="0"/>
                <w:bCs w:val="0"/>
                <w:i/>
                <w:iCs/>
                <w:sz w:val="24"/>
                <w:szCs w:val="24"/>
                <w:lang w:val="en-US" w:eastAsia="zh-CN"/>
              </w:rPr>
              <w:t>Electronic journal of business research methods</w:t>
            </w:r>
            <w:r>
              <w:rPr>
                <w:rFonts w:hint="default" w:ascii="Times New Roman" w:hAnsi="Times New Roman" w:cs="Times New Roman"/>
                <w:b w:val="0"/>
                <w:bCs w:val="0"/>
                <w:i w:val="0"/>
                <w:iCs w:val="0"/>
                <w:sz w:val="24"/>
                <w:szCs w:val="24"/>
                <w:lang w:val="en-US" w:eastAsia="zh-CN"/>
              </w:rPr>
              <w:t>, 15(2), pp. 109-119.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val="0"/>
                <w:iCs w:val="0"/>
                <w:sz w:val="24"/>
                <w:szCs w:val="24"/>
                <w:lang w:val="en-US" w:eastAsia="zh-CN"/>
              </w:rPr>
              <w:t>C</w:t>
            </w:r>
            <w:r>
              <w:rPr>
                <w:rFonts w:hint="eastAsia" w:ascii="Times New Roman" w:hAnsi="Times New Roman" w:cs="Times New Roman"/>
                <w:b w:val="0"/>
                <w:bCs w:val="0"/>
                <w:i w:val="0"/>
                <w:iCs w:val="0"/>
                <w:sz w:val="24"/>
                <w:szCs w:val="24"/>
                <w:lang w:val="en-US" w:eastAsia="zh-CN"/>
              </w:rPr>
              <w:t>reswell</w:t>
            </w:r>
            <w:r>
              <w:rPr>
                <w:rFonts w:hint="default" w:ascii="Times New Roman" w:hAnsi="Times New Roman" w:cs="Times New Roman"/>
                <w:b w:val="0"/>
                <w:bCs w:val="0"/>
                <w:i w:val="0"/>
                <w:iCs w:val="0"/>
                <w:sz w:val="24"/>
                <w:szCs w:val="24"/>
                <w:lang w:val="en-US" w:eastAsia="zh-CN"/>
              </w:rPr>
              <w:t xml:space="preserve">, J. W. (2014) </w:t>
            </w:r>
            <w:r>
              <w:rPr>
                <w:rFonts w:hint="default" w:ascii="Times New Roman" w:hAnsi="Times New Roman" w:cs="Times New Roman"/>
                <w:b w:val="0"/>
                <w:bCs w:val="0"/>
                <w:i/>
                <w:iCs/>
                <w:sz w:val="24"/>
                <w:szCs w:val="24"/>
                <w:lang w:val="en-US" w:eastAsia="zh-CN"/>
              </w:rPr>
              <w:t>Research Design: Qualitative, quantitative and mixed approaches</w:t>
            </w:r>
            <w:r>
              <w:rPr>
                <w:rFonts w:hint="default" w:ascii="Times New Roman" w:hAnsi="Times New Roman" w:cs="Times New Roman"/>
                <w:b w:val="0"/>
                <w:bCs w:val="0"/>
                <w:i w:val="0"/>
                <w:iCs w:val="0"/>
                <w:sz w:val="24"/>
                <w:szCs w:val="24"/>
                <w:lang w:val="en-US" w:eastAsia="zh-CN"/>
              </w:rPr>
              <w:t>. 4th edn. California: Sage publications ltd.</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Gao, J. and Wu, B. (2017). ‘Revitalizing traditional villages through rural tourism: A case study of Yuanjia Village, Shaanxi Province, China’. Tourism management (1982), 63, pp. 223-233.</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H</w:t>
            </w:r>
            <w:r>
              <w:rPr>
                <w:rFonts w:hint="eastAsia" w:ascii="Times New Roman" w:hAnsi="Times New Roman" w:cs="Times New Roman"/>
                <w:b w:val="0"/>
                <w:bCs w:val="0"/>
                <w:i w:val="0"/>
                <w:iCs w:val="0"/>
                <w:sz w:val="24"/>
                <w:szCs w:val="24"/>
                <w:lang w:val="en-US" w:eastAsia="zh-CN"/>
              </w:rPr>
              <w:t>usband</w:t>
            </w:r>
            <w:r>
              <w:rPr>
                <w:rFonts w:hint="default" w:ascii="Times New Roman" w:hAnsi="Times New Roman" w:cs="Times New Roman"/>
                <w:b w:val="0"/>
                <w:bCs w:val="0"/>
                <w:i w:val="0"/>
                <w:iCs w:val="0"/>
                <w:sz w:val="24"/>
                <w:szCs w:val="24"/>
                <w:lang w:val="en-US" w:eastAsia="zh-CN"/>
              </w:rPr>
              <w:t xml:space="preserve">, G.(2020). ‘Ethical Data Collection and Recognizing the Impact of Semi-Structured Interviews on Research Respondents’. </w:t>
            </w:r>
            <w:r>
              <w:rPr>
                <w:rFonts w:hint="default" w:ascii="Times New Roman" w:hAnsi="Times New Roman" w:cs="Times New Roman"/>
                <w:b w:val="0"/>
                <w:bCs w:val="0"/>
                <w:i/>
                <w:iCs/>
                <w:sz w:val="24"/>
                <w:szCs w:val="24"/>
                <w:lang w:val="en-US" w:eastAsia="zh-CN"/>
              </w:rPr>
              <w:t>Education sciences</w:t>
            </w:r>
            <w:r>
              <w:rPr>
                <w:rFonts w:hint="default" w:ascii="Times New Roman" w:hAnsi="Times New Roman" w:cs="Times New Roman"/>
                <w:b w:val="0"/>
                <w:bCs w:val="0"/>
                <w:i w:val="0"/>
                <w:iCs w:val="0"/>
                <w:sz w:val="24"/>
                <w:szCs w:val="24"/>
                <w:lang w:val="en-US" w:eastAsia="zh-CN"/>
              </w:rPr>
              <w:t>, 10(8), pp. 206-218.</w:t>
            </w:r>
          </w:p>
          <w:p>
            <w:pPr>
              <w:jc w:val="both"/>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eastAsiaTheme="minorEastAsia"/>
                <w:sz w:val="24"/>
                <w:szCs w:val="24"/>
                <w:lang w:val="en-US" w:eastAsia="zh-CN"/>
              </w:rPr>
              <w:t>Hogan, T</w:t>
            </w:r>
            <w:r>
              <w:rPr>
                <w:rFonts w:hint="eastAsia" w:ascii="Times New Roman" w:hAnsi="Times New Roman" w:cs="Times New Roman"/>
                <w:sz w:val="24"/>
                <w:szCs w:val="24"/>
                <w:lang w:val="en-US" w:eastAsia="zh-CN"/>
              </w:rPr>
              <w:t xml:space="preserve">, </w:t>
            </w:r>
            <w:r>
              <w:rPr>
                <w:rFonts w:hint="eastAsia" w:ascii="Times New Roman" w:hAnsi="Times New Roman" w:cs="Times New Roman" w:eastAsiaTheme="minorEastAsia"/>
                <w:sz w:val="24"/>
                <w:szCs w:val="24"/>
                <w:lang w:val="en-US" w:eastAsia="zh-CN"/>
              </w:rPr>
              <w:t>J.</w:t>
            </w:r>
            <w:r>
              <w:rPr>
                <w:rFonts w:hint="eastAsia"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2008</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The Adaptive Leadership Maturity Model</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 xml:space="preserve">. </w:t>
            </w:r>
            <w:r>
              <w:rPr>
                <w:rFonts w:hint="eastAsia" w:ascii="Times New Roman" w:hAnsi="Times New Roman" w:cs="Times New Roman" w:eastAsiaTheme="minorEastAsia"/>
                <w:i/>
                <w:iCs/>
                <w:sz w:val="24"/>
                <w:szCs w:val="24"/>
                <w:lang w:val="en-US" w:eastAsia="zh-CN"/>
              </w:rPr>
              <w:t>Organization Development Journal</w:t>
            </w:r>
            <w:r>
              <w:rPr>
                <w:rFonts w:hint="eastAsia" w:ascii="Times New Roman" w:hAnsi="Times New Roman" w:cs="Times New Roman" w:eastAsiaTheme="minorEastAsia"/>
                <w:sz w:val="24"/>
                <w:szCs w:val="24"/>
                <w:lang w:val="en-US" w:eastAsia="zh-CN"/>
              </w:rPr>
              <w:t xml:space="preserve">, 26(1), pp. 55-61.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val="0"/>
                <w:iCs w:val="0"/>
                <w:sz w:val="24"/>
                <w:szCs w:val="24"/>
                <w:lang w:val="en-US" w:eastAsia="zh-CN"/>
              </w:rPr>
              <w:t>H</w:t>
            </w:r>
            <w:r>
              <w:rPr>
                <w:rFonts w:hint="eastAsia" w:ascii="Times New Roman" w:hAnsi="Times New Roman" w:cs="Times New Roman"/>
                <w:b w:val="0"/>
                <w:bCs w:val="0"/>
                <w:i w:val="0"/>
                <w:iCs w:val="0"/>
                <w:sz w:val="24"/>
                <w:szCs w:val="24"/>
                <w:lang w:val="en-US" w:eastAsia="zh-CN"/>
              </w:rPr>
              <w:t>oughton</w:t>
            </w:r>
            <w:r>
              <w:rPr>
                <w:rFonts w:hint="default" w:ascii="Times New Roman" w:hAnsi="Times New Roman" w:cs="Times New Roman"/>
                <w:b w:val="0"/>
                <w:bCs w:val="0"/>
                <w:i w:val="0"/>
                <w:iCs w:val="0"/>
                <w:sz w:val="24"/>
                <w:szCs w:val="24"/>
                <w:lang w:val="en-US" w:eastAsia="zh-CN"/>
              </w:rPr>
              <w:t>, C. E.</w:t>
            </w:r>
            <w:r>
              <w:rPr>
                <w:rFonts w:hint="eastAsia" w:ascii="Times New Roman" w:hAnsi="Times New Roman" w:cs="Times New Roman"/>
                <w:b w:val="0"/>
                <w:bCs w:val="0"/>
                <w:i w:val="0"/>
                <w:iCs w:val="0"/>
                <w:sz w:val="24"/>
                <w:szCs w:val="24"/>
                <w:lang w:val="en-US" w:eastAsia="zh-CN"/>
              </w:rPr>
              <w:t xml:space="preserve"> et al. </w:t>
            </w:r>
            <w:r>
              <w:rPr>
                <w:rFonts w:hint="default" w:ascii="Times New Roman" w:hAnsi="Times New Roman" w:cs="Times New Roman"/>
                <w:b w:val="0"/>
                <w:bCs w:val="0"/>
                <w:i w:val="0"/>
                <w:iCs w:val="0"/>
                <w:sz w:val="24"/>
                <w:szCs w:val="24"/>
                <w:lang w:val="en-US" w:eastAsia="zh-CN"/>
              </w:rPr>
              <w:t xml:space="preserve">(2010), ‘Ethical challenges in qualitative research: examples from practice’. </w:t>
            </w:r>
            <w:r>
              <w:rPr>
                <w:rFonts w:hint="default" w:ascii="Times New Roman" w:hAnsi="Times New Roman" w:cs="Times New Roman"/>
                <w:b w:val="0"/>
                <w:bCs w:val="0"/>
                <w:i/>
                <w:iCs/>
                <w:sz w:val="24"/>
                <w:szCs w:val="24"/>
                <w:lang w:val="en-US" w:eastAsia="zh-CN"/>
              </w:rPr>
              <w:t>Nurse researcher</w:t>
            </w:r>
            <w:r>
              <w:rPr>
                <w:rFonts w:hint="default" w:ascii="Times New Roman" w:hAnsi="Times New Roman" w:cs="Times New Roman"/>
                <w:b w:val="0"/>
                <w:bCs w:val="0"/>
                <w:i w:val="0"/>
                <w:iCs w:val="0"/>
                <w:sz w:val="24"/>
                <w:szCs w:val="24"/>
                <w:lang w:val="en-US" w:eastAsia="zh-CN"/>
              </w:rPr>
              <w:t>, 18(1), pp. 15-25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Ilbery, B. and Saxena, G., (2011). ‘Integrated Rural Tourism in the English-Welsh Cross-border Region: An Analysis of Strategic’, Administrative and Personal Challenges. </w:t>
            </w:r>
            <w:r>
              <w:rPr>
                <w:rFonts w:hint="default" w:ascii="Times New Roman" w:hAnsi="Times New Roman" w:cs="Times New Roman"/>
                <w:b w:val="0"/>
                <w:bCs w:val="0"/>
                <w:i/>
                <w:iCs/>
                <w:sz w:val="24"/>
                <w:szCs w:val="24"/>
                <w:lang w:val="en-US" w:eastAsia="zh-CN"/>
              </w:rPr>
              <w:t>Regional studies</w:t>
            </w:r>
            <w:r>
              <w:rPr>
                <w:rFonts w:hint="default" w:ascii="Times New Roman" w:hAnsi="Times New Roman" w:cs="Times New Roman"/>
                <w:b w:val="0"/>
                <w:bCs w:val="0"/>
                <w:i w:val="0"/>
                <w:iCs w:val="0"/>
                <w:sz w:val="24"/>
                <w:szCs w:val="24"/>
                <w:lang w:val="en-US" w:eastAsia="zh-CN"/>
              </w:rPr>
              <w:t>, 45(8), pp. 1139-1155.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Ilbery, B. and Saxena, G.(2009). Evaluating ‘Best Practice’ in Integrated Rural Tourism: Case Examples from the England-Wales Border Region. </w:t>
            </w:r>
            <w:r>
              <w:rPr>
                <w:rFonts w:hint="default" w:ascii="Times New Roman" w:hAnsi="Times New Roman" w:cs="Times New Roman"/>
                <w:b w:val="0"/>
                <w:bCs w:val="0"/>
                <w:i/>
                <w:iCs/>
                <w:sz w:val="24"/>
                <w:szCs w:val="24"/>
                <w:lang w:val="en-US" w:eastAsia="zh-CN"/>
              </w:rPr>
              <w:t>Environment and planning</w:t>
            </w:r>
            <w:r>
              <w:rPr>
                <w:rFonts w:hint="default" w:ascii="Times New Roman" w:hAnsi="Times New Roman" w:cs="Times New Roman"/>
                <w:b w:val="0"/>
                <w:bCs w:val="0"/>
                <w:i w:val="0"/>
                <w:iCs w:val="0"/>
                <w:sz w:val="24"/>
                <w:szCs w:val="24"/>
                <w:lang w:val="en-US" w:eastAsia="zh-CN"/>
              </w:rPr>
              <w:t>. A, 41(9), pp. 2248-2266.</w:t>
            </w:r>
          </w:p>
          <w:p>
            <w:pPr>
              <w:jc w:val="both"/>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eastAsiaTheme="minorEastAsia"/>
                <w:sz w:val="24"/>
                <w:szCs w:val="24"/>
                <w:lang w:val="en-US" w:eastAsia="zh-CN"/>
              </w:rPr>
              <w:t>Jensen, S.M. and Luthans, F.</w:t>
            </w:r>
            <w:r>
              <w:rPr>
                <w:rFonts w:hint="eastAsia"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2006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Entrepreneurs as authentic leaders: impact on employees' attitudes</w:t>
            </w:r>
            <w:r>
              <w:rPr>
                <w:rFonts w:hint="default"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 Leadership &amp; Organization Development Journal, 27(8), pp. 646-666.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Lane, B., and Kastenholz, E. (2015). ‘Rural tourism: The evolution of practice and research approaches-towards a new generation concept?’ </w:t>
            </w:r>
            <w:r>
              <w:rPr>
                <w:rFonts w:hint="default" w:ascii="Times New Roman" w:hAnsi="Times New Roman" w:cs="Times New Roman"/>
                <w:b w:val="0"/>
                <w:bCs w:val="0"/>
                <w:i/>
                <w:iCs/>
                <w:sz w:val="24"/>
                <w:szCs w:val="24"/>
                <w:lang w:val="en-US" w:eastAsia="zh-CN"/>
              </w:rPr>
              <w:t>Journal of Sustainable Tourism</w:t>
            </w:r>
            <w:r>
              <w:rPr>
                <w:rFonts w:hint="default" w:ascii="Times New Roman" w:hAnsi="Times New Roman" w:cs="Times New Roman"/>
                <w:b w:val="0"/>
                <w:bCs w:val="0"/>
                <w:i w:val="0"/>
                <w:iCs w:val="0"/>
                <w:sz w:val="24"/>
                <w:szCs w:val="24"/>
                <w:lang w:val="en-US" w:eastAsia="zh-CN"/>
              </w:rPr>
              <w:t>, 23(8-9), pp. 1133-1156.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Lan, X. and </w:t>
            </w:r>
            <w:r>
              <w:rPr>
                <w:rFonts w:hint="default" w:ascii="Times New Roman" w:hAnsi="Times New Roman" w:eastAsia="宋体" w:cs="Times New Roman"/>
                <w:sz w:val="24"/>
                <w:szCs w:val="24"/>
                <w:lang w:val="en-US" w:eastAsia="zh-CN"/>
              </w:rPr>
              <w:t>Kerstetter, D</w:t>
            </w:r>
            <w:r>
              <w:rPr>
                <w:rFonts w:hint="default" w:ascii="Times New Roman" w:hAnsi="Times New Roman" w:cs="Times New Roman"/>
                <w:b w:val="0"/>
                <w:bCs w:val="0"/>
                <w:i w:val="0"/>
                <w:iCs w:val="0"/>
                <w:sz w:val="24"/>
                <w:szCs w:val="24"/>
                <w:lang w:val="en-US" w:eastAsia="zh-CN"/>
              </w:rPr>
              <w:t xml:space="preserve">.(2019) ‘Rural Tourism and Livelihood Change: An Emic Perspective’. </w:t>
            </w:r>
            <w:r>
              <w:rPr>
                <w:rFonts w:hint="default" w:ascii="Times New Roman" w:hAnsi="Times New Roman" w:cs="Times New Roman"/>
                <w:b w:val="0"/>
                <w:bCs w:val="0"/>
                <w:i/>
                <w:iCs/>
                <w:sz w:val="24"/>
                <w:szCs w:val="24"/>
                <w:lang w:val="en-US" w:eastAsia="zh-CN"/>
              </w:rPr>
              <w:t>Journal of Hospitality &amp; Tourism Research</w:t>
            </w:r>
            <w:r>
              <w:rPr>
                <w:rFonts w:hint="default" w:ascii="Times New Roman" w:hAnsi="Times New Roman" w:cs="Times New Roman"/>
                <w:b w:val="0"/>
                <w:bCs w:val="0"/>
                <w:i w:val="0"/>
                <w:iCs w:val="0"/>
                <w:sz w:val="24"/>
                <w:szCs w:val="24"/>
                <w:lang w:val="en-US" w:eastAsia="zh-CN"/>
              </w:rPr>
              <w:t>. 43(3), pp. 416–437.</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Li Y. J,et al. (2016)’Livelihood changes and evolution of upland ethnic communities driven by tourism: a case study in Guizhou Province, southwest China’. </w:t>
            </w:r>
            <w:r>
              <w:rPr>
                <w:rFonts w:hint="default" w:ascii="Times New Roman" w:hAnsi="Times New Roman" w:cs="Times New Roman"/>
                <w:b w:val="0"/>
                <w:bCs w:val="0"/>
                <w:i/>
                <w:iCs/>
                <w:sz w:val="24"/>
                <w:szCs w:val="24"/>
                <w:lang w:val="en-US" w:eastAsia="zh-CN"/>
              </w:rPr>
              <w:t>Journal of Mountain Science</w:t>
            </w:r>
            <w:r>
              <w:rPr>
                <w:rFonts w:hint="eastAsia" w:ascii="Times New Roman" w:hAnsi="Times New Roman" w:cs="Times New Roman"/>
                <w:b w:val="0"/>
                <w:bCs w:val="0"/>
                <w:i/>
                <w:iCs/>
                <w:sz w:val="24"/>
                <w:szCs w:val="24"/>
                <w:lang w:val="en-US" w:eastAsia="zh-CN"/>
              </w:rPr>
              <w:t>.</w:t>
            </w:r>
            <w:r>
              <w:rPr>
                <w:rFonts w:hint="default" w:ascii="Times New Roman" w:hAnsi="Times New Roman" w:cs="Times New Roman"/>
                <w:b w:val="0"/>
                <w:bCs w:val="0"/>
                <w:i w:val="0"/>
                <w:iCs w:val="0"/>
                <w:sz w:val="24"/>
                <w:szCs w:val="24"/>
                <w:lang w:val="en-US" w:eastAsia="zh-CN"/>
              </w:rPr>
              <w:t xml:space="preserve"> 13(7). DOI: 10.1007s11629-015-361-6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w:t>
            </w:r>
            <w:r>
              <w:rPr>
                <w:rFonts w:hint="eastAsia" w:ascii="Times New Roman" w:hAnsi="Times New Roman" w:cs="Times New Roman"/>
                <w:b w:val="0"/>
                <w:bCs w:val="0"/>
                <w:i w:val="0"/>
                <w:iCs w:val="0"/>
                <w:sz w:val="24"/>
                <w:szCs w:val="24"/>
                <w:lang w:val="en-US" w:eastAsia="zh-CN"/>
              </w:rPr>
              <w:t>i</w:t>
            </w:r>
            <w:r>
              <w:rPr>
                <w:rFonts w:hint="default" w:ascii="Times New Roman" w:hAnsi="Times New Roman" w:cs="Times New Roman"/>
                <w:b w:val="0"/>
                <w:bCs w:val="0"/>
                <w:i w:val="0"/>
                <w:iCs w:val="0"/>
                <w:sz w:val="24"/>
                <w:szCs w:val="24"/>
                <w:lang w:val="en-US" w:eastAsia="zh-CN"/>
              </w:rPr>
              <w:t xml:space="preserve">, P. </w:t>
            </w:r>
            <w:r>
              <w:rPr>
                <w:rFonts w:hint="eastAsia" w:ascii="Times New Roman" w:hAnsi="Times New Roman" w:cs="Times New Roman"/>
                <w:b w:val="0"/>
                <w:bCs w:val="0"/>
                <w:i w:val="0"/>
                <w:iCs w:val="0"/>
                <w:sz w:val="24"/>
                <w:szCs w:val="24"/>
                <w:lang w:val="en-US" w:eastAsia="zh-CN"/>
              </w:rPr>
              <w:t>et al.</w:t>
            </w:r>
            <w:r>
              <w:rPr>
                <w:rFonts w:hint="default" w:ascii="Times New Roman" w:hAnsi="Times New Roman" w:cs="Times New Roman"/>
                <w:b w:val="0"/>
                <w:bCs w:val="0"/>
                <w:i w:val="0"/>
                <w:iCs w:val="0"/>
                <w:sz w:val="24"/>
                <w:szCs w:val="24"/>
                <w:lang w:val="en-US" w:eastAsia="zh-CN"/>
              </w:rPr>
              <w:t>(2016). ‘Chinese rural tourism development: Transition in the case of Qiyunshan, Anhui. – 2008–2015’. Tourism management (1982), 55, pp. 240-260.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w:t>
            </w:r>
            <w:r>
              <w:rPr>
                <w:rFonts w:hint="eastAsia" w:ascii="Times New Roman" w:hAnsi="Times New Roman" w:cs="Times New Roman"/>
                <w:b w:val="0"/>
                <w:bCs w:val="0"/>
                <w:i w:val="0"/>
                <w:iCs w:val="0"/>
                <w:sz w:val="24"/>
                <w:szCs w:val="24"/>
                <w:lang w:val="en-US" w:eastAsia="zh-CN"/>
              </w:rPr>
              <w:t>i</w:t>
            </w:r>
            <w:r>
              <w:rPr>
                <w:rFonts w:hint="default" w:ascii="Times New Roman" w:hAnsi="Times New Roman" w:cs="Times New Roman"/>
                <w:b w:val="0"/>
                <w:bCs w:val="0"/>
                <w:i w:val="0"/>
                <w:iCs w:val="0"/>
                <w:sz w:val="24"/>
                <w:szCs w:val="24"/>
                <w:lang w:val="en-US" w:eastAsia="zh-CN"/>
              </w:rPr>
              <w:t>, X.</w:t>
            </w:r>
            <w:r>
              <w:rPr>
                <w:rFonts w:hint="eastAsia" w:ascii="Times New Roman" w:hAnsi="Times New Roman" w:cs="Times New Roman"/>
                <w:b w:val="0"/>
                <w:bCs w:val="0"/>
                <w:i w:val="0"/>
                <w:iCs w:val="0"/>
                <w:sz w:val="24"/>
                <w:szCs w:val="24"/>
                <w:lang w:val="en-US" w:eastAsia="zh-CN"/>
              </w:rPr>
              <w:t xml:space="preserve"> et al.</w:t>
            </w:r>
            <w:r>
              <w:rPr>
                <w:rFonts w:hint="default" w:ascii="Times New Roman" w:hAnsi="Times New Roman" w:cs="Times New Roman"/>
                <w:b w:val="0"/>
                <w:bCs w:val="0"/>
                <w:i w:val="0"/>
                <w:iCs w:val="0"/>
                <w:sz w:val="24"/>
                <w:szCs w:val="24"/>
                <w:lang w:val="en-US" w:eastAsia="zh-CN"/>
              </w:rPr>
              <w:t>(2021). ‘Experiences, Motivations, Perceptions, and Attitudes Regarding Ethnic Minority Village Tourism’. Sustainability (Basel, Switzerland), 13(4), pp. 2364.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Nicely, A. and Syndor, S.</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2015</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.’Rural Tourism Development: Tackling a Culture of Local Non-participation in a Post-slavery Society’, Journal of Travel Research, 54(6), pp. 717–729</w:t>
            </w:r>
          </w:p>
          <w:p>
            <w:pPr>
              <w:jc w:val="both"/>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eastAsiaTheme="minorEastAsia"/>
                <w:sz w:val="24"/>
                <w:szCs w:val="24"/>
                <w:lang w:val="en-US" w:eastAsia="zh-CN"/>
              </w:rPr>
              <w:t>N</w:t>
            </w:r>
            <w:r>
              <w:rPr>
                <w:rFonts w:hint="eastAsia" w:ascii="Times New Roman" w:hAnsi="Times New Roman" w:cs="Times New Roman"/>
                <w:sz w:val="24"/>
                <w:szCs w:val="24"/>
                <w:lang w:val="en-US" w:eastAsia="zh-CN"/>
              </w:rPr>
              <w:t>orthouse</w:t>
            </w:r>
            <w:r>
              <w:rPr>
                <w:rFonts w:hint="eastAsia" w:ascii="Times New Roman" w:hAnsi="Times New Roman" w:cs="Times New Roman" w:eastAsiaTheme="minorEastAsia"/>
                <w:sz w:val="24"/>
                <w:szCs w:val="24"/>
                <w:lang w:val="en-US" w:eastAsia="zh-CN"/>
              </w:rPr>
              <w:t>, P</w:t>
            </w:r>
            <w:r>
              <w:rPr>
                <w:rFonts w:hint="eastAsia"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 xml:space="preserve"> G.</w:t>
            </w:r>
            <w:r>
              <w:rPr>
                <w:rFonts w:hint="eastAsia"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2016</w:t>
            </w:r>
            <w:r>
              <w:rPr>
                <w:rFonts w:hint="eastAsia" w:ascii="Times New Roman" w:hAnsi="Times New Roman" w:cs="Times New Roman"/>
                <w:sz w:val="24"/>
                <w:szCs w:val="24"/>
                <w:lang w:val="en-US" w:eastAsia="zh-CN"/>
              </w:rPr>
              <w:t>)</w:t>
            </w:r>
            <w:r>
              <w:rPr>
                <w:rFonts w:hint="eastAsia" w:ascii="Times New Roman" w:hAnsi="Times New Roman" w:cs="Times New Roman" w:eastAsiaTheme="minorEastAsia"/>
                <w:sz w:val="24"/>
                <w:szCs w:val="24"/>
                <w:lang w:val="en-US" w:eastAsia="zh-CN"/>
              </w:rPr>
              <w:t xml:space="preserve"> </w:t>
            </w:r>
            <w:r>
              <w:rPr>
                <w:rFonts w:hint="eastAsia" w:ascii="Times New Roman" w:hAnsi="Times New Roman" w:cs="Times New Roman" w:eastAsiaTheme="minorEastAsia"/>
                <w:i/>
                <w:iCs/>
                <w:sz w:val="24"/>
                <w:szCs w:val="24"/>
                <w:lang w:val="en-US" w:eastAsia="zh-CN"/>
              </w:rPr>
              <w:t>Leadership: Theory and Practice</w:t>
            </w:r>
            <w:r>
              <w:rPr>
                <w:rFonts w:hint="eastAsia" w:ascii="Times New Roman" w:hAnsi="Times New Roman" w:cs="Times New Roman" w:eastAsiaTheme="minorEastAsia"/>
                <w:sz w:val="24"/>
                <w:szCs w:val="24"/>
                <w:lang w:val="en-US" w:eastAsia="zh-CN"/>
              </w:rPr>
              <w:t>, Seventh Edition. ©SAGE Publications, Inc.</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R</w:t>
            </w:r>
            <w:r>
              <w:rPr>
                <w:rFonts w:hint="eastAsia" w:ascii="Times New Roman" w:hAnsi="Times New Roman" w:cs="Times New Roman"/>
                <w:b w:val="0"/>
                <w:bCs w:val="0"/>
                <w:i w:val="0"/>
                <w:iCs w:val="0"/>
                <w:sz w:val="24"/>
                <w:szCs w:val="24"/>
                <w:lang w:val="en-US" w:eastAsia="zh-CN"/>
              </w:rPr>
              <w:t>oth</w:t>
            </w:r>
            <w:r>
              <w:rPr>
                <w:rFonts w:hint="default" w:ascii="Times New Roman" w:hAnsi="Times New Roman" w:cs="Times New Roman"/>
                <w:b w:val="0"/>
                <w:bCs w:val="0"/>
                <w:i w:val="0"/>
                <w:iCs w:val="0"/>
                <w:sz w:val="24"/>
                <w:szCs w:val="24"/>
                <w:lang w:val="en-US" w:eastAsia="zh-CN"/>
              </w:rPr>
              <w:t>, W. M. and U</w:t>
            </w:r>
            <w:r>
              <w:rPr>
                <w:rFonts w:hint="eastAsia" w:ascii="Times New Roman" w:hAnsi="Times New Roman" w:cs="Times New Roman"/>
                <w:b w:val="0"/>
                <w:bCs w:val="0"/>
                <w:i w:val="0"/>
                <w:iCs w:val="0"/>
                <w:sz w:val="24"/>
                <w:szCs w:val="24"/>
                <w:lang w:val="en-US" w:eastAsia="zh-CN"/>
              </w:rPr>
              <w:t>nger</w:t>
            </w:r>
            <w:r>
              <w:rPr>
                <w:rFonts w:hint="default" w:ascii="Times New Roman" w:hAnsi="Times New Roman" w:cs="Times New Roman"/>
                <w:b w:val="0"/>
                <w:bCs w:val="0"/>
                <w:i w:val="0"/>
                <w:iCs w:val="0"/>
                <w:sz w:val="24"/>
                <w:szCs w:val="24"/>
                <w:lang w:val="en-US" w:eastAsia="zh-CN"/>
              </w:rPr>
              <w:t xml:space="preserve">, V. H., (2018). ‘Current Perspectives on Research Ethics in Qualitative Research’. </w:t>
            </w:r>
            <w:r>
              <w:rPr>
                <w:rFonts w:hint="eastAsia" w:ascii="Times New Roman" w:hAnsi="Times New Roman" w:cs="Times New Roman"/>
                <w:b w:val="0"/>
                <w:bCs w:val="0"/>
                <w:i/>
                <w:iCs/>
                <w:sz w:val="24"/>
                <w:szCs w:val="24"/>
                <w:lang w:val="en-US" w:eastAsia="zh-CN"/>
              </w:rPr>
              <w:t>Q</w:t>
            </w:r>
            <w:r>
              <w:rPr>
                <w:rFonts w:hint="default" w:ascii="Times New Roman" w:hAnsi="Times New Roman" w:cs="Times New Roman"/>
                <w:b w:val="0"/>
                <w:bCs w:val="0"/>
                <w:i/>
                <w:iCs/>
                <w:sz w:val="24"/>
                <w:szCs w:val="24"/>
                <w:lang w:val="en-US" w:eastAsia="zh-CN"/>
              </w:rPr>
              <w:t xml:space="preserve">ualitative </w:t>
            </w:r>
            <w:r>
              <w:rPr>
                <w:rFonts w:hint="eastAsia" w:ascii="Times New Roman" w:hAnsi="Times New Roman" w:cs="Times New Roman"/>
                <w:b w:val="0"/>
                <w:bCs w:val="0"/>
                <w:i/>
                <w:iCs/>
                <w:sz w:val="24"/>
                <w:szCs w:val="24"/>
                <w:lang w:val="en-US" w:eastAsia="zh-CN"/>
              </w:rPr>
              <w:t>S</w:t>
            </w:r>
            <w:r>
              <w:rPr>
                <w:rFonts w:hint="default" w:ascii="Times New Roman" w:hAnsi="Times New Roman" w:cs="Times New Roman"/>
                <w:b w:val="0"/>
                <w:bCs w:val="0"/>
                <w:i/>
                <w:iCs/>
                <w:sz w:val="24"/>
                <w:szCs w:val="24"/>
                <w:lang w:val="en-US" w:eastAsia="zh-CN"/>
              </w:rPr>
              <w:t xml:space="preserve">ocial </w:t>
            </w:r>
            <w:r>
              <w:rPr>
                <w:rFonts w:hint="eastAsia" w:ascii="Times New Roman" w:hAnsi="Times New Roman" w:cs="Times New Roman"/>
                <w:b w:val="0"/>
                <w:bCs w:val="0"/>
                <w:i/>
                <w:iCs/>
                <w:sz w:val="24"/>
                <w:szCs w:val="24"/>
                <w:lang w:val="en-US" w:eastAsia="zh-CN"/>
              </w:rPr>
              <w:t>R</w:t>
            </w:r>
            <w:r>
              <w:rPr>
                <w:rFonts w:hint="default" w:ascii="Times New Roman" w:hAnsi="Times New Roman" w:cs="Times New Roman"/>
                <w:b w:val="0"/>
                <w:bCs w:val="0"/>
                <w:i/>
                <w:iCs/>
                <w:sz w:val="24"/>
                <w:szCs w:val="24"/>
                <w:lang w:val="en-US" w:eastAsia="zh-CN"/>
              </w:rPr>
              <w:t>esearch</w:t>
            </w:r>
            <w:r>
              <w:rPr>
                <w:rFonts w:hint="default" w:ascii="Times New Roman" w:hAnsi="Times New Roman" w:cs="Times New Roman"/>
                <w:b w:val="0"/>
                <w:bCs w:val="0"/>
                <w:i w:val="0"/>
                <w:iCs w:val="0"/>
                <w:sz w:val="24"/>
                <w:szCs w:val="24"/>
                <w:lang w:val="en-US" w:eastAsia="zh-CN"/>
              </w:rPr>
              <w:t>, 19(3), DOI: http://dx.doi.org/10.17169/fqs-19.3.3155.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Saxena, G. et al. (2007). ‘Conceptualizing Integrated Rural Tourism’. </w:t>
            </w:r>
            <w:r>
              <w:rPr>
                <w:rFonts w:hint="default" w:ascii="Times New Roman" w:hAnsi="Times New Roman" w:cs="Times New Roman"/>
                <w:b w:val="0"/>
                <w:bCs w:val="0"/>
                <w:i/>
                <w:iCs/>
                <w:sz w:val="24"/>
                <w:szCs w:val="24"/>
                <w:lang w:val="en-US" w:eastAsia="zh-CN"/>
              </w:rPr>
              <w:t>Tourism geographies</w:t>
            </w:r>
            <w:r>
              <w:rPr>
                <w:rFonts w:hint="default" w:ascii="Times New Roman" w:hAnsi="Times New Roman" w:cs="Times New Roman"/>
                <w:b w:val="0"/>
                <w:bCs w:val="0"/>
                <w:i w:val="0"/>
                <w:iCs w:val="0"/>
                <w:sz w:val="24"/>
                <w:szCs w:val="24"/>
                <w:lang w:val="en-US" w:eastAsia="zh-CN"/>
              </w:rPr>
              <w:t>, 9(4), pp. 347-370.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Saxena, G. and Ilbery, B., (2008). ‘Integrated rural tourism a border case study’. </w:t>
            </w:r>
            <w:r>
              <w:rPr>
                <w:rFonts w:hint="default" w:ascii="Times New Roman" w:hAnsi="Times New Roman" w:cs="Times New Roman"/>
                <w:b w:val="0"/>
                <w:bCs w:val="0"/>
                <w:i/>
                <w:iCs/>
                <w:sz w:val="24"/>
                <w:szCs w:val="24"/>
                <w:lang w:val="en-US" w:eastAsia="zh-CN"/>
              </w:rPr>
              <w:t>Annals of tourism research</w:t>
            </w:r>
            <w:r>
              <w:rPr>
                <w:rFonts w:hint="default" w:ascii="Times New Roman" w:hAnsi="Times New Roman" w:cs="Times New Roman"/>
                <w:b w:val="0"/>
                <w:bCs w:val="0"/>
                <w:i w:val="0"/>
                <w:iCs w:val="0"/>
                <w:sz w:val="24"/>
                <w:szCs w:val="24"/>
                <w:lang w:val="en-US" w:eastAsia="zh-CN"/>
              </w:rPr>
              <w:t>, 35(1), pp. 233-254.</w:t>
            </w: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Smith, V. (1977) </w:t>
            </w:r>
            <w:r>
              <w:rPr>
                <w:rFonts w:hint="default" w:ascii="Times New Roman" w:hAnsi="Times New Roman" w:cs="Times New Roman"/>
                <w:i/>
                <w:iCs/>
                <w:sz w:val="24"/>
                <w:szCs w:val="24"/>
              </w:rPr>
              <w:t>Hosts and guests: The anthropology of tourism</w:t>
            </w:r>
            <w:r>
              <w:rPr>
                <w:rFonts w:hint="default" w:ascii="Times New Roman" w:hAnsi="Times New Roman" w:cs="Times New Roman"/>
                <w:sz w:val="24"/>
                <w:szCs w:val="24"/>
              </w:rPr>
              <w:t>. Philadelphia:</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University of Pennsylvania Press.</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Torre, M. et al. </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2017</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‘Olive oil tourism: Promoting rural development in Andalusia (Spain)’. </w:t>
            </w:r>
            <w:r>
              <w:rPr>
                <w:rFonts w:hint="default" w:ascii="Times New Roman" w:hAnsi="Times New Roman" w:cs="Times New Roman"/>
                <w:b w:val="0"/>
                <w:bCs w:val="0"/>
                <w:i/>
                <w:iCs/>
                <w:sz w:val="24"/>
                <w:szCs w:val="24"/>
                <w:lang w:val="en-US" w:eastAsia="zh-CN"/>
              </w:rPr>
              <w:t>Tourism management perspectives</w:t>
            </w:r>
            <w:r>
              <w:rPr>
                <w:rFonts w:hint="default" w:ascii="Times New Roman" w:hAnsi="Times New Roman" w:cs="Times New Roman"/>
                <w:b w:val="0"/>
                <w:bCs w:val="0"/>
                <w:sz w:val="24"/>
                <w:szCs w:val="24"/>
                <w:lang w:val="en-US" w:eastAsia="zh-CN"/>
              </w:rPr>
              <w:t>, 21, pp. 100-108.</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val="0"/>
                <w:iCs w:val="0"/>
                <w:sz w:val="24"/>
                <w:szCs w:val="24"/>
                <w:lang w:val="en-US" w:eastAsia="zh-CN"/>
              </w:rPr>
              <w:t>T</w:t>
            </w:r>
            <w:r>
              <w:rPr>
                <w:rFonts w:hint="eastAsia" w:ascii="Times New Roman" w:hAnsi="Times New Roman" w:cs="Times New Roman"/>
                <w:b w:val="0"/>
                <w:bCs w:val="0"/>
                <w:i w:val="0"/>
                <w:iCs w:val="0"/>
                <w:sz w:val="24"/>
                <w:szCs w:val="24"/>
                <w:lang w:val="en-US" w:eastAsia="zh-CN"/>
              </w:rPr>
              <w:t>uan</w:t>
            </w:r>
            <w:r>
              <w:rPr>
                <w:rFonts w:hint="default" w:ascii="Times New Roman" w:hAnsi="Times New Roman" w:cs="Times New Roman"/>
                <w:b w:val="0"/>
                <w:bCs w:val="0"/>
                <w:i w:val="0"/>
                <w:iCs w:val="0"/>
                <w:sz w:val="24"/>
                <w:szCs w:val="24"/>
                <w:lang w:val="en-US" w:eastAsia="zh-CN"/>
              </w:rPr>
              <w:t xml:space="preserve">, L.T., (2018). ‘Driving employees to serve customers beyond their roles in the Vietnamese hospitality industry: The roles of paternalistic leadership and discretionary HR practices’. </w:t>
            </w:r>
            <w:r>
              <w:rPr>
                <w:rFonts w:hint="default" w:ascii="Times New Roman" w:hAnsi="Times New Roman" w:cs="Times New Roman"/>
                <w:b w:val="0"/>
                <w:bCs w:val="0"/>
                <w:i/>
                <w:iCs/>
                <w:sz w:val="24"/>
                <w:szCs w:val="24"/>
                <w:lang w:val="en-US" w:eastAsia="zh-CN"/>
              </w:rPr>
              <w:t>Tourism management</w:t>
            </w:r>
            <w:r>
              <w:rPr>
                <w:rFonts w:hint="default" w:ascii="Times New Roman" w:hAnsi="Times New Roman" w:cs="Times New Roman"/>
                <w:b w:val="0"/>
                <w:bCs w:val="0"/>
                <w:i w:val="0"/>
                <w:iCs w:val="0"/>
                <w:sz w:val="24"/>
                <w:szCs w:val="24"/>
                <w:lang w:val="en-US" w:eastAsia="zh-CN"/>
              </w:rPr>
              <w:t xml:space="preserve"> (1982), 69, pp. 132-144.</w:t>
            </w:r>
          </w:p>
          <w:p>
            <w:pPr>
              <w:jc w:val="both"/>
              <w:rPr>
                <w:rFonts w:hint="default" w:ascii="Times New Roman" w:hAnsi="Times New Roman" w:cs="Times New Roman"/>
                <w:sz w:val="24"/>
                <w:szCs w:val="24"/>
              </w:rPr>
            </w:pPr>
            <w:r>
              <w:rPr>
                <w:rFonts w:hint="default" w:ascii="Times New Roman" w:hAnsi="Times New Roman" w:cs="Times New Roman"/>
                <w:b w:val="0"/>
                <w:bCs w:val="0"/>
                <w:sz w:val="24"/>
                <w:szCs w:val="24"/>
                <w:lang w:val="en-US" w:eastAsia="zh-CN"/>
              </w:rPr>
              <w:t>Wang, L. and Yotsumoto, Y.</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2019</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‘Conflict in tourism development in rural China’. </w:t>
            </w:r>
            <w:r>
              <w:rPr>
                <w:rFonts w:hint="default" w:ascii="Times New Roman" w:hAnsi="Times New Roman" w:cs="Times New Roman"/>
                <w:b w:val="0"/>
                <w:bCs w:val="0"/>
                <w:i/>
                <w:iCs/>
                <w:sz w:val="24"/>
                <w:szCs w:val="24"/>
                <w:lang w:val="en-US" w:eastAsia="zh-CN"/>
              </w:rPr>
              <w:t>Tourism management</w:t>
            </w:r>
            <w:r>
              <w:rPr>
                <w:rFonts w:hint="default" w:ascii="Times New Roman" w:hAnsi="Times New Roman" w:cs="Times New Roman"/>
                <w:b w:val="0"/>
                <w:bCs w:val="0"/>
                <w:sz w:val="24"/>
                <w:szCs w:val="24"/>
                <w:lang w:val="en-US" w:eastAsia="zh-CN"/>
              </w:rPr>
              <w:t xml:space="preserve"> (1982), 70, pp. 188-200.</w:t>
            </w:r>
          </w:p>
          <w:p>
            <w:pPr>
              <w:jc w:val="both"/>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Wijijayanti</w:t>
            </w:r>
            <w:r>
              <w:rPr>
                <w:rFonts w:hint="default" w:ascii="Times New Roman" w:hAnsi="Times New Roman" w:cs="Times New Roman"/>
                <w:b w:val="0"/>
                <w:bCs w:val="0"/>
                <w:sz w:val="24"/>
                <w:szCs w:val="24"/>
                <w:lang w:val="en-US" w:eastAsia="zh-CN"/>
              </w:rPr>
              <w:t xml:space="preserve">, T. et al. </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2020</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‘Rural Tourism: A Local Economic Development’. </w:t>
            </w:r>
            <w:r>
              <w:rPr>
                <w:rFonts w:hint="default" w:ascii="Times New Roman" w:hAnsi="Times New Roman" w:cs="Times New Roman"/>
                <w:b w:val="0"/>
                <w:bCs w:val="0"/>
                <w:i/>
                <w:iCs/>
                <w:sz w:val="24"/>
                <w:szCs w:val="24"/>
                <w:lang w:val="en-US" w:eastAsia="zh-CN"/>
              </w:rPr>
              <w:t>Australasian accounting, business &amp; finance journal</w:t>
            </w:r>
            <w:r>
              <w:rPr>
                <w:rFonts w:hint="default" w:ascii="Times New Roman" w:hAnsi="Times New Roman" w:cs="Times New Roman"/>
                <w:b w:val="0"/>
                <w:bCs w:val="0"/>
                <w:sz w:val="24"/>
                <w:szCs w:val="24"/>
                <w:lang w:val="en-US" w:eastAsia="zh-CN"/>
              </w:rPr>
              <w:t>, 14(1), pp. 9-13.</w:t>
            </w:r>
          </w:p>
          <w:p>
            <w:pPr>
              <w:jc w:val="both"/>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Yang, L</w:t>
            </w:r>
            <w:r>
              <w:rPr>
                <w:rFonts w:hint="default" w:ascii="Times New Roman" w:hAnsi="Times New Roman" w:cs="Times New Roman"/>
                <w:sz w:val="24"/>
                <w:szCs w:val="24"/>
                <w:lang w:val="en-US" w:eastAsia="zh-CN"/>
              </w:rPr>
              <w:t>. et al.</w:t>
            </w:r>
            <w:r>
              <w:rPr>
                <w:rFonts w:hint="eastAsia" w:ascii="Times New Roman" w:hAnsi="Times New Roman" w:cs="Times New Roman"/>
                <w:sz w:val="24"/>
                <w:szCs w:val="24"/>
                <w:lang w:eastAsia="zh-CN"/>
              </w:rPr>
              <w:t xml:space="preserve">(2008)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eastAsia="zh-CN"/>
              </w:rPr>
              <w:t>Ethnic tourism development: Chinese</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eastAsia="zh-CN"/>
              </w:rPr>
              <w:t>government perspectives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eastAsia="zh-CN"/>
              </w:rPr>
              <w:t xml:space="preserve">. </w:t>
            </w:r>
            <w:r>
              <w:rPr>
                <w:rFonts w:hint="eastAsia" w:ascii="Times New Roman" w:hAnsi="Times New Roman" w:cs="Times New Roman"/>
                <w:i/>
                <w:iCs/>
                <w:sz w:val="24"/>
                <w:szCs w:val="24"/>
                <w:lang w:eastAsia="zh-CN"/>
              </w:rPr>
              <w:t>Annals of Tourism Research</w:t>
            </w:r>
            <w:r>
              <w:rPr>
                <w:rFonts w:hint="eastAsia" w:ascii="Times New Roman" w:hAnsi="Times New Roman" w:cs="Times New Roman"/>
                <w:sz w:val="24"/>
                <w:szCs w:val="24"/>
                <w:lang w:eastAsia="zh-CN"/>
              </w:rPr>
              <w:t xml:space="preserve">, 35(3), </w:t>
            </w:r>
            <w:r>
              <w:rPr>
                <w:rFonts w:hint="eastAsia" w:ascii="Times New Roman" w:hAnsi="Times New Roman" w:cs="Times New Roman"/>
                <w:sz w:val="24"/>
                <w:szCs w:val="24"/>
                <w:lang w:val="en-US" w:eastAsia="zh-CN"/>
              </w:rPr>
              <w:t xml:space="preserve">pp, </w:t>
            </w:r>
            <w:r>
              <w:rPr>
                <w:rFonts w:hint="eastAsia" w:ascii="Times New Roman" w:hAnsi="Times New Roman" w:cs="Times New Roman"/>
                <w:sz w:val="24"/>
                <w:szCs w:val="24"/>
                <w:lang w:eastAsia="zh-CN"/>
              </w:rPr>
              <w:t>751–771.</w:t>
            </w:r>
          </w:p>
          <w:p>
            <w:pPr>
              <w:jc w:val="both"/>
              <w:rPr>
                <w:rFonts w:hint="eastAsia" w:ascii="Times New Roman" w:hAnsi="Times New Roman" w:cs="Times New Roman"/>
                <w:sz w:val="24"/>
                <w:szCs w:val="24"/>
                <w:lang w:eastAsia="zh-CN"/>
              </w:rPr>
            </w:pPr>
            <w:r>
              <w:rPr>
                <w:rFonts w:hint="eastAsia" w:ascii="Times New Roman" w:hAnsi="Times New Roman" w:cs="Times New Roman"/>
                <w:sz w:val="24"/>
                <w:szCs w:val="24"/>
                <w:lang w:val="en-US" w:eastAsia="zh-CN"/>
              </w:rPr>
              <w:t>Yang, L. (2010)</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Ethnic tourism and cultural representation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eastAsia="zh-CN"/>
              </w:rPr>
              <w:t>Annals of Tourism Research</w:t>
            </w:r>
            <w:r>
              <w:rPr>
                <w:rFonts w:hint="eastAsia" w:ascii="Times New Roman" w:hAnsi="Times New Roman" w:cs="Times New Roman"/>
                <w:sz w:val="24"/>
                <w:szCs w:val="24"/>
                <w:lang w:eastAsia="zh-CN"/>
              </w:rPr>
              <w:t>, 3</w:t>
            </w:r>
            <w:r>
              <w:rPr>
                <w:rFonts w:hint="eastAsia" w:ascii="Times New Roman" w:hAnsi="Times New Roman" w:cs="Times New Roman"/>
                <w:sz w:val="24"/>
                <w:szCs w:val="24"/>
                <w:lang w:val="en-US" w:eastAsia="zh-CN"/>
              </w:rPr>
              <w:t>8</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2</w:t>
            </w:r>
            <w:r>
              <w:rPr>
                <w:rFonts w:hint="eastAsia" w:ascii="Times New Roman" w:hAnsi="Times New Roman" w:cs="Times New Roman"/>
                <w:sz w:val="24"/>
                <w:szCs w:val="24"/>
                <w:lang w:eastAsia="zh-CN"/>
              </w:rPr>
              <w:t xml:space="preserve">), </w:t>
            </w:r>
            <w:r>
              <w:rPr>
                <w:rFonts w:hint="eastAsia" w:ascii="Times New Roman" w:hAnsi="Times New Roman" w:cs="Times New Roman"/>
                <w:sz w:val="24"/>
                <w:szCs w:val="24"/>
                <w:lang w:val="en-US" w:eastAsia="zh-CN"/>
              </w:rPr>
              <w:t>pp, 561</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585</w:t>
            </w:r>
            <w:r>
              <w:rPr>
                <w:rFonts w:hint="eastAsia" w:ascii="Times New Roman" w:hAnsi="Times New Roman" w:cs="Times New Roman"/>
                <w:sz w:val="24"/>
                <w:szCs w:val="24"/>
                <w:lang w:eastAsia="zh-CN"/>
              </w:rPr>
              <w:t>.</w:t>
            </w:r>
          </w:p>
          <w:p>
            <w:pPr>
              <w:jc w:val="both"/>
              <w:rPr>
                <w:rFonts w:hint="eastAsia" w:ascii="Times New Roman" w:hAnsi="Times New Roman" w:cs="Times New Roman"/>
                <w:sz w:val="24"/>
                <w:szCs w:val="24"/>
                <w:lang w:eastAsia="zh-CN"/>
              </w:rPr>
            </w:pPr>
            <w:r>
              <w:rPr>
                <w:rFonts w:hint="default" w:ascii="Times New Roman" w:hAnsi="Times New Roman" w:cs="Times New Roman"/>
                <w:b w:val="0"/>
                <w:bCs w:val="0"/>
                <w:sz w:val="24"/>
                <w:szCs w:val="24"/>
                <w:lang w:val="en-US" w:eastAsia="zh-CN"/>
              </w:rPr>
              <w:t xml:space="preserve">Yang, J. et al. </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2013</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w:t>
            </w:r>
            <w:r>
              <w:rPr>
                <w:rFonts w:hint="default" w:ascii="Times New Roman" w:hAnsi="Times New Roman" w:cs="Times New Roman"/>
                <w:sz w:val="24"/>
                <w:szCs w:val="24"/>
                <w:lang w:val="en-US" w:eastAsia="zh-CN"/>
              </w:rPr>
              <w:t>‘</w:t>
            </w:r>
            <w:r>
              <w:rPr>
                <w:rFonts w:hint="default" w:ascii="Times New Roman" w:hAnsi="Times New Roman" w:cs="Times New Roman"/>
                <w:b w:val="0"/>
                <w:bCs w:val="0"/>
                <w:sz w:val="24"/>
                <w:szCs w:val="24"/>
                <w:lang w:val="en-US" w:eastAsia="zh-CN"/>
              </w:rPr>
              <w:t xml:space="preserve">Ethnic minority tourism in China – Han perspectives of Tuva figures in a landscape’. </w:t>
            </w:r>
            <w:r>
              <w:rPr>
                <w:rFonts w:hint="default" w:ascii="Times New Roman" w:hAnsi="Times New Roman" w:cs="Times New Roman"/>
                <w:b w:val="0"/>
                <w:bCs w:val="0"/>
                <w:i/>
                <w:iCs/>
                <w:sz w:val="24"/>
                <w:szCs w:val="24"/>
                <w:lang w:val="en-US" w:eastAsia="zh-CN"/>
              </w:rPr>
              <w:t>Tourism management</w:t>
            </w:r>
            <w:r>
              <w:rPr>
                <w:rFonts w:hint="default" w:ascii="Times New Roman" w:hAnsi="Times New Roman" w:cs="Times New Roman"/>
                <w:b w:val="0"/>
                <w:bCs w:val="0"/>
                <w:sz w:val="24"/>
                <w:szCs w:val="24"/>
                <w:lang w:val="en-US" w:eastAsia="zh-CN"/>
              </w:rPr>
              <w:t>, 36, pp. 45-56.</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Zhang, J. et al. </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2017</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‘The host-guest interactions in ethnic tourism, Lijiang, China’. </w:t>
            </w:r>
            <w:r>
              <w:rPr>
                <w:rFonts w:hint="default" w:ascii="Times New Roman" w:hAnsi="Times New Roman" w:cs="Times New Roman"/>
                <w:b w:val="0"/>
                <w:bCs w:val="0"/>
                <w:i/>
                <w:iCs/>
                <w:sz w:val="24"/>
                <w:szCs w:val="24"/>
                <w:lang w:val="en-US" w:eastAsia="zh-CN"/>
              </w:rPr>
              <w:t>Current issues in tourism</w:t>
            </w:r>
            <w:r>
              <w:rPr>
                <w:rFonts w:hint="default" w:ascii="Times New Roman" w:hAnsi="Times New Roman" w:cs="Times New Roman"/>
                <w:b w:val="0"/>
                <w:bCs w:val="0"/>
                <w:sz w:val="24"/>
                <w:szCs w:val="24"/>
                <w:lang w:val="en-US" w:eastAsia="zh-CN"/>
              </w:rPr>
              <w:t>, 20(7), pp. 724-739.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黄杰,李晓东,谢霞(HUANG, J. Li, X. D. and XIE, X.). (2018).少数民族传统村落活化与旅游开发的互动性研究(Ethnic traditional village integrated tourism development research).广西民族研究(Guangxi ethnic research),2018(05), pp.119-128.</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杨军辉(YANG, J). (2016). 资源—环境—区位视域下民族村寨旅游开发研究(A study on ethnic village tourism development in Resource-Environment-Region perspectives).西北大学 (Northwest University, Doctorate Thesis).</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杨军辉(YANG, J.). (2015). 国内民族村寨旅游研究特征与进展(Development and features of Chinese ethnic village tourism). 旅游论坛(Tourism Forum), 8(4), pp. 51-58</w:t>
            </w: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cs="Arial"/>
                <w:sz w:val="22"/>
                <w:szCs w:val="22"/>
              </w:rPr>
            </w:pPr>
          </w:p>
        </w:tc>
      </w:tr>
    </w:tbl>
    <w:p>
      <w:pPr>
        <w:rPr>
          <w:rFonts w:cs="Arial"/>
          <w:sz w:val="22"/>
          <w:szCs w:val="22"/>
        </w:rPr>
      </w:pPr>
    </w:p>
    <w:p>
      <w:pPr>
        <w:rPr>
          <w:rFonts w:cs="Arial"/>
          <w:sz w:val="22"/>
          <w:szCs w:val="22"/>
        </w:rPr>
      </w:pPr>
    </w:p>
    <w:p>
      <w:pPr>
        <w:rPr>
          <w:rFonts w:hint="eastAsia" w:eastAsia="宋体" w:cs="Arial"/>
          <w:sz w:val="22"/>
          <w:szCs w:val="22"/>
          <w:lang w:eastAsia="zh-CN"/>
        </w:rPr>
      </w:pPr>
    </w:p>
    <w:p>
      <w:pPr>
        <w:rPr>
          <w:rFonts w:cs="Arial"/>
          <w:sz w:val="22"/>
          <w:szCs w:val="22"/>
        </w:rPr>
      </w:pPr>
    </w:p>
    <w:tbl>
      <w:tblPr>
        <w:tblStyle w:val="14"/>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9747" w:type="dxa"/>
          </w:tcPr>
          <w:p>
            <w:pPr>
              <w:rPr>
                <w:rFonts w:cs="Arial"/>
                <w:sz w:val="22"/>
                <w:szCs w:val="22"/>
              </w:rPr>
            </w:pPr>
          </w:p>
          <w:p>
            <w:pPr>
              <w:rPr>
                <w:rFonts w:cs="Arial"/>
                <w:b/>
                <w:sz w:val="22"/>
                <w:szCs w:val="22"/>
              </w:rPr>
            </w:pPr>
            <w:r>
              <w:rPr>
                <w:rFonts w:cs="Arial"/>
                <w:b/>
                <w:sz w:val="22"/>
                <w:szCs w:val="22"/>
              </w:rPr>
              <w:t>Student Signature</w:t>
            </w:r>
          </w:p>
          <w:p>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2"/>
              <w:gridCol w:w="6064"/>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4" w:type="dxa"/>
                  <w:shd w:val="clear" w:color="auto" w:fill="F1F1F1" w:themeFill="background1" w:themeFillShade="F2"/>
                </w:tcPr>
                <w:p>
                  <w:pPr>
                    <w:rPr>
                      <w:rFonts w:cs="Arial"/>
                      <w:sz w:val="22"/>
                      <w:szCs w:val="22"/>
                    </w:rPr>
                  </w:pPr>
                </w:p>
                <w:p>
                  <w:pPr>
                    <w:rPr>
                      <w:rFonts w:cs="Arial"/>
                      <w:sz w:val="22"/>
                      <w:szCs w:val="22"/>
                    </w:rPr>
                  </w:pPr>
                  <w:r>
                    <w:rPr>
                      <w:rFonts w:cs="Arial"/>
                      <w:sz w:val="22"/>
                      <w:szCs w:val="22"/>
                    </w:rPr>
                    <w:t>Signature or Print Name:</w:t>
                  </w:r>
                </w:p>
                <w:p>
                  <w:pPr>
                    <w:rPr>
                      <w:rFonts w:cs="Arial"/>
                      <w:sz w:val="22"/>
                      <w:szCs w:val="22"/>
                    </w:rPr>
                  </w:pPr>
                </w:p>
              </w:tc>
              <w:tc>
                <w:tcPr>
                  <w:tcW w:w="6265" w:type="dxa"/>
                </w:tcPr>
                <w:p>
                  <w:pPr>
                    <w:rPr>
                      <w:rFonts w:cs="Arial"/>
                      <w:sz w:val="22"/>
                      <w:szCs w:val="22"/>
                    </w:rPr>
                  </w:pPr>
                  <w:r>
                    <w:rPr>
                      <w:rFonts w:hint="eastAsia" w:eastAsia="宋体" w:cs="Arial"/>
                      <w:sz w:val="22"/>
                      <w:szCs w:val="22"/>
                      <w:lang w:eastAsia="zh-CN"/>
                    </w:rPr>
                    <w:drawing>
                      <wp:anchor distT="0" distB="0" distL="114300" distR="114300" simplePos="0" relativeHeight="251659264" behindDoc="1" locked="0" layoutInCell="1" allowOverlap="1">
                        <wp:simplePos x="0" y="0"/>
                        <wp:positionH relativeFrom="column">
                          <wp:posOffset>-57150</wp:posOffset>
                        </wp:positionH>
                        <wp:positionV relativeFrom="paragraph">
                          <wp:posOffset>-5715</wp:posOffset>
                        </wp:positionV>
                        <wp:extent cx="1466850" cy="663575"/>
                        <wp:effectExtent l="0" t="0" r="0" b="3175"/>
                        <wp:wrapNone/>
                        <wp:docPr id="1" name="图片 1" descr="QQ截图2021071918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截图20210719185239"/>
                                <pic:cNvPicPr>
                                  <a:picLocks noChangeAspect="1"/>
                                </pic:cNvPicPr>
                              </pic:nvPicPr>
                              <pic:blipFill>
                                <a:blip r:embed="rId6"/>
                                <a:srcRect t="5430"/>
                                <a:stretch>
                                  <a:fillRect/>
                                </a:stretch>
                              </pic:blipFill>
                              <pic:spPr>
                                <a:xfrm>
                                  <a:off x="0" y="0"/>
                                  <a:ext cx="1466850" cy="663575"/>
                                </a:xfrm>
                                <a:prstGeom prst="rect">
                                  <a:avLst/>
                                </a:prstGeom>
                              </pic:spPr>
                            </pic:pic>
                          </a:graphicData>
                        </a:graphic>
                      </wp:anchor>
                    </w:drawing>
                  </w:r>
                </w:p>
              </w:tc>
              <w:tc>
                <w:tcPr>
                  <w:tcW w:w="1417" w:type="dxa"/>
                </w:tcPr>
                <w:p>
                  <w:pPr>
                    <w:rPr>
                      <w:rFonts w:hint="default" w:eastAsia="宋体" w:cs="Arial"/>
                      <w:sz w:val="22"/>
                      <w:szCs w:val="22"/>
                      <w:lang w:val="en-US" w:eastAsia="zh-CN"/>
                    </w:rPr>
                  </w:pPr>
                  <w:r>
                    <w:rPr>
                      <w:rFonts w:cs="Arial"/>
                      <w:sz w:val="22"/>
                      <w:szCs w:val="22"/>
                    </w:rPr>
                    <w:t>Date:</w:t>
                  </w:r>
                  <w:r>
                    <w:rPr>
                      <w:rFonts w:hint="eastAsia" w:eastAsia="宋体" w:cs="Arial"/>
                      <w:sz w:val="22"/>
                      <w:szCs w:val="22"/>
                      <w:lang w:val="en-US" w:eastAsia="zh-CN"/>
                    </w:rPr>
                    <w:t xml:space="preserve"> 19</w:t>
                  </w:r>
                  <w:r>
                    <w:rPr>
                      <w:rFonts w:hint="eastAsia" w:eastAsia="宋体" w:cs="Arial"/>
                      <w:sz w:val="22"/>
                      <w:szCs w:val="22"/>
                      <w:vertAlign w:val="superscript"/>
                      <w:lang w:val="en-US" w:eastAsia="zh-CN"/>
                    </w:rPr>
                    <w:t>th</w:t>
                  </w:r>
                  <w:r>
                    <w:rPr>
                      <w:rFonts w:hint="eastAsia" w:eastAsia="宋体" w:cs="Arial"/>
                      <w:sz w:val="22"/>
                      <w:szCs w:val="22"/>
                      <w:lang w:val="en-US" w:eastAsia="zh-CN"/>
                    </w:rPr>
                    <w:t>, July, 2021</w:t>
                  </w:r>
                </w:p>
              </w:tc>
            </w:tr>
          </w:tbl>
          <w:p>
            <w:pPr>
              <w:rPr>
                <w:rFonts w:cs="Arial"/>
                <w:sz w:val="22"/>
                <w:szCs w:val="22"/>
              </w:rPr>
            </w:pPr>
          </w:p>
          <w:p>
            <w:pPr>
              <w:rPr>
                <w:rFonts w:cs="Arial"/>
                <w:sz w:val="22"/>
                <w:szCs w:val="22"/>
              </w:rPr>
            </w:pPr>
          </w:p>
        </w:tc>
      </w:tr>
    </w:tbl>
    <w:p>
      <w:pPr>
        <w:rPr>
          <w:rFonts w:cs="Arial"/>
          <w:sz w:val="22"/>
          <w:szCs w:val="22"/>
        </w:rPr>
      </w:pPr>
    </w:p>
    <w:p>
      <w:pPr>
        <w:rPr>
          <w:rFonts w:cs="Arial"/>
          <w:sz w:val="22"/>
          <w:szCs w:val="22"/>
        </w:rPr>
      </w:pPr>
      <w:r>
        <w:rPr>
          <w:rFonts w:cs="Arial"/>
          <w:sz w:val="22"/>
          <w:szCs w:val="22"/>
        </w:rPr>
        <w:br w:type="page"/>
      </w:r>
      <w:bookmarkStart w:id="0" w:name="_GoBack"/>
      <w:bookmarkEnd w:id="0"/>
    </w:p>
    <w:p>
      <w:pPr>
        <w:rPr>
          <w:rFonts w:cs="Arial"/>
          <w:sz w:val="22"/>
          <w:szCs w:val="22"/>
        </w:rPr>
      </w:pPr>
    </w:p>
    <w:p>
      <w:pPr>
        <w:rPr>
          <w:rFonts w:cs="Arial"/>
          <w:sz w:val="22"/>
          <w:szCs w:val="22"/>
        </w:rPr>
      </w:pPr>
    </w:p>
    <w:p>
      <w:pPr>
        <w:ind w:left="-142"/>
        <w:rPr>
          <w:rFonts w:cs="Arial"/>
          <w:sz w:val="22"/>
          <w:szCs w:val="22"/>
        </w:rPr>
      </w:pPr>
      <w:r>
        <w:rPr>
          <w:rFonts w:cs="Arial"/>
          <w:b/>
          <w:bCs/>
          <w:sz w:val="22"/>
          <w:szCs w:val="22"/>
        </w:rPr>
        <w:t>Supervisory Team</w:t>
      </w:r>
    </w:p>
    <w:p>
      <w:pPr>
        <w:rPr>
          <w:rFonts w:cs="Arial"/>
          <w:sz w:val="22"/>
          <w:szCs w:val="22"/>
        </w:rPr>
      </w:pPr>
    </w:p>
    <w:p>
      <w:pPr>
        <w:ind w:left="180"/>
        <w:rPr>
          <w:rFonts w:cs="Arial"/>
          <w:b/>
          <w:sz w:val="22"/>
          <w:szCs w:val="22"/>
        </w:rPr>
      </w:pPr>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shd w:val="clear" w:color="auto" w:fill="F1F1F1" w:themeFill="background1" w:themeFillShade="F2"/>
          </w:tcPr>
          <w:p>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tcPr>
          <w:p>
            <w:pPr>
              <w:rPr>
                <w:rFonts w:cs="Arial"/>
                <w:b/>
                <w:sz w:val="22"/>
                <w:szCs w:val="22"/>
              </w:rPr>
            </w:pPr>
          </w:p>
          <w:p>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Arial"/>
                    <w:b/>
                    <w:sz w:val="22"/>
                    <w:szCs w:val="22"/>
                  </w:rPr>
                  <w:t>☐</w:t>
                </w:r>
              </w:sdtContent>
            </w:sdt>
            <w:r>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MS Gothic"/>
                    <w:b/>
                    <w:sz w:val="22"/>
                    <w:szCs w:val="22"/>
                  </w:rPr>
                  <w:t>☐</w:t>
                </w:r>
              </w:sdtContent>
            </w:sdt>
          </w:p>
          <w:p>
            <w:pPr>
              <w:rPr>
                <w:rFonts w:cs="Arial"/>
                <w:b/>
                <w:sz w:val="22"/>
                <w:szCs w:val="22"/>
              </w:rPr>
            </w:pPr>
          </w:p>
          <w:p>
            <w:pPr>
              <w:rPr>
                <w:rFonts w:cs="Arial"/>
                <w:b/>
                <w:sz w:val="22"/>
                <w:szCs w:val="22"/>
              </w:rPr>
            </w:pPr>
          </w:p>
        </w:tc>
      </w:tr>
    </w:tbl>
    <w:p>
      <w:pPr>
        <w:rPr>
          <w:rFonts w:cs="Arial"/>
          <w:sz w:val="22"/>
          <w:szCs w:val="22"/>
        </w:rPr>
      </w:pPr>
    </w:p>
    <w:p>
      <w:pPr>
        <w:rPr>
          <w:rFonts w:cs="Arial"/>
          <w:b/>
          <w:sz w:val="22"/>
          <w:szCs w:val="22"/>
        </w:rPr>
      </w:pPr>
      <w:r>
        <w:rPr>
          <w:rFonts w:cs="Arial"/>
          <w:b/>
          <w:sz w:val="22"/>
          <w:szCs w:val="22"/>
        </w:rPr>
        <w:t>Authorisation</w:t>
      </w:r>
    </w:p>
    <w:p>
      <w:pPr>
        <w:rPr>
          <w:rFonts w:cs="Arial"/>
          <w:sz w:val="22"/>
          <w:szCs w:val="22"/>
        </w:rPr>
      </w:pPr>
    </w:p>
    <w:tbl>
      <w:tblPr>
        <w:tblStyle w:val="14"/>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5387"/>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pPr>
              <w:rPr>
                <w:rFonts w:cs="Arial"/>
                <w:sz w:val="22"/>
                <w:szCs w:val="22"/>
              </w:rPr>
            </w:pPr>
            <w:r>
              <w:rPr>
                <w:rFonts w:cs="Arial"/>
                <w:sz w:val="22"/>
                <w:szCs w:val="22"/>
              </w:rPr>
              <w:t>Director of Studies</w:t>
            </w:r>
          </w:p>
        </w:tc>
        <w:tc>
          <w:tcPr>
            <w:tcW w:w="5387" w:type="dxa"/>
          </w:tcPr>
          <w:p>
            <w:pPr>
              <w:rPr>
                <w:rFonts w:cs="Arial"/>
                <w:sz w:val="22"/>
                <w:szCs w:val="22"/>
              </w:rPr>
            </w:pPr>
            <w:r>
              <w:rPr>
                <w:rFonts w:cs="Arial"/>
                <w:sz w:val="22"/>
                <w:szCs w:val="22"/>
              </w:rPr>
              <w:t>Signature or Print Name:</w:t>
            </w:r>
          </w:p>
          <w:p>
            <w:pPr>
              <w:rPr>
                <w:rFonts w:cs="Arial"/>
                <w:sz w:val="22"/>
                <w:szCs w:val="22"/>
              </w:rPr>
            </w:pPr>
          </w:p>
          <w:p>
            <w:pPr>
              <w:rPr>
                <w:rFonts w:cs="Arial"/>
                <w:sz w:val="22"/>
                <w:szCs w:val="22"/>
              </w:rPr>
            </w:pPr>
          </w:p>
          <w:p>
            <w:pPr>
              <w:rPr>
                <w:rFonts w:cs="Arial"/>
                <w:sz w:val="22"/>
                <w:szCs w:val="22"/>
              </w:rPr>
            </w:pPr>
          </w:p>
        </w:tc>
        <w:tc>
          <w:tcPr>
            <w:tcW w:w="1842" w:type="dxa"/>
          </w:tcPr>
          <w:p>
            <w:pPr>
              <w:rPr>
                <w:rFonts w:cs="Arial"/>
                <w:sz w:val="22"/>
                <w:szCs w:val="22"/>
              </w:rPr>
            </w:pPr>
            <w:r>
              <w:rPr>
                <w:rFonts w:cs="Arial"/>
                <w:sz w:val="22"/>
                <w:szCs w:val="22"/>
              </w:rPr>
              <w:t>Date:</w:t>
            </w:r>
          </w:p>
        </w:tc>
      </w:tr>
      <w:tr>
        <w:tblPrEx>
          <w:tblCellMar>
            <w:top w:w="0" w:type="dxa"/>
            <w:left w:w="108" w:type="dxa"/>
            <w:bottom w:w="0" w:type="dxa"/>
            <w:right w:w="108" w:type="dxa"/>
          </w:tblCellMar>
        </w:tblPrEx>
        <w:tc>
          <w:tcPr>
            <w:tcW w:w="2552" w:type="dxa"/>
            <w:shd w:val="clear" w:color="auto" w:fill="F1F1F1" w:themeFill="background1" w:themeFillShade="F2"/>
          </w:tcPr>
          <w:p>
            <w:pPr>
              <w:rPr>
                <w:rFonts w:cs="Arial"/>
                <w:sz w:val="22"/>
                <w:szCs w:val="22"/>
              </w:rPr>
            </w:pPr>
            <w:r>
              <w:rPr>
                <w:rFonts w:cs="Arial"/>
                <w:sz w:val="22"/>
                <w:szCs w:val="22"/>
              </w:rPr>
              <w:t>Institute Manager of Research Degrees</w:t>
            </w:r>
          </w:p>
          <w:p>
            <w:pPr>
              <w:rPr>
                <w:rFonts w:cs="Arial"/>
                <w:sz w:val="22"/>
                <w:szCs w:val="22"/>
              </w:rPr>
            </w:pPr>
          </w:p>
        </w:tc>
        <w:tc>
          <w:tcPr>
            <w:tcW w:w="5387" w:type="dxa"/>
          </w:tcPr>
          <w:p>
            <w:pPr>
              <w:rPr>
                <w:rFonts w:cs="Arial"/>
                <w:sz w:val="22"/>
                <w:szCs w:val="22"/>
              </w:rPr>
            </w:pPr>
            <w:r>
              <w:rPr>
                <w:rFonts w:cs="Arial"/>
                <w:sz w:val="22"/>
                <w:szCs w:val="22"/>
              </w:rPr>
              <w:t>Signature or Print Name:</w:t>
            </w:r>
          </w:p>
          <w:p>
            <w:pPr>
              <w:rPr>
                <w:rFonts w:cs="Arial"/>
                <w:sz w:val="22"/>
                <w:szCs w:val="22"/>
              </w:rPr>
            </w:pPr>
          </w:p>
          <w:p>
            <w:pPr>
              <w:rPr>
                <w:rFonts w:cs="Arial"/>
                <w:sz w:val="22"/>
                <w:szCs w:val="22"/>
              </w:rPr>
            </w:pPr>
          </w:p>
          <w:p>
            <w:pPr>
              <w:rPr>
                <w:rFonts w:cs="Arial"/>
                <w:sz w:val="22"/>
                <w:szCs w:val="22"/>
              </w:rPr>
            </w:pPr>
          </w:p>
        </w:tc>
        <w:tc>
          <w:tcPr>
            <w:tcW w:w="1842" w:type="dxa"/>
          </w:tcPr>
          <w:p>
            <w:pPr>
              <w:rPr>
                <w:rFonts w:cs="Arial"/>
                <w:sz w:val="22"/>
                <w:szCs w:val="22"/>
              </w:rPr>
            </w:pPr>
            <w:r>
              <w:rPr>
                <w:rFonts w:cs="Arial"/>
                <w:sz w:val="22"/>
                <w:szCs w:val="22"/>
              </w:rPr>
              <w:t>Date:</w:t>
            </w:r>
          </w:p>
        </w:tc>
      </w:tr>
    </w:tbl>
    <w:p>
      <w:pPr>
        <w:rPr>
          <w:rFonts w:cs="Arial"/>
          <w:sz w:val="22"/>
          <w:szCs w:val="22"/>
        </w:rPr>
      </w:pPr>
    </w:p>
    <w:sectPr>
      <w:headerReference r:id="rId3" w:type="default"/>
      <w:footerReference r:id="rId4" w:type="default"/>
      <w:pgSz w:w="11906" w:h="16838"/>
      <w:pgMar w:top="1440"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110303"/>
      <w:docPartObj>
        <w:docPartGallery w:val="autotext"/>
      </w:docPartObj>
    </w:sdtPr>
    <w:sdtContent>
      <w:p>
        <w:pPr>
          <w:pStyle w:val="8"/>
          <w:jc w:val="center"/>
        </w:pPr>
        <w:r>
          <w:fldChar w:fldCharType="begin"/>
        </w:r>
        <w:r>
          <w:instrText xml:space="preserve"> PAGE   \* MERGEFORMAT </w:instrText>
        </w:r>
        <w:r>
          <w:fldChar w:fldCharType="separate"/>
        </w:r>
        <w:r>
          <w:t>1</w:t>
        </w:r>
        <w:r>
          <w:fldChar w:fldCharType="end"/>
        </w:r>
      </w:p>
    </w:sdtContent>
  </w:sdt>
  <w:p>
    <w:pPr>
      <w:pStyle w:val="8"/>
      <w:tabs>
        <w:tab w:val="center" w:pos="4536"/>
        <w:tab w:val="left" w:pos="7371"/>
        <w:tab w:val="clear" w:pos="4320"/>
      </w:tabs>
      <w:ind w:right="-755"/>
    </w:pPr>
    <w:r>
      <w:t>November 2020                                                                                                  PG1 Full Research Proposal</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drawing>
        <wp:anchor distT="0" distB="0" distL="114300" distR="114300" simplePos="0" relativeHeight="251660288" behindDoc="0" locked="0" layoutInCell="1" allowOverlap="1">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pPr>
      <w:pStyle w:val="9"/>
      <w:jc w:val="right"/>
    </w:pPr>
    <w:r>
      <w:tab/>
    </w:r>
    <w:r>
      <w:tab/>
    </w:r>
    <w:r>
      <w:tab/>
    </w:r>
    <w:r>
      <w:tab/>
    </w:r>
    <w:r>
      <w:t>Appendix PG1</w:t>
    </w:r>
  </w:p>
  <w:p>
    <w:pPr>
      <w:pStyle w:val="9"/>
    </w:pPr>
  </w:p>
  <w:p>
    <w:pPr>
      <w:pStyle w:val="9"/>
    </w:pPr>
  </w:p>
  <w:p>
    <w:pPr>
      <w:pStyle w:val="9"/>
    </w:pPr>
  </w:p>
  <w:p>
    <w:pPr>
      <w:pStyle w:val="9"/>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37AFB"/>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5D23"/>
    <w:rsid w:val="00166B83"/>
    <w:rsid w:val="00172F4C"/>
    <w:rsid w:val="00173CC3"/>
    <w:rsid w:val="00185554"/>
    <w:rsid w:val="001B1EEF"/>
    <w:rsid w:val="001C367F"/>
    <w:rsid w:val="001C6B27"/>
    <w:rsid w:val="001D074C"/>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C4376"/>
    <w:rsid w:val="004E363A"/>
    <w:rsid w:val="004F22A4"/>
    <w:rsid w:val="00512288"/>
    <w:rsid w:val="005140FB"/>
    <w:rsid w:val="005302A6"/>
    <w:rsid w:val="005363FE"/>
    <w:rsid w:val="005419D3"/>
    <w:rsid w:val="00541CFE"/>
    <w:rsid w:val="005513E3"/>
    <w:rsid w:val="0055230D"/>
    <w:rsid w:val="00556BFF"/>
    <w:rsid w:val="00557BD7"/>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17DFA"/>
    <w:rsid w:val="00753EDE"/>
    <w:rsid w:val="00763457"/>
    <w:rsid w:val="00795C79"/>
    <w:rsid w:val="007A0692"/>
    <w:rsid w:val="007A3641"/>
    <w:rsid w:val="007C2A63"/>
    <w:rsid w:val="007C755A"/>
    <w:rsid w:val="007E550E"/>
    <w:rsid w:val="007F6FC1"/>
    <w:rsid w:val="00802E0D"/>
    <w:rsid w:val="00816ED8"/>
    <w:rsid w:val="00820E04"/>
    <w:rsid w:val="00825E70"/>
    <w:rsid w:val="0083144B"/>
    <w:rsid w:val="00831EF8"/>
    <w:rsid w:val="00832FEA"/>
    <w:rsid w:val="008422EE"/>
    <w:rsid w:val="00844D37"/>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12AB0"/>
    <w:rsid w:val="00B273A5"/>
    <w:rsid w:val="00B3408B"/>
    <w:rsid w:val="00B65D5E"/>
    <w:rsid w:val="00B70B7E"/>
    <w:rsid w:val="00B718D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4E91"/>
    <w:rsid w:val="00F02051"/>
    <w:rsid w:val="00F20553"/>
    <w:rsid w:val="00F26723"/>
    <w:rsid w:val="00F274DA"/>
    <w:rsid w:val="00F41F11"/>
    <w:rsid w:val="00F50670"/>
    <w:rsid w:val="00F51AC9"/>
    <w:rsid w:val="00F6356A"/>
    <w:rsid w:val="00F65BA4"/>
    <w:rsid w:val="00F65ECA"/>
    <w:rsid w:val="00F678E5"/>
    <w:rsid w:val="00F7569E"/>
    <w:rsid w:val="00F77B80"/>
    <w:rsid w:val="00F8710D"/>
    <w:rsid w:val="00F901BB"/>
    <w:rsid w:val="00F9606E"/>
    <w:rsid w:val="00FD60D8"/>
    <w:rsid w:val="00FD70D5"/>
    <w:rsid w:val="00FE3258"/>
    <w:rsid w:val="00FF5FBE"/>
    <w:rsid w:val="05245D39"/>
    <w:rsid w:val="0AB757DD"/>
    <w:rsid w:val="11047B42"/>
    <w:rsid w:val="15092A06"/>
    <w:rsid w:val="22C90EA6"/>
    <w:rsid w:val="24113805"/>
    <w:rsid w:val="257C7A12"/>
    <w:rsid w:val="2B0E14E9"/>
    <w:rsid w:val="2BED0385"/>
    <w:rsid w:val="2D010629"/>
    <w:rsid w:val="32110BC1"/>
    <w:rsid w:val="37CD3ADD"/>
    <w:rsid w:val="3B3A0F88"/>
    <w:rsid w:val="633C24CF"/>
    <w:rsid w:val="6A5A6B1B"/>
    <w:rsid w:val="717811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0"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3"/>
    <w:semiHidden/>
    <w:unhideWhenUsed/>
    <w:uiPriority w:val="99"/>
    <w:rPr>
      <w:lang w:val="zh-CN" w:eastAsia="zh-CN"/>
    </w:rPr>
  </w:style>
  <w:style w:type="paragraph" w:styleId="5">
    <w:name w:val="Body Text"/>
    <w:basedOn w:val="1"/>
    <w:uiPriority w:val="0"/>
    <w:pPr>
      <w:jc w:val="both"/>
    </w:pPr>
    <w:rPr>
      <w:b/>
    </w:rPr>
  </w:style>
  <w:style w:type="paragraph" w:styleId="6">
    <w:name w:val="Block Text"/>
    <w:basedOn w:val="1"/>
    <w:qFormat/>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qFormat/>
    <w:uiPriority w:val="0"/>
    <w:rPr>
      <w:rFonts w:ascii="Tahoma" w:hAnsi="Tahoma" w:cs="Tahoma"/>
      <w:sz w:val="16"/>
      <w:szCs w:val="16"/>
    </w:rPr>
  </w:style>
  <w:style w:type="paragraph" w:styleId="8">
    <w:name w:val="footer"/>
    <w:basedOn w:val="1"/>
    <w:link w:val="25"/>
    <w:qFormat/>
    <w:uiPriority w:val="99"/>
    <w:pPr>
      <w:tabs>
        <w:tab w:val="center" w:pos="4320"/>
        <w:tab w:val="right" w:pos="8640"/>
      </w:tabs>
    </w:pPr>
  </w:style>
  <w:style w:type="paragraph" w:styleId="9">
    <w:name w:val="header"/>
    <w:basedOn w:val="1"/>
    <w:qFormat/>
    <w:uiPriority w:val="0"/>
    <w:pPr>
      <w:tabs>
        <w:tab w:val="center" w:pos="4320"/>
        <w:tab w:val="right" w:pos="8640"/>
      </w:tabs>
    </w:pPr>
  </w:style>
  <w:style w:type="paragraph" w:styleId="10">
    <w:name w:val="footnote text"/>
    <w:basedOn w:val="1"/>
    <w:semiHidden/>
    <w:uiPriority w:val="0"/>
  </w:style>
  <w:style w:type="paragraph" w:styleId="11">
    <w:name w:val="Normal (Web)"/>
    <w:basedOn w:val="1"/>
    <w:semiHidden/>
    <w:unhideWhenUsed/>
    <w:qFormat/>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4"/>
    <w:semiHidden/>
    <w:unhideWhenUsed/>
    <w:uiPriority w:val="99"/>
    <w:rPr>
      <w:b/>
      <w:bCs/>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semiHidden/>
    <w:unhideWhenUsed/>
    <w:uiPriority w:val="99"/>
    <w:rPr>
      <w:sz w:val="16"/>
      <w:szCs w:val="16"/>
    </w:rPr>
  </w:style>
  <w:style w:type="character" w:styleId="20">
    <w:name w:val="footnote reference"/>
    <w:semiHidden/>
    <w:qFormat/>
    <w:uiPriority w:val="0"/>
    <w:rPr>
      <w:vertAlign w:val="superscript"/>
    </w:rPr>
  </w:style>
  <w:style w:type="paragraph" w:customStyle="1" w:styleId="21">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qFormat/>
    <w:uiPriority w:val="99"/>
    <w:rPr>
      <w:rFonts w:ascii="Arial" w:hAnsi="Arial" w:eastAsia="Times New Roman" w:cs="Times New Roman"/>
      <w:lang w:val="en-GB" w:eastAsia="en-GB" w:bidi="ar-SA"/>
    </w:rPr>
  </w:style>
  <w:style w:type="character" w:customStyle="1" w:styleId="23">
    <w:name w:val="Comment Text Char"/>
    <w:link w:val="4"/>
    <w:semiHidden/>
    <w:uiPriority w:val="99"/>
    <w:rPr>
      <w:rFonts w:ascii="Arial" w:hAnsi="Arial"/>
    </w:rPr>
  </w:style>
  <w:style w:type="character" w:customStyle="1" w:styleId="24">
    <w:name w:val="Comment Subject Char"/>
    <w:link w:val="12"/>
    <w:semiHidden/>
    <w:qFormat/>
    <w:uiPriority w:val="99"/>
    <w:rPr>
      <w:rFonts w:ascii="Arial" w:hAnsi="Arial"/>
      <w:b/>
      <w:bCs/>
    </w:rPr>
  </w:style>
  <w:style w:type="character" w:customStyle="1" w:styleId="25">
    <w:name w:val="Footer Char"/>
    <w:link w:val="8"/>
    <w:qFormat/>
    <w:uiPriority w:val="99"/>
    <w:rPr>
      <w:rFonts w:ascii="Arial" w:hAnsi="Arial"/>
    </w:rPr>
  </w:style>
  <w:style w:type="paragraph" w:styleId="26">
    <w:name w:val="List Paragraph"/>
    <w:basedOn w:val="1"/>
    <w:qFormat/>
    <w:uiPriority w:val="99"/>
    <w:pPr>
      <w:ind w:left="720"/>
    </w:pPr>
  </w:style>
  <w:style w:type="paragraph" w:customStyle="1" w:styleId="27">
    <w:name w:val="Revision"/>
    <w:hidden/>
    <w:semiHidden/>
    <w:qFormat/>
    <w:uiPriority w:val="99"/>
    <w:rPr>
      <w:rFonts w:ascii="Arial" w:hAnsi="Arial" w:eastAsia="Times New Roman" w:cs="Times New Roman"/>
      <w:lang w:val="en-GB" w:eastAsia="en-GB" w:bidi="ar-SA"/>
    </w:rPr>
  </w:style>
  <w:style w:type="paragraph" w:styleId="28">
    <w:name w:val="No Spacing"/>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9116D7-58DE-4138-A50B-08F928853FA1}">
  <ds:schemaRefs/>
</ds:datastoreItem>
</file>

<file path=customXml/itemProps3.xml><?xml version="1.0" encoding="utf-8"?>
<ds:datastoreItem xmlns:ds="http://schemas.openxmlformats.org/officeDocument/2006/customXml" ds:itemID="{1FBD700F-E940-4EA7-840B-E4CA6E2DCB78}">
  <ds:schemaRefs/>
</ds:datastoreItem>
</file>

<file path=customXml/itemProps4.xml><?xml version="1.0" encoding="utf-8"?>
<ds:datastoreItem xmlns:ds="http://schemas.openxmlformats.org/officeDocument/2006/customXml" ds:itemID="{88A92C39-0D44-4B1F-9FF7-E597C6F47FDA}">
  <ds:schemaRefs/>
</ds:datastoreItem>
</file>

<file path=customXml/itemProps5.xml><?xml version="1.0" encoding="utf-8"?>
<ds:datastoreItem xmlns:ds="http://schemas.openxmlformats.org/officeDocument/2006/customXml" ds:itemID="{02655603-7A5C-43BD-94BB-3D3F3BC556FB}">
  <ds:schemaRefs/>
</ds:datastoreItem>
</file>

<file path=docProps/app.xml><?xml version="1.0" encoding="utf-8"?>
<Properties xmlns="http://schemas.openxmlformats.org/officeDocument/2006/extended-properties" xmlns:vt="http://schemas.openxmlformats.org/officeDocument/2006/docPropsVTypes">
  <Template>Normal</Template>
  <Company>UWTSD</Company>
  <Pages>3</Pages>
  <Words>360</Words>
  <Characters>2056</Characters>
  <Lines>17</Lines>
  <Paragraphs>4</Paragraphs>
  <TotalTime>3</TotalTime>
  <ScaleCrop>false</ScaleCrop>
  <LinksUpToDate>false</LinksUpToDate>
  <CharactersWithSpaces>2412</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2021-07-02T11:09:00Z</dcterms:created>
  <dc:creator>Academic Office</dc:creator>
  <cp:lastModifiedBy>浮城</cp:lastModifiedBy>
  <cp:lastPrinted>2016-11-02T14:01:00Z</cp:lastPrinted>
  <dcterms:modified xsi:type="dcterms:W3CDTF">2021-07-19T10:53:45Z</dcterms:modified>
  <dc:title>PG1</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0x0101008CBEBE1B5A18CA4D82AA3EC25D86BF17</vt:lpwstr>
  </property>
  <property fmtid="{D5CDD505-2E9C-101B-9397-08002B2CF9AE}" pid="6" name="KSOProductBuildVer">
    <vt:lpwstr>2052-11.1.0.10578</vt:lpwstr>
  </property>
  <property fmtid="{D5CDD505-2E9C-101B-9397-08002B2CF9AE}" pid="7" name="ICV">
    <vt:lpwstr>BF818D17494E425AABDCAC5EC5E06A82</vt:lpwstr>
  </property>
</Properties>
</file>