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938" w:rsidRDefault="00A16938" w:rsidP="00A16938">
      <w:pPr>
        <w:pStyle w:val="Header"/>
        <w:rPr>
          <w:rStyle w:val="5yl5"/>
          <w:b/>
          <w:bCs/>
          <w:sz w:val="32"/>
          <w:szCs w:val="32"/>
        </w:rPr>
      </w:pPr>
      <w:r>
        <w:rPr>
          <w:rFonts w:ascii="Arial" w:hAnsi="Arial" w:cs="Arial"/>
        </w:rPr>
        <w:t xml:space="preserve">  </w:t>
      </w:r>
      <w:r w:rsidR="00C06B5C" w:rsidRPr="007F3D71">
        <w:rPr>
          <w:rFonts w:ascii="Arial" w:hAnsi="Arial" w:cs="Arial"/>
        </w:rPr>
        <w:t xml:space="preserve"> </w:t>
      </w:r>
      <w:r w:rsidRPr="006C18CC">
        <w:rPr>
          <w:rStyle w:val="5yl5"/>
          <w:b/>
          <w:bCs/>
          <w:sz w:val="32"/>
          <w:szCs w:val="32"/>
        </w:rPr>
        <w:t>MODULE CODE: M4X 01917</w:t>
      </w:r>
      <w:r>
        <w:rPr>
          <w:rStyle w:val="5yl5"/>
          <w:b/>
          <w:bCs/>
          <w:sz w:val="32"/>
          <w:szCs w:val="32"/>
        </w:rPr>
        <w:t xml:space="preserve"> </w:t>
      </w:r>
    </w:p>
    <w:p w:rsidR="00CD7B0E" w:rsidRDefault="00CD7B0E" w:rsidP="00A16938">
      <w:pPr>
        <w:pStyle w:val="Header"/>
        <w:rPr>
          <w:rStyle w:val="5yl5"/>
          <w:b/>
          <w:bCs/>
          <w:sz w:val="32"/>
          <w:szCs w:val="32"/>
        </w:rPr>
      </w:pPr>
    </w:p>
    <w:p w:rsidR="00A16938" w:rsidRDefault="00A16938" w:rsidP="00A16938">
      <w:pPr>
        <w:pStyle w:val="Header"/>
        <w:rPr>
          <w:rStyle w:val="5yl5"/>
          <w:b/>
          <w:bCs/>
          <w:sz w:val="32"/>
          <w:szCs w:val="32"/>
        </w:rPr>
      </w:pPr>
      <w:r>
        <w:rPr>
          <w:rStyle w:val="5yl5"/>
          <w:b/>
          <w:bCs/>
          <w:sz w:val="32"/>
          <w:szCs w:val="32"/>
        </w:rPr>
        <w:t xml:space="preserve">  </w:t>
      </w:r>
      <w:r w:rsidRPr="006C18CC">
        <w:rPr>
          <w:rStyle w:val="5yl5"/>
          <w:b/>
          <w:bCs/>
          <w:sz w:val="32"/>
          <w:szCs w:val="32"/>
        </w:rPr>
        <w:t>BUSINESS SKILLS FOR INTERNATIONAL HOTEL INDUSTRY</w:t>
      </w:r>
    </w:p>
    <w:p w:rsidR="00A16938" w:rsidRPr="006C18CC" w:rsidRDefault="00A16938" w:rsidP="00A16938">
      <w:pPr>
        <w:pStyle w:val="Header"/>
        <w:rPr>
          <w:b/>
          <w:bCs/>
          <w:sz w:val="32"/>
          <w:szCs w:val="32"/>
        </w:rPr>
      </w:pPr>
    </w:p>
    <w:p w:rsidR="00A16938" w:rsidRPr="00490F69" w:rsidRDefault="00A16938" w:rsidP="00A16938">
      <w:pPr>
        <w:rPr>
          <w:rFonts w:ascii="ArialMJ" w:eastAsia="ArialMJ" w:hAnsi="ArialMJ" w:cs="ArialMJ"/>
          <w:b/>
          <w:sz w:val="28"/>
        </w:rPr>
      </w:pPr>
      <w:r>
        <w:rPr>
          <w:rFonts w:ascii="ArialMJ" w:eastAsia="ArialMJ" w:hAnsi="ArialMJ" w:cs="ArialMJ"/>
          <w:b/>
          <w:sz w:val="28"/>
        </w:rPr>
        <w:t xml:space="preserve">  </w:t>
      </w:r>
      <w:r w:rsidRPr="00490F69">
        <w:rPr>
          <w:rFonts w:ascii="ArialMJ" w:eastAsia="ArialMJ" w:hAnsi="ArialMJ" w:cs="ArialMJ"/>
          <w:b/>
          <w:sz w:val="28"/>
        </w:rPr>
        <w:t xml:space="preserve">Student Name: </w:t>
      </w:r>
      <w:proofErr w:type="spellStart"/>
      <w:r>
        <w:rPr>
          <w:rFonts w:ascii="ArialMJ" w:eastAsia="ArialMJ" w:hAnsi="ArialMJ" w:cs="ArialMJ"/>
          <w:b/>
          <w:sz w:val="28"/>
        </w:rPr>
        <w:t>Hreapca</w:t>
      </w:r>
      <w:proofErr w:type="spellEnd"/>
      <w:r>
        <w:rPr>
          <w:rFonts w:ascii="ArialMJ" w:eastAsia="ArialMJ" w:hAnsi="ArialMJ" w:cs="ArialMJ"/>
          <w:b/>
          <w:sz w:val="28"/>
        </w:rPr>
        <w:t xml:space="preserve"> Cristina</w:t>
      </w:r>
    </w:p>
    <w:p w:rsidR="00A16938" w:rsidRDefault="00A16938" w:rsidP="00A16938">
      <w:pPr>
        <w:rPr>
          <w:rFonts w:ascii="ArialMJ" w:eastAsia="ArialMJ" w:hAnsi="ArialMJ" w:cs="ArialMJ"/>
          <w:b/>
          <w:sz w:val="28"/>
        </w:rPr>
      </w:pPr>
      <w:r>
        <w:rPr>
          <w:rFonts w:ascii="ArialMJ" w:eastAsia="ArialMJ" w:hAnsi="ArialMJ" w:cs="ArialMJ"/>
          <w:b/>
          <w:sz w:val="28"/>
        </w:rPr>
        <w:t xml:space="preserve">   </w:t>
      </w:r>
      <w:r w:rsidRPr="00490F69">
        <w:rPr>
          <w:rFonts w:ascii="ArialMJ" w:eastAsia="ArialMJ" w:hAnsi="ArialMJ" w:cs="ArialMJ"/>
          <w:b/>
          <w:sz w:val="28"/>
        </w:rPr>
        <w:t>I</w:t>
      </w:r>
      <w:r>
        <w:rPr>
          <w:rFonts w:ascii="ArialMJ" w:eastAsia="ArialMJ" w:hAnsi="ArialMJ" w:cs="ArialMJ"/>
          <w:b/>
          <w:sz w:val="28"/>
        </w:rPr>
        <w:t>D:1816095</w:t>
      </w:r>
    </w:p>
    <w:p w:rsidR="00A16938" w:rsidRDefault="00A16938" w:rsidP="00A16938">
      <w:pPr>
        <w:rPr>
          <w:rFonts w:ascii="ArialMJ" w:eastAsia="ArialMJ" w:hAnsi="ArialMJ" w:cs="ArialMJ"/>
          <w:b/>
          <w:sz w:val="28"/>
        </w:rPr>
      </w:pPr>
      <w:r>
        <w:rPr>
          <w:rFonts w:ascii="ArialMJ" w:eastAsia="ArialMJ" w:hAnsi="ArialMJ" w:cs="ArialMJ"/>
          <w:b/>
          <w:sz w:val="28"/>
        </w:rPr>
        <w:t xml:space="preserve">   Module Lecturer s Name: Mr. Dale </w:t>
      </w:r>
      <w:proofErr w:type="spellStart"/>
      <w:r>
        <w:rPr>
          <w:rFonts w:ascii="ArialMJ" w:eastAsia="ArialMJ" w:hAnsi="ArialMJ" w:cs="ArialMJ"/>
          <w:b/>
          <w:sz w:val="28"/>
        </w:rPr>
        <w:t>Clake</w:t>
      </w:r>
      <w:proofErr w:type="spellEnd"/>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CD7B0E" w:rsidRDefault="00CD7B0E" w:rsidP="00A16938">
      <w:pPr>
        <w:rPr>
          <w:rFonts w:ascii="ArialMJ" w:eastAsia="ArialMJ" w:hAnsi="ArialMJ" w:cs="ArialMJ"/>
          <w:b/>
          <w:sz w:val="28"/>
        </w:rPr>
      </w:pPr>
    </w:p>
    <w:p w:rsidR="00A16938" w:rsidRDefault="00CD7B0E">
      <w:pPr>
        <w:rPr>
          <w:rFonts w:ascii="Arial" w:hAnsi="Arial" w:cs="Arial"/>
          <w:b/>
          <w:bCs/>
        </w:rPr>
      </w:pPr>
      <w:r w:rsidRPr="00CD7B0E">
        <w:rPr>
          <w:rFonts w:ascii="Arial" w:hAnsi="Arial" w:cs="Arial"/>
          <w:b/>
          <w:bCs/>
        </w:rPr>
        <w:t>Table</w:t>
      </w:r>
      <w:r w:rsidR="00A16938" w:rsidRPr="00CD7B0E">
        <w:rPr>
          <w:rFonts w:ascii="Arial" w:hAnsi="Arial" w:cs="Arial"/>
          <w:b/>
          <w:bCs/>
        </w:rPr>
        <w:t xml:space="preserve"> of contents </w:t>
      </w:r>
    </w:p>
    <w:p w:rsidR="00CD7B0E" w:rsidRDefault="00CD7B0E">
      <w:pPr>
        <w:rPr>
          <w:rFonts w:ascii="Arial" w:hAnsi="Arial" w:cs="Arial"/>
          <w:b/>
          <w:bCs/>
        </w:rPr>
      </w:pPr>
    </w:p>
    <w:p w:rsidR="00CD7B0E" w:rsidRPr="00CD7B0E" w:rsidRDefault="00CD7B0E">
      <w:pPr>
        <w:rPr>
          <w:rFonts w:ascii="Arial" w:hAnsi="Arial" w:cs="Arial"/>
          <w:b/>
          <w:bCs/>
        </w:rPr>
      </w:pPr>
    </w:p>
    <w:p w:rsidR="00A16938" w:rsidRPr="007F3D71" w:rsidRDefault="00CD7B0E">
      <w:pPr>
        <w:rPr>
          <w:rFonts w:ascii="Arial" w:hAnsi="Arial" w:cs="Arial"/>
        </w:rPr>
      </w:pPr>
      <w:r>
        <w:rPr>
          <w:rFonts w:ascii="Arial" w:hAnsi="Arial" w:cs="Arial"/>
        </w:rPr>
        <w:t>Introduction 2</w:t>
      </w:r>
      <w:r w:rsidR="00A16938">
        <w:rPr>
          <w:rFonts w:ascii="Arial" w:hAnsi="Arial" w:cs="Arial"/>
        </w:rPr>
        <w:t xml:space="preserve"> </w:t>
      </w:r>
    </w:p>
    <w:p w:rsidR="00C06B5C" w:rsidRDefault="00CD7B0E">
      <w:pPr>
        <w:rPr>
          <w:rFonts w:ascii="Arial" w:hAnsi="Arial" w:cs="Arial"/>
        </w:rPr>
      </w:pPr>
      <w:r>
        <w:rPr>
          <w:rFonts w:ascii="Arial" w:hAnsi="Arial" w:cs="Arial"/>
        </w:rPr>
        <w:t>Conclusion 5</w:t>
      </w:r>
    </w:p>
    <w:p w:rsidR="00CD7B0E" w:rsidRDefault="00CD7B0E">
      <w:pPr>
        <w:rPr>
          <w:rFonts w:ascii="Arial" w:hAnsi="Arial" w:cs="Arial"/>
        </w:rPr>
      </w:pPr>
      <w:r>
        <w:rPr>
          <w:rFonts w:ascii="Arial" w:hAnsi="Arial" w:cs="Arial"/>
        </w:rPr>
        <w:t>Bibliography   6</w:t>
      </w:r>
    </w:p>
    <w:p w:rsidR="00CD7B0E" w:rsidRDefault="00CD7B0E">
      <w:pPr>
        <w:rPr>
          <w:rFonts w:ascii="Arial" w:hAnsi="Arial" w:cs="Arial"/>
        </w:rPr>
      </w:pPr>
    </w:p>
    <w:p w:rsidR="00CD7B0E" w:rsidRDefault="00CD7B0E">
      <w:pPr>
        <w:rPr>
          <w:rFonts w:ascii="Arial" w:hAnsi="Arial" w:cs="Arial"/>
        </w:rPr>
      </w:pPr>
    </w:p>
    <w:p w:rsidR="00CD7B0E" w:rsidRDefault="00CD7B0E">
      <w:pPr>
        <w:rPr>
          <w:rFonts w:ascii="Arial" w:hAnsi="Arial" w:cs="Arial"/>
        </w:rPr>
      </w:pPr>
    </w:p>
    <w:p w:rsidR="00CD7B0E" w:rsidRDefault="00CD7B0E">
      <w:pPr>
        <w:rPr>
          <w:rFonts w:ascii="Arial" w:hAnsi="Arial" w:cs="Arial"/>
        </w:rPr>
      </w:pPr>
    </w:p>
    <w:p w:rsidR="00CD7B0E" w:rsidRDefault="00CD7B0E">
      <w:pPr>
        <w:rPr>
          <w:rFonts w:ascii="Arial" w:hAnsi="Arial" w:cs="Arial"/>
        </w:rPr>
      </w:pPr>
    </w:p>
    <w:p w:rsidR="00CD7B0E" w:rsidRDefault="00CD7B0E">
      <w:pPr>
        <w:rPr>
          <w:rFonts w:ascii="Arial" w:hAnsi="Arial" w:cs="Arial"/>
        </w:rPr>
      </w:pPr>
      <w:bookmarkStart w:id="0" w:name="_GoBack"/>
      <w:bookmarkEnd w:id="0"/>
    </w:p>
    <w:p w:rsidR="00CD7B0E" w:rsidRPr="007F3D71" w:rsidRDefault="00CD7B0E">
      <w:pPr>
        <w:rPr>
          <w:rFonts w:ascii="Arial" w:hAnsi="Arial" w:cs="Arial"/>
        </w:rPr>
      </w:pPr>
    </w:p>
    <w:p w:rsidR="00C06B5C" w:rsidRPr="007F3D71" w:rsidRDefault="00C06B5C">
      <w:pPr>
        <w:rPr>
          <w:rFonts w:ascii="Arial" w:hAnsi="Arial" w:cs="Arial"/>
          <w:b/>
          <w:u w:val="single"/>
        </w:rPr>
      </w:pPr>
      <w:r w:rsidRPr="007F3D71">
        <w:rPr>
          <w:rFonts w:ascii="Arial" w:hAnsi="Arial" w:cs="Arial"/>
          <w:b/>
          <w:u w:val="single"/>
        </w:rPr>
        <w:t xml:space="preserve">Introduction </w:t>
      </w:r>
    </w:p>
    <w:p w:rsidR="00C06B5C" w:rsidRPr="007F3D71" w:rsidRDefault="00C06B5C">
      <w:pPr>
        <w:rPr>
          <w:rFonts w:ascii="Arial" w:hAnsi="Arial" w:cs="Arial"/>
        </w:rPr>
      </w:pPr>
    </w:p>
    <w:p w:rsidR="00C06B5C" w:rsidRPr="007F3D71" w:rsidRDefault="00C06B5C">
      <w:pPr>
        <w:rPr>
          <w:rFonts w:ascii="Arial" w:hAnsi="Arial" w:cs="Arial"/>
        </w:rPr>
      </w:pPr>
      <w:r w:rsidRPr="007F3D71">
        <w:rPr>
          <w:rFonts w:ascii="Arial" w:hAnsi="Arial" w:cs="Arial"/>
        </w:rPr>
        <w:t xml:space="preserve">In the second part of this assignment, we were tasked with outlining the key points we have studied over the course of this module. This is mainly the legislative role in the hotel industry. As part of this, we will review important aspects such as Health and Safety, as applied in the Hotel Industry, liability, data protection and the applicability of the GDPR in the hotel industry, norms related to the food hygiene, risk management as it appears in the Hotel Industry and Hospitality in general, key-points of the Hotel Proprietors Act 1956. </w:t>
      </w:r>
    </w:p>
    <w:p w:rsidR="00C06B5C" w:rsidRPr="007F3D71" w:rsidRDefault="00C06B5C">
      <w:pPr>
        <w:rPr>
          <w:rFonts w:ascii="Arial" w:hAnsi="Arial" w:cs="Arial"/>
        </w:rPr>
      </w:pPr>
    </w:p>
    <w:p w:rsidR="00C06B5C" w:rsidRPr="007F3D71" w:rsidRDefault="00C06B5C">
      <w:pPr>
        <w:rPr>
          <w:rFonts w:ascii="Arial" w:hAnsi="Arial" w:cs="Arial"/>
        </w:rPr>
      </w:pPr>
      <w:r w:rsidRPr="007F3D71">
        <w:rPr>
          <w:rFonts w:ascii="Arial" w:hAnsi="Arial" w:cs="Arial"/>
        </w:rPr>
        <w:t>In elaborating the present task, we have used information we discusses in class as well as information available on verified sources, such as the Government’s website.</w:t>
      </w:r>
      <w:r w:rsidR="0032167A" w:rsidRPr="007F3D71">
        <w:rPr>
          <w:rFonts w:ascii="Arial" w:hAnsi="Arial" w:cs="Arial"/>
        </w:rPr>
        <w:t xml:space="preserve"> </w:t>
      </w:r>
      <w:r w:rsidRPr="007F3D71">
        <w:rPr>
          <w:rFonts w:ascii="Arial" w:hAnsi="Arial" w:cs="Arial"/>
        </w:rPr>
        <w:t xml:space="preserve"> </w:t>
      </w:r>
      <w:r w:rsidR="0032167A" w:rsidRPr="007F3D71">
        <w:rPr>
          <w:rFonts w:ascii="Arial" w:hAnsi="Arial" w:cs="Arial"/>
        </w:rPr>
        <w:t xml:space="preserve">The present report was elaborated using both in-class sources as well as others I have researched in my spare time. </w:t>
      </w:r>
      <w:r w:rsidRPr="007F3D71">
        <w:rPr>
          <w:rFonts w:ascii="Arial" w:hAnsi="Arial" w:cs="Arial"/>
        </w:rPr>
        <w:t xml:space="preserve">This information was synthetized bin the form of a report. All pieces of information have been cited and referenced using the Harvard referencing system. The aim of this module was to provide introduce new knowledge related to the legislative side of the hotel industry. The aim of the present report is to install this knowledge further and to equip us with knowledge which we will use in our further careers in the Hotel Industry. </w:t>
      </w:r>
    </w:p>
    <w:p w:rsidR="00C06B5C" w:rsidRPr="007F3D71" w:rsidRDefault="00246FEC">
      <w:pPr>
        <w:rPr>
          <w:rFonts w:ascii="Arial" w:hAnsi="Arial" w:cs="Arial"/>
          <w:b/>
          <w:u w:val="single"/>
        </w:rPr>
      </w:pPr>
      <w:r w:rsidRPr="007F3D71">
        <w:rPr>
          <w:rFonts w:ascii="Arial" w:hAnsi="Arial" w:cs="Arial"/>
          <w:b/>
          <w:u w:val="single"/>
        </w:rPr>
        <w:t xml:space="preserve">Legislation  and the Hotel Industry </w:t>
      </w:r>
    </w:p>
    <w:p w:rsidR="00246FEC" w:rsidRPr="007F3D71" w:rsidRDefault="00246FEC">
      <w:pPr>
        <w:rPr>
          <w:rFonts w:ascii="Arial" w:hAnsi="Arial" w:cs="Arial"/>
          <w:b/>
          <w:u w:val="single"/>
        </w:rPr>
      </w:pPr>
    </w:p>
    <w:p w:rsidR="00246FEC" w:rsidRPr="007F3D71" w:rsidRDefault="00246FEC">
      <w:pPr>
        <w:rPr>
          <w:rFonts w:ascii="Arial" w:hAnsi="Arial" w:cs="Arial"/>
        </w:rPr>
      </w:pPr>
      <w:r w:rsidRPr="007F3D71">
        <w:rPr>
          <w:rFonts w:ascii="Arial" w:hAnsi="Arial" w:cs="Arial"/>
        </w:rPr>
        <w:t xml:space="preserve">There are numerous laws, guidelines and codes to consider before turning into a hotelier. There is a minefield of administration to think about going from permitting guidelines to sustenance cleanliness and fire guidelines. The expense to cure breaks of the law extend from criminal and common activities against you (counting fines) and even detainment for progressively genuine ruptures. </w:t>
      </w:r>
      <w:r w:rsidR="0032167A" w:rsidRPr="007F3D71">
        <w:rPr>
          <w:rFonts w:ascii="Arial" w:hAnsi="Arial" w:cs="Arial"/>
        </w:rPr>
        <w:t>(</w:t>
      </w:r>
      <w:proofErr w:type="spellStart"/>
      <w:r w:rsidR="0032167A" w:rsidRPr="007F3D71">
        <w:rPr>
          <w:rFonts w:ascii="Arial" w:hAnsi="Arial" w:cs="Arial"/>
        </w:rPr>
        <w:t>Assetsure</w:t>
      </w:r>
      <w:proofErr w:type="spellEnd"/>
      <w:r w:rsidR="0032167A" w:rsidRPr="007F3D71">
        <w:rPr>
          <w:rFonts w:ascii="Arial" w:hAnsi="Arial" w:cs="Arial"/>
        </w:rPr>
        <w:t>, 2019)</w:t>
      </w:r>
    </w:p>
    <w:p w:rsidR="0032167A" w:rsidRPr="007F3D71" w:rsidRDefault="0032167A" w:rsidP="0032167A">
      <w:pPr>
        <w:rPr>
          <w:rFonts w:ascii="Arial" w:hAnsi="Arial" w:cs="Arial"/>
        </w:rPr>
      </w:pPr>
      <w:r w:rsidRPr="007F3D71">
        <w:rPr>
          <w:rFonts w:ascii="Arial" w:hAnsi="Arial" w:cs="Arial"/>
        </w:rPr>
        <w:t>In the hospitality industry, laws were made to guarantee that cafés, lodgings, motels, and other open housing are giving wellbeing measures inside their foundations to guarantee the prosperity of their supporters. Individuals are hoping to eat great nourishments when they visit a café. When cabin at a lodging or motel, individuals are expecting a decent night's sans stay from a mischief. They ought to be shielded from a crime, for example, burglary or attack. What shields us from mischief are the laws set up to decrease the odds of these things happening. There are a wide range of kinds of Hospitality laws, including regulations and policies, yet one thing they all share for all intents and purpose is the security of the customers’ rights and wellbeing.</w:t>
      </w:r>
    </w:p>
    <w:p w:rsidR="0032167A" w:rsidRPr="007F3D71" w:rsidRDefault="0032167A" w:rsidP="0032167A">
      <w:pPr>
        <w:rPr>
          <w:rFonts w:ascii="Arial" w:hAnsi="Arial" w:cs="Arial"/>
        </w:rPr>
      </w:pPr>
      <w:r w:rsidRPr="007F3D71">
        <w:rPr>
          <w:rFonts w:ascii="Arial" w:hAnsi="Arial" w:cs="Arial"/>
        </w:rPr>
        <w:t>Examples of important pieces of legislation applicable in Hospitality:</w:t>
      </w:r>
    </w:p>
    <w:p w:rsidR="0032167A" w:rsidRPr="007F3D71" w:rsidRDefault="0032167A" w:rsidP="0032167A">
      <w:pPr>
        <w:pStyle w:val="ListParagraph"/>
        <w:numPr>
          <w:ilvl w:val="0"/>
          <w:numId w:val="1"/>
        </w:numPr>
        <w:rPr>
          <w:rFonts w:ascii="Arial" w:hAnsi="Arial" w:cs="Arial"/>
        </w:rPr>
      </w:pPr>
      <w:r w:rsidRPr="007F3D71">
        <w:rPr>
          <w:rFonts w:ascii="Arial" w:hAnsi="Arial" w:cs="Arial"/>
        </w:rPr>
        <w:lastRenderedPageBreak/>
        <w:t>The Trade Descriptions Act 1968 – the requirement of displaying activities in hotels</w:t>
      </w:r>
    </w:p>
    <w:p w:rsidR="0032167A" w:rsidRPr="007F3D71" w:rsidRDefault="0032167A" w:rsidP="0032167A">
      <w:pPr>
        <w:pStyle w:val="ListParagraph"/>
        <w:numPr>
          <w:ilvl w:val="0"/>
          <w:numId w:val="1"/>
        </w:numPr>
        <w:rPr>
          <w:rFonts w:ascii="Arial" w:hAnsi="Arial" w:cs="Arial"/>
        </w:rPr>
      </w:pPr>
      <w:r w:rsidRPr="007F3D71">
        <w:rPr>
          <w:rFonts w:ascii="Arial" w:hAnsi="Arial" w:cs="Arial"/>
        </w:rPr>
        <w:t xml:space="preserve">Business Names Act 1985 – requirement to display the name of the owner, with the aim of demonstrating it is different to the one of the business </w:t>
      </w:r>
    </w:p>
    <w:p w:rsidR="0032167A" w:rsidRPr="007F3D71" w:rsidRDefault="0032167A" w:rsidP="0032167A">
      <w:pPr>
        <w:pStyle w:val="ListParagraph"/>
        <w:numPr>
          <w:ilvl w:val="0"/>
          <w:numId w:val="1"/>
        </w:numPr>
        <w:rPr>
          <w:rFonts w:ascii="Arial" w:hAnsi="Arial" w:cs="Arial"/>
        </w:rPr>
      </w:pPr>
      <w:r w:rsidRPr="007F3D71">
        <w:rPr>
          <w:rFonts w:ascii="Arial" w:hAnsi="Arial" w:cs="Arial"/>
        </w:rPr>
        <w:t xml:space="preserve">Credit Card Order 1990 </w:t>
      </w:r>
    </w:p>
    <w:p w:rsidR="0032167A" w:rsidRPr="007F3D71" w:rsidRDefault="0032167A" w:rsidP="0032167A">
      <w:pPr>
        <w:pStyle w:val="ListParagraph"/>
        <w:numPr>
          <w:ilvl w:val="0"/>
          <w:numId w:val="1"/>
        </w:numPr>
        <w:rPr>
          <w:rFonts w:ascii="Arial" w:hAnsi="Arial" w:cs="Arial"/>
        </w:rPr>
      </w:pPr>
      <w:r w:rsidRPr="007F3D71">
        <w:rPr>
          <w:rFonts w:ascii="Arial" w:hAnsi="Arial" w:cs="Arial"/>
        </w:rPr>
        <w:t>Data protection Act 1998</w:t>
      </w:r>
    </w:p>
    <w:p w:rsidR="0032167A" w:rsidRPr="007F3D71" w:rsidRDefault="0032167A" w:rsidP="0032167A">
      <w:pPr>
        <w:pStyle w:val="ListParagraph"/>
        <w:numPr>
          <w:ilvl w:val="0"/>
          <w:numId w:val="1"/>
        </w:numPr>
        <w:rPr>
          <w:rFonts w:ascii="Arial" w:hAnsi="Arial" w:cs="Arial"/>
        </w:rPr>
      </w:pPr>
      <w:r w:rsidRPr="007F3D71">
        <w:rPr>
          <w:rFonts w:ascii="Arial" w:hAnsi="Arial" w:cs="Arial"/>
        </w:rPr>
        <w:t xml:space="preserve">GDPR Act 2018 </w:t>
      </w:r>
    </w:p>
    <w:p w:rsidR="0032167A" w:rsidRPr="007F3D71" w:rsidRDefault="0032167A" w:rsidP="0032167A">
      <w:pPr>
        <w:pStyle w:val="ListParagraph"/>
        <w:numPr>
          <w:ilvl w:val="0"/>
          <w:numId w:val="1"/>
        </w:numPr>
        <w:rPr>
          <w:rFonts w:ascii="Arial" w:hAnsi="Arial" w:cs="Arial"/>
        </w:rPr>
      </w:pPr>
      <w:r w:rsidRPr="007F3D71">
        <w:rPr>
          <w:rFonts w:ascii="Arial" w:hAnsi="Arial" w:cs="Arial"/>
        </w:rPr>
        <w:t xml:space="preserve">Gas Safety </w:t>
      </w:r>
      <w:r w:rsidR="007F3D71" w:rsidRPr="007F3D71">
        <w:rPr>
          <w:rFonts w:ascii="Arial" w:hAnsi="Arial" w:cs="Arial"/>
        </w:rPr>
        <w:t>Regulations 1994</w:t>
      </w:r>
    </w:p>
    <w:p w:rsidR="007F3D71" w:rsidRPr="007F3D71" w:rsidRDefault="007F3D71" w:rsidP="0032167A">
      <w:pPr>
        <w:pStyle w:val="ListParagraph"/>
        <w:numPr>
          <w:ilvl w:val="0"/>
          <w:numId w:val="1"/>
        </w:numPr>
        <w:rPr>
          <w:rFonts w:ascii="Arial" w:hAnsi="Arial" w:cs="Arial"/>
        </w:rPr>
      </w:pPr>
      <w:r w:rsidRPr="007F3D71">
        <w:rPr>
          <w:rFonts w:ascii="Arial" w:hAnsi="Arial" w:cs="Arial"/>
        </w:rPr>
        <w:t>The Health and Safety Act 1974. The applications of this Act in the Hospitality industry cover a wide range of aspects. The substances used in Hospitality need to be assessed and employees using them need to be trained on how to handle them so that they do not get injured. These substances include cleaning products as well as materials used during building works. The Act also states aspects related to Manual Handling (manoeuvring of heavy objects such as customers’ luggage) The Act also protects employees working in this industry against working excessive hours, unsuitable shift patterns, the need to take regular breaks, etc. The Working Time Regulations Act 1998 is more comprehensive in this area. At work, employees and employers have a shared responsibility, as follows:</w:t>
      </w:r>
    </w:p>
    <w:p w:rsidR="007F3D71" w:rsidRPr="007F3D71" w:rsidRDefault="007F3D71" w:rsidP="007F3D71">
      <w:pPr>
        <w:pStyle w:val="ListParagraph"/>
        <w:numPr>
          <w:ilvl w:val="0"/>
          <w:numId w:val="2"/>
        </w:numPr>
        <w:rPr>
          <w:rFonts w:ascii="Arial" w:hAnsi="Arial" w:cs="Arial"/>
        </w:rPr>
      </w:pPr>
      <w:r w:rsidRPr="007F3D71">
        <w:rPr>
          <w:rFonts w:ascii="Arial" w:hAnsi="Arial" w:cs="Arial"/>
        </w:rPr>
        <w:t xml:space="preserve">Employers are responsible for health and safety risks within the business. They need to assess the risks related and take reasonable action to ensure that premises are equipped in such a way that can be used without risks to health, safety and well-being of all is not threatened. Employers also need to perform risk assessments and to apply adequate measures in controlling risks in the workplace. Not all risks can be prevented and the Act does state this but also indicates that all reasonable action must be taken.  Employers need to provide training for Health and Safety as well as consult employees on matters related. Training must be provided taking into account that some workers are not native in English. </w:t>
      </w:r>
    </w:p>
    <w:p w:rsidR="007F3D71" w:rsidRPr="007F3D71" w:rsidRDefault="007F3D71" w:rsidP="007F3D71">
      <w:pPr>
        <w:pStyle w:val="ListParagraph"/>
        <w:numPr>
          <w:ilvl w:val="0"/>
          <w:numId w:val="2"/>
        </w:numPr>
        <w:rPr>
          <w:rFonts w:ascii="Arial" w:hAnsi="Arial" w:cs="Arial"/>
        </w:rPr>
      </w:pPr>
      <w:r w:rsidRPr="007F3D71">
        <w:rPr>
          <w:rFonts w:ascii="Arial" w:hAnsi="Arial" w:cs="Arial"/>
        </w:rPr>
        <w:t>Employees also carry a legal obligation of looking after themselves and others and behave in a responsible manner, complying to the standards as well as reporting incidents and accidents, as stated in the company’s handbook. (Hse.gov.uk, 2019)</w:t>
      </w:r>
    </w:p>
    <w:p w:rsidR="007F3D71" w:rsidRPr="007F3D71" w:rsidRDefault="007F3D71" w:rsidP="007F3D71">
      <w:pPr>
        <w:rPr>
          <w:rFonts w:ascii="Arial" w:hAnsi="Arial" w:cs="Arial"/>
        </w:rPr>
      </w:pPr>
      <w:r w:rsidRPr="007F3D71">
        <w:rPr>
          <w:rFonts w:ascii="Arial" w:hAnsi="Arial" w:cs="Arial"/>
        </w:rPr>
        <w:t xml:space="preserve">Despite all steps and measures being correctly followed and taken, it is inevitable that accidents happen. Amongst all, the most common types of liability are around falls and trips, personal property as well as food poisoning. More recent years have seen an increase in the number of data theft cases, through breaches of payment information, cyber-attacks, etc. </w:t>
      </w:r>
    </w:p>
    <w:p w:rsidR="007F3D71" w:rsidRPr="007F3D71" w:rsidRDefault="007F3D71" w:rsidP="007F3D71">
      <w:pPr>
        <w:rPr>
          <w:rFonts w:ascii="Arial" w:hAnsi="Arial" w:cs="Arial"/>
        </w:rPr>
      </w:pPr>
      <w:r w:rsidRPr="007F3D71">
        <w:rPr>
          <w:rFonts w:ascii="Arial" w:hAnsi="Arial" w:cs="Arial"/>
        </w:rPr>
        <w:t xml:space="preserve">In terms of liability, in the UK, the main piece of legislation is The Hotel Proprietor Act 1956. The Act provides guidance in terms of the liability for the “innkeepers” against losses, damages of guests. The Act also provides information regarding the rights and responsibilities of all parties. </w:t>
      </w:r>
    </w:p>
    <w:p w:rsidR="007F3D71" w:rsidRPr="007F3D71" w:rsidRDefault="007F3D71" w:rsidP="007F3D71">
      <w:pPr>
        <w:rPr>
          <w:rFonts w:ascii="Arial" w:hAnsi="Arial" w:cs="Arial"/>
        </w:rPr>
      </w:pPr>
      <w:r w:rsidRPr="007F3D71">
        <w:rPr>
          <w:rFonts w:ascii="Arial" w:hAnsi="Arial" w:cs="Arial"/>
        </w:rPr>
        <w:t xml:space="preserve">The Act defines “innkeepers” as the “In this Act, the expression “hotel” means an establishment held out by the proprietor as offering food, drink and, if so required, sleeping accommodation, without special contract, to any traveller presenting himself who appears able and willing to pay </w:t>
      </w:r>
      <w:r w:rsidRPr="007F3D71">
        <w:rPr>
          <w:rFonts w:ascii="Arial" w:hAnsi="Arial" w:cs="Arial"/>
        </w:rPr>
        <w:lastRenderedPageBreak/>
        <w:t>a reasonable sum for the services and facilities provided and who is in a fit state to be received.” (Legislation.gov.uk, 2019)</w:t>
      </w:r>
    </w:p>
    <w:p w:rsidR="00C06B5C" w:rsidRPr="007F3D71" w:rsidRDefault="007F3D71">
      <w:pPr>
        <w:rPr>
          <w:rFonts w:ascii="Arial" w:hAnsi="Arial" w:cs="Arial"/>
        </w:rPr>
      </w:pPr>
      <w:r w:rsidRPr="007F3D71">
        <w:rPr>
          <w:rFonts w:ascii="Arial" w:hAnsi="Arial" w:cs="Arial"/>
        </w:rPr>
        <w:t xml:space="preserve">The Act states that Hotels are liable against the guests’ loss of property unless the customer acted with negligence, which created the loss or damage. Liability is applicable to guests who find themselves under the act of purchasing accommodation. The value of the payment for each lost object is set to £50 up to £100. </w:t>
      </w:r>
    </w:p>
    <w:p w:rsidR="007F3D71" w:rsidRPr="007F3D71" w:rsidRDefault="007F3D71" w:rsidP="007F3D71">
      <w:pPr>
        <w:rPr>
          <w:rFonts w:ascii="Arial" w:hAnsi="Arial" w:cs="Arial"/>
        </w:rPr>
      </w:pPr>
      <w:r w:rsidRPr="007F3D71">
        <w:rPr>
          <w:rFonts w:ascii="Arial" w:hAnsi="Arial" w:cs="Arial"/>
        </w:rPr>
        <w:t>The issue for innkeepers arises where the loss of visitors' property is brought about by the carelessness of the lodging owner or its representatives, or where the property is lost in the wake of being stored with the inn for supervision, or where the inn won't acknowledge the property for protection. Such circumstances</w:t>
      </w:r>
      <w:r w:rsidRPr="007F3D71">
        <w:rPr>
          <w:rFonts w:ascii="MS Gothic" w:eastAsia="MS Gothic" w:hAnsi="MS Gothic" w:cs="MS Gothic" w:hint="eastAsia"/>
        </w:rPr>
        <w:t> </w:t>
      </w:r>
      <w:r w:rsidRPr="007F3D71">
        <w:rPr>
          <w:rFonts w:ascii="Arial" w:hAnsi="Arial" w:cs="Arial"/>
        </w:rPr>
        <w:t>are hazardous for inn owners as the loss of visitors' property in these conditions does not manage the cost of them the security of as far as possible set down in the Act. This can leave inns exposed</w:t>
      </w:r>
      <w:r w:rsidRPr="007F3D71">
        <w:rPr>
          <w:rFonts w:ascii="MS Gothic" w:eastAsia="MS Gothic" w:hAnsi="MS Gothic" w:cs="MS Gothic" w:hint="eastAsia"/>
        </w:rPr>
        <w:t> </w:t>
      </w:r>
      <w:r w:rsidRPr="007F3D71">
        <w:rPr>
          <w:rFonts w:ascii="Arial" w:hAnsi="Arial" w:cs="Arial"/>
        </w:rPr>
        <w:t>to obligation for the full estimation of any property lost. This is of clear concern should truly profitable things disappear. The Act is particularly useful in limiting exposure of innkeepers and ensuring they keep security at the highest reasonable level.  In terms of addressing this type of risks, innkeepers can do the following:</w:t>
      </w:r>
    </w:p>
    <w:p w:rsidR="007F3D71" w:rsidRPr="007F3D71" w:rsidRDefault="007F3D71" w:rsidP="007F3D71">
      <w:pPr>
        <w:pStyle w:val="ListParagraph"/>
        <w:numPr>
          <w:ilvl w:val="0"/>
          <w:numId w:val="4"/>
        </w:numPr>
        <w:rPr>
          <w:rFonts w:ascii="Arial" w:hAnsi="Arial" w:cs="Arial"/>
        </w:rPr>
      </w:pPr>
      <w:r w:rsidRPr="007F3D71">
        <w:rPr>
          <w:rFonts w:ascii="Arial" w:hAnsi="Arial" w:cs="Arial"/>
        </w:rPr>
        <w:t xml:space="preserve">Provide training and continuous monitoring in the prevention of theft </w:t>
      </w:r>
    </w:p>
    <w:p w:rsidR="007F3D71" w:rsidRPr="007F3D71" w:rsidRDefault="007F3D71" w:rsidP="007F3D71">
      <w:pPr>
        <w:pStyle w:val="ListParagraph"/>
        <w:numPr>
          <w:ilvl w:val="0"/>
          <w:numId w:val="4"/>
        </w:numPr>
        <w:rPr>
          <w:rFonts w:ascii="Arial" w:hAnsi="Arial" w:cs="Arial"/>
        </w:rPr>
      </w:pPr>
      <w:r w:rsidRPr="007F3D71">
        <w:rPr>
          <w:rFonts w:ascii="Arial" w:hAnsi="Arial" w:cs="Arial"/>
        </w:rPr>
        <w:t xml:space="preserve">Add a liability clause in the booking contract </w:t>
      </w:r>
    </w:p>
    <w:p w:rsidR="007F3D71" w:rsidRPr="007F3D71" w:rsidRDefault="007F3D71" w:rsidP="007F3D71">
      <w:pPr>
        <w:pStyle w:val="ListParagraph"/>
        <w:numPr>
          <w:ilvl w:val="0"/>
          <w:numId w:val="4"/>
        </w:numPr>
        <w:rPr>
          <w:rFonts w:ascii="Arial" w:hAnsi="Arial" w:cs="Arial"/>
        </w:rPr>
      </w:pPr>
      <w:r w:rsidRPr="007F3D71">
        <w:rPr>
          <w:rFonts w:ascii="Arial" w:hAnsi="Arial" w:cs="Arial"/>
        </w:rPr>
        <w:t xml:space="preserve">Benefit of sufficient level of insurance </w:t>
      </w:r>
    </w:p>
    <w:p w:rsidR="007F3D71" w:rsidRPr="007F3D71" w:rsidRDefault="007F3D71" w:rsidP="007F3D71">
      <w:pPr>
        <w:pStyle w:val="ListParagraph"/>
        <w:numPr>
          <w:ilvl w:val="0"/>
          <w:numId w:val="4"/>
        </w:numPr>
        <w:rPr>
          <w:rFonts w:ascii="Arial" w:hAnsi="Arial" w:cs="Arial"/>
        </w:rPr>
      </w:pPr>
      <w:r w:rsidRPr="007F3D71">
        <w:rPr>
          <w:rFonts w:ascii="Arial" w:hAnsi="Arial" w:cs="Arial"/>
        </w:rPr>
        <w:t xml:space="preserve">Display the liability of the Hotel close to the entrance, or reception area </w:t>
      </w:r>
    </w:p>
    <w:p w:rsidR="007F3D71" w:rsidRPr="007F3D71" w:rsidRDefault="007F3D71" w:rsidP="007F3D71">
      <w:pPr>
        <w:pStyle w:val="ListParagraph"/>
        <w:numPr>
          <w:ilvl w:val="0"/>
          <w:numId w:val="4"/>
        </w:numPr>
        <w:rPr>
          <w:rFonts w:ascii="Arial" w:hAnsi="Arial" w:cs="Arial"/>
        </w:rPr>
      </w:pPr>
      <w:r w:rsidRPr="007F3D71">
        <w:rPr>
          <w:rFonts w:ascii="Arial" w:hAnsi="Arial" w:cs="Arial"/>
        </w:rPr>
        <w:t>Provide safes and encourage guests to use them as well as offer guidance and support with this(TheCaterer.com, 2019)</w:t>
      </w:r>
    </w:p>
    <w:p w:rsidR="007F3D71" w:rsidRPr="007F3D71" w:rsidRDefault="007F3D71" w:rsidP="007F3D71">
      <w:pPr>
        <w:ind w:left="360"/>
        <w:rPr>
          <w:rFonts w:ascii="Arial" w:hAnsi="Arial" w:cs="Arial"/>
        </w:rPr>
      </w:pPr>
      <w:r w:rsidRPr="007F3D71">
        <w:rPr>
          <w:rFonts w:ascii="Arial" w:hAnsi="Arial" w:cs="Arial"/>
        </w:rPr>
        <w:t>In the UK alone, in terms of food hygiene, training and education is still not preventing enough cases of food poisoning or other similar food related issues. This is a consequence of poor hygiene practices in food outlets. Corresponding UK regulations state that the employees working with food as part of their responsibilities must be supervised and in receipt of training. This training needs to be provided in classrooms, on a computer, can be formal or informal.  (The Food Safety General Food Hygiene Regulations, 1995)</w:t>
      </w:r>
    </w:p>
    <w:p w:rsidR="007F3D71" w:rsidRPr="007F3D71" w:rsidRDefault="007F3D71" w:rsidP="007F3D71">
      <w:pPr>
        <w:ind w:left="360"/>
        <w:rPr>
          <w:rFonts w:ascii="Arial" w:hAnsi="Arial" w:cs="Arial"/>
        </w:rPr>
      </w:pPr>
      <w:r w:rsidRPr="007F3D71">
        <w:rPr>
          <w:rFonts w:ascii="Arial" w:hAnsi="Arial" w:cs="Arial"/>
        </w:rPr>
        <w:t>Research showed that prior work experience and education have resulted in employees able to handle hazards in a more efficient manner. (Phillips, A.L., 1986)</w:t>
      </w:r>
    </w:p>
    <w:p w:rsidR="007F3D71" w:rsidRPr="007F3D71" w:rsidRDefault="007F3D71" w:rsidP="007F3D71">
      <w:pPr>
        <w:ind w:left="360"/>
        <w:rPr>
          <w:rFonts w:ascii="Arial" w:hAnsi="Arial" w:cs="Arial"/>
        </w:rPr>
      </w:pPr>
      <w:r w:rsidRPr="007F3D71">
        <w:rPr>
          <w:rFonts w:ascii="Arial" w:hAnsi="Arial" w:cs="Arial"/>
        </w:rPr>
        <w:t>As Hotels and Hospitality premises work with customers, large volumes of personal data are involved in the process. The General Data Protection Regulation came into effect in May 2018 and regulates the way organisations handle data as redefine roles for leaders in these organisations. (Eugdpr.org, 2019)</w:t>
      </w:r>
    </w:p>
    <w:p w:rsidR="007F3D71" w:rsidRPr="007F3D71" w:rsidRDefault="007F3D71" w:rsidP="007F3D71">
      <w:pPr>
        <w:ind w:left="360"/>
        <w:rPr>
          <w:rFonts w:ascii="Arial" w:hAnsi="Arial" w:cs="Arial"/>
        </w:rPr>
      </w:pPr>
      <w:r w:rsidRPr="007F3D71">
        <w:rPr>
          <w:rFonts w:ascii="Arial" w:hAnsi="Arial" w:cs="Arial"/>
        </w:rPr>
        <w:t xml:space="preserve">The GDPR redistributed the power when it comes to collecting personal data from customers, including guests in the hotel industry. In ensuring there are no breaches in the compliance with the GDPR, the leaders or decision makers who deal with large volumes of personal information need to ensure they understand the implications of GDPR and that they play their part in not breaching it. </w:t>
      </w:r>
    </w:p>
    <w:p w:rsidR="007F3D71" w:rsidRPr="007F3D71" w:rsidRDefault="007F3D71" w:rsidP="007F3D71">
      <w:pPr>
        <w:ind w:left="360"/>
        <w:rPr>
          <w:rFonts w:ascii="Arial" w:hAnsi="Arial" w:cs="Arial"/>
        </w:rPr>
      </w:pPr>
      <w:r w:rsidRPr="007F3D71">
        <w:rPr>
          <w:rFonts w:ascii="Arial" w:hAnsi="Arial" w:cs="Arial"/>
        </w:rPr>
        <w:lastRenderedPageBreak/>
        <w:t>Under the GDPR, personal data is information regarding the customers’ names, gender information, sexual orientation, health status, etc. (Hotel Speak, 2019)</w:t>
      </w:r>
    </w:p>
    <w:p w:rsidR="007F3D71" w:rsidRPr="007F3D71" w:rsidRDefault="007F3D71" w:rsidP="007F3D71">
      <w:pPr>
        <w:ind w:left="360"/>
        <w:rPr>
          <w:rFonts w:ascii="Arial" w:hAnsi="Arial" w:cs="Arial"/>
          <w:b/>
          <w:u w:val="single"/>
        </w:rPr>
      </w:pPr>
      <w:r w:rsidRPr="007F3D71">
        <w:rPr>
          <w:rFonts w:ascii="Arial" w:hAnsi="Arial" w:cs="Arial"/>
          <w:b/>
          <w:u w:val="single"/>
        </w:rPr>
        <w:t xml:space="preserve">Conclusion </w:t>
      </w:r>
    </w:p>
    <w:p w:rsidR="007F3D71" w:rsidRPr="007F3D71" w:rsidRDefault="007F3D71" w:rsidP="007F3D71">
      <w:pPr>
        <w:ind w:left="360"/>
        <w:rPr>
          <w:rFonts w:ascii="Arial" w:hAnsi="Arial" w:cs="Arial"/>
        </w:rPr>
      </w:pPr>
    </w:p>
    <w:p w:rsidR="007F3D71" w:rsidRPr="007F3D71" w:rsidRDefault="007F3D71" w:rsidP="007F3D71">
      <w:pPr>
        <w:ind w:left="360"/>
        <w:rPr>
          <w:rFonts w:ascii="Arial" w:hAnsi="Arial" w:cs="Arial"/>
        </w:rPr>
      </w:pPr>
      <w:r w:rsidRPr="007F3D71">
        <w:rPr>
          <w:rFonts w:ascii="Arial" w:hAnsi="Arial" w:cs="Arial"/>
        </w:rPr>
        <w:t xml:space="preserve">The present module is particularly important in preparing us for our future roles in the Hotel Industry. The concepts debated during this module have been of relevance to the Hospitality industry. We believe that a good awareness in terms of the legislation applicable in this industry is a great asset in differentiating candidates for roles in the Hotel Industry. The more understanding and knowledge, the better; researches have shown that important resources are used in creating awareness of such aspects in the Hotel Industry. Learning and becoming more informed is also a personal choice. We tried to demonstrate this through the present report, which integrated knowledge we gained during our University classes but also gained through research and further reading in our spare time. </w:t>
      </w:r>
    </w:p>
    <w:p w:rsidR="007F3D71" w:rsidRPr="007F3D71" w:rsidRDefault="007F3D71" w:rsidP="007F3D71">
      <w:pPr>
        <w:ind w:left="360"/>
        <w:rPr>
          <w:rFonts w:ascii="Arial" w:hAnsi="Arial" w:cs="Arial"/>
          <w:b/>
          <w:u w:val="single"/>
        </w:rPr>
      </w:pPr>
    </w:p>
    <w:p w:rsidR="007F3D71" w:rsidRPr="007F3D71" w:rsidRDefault="007F3D71" w:rsidP="007F3D71">
      <w:pPr>
        <w:ind w:left="360"/>
        <w:rPr>
          <w:rFonts w:ascii="Arial" w:hAnsi="Arial" w:cs="Arial"/>
          <w:b/>
          <w:u w:val="single"/>
        </w:rPr>
      </w:pPr>
      <w:r w:rsidRPr="007F3D71">
        <w:rPr>
          <w:rFonts w:ascii="Arial" w:hAnsi="Arial" w:cs="Arial"/>
          <w:b/>
          <w:u w:val="single"/>
        </w:rPr>
        <w:t>Bibliography</w:t>
      </w:r>
    </w:p>
    <w:p w:rsidR="007F3D71" w:rsidRPr="007F3D71" w:rsidRDefault="007F3D71" w:rsidP="007F3D71">
      <w:pPr>
        <w:numPr>
          <w:ilvl w:val="0"/>
          <w:numId w:val="5"/>
        </w:numPr>
        <w:rPr>
          <w:rFonts w:ascii="Arial" w:hAnsi="Arial" w:cs="Arial"/>
        </w:rPr>
      </w:pPr>
      <w:r w:rsidRPr="007F3D71">
        <w:rPr>
          <w:rFonts w:ascii="Arial" w:hAnsi="Arial" w:cs="Arial"/>
        </w:rPr>
        <w:t>Anon, (2019). [online] Available at: https://www.thecaterer.com/articles/351234/wake-up-call-are-you-liable-if-your-guest-loses-their-property-in-your-hotel [Accessed 13 Jul. 2019]</w:t>
      </w:r>
    </w:p>
    <w:p w:rsidR="007F3D71" w:rsidRPr="007F3D71" w:rsidRDefault="007F3D71" w:rsidP="007F3D71">
      <w:pPr>
        <w:numPr>
          <w:ilvl w:val="0"/>
          <w:numId w:val="5"/>
        </w:numPr>
        <w:rPr>
          <w:rFonts w:ascii="Arial" w:hAnsi="Arial" w:cs="Arial"/>
        </w:rPr>
      </w:pPr>
      <w:proofErr w:type="spellStart"/>
      <w:r w:rsidRPr="007F3D71">
        <w:rPr>
          <w:rFonts w:ascii="Arial" w:hAnsi="Arial" w:cs="Arial"/>
        </w:rPr>
        <w:t>Assetsure</w:t>
      </w:r>
      <w:proofErr w:type="spellEnd"/>
      <w:r w:rsidRPr="007F3D71">
        <w:rPr>
          <w:rFonts w:ascii="Arial" w:hAnsi="Arial" w:cs="Arial"/>
        </w:rPr>
        <w:t>. (2019). </w:t>
      </w:r>
      <w:r w:rsidRPr="007F3D71">
        <w:rPr>
          <w:rFonts w:ascii="Arial" w:hAnsi="Arial" w:cs="Arial"/>
          <w:i/>
          <w:iCs/>
        </w:rPr>
        <w:t xml:space="preserve">Hotels Laws UK | </w:t>
      </w:r>
      <w:proofErr w:type="spellStart"/>
      <w:r w:rsidRPr="007F3D71">
        <w:rPr>
          <w:rFonts w:ascii="Arial" w:hAnsi="Arial" w:cs="Arial"/>
          <w:i/>
          <w:iCs/>
        </w:rPr>
        <w:t>Assetsure</w:t>
      </w:r>
      <w:proofErr w:type="spellEnd"/>
      <w:r w:rsidRPr="007F3D71">
        <w:rPr>
          <w:rFonts w:ascii="Arial" w:hAnsi="Arial" w:cs="Arial"/>
        </w:rPr>
        <w:t>. [online] Available at: https://www.assetsure.com/business/hotel-insurance/hotels-laws-uk/ [Accessed 13 Jul. 2019]</w:t>
      </w:r>
    </w:p>
    <w:p w:rsidR="007F3D71" w:rsidRPr="007F3D71" w:rsidRDefault="007F3D71" w:rsidP="007F3D71">
      <w:pPr>
        <w:numPr>
          <w:ilvl w:val="0"/>
          <w:numId w:val="5"/>
        </w:numPr>
        <w:rPr>
          <w:rFonts w:ascii="Arial" w:hAnsi="Arial" w:cs="Arial"/>
        </w:rPr>
      </w:pPr>
      <w:r w:rsidRPr="007F3D71">
        <w:rPr>
          <w:rFonts w:ascii="Arial" w:hAnsi="Arial" w:cs="Arial"/>
        </w:rPr>
        <w:t>Eugdpr.org. (2019). </w:t>
      </w:r>
      <w:r w:rsidRPr="007F3D71">
        <w:rPr>
          <w:rFonts w:ascii="Arial" w:hAnsi="Arial" w:cs="Arial"/>
          <w:i/>
          <w:iCs/>
        </w:rPr>
        <w:t>EUGDPR – Information Portal</w:t>
      </w:r>
      <w:r w:rsidRPr="007F3D71">
        <w:rPr>
          <w:rFonts w:ascii="Arial" w:hAnsi="Arial" w:cs="Arial"/>
        </w:rPr>
        <w:t>. [online] Available at: https://eugdpr.org/ [Accessed 13 Jul. 2019]</w:t>
      </w:r>
    </w:p>
    <w:p w:rsidR="007F3D71" w:rsidRPr="007F3D71" w:rsidRDefault="007F3D71" w:rsidP="007F3D71">
      <w:pPr>
        <w:numPr>
          <w:ilvl w:val="0"/>
          <w:numId w:val="5"/>
        </w:numPr>
        <w:rPr>
          <w:rFonts w:ascii="Arial" w:hAnsi="Arial" w:cs="Arial"/>
        </w:rPr>
      </w:pPr>
      <w:r w:rsidRPr="007F3D71">
        <w:rPr>
          <w:rFonts w:ascii="Arial" w:hAnsi="Arial" w:cs="Arial"/>
        </w:rPr>
        <w:t>Hotel Speak. (2019). </w:t>
      </w:r>
      <w:r w:rsidRPr="007F3D71">
        <w:rPr>
          <w:rFonts w:ascii="Arial" w:hAnsi="Arial" w:cs="Arial"/>
          <w:i/>
          <w:iCs/>
        </w:rPr>
        <w:t>A Hotelier’s Guide To The GDPR (General Data Protection Regulation)</w:t>
      </w:r>
      <w:r w:rsidRPr="007F3D71">
        <w:rPr>
          <w:rFonts w:ascii="Arial" w:hAnsi="Arial" w:cs="Arial"/>
        </w:rPr>
        <w:t>. [online] Available at: https://www.hotelspeak.com/2018/03/a-hoteliers-guide-to-gdpr/ [Accessed 13 Jul. 2019]</w:t>
      </w:r>
    </w:p>
    <w:p w:rsidR="007F3D71" w:rsidRPr="007F3D71" w:rsidRDefault="007F3D71" w:rsidP="007F3D71">
      <w:pPr>
        <w:numPr>
          <w:ilvl w:val="0"/>
          <w:numId w:val="5"/>
        </w:numPr>
        <w:rPr>
          <w:rFonts w:ascii="Arial" w:hAnsi="Arial" w:cs="Arial"/>
        </w:rPr>
      </w:pPr>
      <w:r w:rsidRPr="007F3D71">
        <w:rPr>
          <w:rFonts w:ascii="Arial" w:hAnsi="Arial" w:cs="Arial"/>
        </w:rPr>
        <w:t>Hse.gov.uk. (2019). [online] Available at: http://www.hse.gov.uk/pubns/cais25.pdf [Accessed 13 Jul. 2019]</w:t>
      </w:r>
    </w:p>
    <w:p w:rsidR="007F3D71" w:rsidRPr="007F3D71" w:rsidRDefault="007F3D71" w:rsidP="007F3D71">
      <w:pPr>
        <w:numPr>
          <w:ilvl w:val="0"/>
          <w:numId w:val="5"/>
        </w:numPr>
        <w:rPr>
          <w:rFonts w:ascii="Arial" w:hAnsi="Arial" w:cs="Arial"/>
        </w:rPr>
      </w:pPr>
      <w:r w:rsidRPr="007F3D71">
        <w:rPr>
          <w:rFonts w:ascii="Arial" w:hAnsi="Arial" w:cs="Arial"/>
        </w:rPr>
        <w:t>Legislation.gov.uk. (2019). </w:t>
      </w:r>
      <w:r w:rsidRPr="007F3D71">
        <w:rPr>
          <w:rFonts w:ascii="Arial" w:hAnsi="Arial" w:cs="Arial"/>
          <w:i/>
          <w:iCs/>
        </w:rPr>
        <w:t>Hotel Proprietors Act 1956</w:t>
      </w:r>
      <w:r w:rsidRPr="007F3D71">
        <w:rPr>
          <w:rFonts w:ascii="Arial" w:hAnsi="Arial" w:cs="Arial"/>
        </w:rPr>
        <w:t>. [online] Available at: http://www.legislation.gov.uk/ukpga/Eliz2/4-5/62 [Accessed 13 Jul. 2019]</w:t>
      </w:r>
    </w:p>
    <w:p w:rsidR="007F3D71" w:rsidRPr="007F3D71" w:rsidRDefault="007F3D71" w:rsidP="007F3D71">
      <w:pPr>
        <w:numPr>
          <w:ilvl w:val="0"/>
          <w:numId w:val="5"/>
        </w:numPr>
        <w:rPr>
          <w:rFonts w:ascii="Arial" w:hAnsi="Arial" w:cs="Arial"/>
        </w:rPr>
      </w:pPr>
      <w:r w:rsidRPr="007F3D71">
        <w:rPr>
          <w:rFonts w:ascii="Arial" w:hAnsi="Arial" w:cs="Arial"/>
        </w:rPr>
        <w:t>Phillips, A.L., 1986. Food hygiene health education in Wyre Borough. B.Sc. Dissertation, Civil Engineering Department, University of Salford</w:t>
      </w:r>
    </w:p>
    <w:p w:rsidR="007F3D71" w:rsidRPr="007F3D71" w:rsidRDefault="007F3D71" w:rsidP="007F3D71">
      <w:pPr>
        <w:numPr>
          <w:ilvl w:val="0"/>
          <w:numId w:val="5"/>
        </w:numPr>
        <w:rPr>
          <w:rFonts w:ascii="Arial" w:hAnsi="Arial" w:cs="Arial"/>
        </w:rPr>
      </w:pPr>
      <w:r w:rsidRPr="007F3D71">
        <w:rPr>
          <w:rFonts w:ascii="Arial" w:hAnsi="Arial" w:cs="Arial"/>
        </w:rPr>
        <w:t>The Food Safety (General Food Hygiene) Regulations, 1995. HMSO, London</w:t>
      </w:r>
    </w:p>
    <w:p w:rsidR="007F3D71" w:rsidRDefault="007F3D71" w:rsidP="007F3D71">
      <w:pPr>
        <w:ind w:left="360"/>
      </w:pPr>
    </w:p>
    <w:p w:rsidR="007F3D71" w:rsidRDefault="007F3D71" w:rsidP="007F3D71">
      <w:pPr>
        <w:ind w:left="360"/>
      </w:pPr>
    </w:p>
    <w:p w:rsidR="007F3D71" w:rsidRDefault="007F3D71" w:rsidP="007F3D71">
      <w:pPr>
        <w:ind w:left="360"/>
      </w:pPr>
    </w:p>
    <w:p w:rsidR="007F3D71" w:rsidRDefault="007F3D71" w:rsidP="007F3D71">
      <w:pPr>
        <w:pStyle w:val="ListParagraph"/>
      </w:pPr>
    </w:p>
    <w:p w:rsidR="007F3D71" w:rsidRPr="00C06B5C" w:rsidRDefault="007F3D71" w:rsidP="007F3D71">
      <w:pPr>
        <w:pStyle w:val="ListParagraph"/>
      </w:pPr>
    </w:p>
    <w:sectPr w:rsidR="007F3D71" w:rsidRPr="00C06B5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0C0D" w:rsidRDefault="007A0C0D" w:rsidP="007F3D71">
      <w:pPr>
        <w:spacing w:after="0" w:line="240" w:lineRule="auto"/>
      </w:pPr>
      <w:r>
        <w:separator/>
      </w:r>
    </w:p>
  </w:endnote>
  <w:endnote w:type="continuationSeparator" w:id="0">
    <w:p w:rsidR="007A0C0D" w:rsidRDefault="007A0C0D" w:rsidP="007F3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J">
    <w:altName w:val="Arial"/>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949672"/>
      <w:docPartObj>
        <w:docPartGallery w:val="Page Numbers (Bottom of Page)"/>
        <w:docPartUnique/>
      </w:docPartObj>
    </w:sdtPr>
    <w:sdtEndPr>
      <w:rPr>
        <w:noProof/>
      </w:rPr>
    </w:sdtEndPr>
    <w:sdtContent>
      <w:p w:rsidR="007F3D71" w:rsidRDefault="007F3D71">
        <w:pPr>
          <w:pStyle w:val="Footer"/>
        </w:pPr>
      </w:p>
      <w:p w:rsidR="007F3D71" w:rsidRDefault="007F3D71">
        <w:pPr>
          <w:pStyle w:val="Footer"/>
        </w:pPr>
        <w:r>
          <w:fldChar w:fldCharType="begin"/>
        </w:r>
        <w:r>
          <w:instrText xml:space="preserve"> PAGE   \* MERGEFORMAT </w:instrText>
        </w:r>
        <w:r>
          <w:fldChar w:fldCharType="separate"/>
        </w:r>
        <w:r>
          <w:rPr>
            <w:noProof/>
          </w:rPr>
          <w:t>1</w:t>
        </w:r>
        <w:r>
          <w:rPr>
            <w:noProof/>
          </w:rPr>
          <w:fldChar w:fldCharType="end"/>
        </w:r>
      </w:p>
    </w:sdtContent>
  </w:sdt>
  <w:p w:rsidR="007F3D71" w:rsidRDefault="007F3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0C0D" w:rsidRDefault="007A0C0D" w:rsidP="007F3D71">
      <w:pPr>
        <w:spacing w:after="0" w:line="240" w:lineRule="auto"/>
      </w:pPr>
      <w:r>
        <w:separator/>
      </w:r>
    </w:p>
  </w:footnote>
  <w:footnote w:type="continuationSeparator" w:id="0">
    <w:p w:rsidR="007A0C0D" w:rsidRDefault="007A0C0D" w:rsidP="007F3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6938" w:rsidRDefault="00A16938">
    <w:pPr>
      <w:pStyle w:val="Header"/>
    </w:pPr>
  </w:p>
  <w:p w:rsidR="00986274" w:rsidRPr="008E78A3" w:rsidRDefault="00986274" w:rsidP="008E78A3">
    <w:pPr>
      <w:pStyle w:val="Header"/>
      <w:tabs>
        <w:tab w:val="clear" w:pos="4680"/>
        <w:tab w:val="clear" w:pos="9360"/>
        <w:tab w:val="left" w:pos="1890"/>
      </w:tabs>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F6E14"/>
    <w:multiLevelType w:val="hybridMultilevel"/>
    <w:tmpl w:val="CBC86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4689F"/>
    <w:multiLevelType w:val="hybridMultilevel"/>
    <w:tmpl w:val="B98E0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C3C7D"/>
    <w:multiLevelType w:val="hybridMultilevel"/>
    <w:tmpl w:val="22CC3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FF5149"/>
    <w:multiLevelType w:val="hybridMultilevel"/>
    <w:tmpl w:val="2960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920BD6"/>
    <w:multiLevelType w:val="hybridMultilevel"/>
    <w:tmpl w:val="7ECE37A8"/>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376"/>
    <w:rsid w:val="00246FEC"/>
    <w:rsid w:val="0032167A"/>
    <w:rsid w:val="00667185"/>
    <w:rsid w:val="006C18CC"/>
    <w:rsid w:val="007A0C0D"/>
    <w:rsid w:val="007C0376"/>
    <w:rsid w:val="007F3D71"/>
    <w:rsid w:val="008E78A3"/>
    <w:rsid w:val="00986274"/>
    <w:rsid w:val="00A16938"/>
    <w:rsid w:val="00C06B5C"/>
    <w:rsid w:val="00CD7B0E"/>
    <w:rsid w:val="00E65C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C8BC8A"/>
  <w15:docId w15:val="{E1272257-0591-4A85-A202-631A203C0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67A"/>
    <w:pPr>
      <w:ind w:left="720"/>
      <w:contextualSpacing/>
    </w:pPr>
  </w:style>
  <w:style w:type="paragraph" w:styleId="Header">
    <w:name w:val="header"/>
    <w:basedOn w:val="Normal"/>
    <w:link w:val="HeaderChar"/>
    <w:uiPriority w:val="99"/>
    <w:unhideWhenUsed/>
    <w:rsid w:val="007F3D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D71"/>
    <w:rPr>
      <w:lang w:val="en-GB"/>
    </w:rPr>
  </w:style>
  <w:style w:type="paragraph" w:styleId="Footer">
    <w:name w:val="footer"/>
    <w:basedOn w:val="Normal"/>
    <w:link w:val="FooterChar"/>
    <w:uiPriority w:val="99"/>
    <w:unhideWhenUsed/>
    <w:rsid w:val="007F3D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D71"/>
    <w:rPr>
      <w:lang w:val="en-GB"/>
    </w:rPr>
  </w:style>
  <w:style w:type="character" w:customStyle="1" w:styleId="5yl5">
    <w:name w:val="_5yl5"/>
    <w:basedOn w:val="DefaultParagraphFont"/>
    <w:rsid w:val="006C1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1639</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Hoya</dc:creator>
  <cp:lastModifiedBy>Miruna</cp:lastModifiedBy>
  <cp:revision>2</cp:revision>
  <dcterms:created xsi:type="dcterms:W3CDTF">2019-08-17T18:19:00Z</dcterms:created>
  <dcterms:modified xsi:type="dcterms:W3CDTF">2019-08-17T18:19:00Z</dcterms:modified>
</cp:coreProperties>
</file>