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BA76D" w14:textId="452BB011" w:rsidR="00F02E2D" w:rsidRDefault="005A25C4">
      <w:pPr>
        <w:jc w:val="center"/>
      </w:pPr>
      <w:r w:rsidRPr="00577FC5">
        <w:rPr>
          <w:b/>
          <w:noProof/>
        </w:rPr>
        <w:drawing>
          <wp:anchor distT="0" distB="0" distL="114300" distR="114300" simplePos="0" relativeHeight="251657728" behindDoc="0" locked="0" layoutInCell="1" allowOverlap="1" wp14:anchorId="7A01FAE9" wp14:editId="16BF2362">
            <wp:simplePos x="0" y="0"/>
            <wp:positionH relativeFrom="column">
              <wp:posOffset>0</wp:posOffset>
            </wp:positionH>
            <wp:positionV relativeFrom="paragraph">
              <wp:posOffset>228600</wp:posOffset>
            </wp:positionV>
            <wp:extent cx="5899785" cy="257175"/>
            <wp:effectExtent l="0" t="0" r="0" b="0"/>
            <wp:wrapNone/>
            <wp:docPr id="1326746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46959" name=""/>
                    <pic:cNvPicPr/>
                  </pic:nvPicPr>
                  <pic:blipFill rotWithShape="1">
                    <a:blip r:embed="rId8"/>
                    <a:srcRect b="48034"/>
                    <a:stretch>
                      <a:fillRect/>
                    </a:stretch>
                  </pic:blipFill>
                  <pic:spPr bwMode="auto">
                    <a:xfrm>
                      <a:off x="0" y="0"/>
                      <a:ext cx="5899785" cy="25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6CCB" w:rsidRPr="00577FC5">
        <w:rPr>
          <w:noProof/>
        </w:rPr>
        <w:drawing>
          <wp:inline distT="0" distB="0" distL="0" distR="0" wp14:anchorId="2B9AEB6A" wp14:editId="24787F3A">
            <wp:extent cx="5943600" cy="236855"/>
            <wp:effectExtent l="0" t="0" r="0" b="0"/>
            <wp:docPr id="1415250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50145" name=""/>
                    <pic:cNvPicPr/>
                  </pic:nvPicPr>
                  <pic:blipFill rotWithShape="1">
                    <a:blip r:embed="rId9"/>
                    <a:srcRect b="52137"/>
                    <a:stretch>
                      <a:fillRect/>
                    </a:stretch>
                  </pic:blipFill>
                  <pic:spPr bwMode="auto">
                    <a:xfrm>
                      <a:off x="0" y="0"/>
                      <a:ext cx="5943600" cy="236855"/>
                    </a:xfrm>
                    <a:prstGeom prst="rect">
                      <a:avLst/>
                    </a:prstGeom>
                    <a:ln>
                      <a:noFill/>
                    </a:ln>
                    <a:extLst>
                      <a:ext uri="{53640926-AAD7-44D8-BBD7-CCE9431645EC}">
                        <a14:shadowObscured xmlns:a14="http://schemas.microsoft.com/office/drawing/2010/main"/>
                      </a:ext>
                    </a:extLst>
                  </pic:spPr>
                </pic:pic>
              </a:graphicData>
            </a:graphic>
          </wp:inline>
        </w:drawing>
      </w:r>
      <w:r w:rsidR="00FE6CCB" w:rsidRPr="007920DD">
        <w:rPr>
          <w:noProof/>
        </w:rPr>
        <w:drawing>
          <wp:anchor distT="0" distB="0" distL="114300" distR="114300" simplePos="0" relativeHeight="251656704" behindDoc="0" locked="0" layoutInCell="1" allowOverlap="1" wp14:anchorId="3C3EF2CE" wp14:editId="4843F8FD">
            <wp:simplePos x="0" y="0"/>
            <wp:positionH relativeFrom="column">
              <wp:posOffset>-551543</wp:posOffset>
            </wp:positionH>
            <wp:positionV relativeFrom="paragraph">
              <wp:posOffset>-710746</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B0E50C" w14:textId="371AA338" w:rsidR="00E54653" w:rsidRDefault="00FE6CCB" w:rsidP="005A25C4">
      <w:r w:rsidRPr="00577FC5">
        <w:rPr>
          <w:b/>
          <w:noProof/>
        </w:rPr>
        <w:drawing>
          <wp:anchor distT="0" distB="0" distL="114300" distR="114300" simplePos="0" relativeHeight="251658752" behindDoc="0" locked="0" layoutInCell="1" allowOverlap="1" wp14:anchorId="621A488B" wp14:editId="6BA7C921">
            <wp:simplePos x="0" y="0"/>
            <wp:positionH relativeFrom="column">
              <wp:posOffset>0</wp:posOffset>
            </wp:positionH>
            <wp:positionV relativeFrom="paragraph">
              <wp:posOffset>256540</wp:posOffset>
            </wp:positionV>
            <wp:extent cx="5902960" cy="7371244"/>
            <wp:effectExtent l="0" t="0" r="0" b="0"/>
            <wp:wrapNone/>
            <wp:docPr id="159124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49423" name=""/>
                    <pic:cNvPicPr/>
                  </pic:nvPicPr>
                  <pic:blipFill rotWithShape="1">
                    <a:blip r:embed="rId12"/>
                    <a:srcRect b="2929"/>
                    <a:stretch>
                      <a:fillRect/>
                    </a:stretch>
                  </pic:blipFill>
                  <pic:spPr bwMode="auto">
                    <a:xfrm>
                      <a:off x="0" y="0"/>
                      <a:ext cx="5902960" cy="73712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pacing w:val="5"/>
        </w:rPr>
        <w:br w:type="page"/>
      </w:r>
    </w:p>
    <w:p w14:paraId="6894C33F" w14:textId="77777777" w:rsidR="00E54653" w:rsidRDefault="00E54653" w:rsidP="005A25C4"/>
    <w:sdt>
      <w:sdtPr>
        <w:rPr>
          <w:rFonts w:ascii="Times New Roman" w:eastAsia="Times New Roman" w:hAnsi="Times New Roman" w:cs="Times New Roman"/>
          <w:b w:val="0"/>
          <w:bCs w:val="0"/>
          <w:color w:val="auto"/>
          <w:sz w:val="24"/>
          <w:szCs w:val="24"/>
          <w:lang w:eastAsia="zh-TW"/>
        </w:rPr>
        <w:id w:val="296813095"/>
        <w:docPartObj>
          <w:docPartGallery w:val="Table of Contents"/>
          <w:docPartUnique/>
        </w:docPartObj>
      </w:sdtPr>
      <w:sdtEndPr>
        <w:rPr>
          <w:noProof/>
        </w:rPr>
      </w:sdtEndPr>
      <w:sdtContent>
        <w:p w14:paraId="0B1E8096" w14:textId="7C3B4527" w:rsidR="00D24B3E" w:rsidRPr="00FE5713" w:rsidRDefault="00D24B3E">
          <w:pPr>
            <w:pStyle w:val="TOCHeading"/>
            <w:rPr>
              <w:rFonts w:ascii="Times New Roman" w:hAnsi="Times New Roman" w:cs="Times New Roman"/>
            </w:rPr>
          </w:pPr>
          <w:r w:rsidRPr="00FE5713">
            <w:rPr>
              <w:rFonts w:ascii="Times New Roman" w:hAnsi="Times New Roman" w:cs="Times New Roman"/>
            </w:rPr>
            <w:t>Table of Contents</w:t>
          </w:r>
        </w:p>
        <w:p w14:paraId="6B3F667C" w14:textId="2C3DB879" w:rsidR="00F954AC" w:rsidRPr="00F954AC" w:rsidRDefault="00D24B3E">
          <w:pPr>
            <w:pStyle w:val="TOC1"/>
            <w:tabs>
              <w:tab w:val="left" w:pos="423"/>
              <w:tab w:val="right" w:leader="dot" w:pos="9350"/>
            </w:tabs>
            <w:rPr>
              <w:rFonts w:ascii="Times New Roman" w:eastAsiaTheme="minorEastAsia" w:hAnsi="Times New Roman"/>
              <w:b w:val="0"/>
              <w:bCs w:val="0"/>
              <w:caps w:val="0"/>
              <w:noProof/>
              <w:kern w:val="2"/>
              <w:sz w:val="24"/>
              <w:szCs w:val="24"/>
              <w:u w:val="none"/>
              <w14:ligatures w14:val="standardContextual"/>
            </w:rPr>
          </w:pPr>
          <w:r w:rsidRPr="00F954AC">
            <w:rPr>
              <w:rFonts w:ascii="Times New Roman" w:hAnsi="Times New Roman"/>
              <w:b w:val="0"/>
              <w:bCs w:val="0"/>
            </w:rPr>
            <w:fldChar w:fldCharType="begin"/>
          </w:r>
          <w:r w:rsidRPr="00F954AC">
            <w:rPr>
              <w:rFonts w:ascii="Times New Roman" w:hAnsi="Times New Roman"/>
              <w:b w:val="0"/>
              <w:bCs w:val="0"/>
            </w:rPr>
            <w:instrText xml:space="preserve"> TOC \o "1-3" \h \z \u </w:instrText>
          </w:r>
          <w:r w:rsidRPr="00F954AC">
            <w:rPr>
              <w:rFonts w:ascii="Times New Roman" w:hAnsi="Times New Roman"/>
              <w:b w:val="0"/>
              <w:bCs w:val="0"/>
            </w:rPr>
            <w:fldChar w:fldCharType="separate"/>
          </w:r>
          <w:hyperlink w:anchor="_Toc204471193" w:history="1">
            <w:r w:rsidR="00F954AC" w:rsidRPr="00F954AC">
              <w:rPr>
                <w:rStyle w:val="Hyperlink"/>
                <w:rFonts w:ascii="Times New Roman" w:hAnsi="Times New Roman"/>
                <w:b w:val="0"/>
                <w:bCs w:val="0"/>
                <w:noProof/>
              </w:rPr>
              <w:t>1.</w:t>
            </w:r>
            <w:r w:rsidR="00F954AC" w:rsidRPr="00F954AC">
              <w:rPr>
                <w:rFonts w:ascii="Times New Roman" w:eastAsiaTheme="minorEastAsia" w:hAnsi="Times New Roman"/>
                <w:b w:val="0"/>
                <w:bCs w:val="0"/>
                <w:caps w:val="0"/>
                <w:noProof/>
                <w:kern w:val="2"/>
                <w:sz w:val="24"/>
                <w:szCs w:val="24"/>
                <w:u w:val="none"/>
                <w14:ligatures w14:val="standardContextual"/>
              </w:rPr>
              <w:tab/>
            </w:r>
            <w:r w:rsidR="00F954AC" w:rsidRPr="00F954AC">
              <w:rPr>
                <w:rStyle w:val="Hyperlink"/>
                <w:rFonts w:ascii="Times New Roman" w:hAnsi="Times New Roman"/>
                <w:b w:val="0"/>
                <w:bCs w:val="0"/>
                <w:noProof/>
              </w:rPr>
              <w:t>Abstract</w:t>
            </w:r>
            <w:r w:rsidR="00F954AC" w:rsidRPr="00F954AC">
              <w:rPr>
                <w:rFonts w:ascii="Times New Roman" w:hAnsi="Times New Roman"/>
                <w:b w:val="0"/>
                <w:bCs w:val="0"/>
                <w:noProof/>
                <w:webHidden/>
              </w:rPr>
              <w:tab/>
            </w:r>
            <w:r w:rsidR="00F954AC" w:rsidRPr="00F954AC">
              <w:rPr>
                <w:rFonts w:ascii="Times New Roman" w:hAnsi="Times New Roman"/>
                <w:b w:val="0"/>
                <w:bCs w:val="0"/>
                <w:noProof/>
                <w:webHidden/>
              </w:rPr>
              <w:fldChar w:fldCharType="begin"/>
            </w:r>
            <w:r w:rsidR="00F954AC" w:rsidRPr="00F954AC">
              <w:rPr>
                <w:rFonts w:ascii="Times New Roman" w:hAnsi="Times New Roman"/>
                <w:b w:val="0"/>
                <w:bCs w:val="0"/>
                <w:noProof/>
                <w:webHidden/>
              </w:rPr>
              <w:instrText xml:space="preserve"> PAGEREF _Toc204471193 \h </w:instrText>
            </w:r>
            <w:r w:rsidR="00F954AC" w:rsidRPr="00F954AC">
              <w:rPr>
                <w:rFonts w:ascii="Times New Roman" w:hAnsi="Times New Roman"/>
                <w:b w:val="0"/>
                <w:bCs w:val="0"/>
                <w:noProof/>
                <w:webHidden/>
              </w:rPr>
            </w:r>
            <w:r w:rsidR="00F954AC" w:rsidRPr="00F954AC">
              <w:rPr>
                <w:rFonts w:ascii="Times New Roman" w:hAnsi="Times New Roman"/>
                <w:b w:val="0"/>
                <w:bCs w:val="0"/>
                <w:noProof/>
                <w:webHidden/>
              </w:rPr>
              <w:fldChar w:fldCharType="separate"/>
            </w:r>
            <w:r w:rsidR="008C2B13">
              <w:rPr>
                <w:rFonts w:ascii="Times New Roman" w:hAnsi="Times New Roman"/>
                <w:b w:val="0"/>
                <w:bCs w:val="0"/>
                <w:noProof/>
                <w:webHidden/>
              </w:rPr>
              <w:t>3</w:t>
            </w:r>
            <w:r w:rsidR="00F954AC" w:rsidRPr="00F954AC">
              <w:rPr>
                <w:rFonts w:ascii="Times New Roman" w:hAnsi="Times New Roman"/>
                <w:b w:val="0"/>
                <w:bCs w:val="0"/>
                <w:noProof/>
                <w:webHidden/>
              </w:rPr>
              <w:fldChar w:fldCharType="end"/>
            </w:r>
          </w:hyperlink>
        </w:p>
        <w:p w14:paraId="7A4BA412" w14:textId="53008B0C" w:rsidR="00F954AC" w:rsidRPr="00F954AC" w:rsidRDefault="00F954AC">
          <w:pPr>
            <w:pStyle w:val="TOC1"/>
            <w:tabs>
              <w:tab w:val="left" w:pos="468"/>
              <w:tab w:val="right" w:leader="dot" w:pos="9350"/>
            </w:tabs>
            <w:rPr>
              <w:rFonts w:ascii="Times New Roman" w:eastAsiaTheme="minorEastAsia" w:hAnsi="Times New Roman"/>
              <w:b w:val="0"/>
              <w:bCs w:val="0"/>
              <w:caps w:val="0"/>
              <w:noProof/>
              <w:kern w:val="2"/>
              <w:sz w:val="24"/>
              <w:szCs w:val="24"/>
              <w:u w:val="none"/>
              <w14:ligatures w14:val="standardContextual"/>
            </w:rPr>
          </w:pPr>
          <w:hyperlink w:anchor="_Toc204471194" w:history="1">
            <w:r w:rsidRPr="00F954AC">
              <w:rPr>
                <w:rStyle w:val="Hyperlink"/>
                <w:rFonts w:ascii="Times New Roman" w:hAnsi="Times New Roman"/>
                <w:b w:val="0"/>
                <w:bCs w:val="0"/>
                <w:noProof/>
              </w:rPr>
              <w:t xml:space="preserve">2. </w:t>
            </w:r>
            <w:r w:rsidRPr="00F954AC">
              <w:rPr>
                <w:rFonts w:ascii="Times New Roman" w:eastAsiaTheme="minorEastAsia" w:hAnsi="Times New Roman"/>
                <w:b w:val="0"/>
                <w:bCs w:val="0"/>
                <w:caps w:val="0"/>
                <w:noProof/>
                <w:kern w:val="2"/>
                <w:sz w:val="24"/>
                <w:szCs w:val="24"/>
                <w:u w:val="none"/>
                <w14:ligatures w14:val="standardContextual"/>
              </w:rPr>
              <w:tab/>
            </w:r>
            <w:r w:rsidRPr="00F954AC">
              <w:rPr>
                <w:rStyle w:val="Hyperlink"/>
                <w:rFonts w:ascii="Times New Roman" w:hAnsi="Times New Roman"/>
                <w:b w:val="0"/>
                <w:bCs w:val="0"/>
                <w:noProof/>
              </w:rPr>
              <w:t>Methodology and Sampling</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_Toc204471194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4</w:t>
            </w:r>
            <w:r w:rsidRPr="00F954AC">
              <w:rPr>
                <w:rFonts w:ascii="Times New Roman" w:hAnsi="Times New Roman"/>
                <w:b w:val="0"/>
                <w:bCs w:val="0"/>
                <w:noProof/>
                <w:webHidden/>
              </w:rPr>
              <w:fldChar w:fldCharType="end"/>
            </w:r>
          </w:hyperlink>
        </w:p>
        <w:p w14:paraId="42E23E80" w14:textId="65D8977C" w:rsidR="00F954AC" w:rsidRPr="00F954AC" w:rsidRDefault="00F954AC">
          <w:pPr>
            <w:pStyle w:val="TOC1"/>
            <w:tabs>
              <w:tab w:val="left" w:pos="423"/>
              <w:tab w:val="right" w:leader="dot" w:pos="9350"/>
            </w:tabs>
            <w:rPr>
              <w:rFonts w:ascii="Times New Roman" w:eastAsiaTheme="minorEastAsia" w:hAnsi="Times New Roman"/>
              <w:b w:val="0"/>
              <w:bCs w:val="0"/>
              <w:caps w:val="0"/>
              <w:noProof/>
              <w:kern w:val="2"/>
              <w:sz w:val="24"/>
              <w:szCs w:val="24"/>
              <w:u w:val="none"/>
              <w14:ligatures w14:val="standardContextual"/>
            </w:rPr>
          </w:pPr>
          <w:hyperlink w:anchor="_Toc204471195" w:history="1">
            <w:r w:rsidRPr="00F954AC">
              <w:rPr>
                <w:rStyle w:val="Hyperlink"/>
                <w:rFonts w:ascii="Times New Roman" w:hAnsi="Times New Roman"/>
                <w:b w:val="0"/>
                <w:bCs w:val="0"/>
                <w:noProof/>
              </w:rPr>
              <w:t>3.</w:t>
            </w:r>
            <w:r w:rsidRPr="00F954AC">
              <w:rPr>
                <w:rFonts w:ascii="Times New Roman" w:eastAsiaTheme="minorEastAsia" w:hAnsi="Times New Roman"/>
                <w:b w:val="0"/>
                <w:bCs w:val="0"/>
                <w:caps w:val="0"/>
                <w:noProof/>
                <w:kern w:val="2"/>
                <w:sz w:val="24"/>
                <w:szCs w:val="24"/>
                <w:u w:val="none"/>
                <w14:ligatures w14:val="standardContextual"/>
              </w:rPr>
              <w:tab/>
            </w:r>
            <w:r w:rsidRPr="00F954AC">
              <w:rPr>
                <w:rStyle w:val="Hyperlink"/>
                <w:rFonts w:ascii="Times New Roman" w:hAnsi="Times New Roman"/>
                <w:b w:val="0"/>
                <w:bCs w:val="0"/>
                <w:noProof/>
              </w:rPr>
              <w:t>Literature Review</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_Toc204471195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5</w:t>
            </w:r>
            <w:r w:rsidRPr="00F954AC">
              <w:rPr>
                <w:rFonts w:ascii="Times New Roman" w:hAnsi="Times New Roman"/>
                <w:b w:val="0"/>
                <w:bCs w:val="0"/>
                <w:noProof/>
                <w:webHidden/>
              </w:rPr>
              <w:fldChar w:fldCharType="end"/>
            </w:r>
          </w:hyperlink>
        </w:p>
        <w:p w14:paraId="7C8486FE" w14:textId="2B87EC53" w:rsidR="00F954AC" w:rsidRPr="00F954AC" w:rsidRDefault="00F954AC">
          <w:pPr>
            <w:pStyle w:val="TOC2"/>
            <w:tabs>
              <w:tab w:val="right" w:leader="dot" w:pos="9350"/>
            </w:tabs>
            <w:rPr>
              <w:rFonts w:ascii="Times New Roman" w:eastAsiaTheme="minorEastAsia" w:hAnsi="Times New Roman"/>
              <w:b w:val="0"/>
              <w:bCs w:val="0"/>
              <w:smallCaps w:val="0"/>
              <w:noProof/>
              <w:kern w:val="2"/>
              <w:sz w:val="24"/>
              <w:szCs w:val="24"/>
              <w14:ligatures w14:val="standardContextual"/>
            </w:rPr>
          </w:pPr>
          <w:hyperlink w:anchor="_Toc204471196" w:history="1">
            <w:r w:rsidRPr="00F954AC">
              <w:rPr>
                <w:rStyle w:val="Hyperlink"/>
                <w:rFonts w:ascii="Times New Roman" w:hAnsi="Times New Roman"/>
                <w:b w:val="0"/>
                <w:bCs w:val="0"/>
                <w:noProof/>
              </w:rPr>
              <w:t>3.1  Introduction</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_Toc204471196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5</w:t>
            </w:r>
            <w:r w:rsidRPr="00F954AC">
              <w:rPr>
                <w:rFonts w:ascii="Times New Roman" w:hAnsi="Times New Roman"/>
                <w:b w:val="0"/>
                <w:bCs w:val="0"/>
                <w:noProof/>
                <w:webHidden/>
              </w:rPr>
              <w:fldChar w:fldCharType="end"/>
            </w:r>
          </w:hyperlink>
        </w:p>
        <w:p w14:paraId="033BBDF5" w14:textId="4A026E6F" w:rsidR="00F954AC" w:rsidRPr="00F954AC" w:rsidRDefault="00F954AC">
          <w:pPr>
            <w:pStyle w:val="TOC2"/>
            <w:tabs>
              <w:tab w:val="right" w:leader="dot" w:pos="9350"/>
            </w:tabs>
            <w:rPr>
              <w:rFonts w:ascii="Times New Roman" w:eastAsiaTheme="minorEastAsia" w:hAnsi="Times New Roman"/>
              <w:b w:val="0"/>
              <w:bCs w:val="0"/>
              <w:smallCaps w:val="0"/>
              <w:noProof/>
              <w:kern w:val="2"/>
              <w:sz w:val="24"/>
              <w:szCs w:val="24"/>
              <w14:ligatures w14:val="standardContextual"/>
            </w:rPr>
          </w:pPr>
          <w:hyperlink w:anchor="_Toc204471197" w:history="1">
            <w:r w:rsidRPr="00F954AC">
              <w:rPr>
                <w:rStyle w:val="Hyperlink"/>
                <w:rFonts w:ascii="Times New Roman" w:hAnsi="Times New Roman"/>
                <w:b w:val="0"/>
                <w:bCs w:val="0"/>
                <w:noProof/>
              </w:rPr>
              <w:t>3.2  Body of the Review</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_Toc204471197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7</w:t>
            </w:r>
            <w:r w:rsidRPr="00F954AC">
              <w:rPr>
                <w:rFonts w:ascii="Times New Roman" w:hAnsi="Times New Roman"/>
                <w:b w:val="0"/>
                <w:bCs w:val="0"/>
                <w:noProof/>
                <w:webHidden/>
              </w:rPr>
              <w:fldChar w:fldCharType="end"/>
            </w:r>
          </w:hyperlink>
        </w:p>
        <w:p w14:paraId="25F300E6" w14:textId="509FAC4A" w:rsidR="00F954AC" w:rsidRPr="00F954AC" w:rsidRDefault="00F954AC">
          <w:pPr>
            <w:pStyle w:val="TOC2"/>
            <w:tabs>
              <w:tab w:val="right" w:leader="dot" w:pos="9350"/>
            </w:tabs>
            <w:rPr>
              <w:rFonts w:ascii="Times New Roman" w:eastAsiaTheme="minorEastAsia" w:hAnsi="Times New Roman"/>
              <w:b w:val="0"/>
              <w:bCs w:val="0"/>
              <w:smallCaps w:val="0"/>
              <w:noProof/>
              <w:kern w:val="2"/>
              <w:sz w:val="24"/>
              <w:szCs w:val="24"/>
              <w14:ligatures w14:val="standardContextual"/>
            </w:rPr>
          </w:pPr>
          <w:hyperlink w:anchor="_Toc204471198" w:history="1">
            <w:r w:rsidRPr="00F954AC">
              <w:rPr>
                <w:rStyle w:val="Hyperlink"/>
                <w:rFonts w:ascii="Times New Roman" w:hAnsi="Times New Roman"/>
                <w:b w:val="0"/>
                <w:bCs w:val="0"/>
                <w:noProof/>
              </w:rPr>
              <w:t>3.3  Research Gaps</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_Toc204471198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11</w:t>
            </w:r>
            <w:r w:rsidRPr="00F954AC">
              <w:rPr>
                <w:rFonts w:ascii="Times New Roman" w:hAnsi="Times New Roman"/>
                <w:b w:val="0"/>
                <w:bCs w:val="0"/>
                <w:noProof/>
                <w:webHidden/>
              </w:rPr>
              <w:fldChar w:fldCharType="end"/>
            </w:r>
          </w:hyperlink>
        </w:p>
        <w:p w14:paraId="7676476D" w14:textId="0305D032" w:rsidR="00F954AC" w:rsidRPr="00F954AC" w:rsidRDefault="00F954AC">
          <w:pPr>
            <w:pStyle w:val="TOC2"/>
            <w:tabs>
              <w:tab w:val="right" w:leader="dot" w:pos="9350"/>
            </w:tabs>
            <w:rPr>
              <w:rFonts w:ascii="Times New Roman" w:eastAsiaTheme="minorEastAsia" w:hAnsi="Times New Roman"/>
              <w:b w:val="0"/>
              <w:bCs w:val="0"/>
              <w:smallCaps w:val="0"/>
              <w:noProof/>
              <w:kern w:val="2"/>
              <w:sz w:val="24"/>
              <w:szCs w:val="24"/>
              <w14:ligatures w14:val="standardContextual"/>
            </w:rPr>
          </w:pPr>
          <w:hyperlink w:anchor="_Toc204471199" w:history="1">
            <w:r w:rsidRPr="00F954AC">
              <w:rPr>
                <w:rStyle w:val="Hyperlink"/>
                <w:rFonts w:ascii="Times New Roman" w:hAnsi="Times New Roman"/>
                <w:b w:val="0"/>
                <w:bCs w:val="0"/>
                <w:noProof/>
              </w:rPr>
              <w:t>3.4  Conclusion of Literature Review</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_Toc204471199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14</w:t>
            </w:r>
            <w:r w:rsidRPr="00F954AC">
              <w:rPr>
                <w:rFonts w:ascii="Times New Roman" w:hAnsi="Times New Roman"/>
                <w:b w:val="0"/>
                <w:bCs w:val="0"/>
                <w:noProof/>
                <w:webHidden/>
              </w:rPr>
              <w:fldChar w:fldCharType="end"/>
            </w:r>
          </w:hyperlink>
        </w:p>
        <w:p w14:paraId="329F2991" w14:textId="4949549E" w:rsidR="00F954AC" w:rsidRPr="00F954AC" w:rsidRDefault="00F954AC">
          <w:pPr>
            <w:pStyle w:val="TOC1"/>
            <w:tabs>
              <w:tab w:val="left" w:pos="423"/>
              <w:tab w:val="right" w:leader="dot" w:pos="9350"/>
            </w:tabs>
            <w:rPr>
              <w:rFonts w:ascii="Times New Roman" w:eastAsiaTheme="minorEastAsia" w:hAnsi="Times New Roman"/>
              <w:b w:val="0"/>
              <w:bCs w:val="0"/>
              <w:caps w:val="0"/>
              <w:noProof/>
              <w:kern w:val="2"/>
              <w:sz w:val="24"/>
              <w:szCs w:val="24"/>
              <w:u w:val="none"/>
              <w14:ligatures w14:val="standardContextual"/>
            </w:rPr>
          </w:pPr>
          <w:hyperlink w:anchor="_Toc204471200" w:history="1">
            <w:r w:rsidRPr="00F954AC">
              <w:rPr>
                <w:rStyle w:val="Hyperlink"/>
                <w:rFonts w:ascii="Times New Roman" w:hAnsi="Times New Roman"/>
                <w:b w:val="0"/>
                <w:bCs w:val="0"/>
                <w:noProof/>
              </w:rPr>
              <w:t>4.</w:t>
            </w:r>
            <w:r w:rsidRPr="00F954AC">
              <w:rPr>
                <w:rFonts w:ascii="Times New Roman" w:eastAsiaTheme="minorEastAsia" w:hAnsi="Times New Roman"/>
                <w:b w:val="0"/>
                <w:bCs w:val="0"/>
                <w:caps w:val="0"/>
                <w:noProof/>
                <w:kern w:val="2"/>
                <w:sz w:val="24"/>
                <w:szCs w:val="24"/>
                <w:u w:val="none"/>
                <w14:ligatures w14:val="standardContextual"/>
              </w:rPr>
              <w:tab/>
            </w:r>
            <w:r w:rsidRPr="00F954AC">
              <w:rPr>
                <w:rStyle w:val="Hyperlink"/>
                <w:rFonts w:ascii="Times New Roman" w:hAnsi="Times New Roman"/>
                <w:b w:val="0"/>
                <w:bCs w:val="0"/>
                <w:noProof/>
              </w:rPr>
              <w:t>Annotated Bibliography</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_Toc204471200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16</w:t>
            </w:r>
            <w:r w:rsidRPr="00F954AC">
              <w:rPr>
                <w:rFonts w:ascii="Times New Roman" w:hAnsi="Times New Roman"/>
                <w:b w:val="0"/>
                <w:bCs w:val="0"/>
                <w:noProof/>
                <w:webHidden/>
              </w:rPr>
              <w:fldChar w:fldCharType="end"/>
            </w:r>
          </w:hyperlink>
        </w:p>
        <w:p w14:paraId="1F0A7B04" w14:textId="3C131F4F" w:rsidR="00F954AC" w:rsidRPr="00F954AC" w:rsidRDefault="00F954AC">
          <w:pPr>
            <w:pStyle w:val="TOC1"/>
            <w:tabs>
              <w:tab w:val="left" w:pos="423"/>
              <w:tab w:val="right" w:leader="dot" w:pos="9350"/>
            </w:tabs>
            <w:rPr>
              <w:rFonts w:ascii="Times New Roman" w:eastAsiaTheme="minorEastAsia" w:hAnsi="Times New Roman"/>
              <w:b w:val="0"/>
              <w:bCs w:val="0"/>
              <w:caps w:val="0"/>
              <w:noProof/>
              <w:kern w:val="2"/>
              <w:sz w:val="24"/>
              <w:szCs w:val="24"/>
              <w:u w:val="none"/>
              <w14:ligatures w14:val="standardContextual"/>
            </w:rPr>
          </w:pPr>
          <w:hyperlink w:anchor="_Toc204471201" w:history="1">
            <w:r w:rsidRPr="00F954AC">
              <w:rPr>
                <w:rStyle w:val="Hyperlink"/>
                <w:rFonts w:ascii="Times New Roman" w:hAnsi="Times New Roman"/>
                <w:b w:val="0"/>
                <w:bCs w:val="0"/>
                <w:noProof/>
              </w:rPr>
              <w:t>5.</w:t>
            </w:r>
            <w:r w:rsidRPr="00F954AC">
              <w:rPr>
                <w:rFonts w:ascii="Times New Roman" w:eastAsiaTheme="minorEastAsia" w:hAnsi="Times New Roman"/>
                <w:b w:val="0"/>
                <w:bCs w:val="0"/>
                <w:caps w:val="0"/>
                <w:noProof/>
                <w:kern w:val="2"/>
                <w:sz w:val="24"/>
                <w:szCs w:val="24"/>
                <w:u w:val="none"/>
                <w14:ligatures w14:val="standardContextual"/>
              </w:rPr>
              <w:tab/>
            </w:r>
            <w:r w:rsidRPr="00F954AC">
              <w:rPr>
                <w:rStyle w:val="Hyperlink"/>
                <w:rFonts w:ascii="Times New Roman" w:hAnsi="Times New Roman"/>
                <w:b w:val="0"/>
                <w:bCs w:val="0"/>
                <w:noProof/>
              </w:rPr>
              <w:t>Appendix:</w:t>
            </w:r>
            <w:r w:rsidRPr="00F954AC">
              <w:rPr>
                <w:rFonts w:ascii="Times New Roman" w:hAnsi="Times New Roman"/>
                <w:b w:val="0"/>
                <w:bCs w:val="0"/>
                <w:noProof/>
                <w:webHidden/>
              </w:rPr>
              <w:tab/>
            </w:r>
            <w:r w:rsidRPr="00F954AC">
              <w:rPr>
                <w:rFonts w:ascii="Times New Roman" w:hAnsi="Times New Roman"/>
                <w:b w:val="0"/>
                <w:bCs w:val="0"/>
                <w:noProof/>
                <w:webHidden/>
              </w:rPr>
              <w:fldChar w:fldCharType="begin"/>
            </w:r>
            <w:r w:rsidRPr="00F954AC">
              <w:rPr>
                <w:rFonts w:ascii="Times New Roman" w:hAnsi="Times New Roman"/>
                <w:b w:val="0"/>
                <w:bCs w:val="0"/>
                <w:noProof/>
                <w:webHidden/>
              </w:rPr>
              <w:instrText xml:space="preserve"> PAGEREF _Toc204471201 \h </w:instrText>
            </w:r>
            <w:r w:rsidRPr="00F954AC">
              <w:rPr>
                <w:rFonts w:ascii="Times New Roman" w:hAnsi="Times New Roman"/>
                <w:b w:val="0"/>
                <w:bCs w:val="0"/>
                <w:noProof/>
                <w:webHidden/>
              </w:rPr>
            </w:r>
            <w:r w:rsidRPr="00F954AC">
              <w:rPr>
                <w:rFonts w:ascii="Times New Roman" w:hAnsi="Times New Roman"/>
                <w:b w:val="0"/>
                <w:bCs w:val="0"/>
                <w:noProof/>
                <w:webHidden/>
              </w:rPr>
              <w:fldChar w:fldCharType="separate"/>
            </w:r>
            <w:r w:rsidR="008C2B13">
              <w:rPr>
                <w:rFonts w:ascii="Times New Roman" w:hAnsi="Times New Roman"/>
                <w:b w:val="0"/>
                <w:bCs w:val="0"/>
                <w:noProof/>
                <w:webHidden/>
              </w:rPr>
              <w:t>28</w:t>
            </w:r>
            <w:r w:rsidRPr="00F954AC">
              <w:rPr>
                <w:rFonts w:ascii="Times New Roman" w:hAnsi="Times New Roman"/>
                <w:b w:val="0"/>
                <w:bCs w:val="0"/>
                <w:noProof/>
                <w:webHidden/>
              </w:rPr>
              <w:fldChar w:fldCharType="end"/>
            </w:r>
          </w:hyperlink>
        </w:p>
        <w:p w14:paraId="2C37A62D" w14:textId="701E0C09" w:rsidR="00D24B3E" w:rsidRDefault="00D24B3E">
          <w:r w:rsidRPr="00F954AC">
            <w:rPr>
              <w:noProof/>
            </w:rPr>
            <w:fldChar w:fldCharType="end"/>
          </w:r>
        </w:p>
      </w:sdtContent>
    </w:sdt>
    <w:p w14:paraId="46AC1F4D" w14:textId="66C84CC5" w:rsidR="00FE6CCB" w:rsidRDefault="00FE6CCB">
      <w:pPr>
        <w:rPr>
          <w:b/>
          <w:bCs/>
          <w:spacing w:val="5"/>
        </w:rPr>
      </w:pPr>
      <w:r>
        <w:rPr>
          <w:b/>
          <w:bCs/>
          <w:spacing w:val="5"/>
        </w:rPr>
        <w:br w:type="page"/>
      </w:r>
    </w:p>
    <w:p w14:paraId="3FE01D1F" w14:textId="3A33EE56" w:rsidR="00F02E2D" w:rsidRPr="00FE5713" w:rsidRDefault="00000000">
      <w:pPr>
        <w:pBdr>
          <w:bottom w:val="single" w:sz="8" w:space="4" w:color="4F81BD"/>
        </w:pBdr>
        <w:jc w:val="both"/>
        <w:rPr>
          <w:b/>
          <w:bCs/>
          <w:spacing w:val="5"/>
        </w:rPr>
      </w:pPr>
      <w:r>
        <w:rPr>
          <w:b/>
          <w:bCs/>
          <w:spacing w:val="5"/>
        </w:rPr>
        <w:lastRenderedPageBreak/>
        <w:t>Title:</w:t>
      </w:r>
      <w:r>
        <w:rPr>
          <w:b/>
          <w:bCs/>
          <w:spacing w:val="5"/>
        </w:rPr>
        <w:br/>
      </w:r>
      <w:r>
        <w:rPr>
          <w:spacing w:val="5"/>
        </w:rPr>
        <w:t xml:space="preserve">Exploring Digital Trade Finance Impact </w:t>
      </w:r>
      <w:r w:rsidR="009871AD">
        <w:rPr>
          <w:spacing w:val="5"/>
        </w:rPr>
        <w:t>on</w:t>
      </w:r>
      <w:r>
        <w:rPr>
          <w:spacing w:val="5"/>
        </w:rPr>
        <w:t xml:space="preserve"> Fee Income Across North Asian Banks</w:t>
      </w:r>
    </w:p>
    <w:p w14:paraId="13CA0A5A" w14:textId="77777777" w:rsidR="00F02E2D" w:rsidRDefault="00F02E2D">
      <w:pPr>
        <w:pBdr>
          <w:bottom w:val="single" w:sz="8" w:space="4" w:color="4F81BD"/>
        </w:pBdr>
        <w:spacing w:after="300"/>
        <w:jc w:val="both"/>
      </w:pPr>
    </w:p>
    <w:p w14:paraId="48FBDB3D" w14:textId="47527AAE" w:rsidR="00F02E2D" w:rsidRPr="00D24B3E" w:rsidRDefault="008801AA" w:rsidP="00D24B3E">
      <w:pPr>
        <w:pStyle w:val="Heading1"/>
        <w:numPr>
          <w:ilvl w:val="0"/>
          <w:numId w:val="12"/>
        </w:numPr>
        <w:ind w:hanging="720"/>
        <w:rPr>
          <w:sz w:val="24"/>
          <w:szCs w:val="24"/>
        </w:rPr>
      </w:pPr>
      <w:r w:rsidRPr="00D24B3E">
        <w:rPr>
          <w:sz w:val="24"/>
          <w:szCs w:val="24"/>
        </w:rPr>
        <w:t xml:space="preserve"> </w:t>
      </w:r>
      <w:bookmarkStart w:id="0" w:name="_Toc204471193"/>
      <w:r w:rsidRPr="00D24B3E">
        <w:rPr>
          <w:sz w:val="24"/>
          <w:szCs w:val="24"/>
        </w:rPr>
        <w:t>Abstract</w:t>
      </w:r>
      <w:bookmarkEnd w:id="0"/>
    </w:p>
    <w:p w14:paraId="6B901C8D" w14:textId="4A67BB95" w:rsidR="00B2055E" w:rsidRPr="00D24B3E" w:rsidRDefault="00B2055E" w:rsidP="0022152C">
      <w:pPr>
        <w:autoSpaceDE w:val="0"/>
        <w:autoSpaceDN w:val="0"/>
        <w:adjustRightInd w:val="0"/>
        <w:spacing w:after="240" w:line="276" w:lineRule="auto"/>
        <w:jc w:val="both"/>
        <w:rPr>
          <w:color w:val="000000"/>
        </w:rPr>
      </w:pPr>
      <w:r w:rsidRPr="00D24B3E">
        <w:rPr>
          <w:color w:val="000000"/>
        </w:rPr>
        <w:t xml:space="preserve">Trade finance underpins trillions in global commerce but remains one of the most operationally inefficient domains in banking, constrained by manual workflows, paper-based documentation, and fragmented systems. </w:t>
      </w:r>
      <w:r w:rsidR="001F7D9B">
        <w:rPr>
          <w:color w:val="000000"/>
        </w:rPr>
        <w:t>These legacy infrastructures have become increasingly unsustainable in the evolving digital economy, where responsiveness, compliance, and agility are essential</w:t>
      </w:r>
      <w:r w:rsidRPr="00D24B3E">
        <w:rPr>
          <w:color w:val="000000"/>
        </w:rPr>
        <w:t xml:space="preserve">. </w:t>
      </w:r>
      <w:r w:rsidR="0006282F">
        <w:rPr>
          <w:color w:val="000000"/>
        </w:rPr>
        <w:t>D</w:t>
      </w:r>
      <w:r w:rsidR="00A1009C" w:rsidRPr="00D24B3E">
        <w:rPr>
          <w:color w:val="000000"/>
        </w:rPr>
        <w:t xml:space="preserve">igital </w:t>
      </w:r>
      <w:r w:rsidRPr="00D24B3E">
        <w:rPr>
          <w:color w:val="000000"/>
        </w:rPr>
        <w:t xml:space="preserve">innovations have initiated </w:t>
      </w:r>
      <w:r w:rsidR="0086388B">
        <w:rPr>
          <w:color w:val="000000"/>
        </w:rPr>
        <w:t xml:space="preserve">a </w:t>
      </w:r>
      <w:r w:rsidRPr="00D24B3E">
        <w:rPr>
          <w:color w:val="000000"/>
        </w:rPr>
        <w:t xml:space="preserve">transformation, </w:t>
      </w:r>
      <w:r w:rsidR="001F7D9B">
        <w:rPr>
          <w:color w:val="000000"/>
        </w:rPr>
        <w:t xml:space="preserve">and </w:t>
      </w:r>
      <w:r w:rsidR="00A1009C" w:rsidRPr="00D24B3E">
        <w:rPr>
          <w:color w:val="000000"/>
        </w:rPr>
        <w:t>the income-generating potential of digital trade finance platforms</w:t>
      </w:r>
      <w:r w:rsidR="00E926DC" w:rsidRPr="00D24B3E">
        <w:rPr>
          <w:color w:val="000000"/>
        </w:rPr>
        <w:t>, both</w:t>
      </w:r>
      <w:r w:rsidR="00A1009C" w:rsidRPr="00D24B3E">
        <w:rPr>
          <w:color w:val="000000"/>
        </w:rPr>
        <w:t xml:space="preserve"> at the service level and within </w:t>
      </w:r>
      <w:r w:rsidR="00D31413" w:rsidRPr="00D24B3E">
        <w:rPr>
          <w:color w:val="000000"/>
        </w:rPr>
        <w:t>interconnected stakeholder networks</w:t>
      </w:r>
      <w:r w:rsidR="00E926DC" w:rsidRPr="00D24B3E">
        <w:rPr>
          <w:color w:val="000000"/>
        </w:rPr>
        <w:t>,</w:t>
      </w:r>
      <w:r w:rsidR="00A1009C" w:rsidRPr="00D24B3E">
        <w:rPr>
          <w:color w:val="000000"/>
        </w:rPr>
        <w:t xml:space="preserve"> remains underexplored in academic and industry research. </w:t>
      </w:r>
      <w:r w:rsidR="0086388B">
        <w:rPr>
          <w:color w:val="000000"/>
        </w:rPr>
        <w:t>The e</w:t>
      </w:r>
      <w:r w:rsidR="00073DAA" w:rsidRPr="00D24B3E">
        <w:t>xisting literature emphasizes efficiency and digital maturity</w:t>
      </w:r>
      <w:r w:rsidR="0086388B">
        <w:t>,</w:t>
      </w:r>
      <w:r w:rsidR="00073DAA" w:rsidRPr="00D24B3E">
        <w:t xml:space="preserve"> but offers limited insight into monetization, institutional alignment, and value creation through platform orchestration</w:t>
      </w:r>
      <w:r w:rsidRPr="00D24B3E">
        <w:rPr>
          <w:color w:val="000000"/>
        </w:rPr>
        <w:t>.</w:t>
      </w:r>
    </w:p>
    <w:p w14:paraId="4ABA1B7B" w14:textId="089420B8" w:rsidR="00B57159" w:rsidRPr="00D24B3E" w:rsidRDefault="00E11020" w:rsidP="0022152C">
      <w:pPr>
        <w:autoSpaceDE w:val="0"/>
        <w:autoSpaceDN w:val="0"/>
        <w:adjustRightInd w:val="0"/>
        <w:spacing w:after="240" w:line="276" w:lineRule="auto"/>
        <w:jc w:val="both"/>
      </w:pPr>
      <w:r>
        <w:rPr>
          <w:b/>
          <w:bCs/>
        </w:rPr>
        <w:t>This study aims</w:t>
      </w:r>
      <w:r w:rsidR="00D81885" w:rsidRPr="00D24B3E">
        <w:rPr>
          <w:b/>
          <w:bCs/>
        </w:rPr>
        <w:t xml:space="preserve"> to investigate the relationship between </w:t>
      </w:r>
      <w:r w:rsidR="00E926DC" w:rsidRPr="00D24B3E">
        <w:rPr>
          <w:b/>
          <w:bCs/>
        </w:rPr>
        <w:t xml:space="preserve">the adoption of </w:t>
      </w:r>
      <w:r w:rsidR="00D81885" w:rsidRPr="00D24B3E">
        <w:rPr>
          <w:b/>
          <w:bCs/>
        </w:rPr>
        <w:t>digital trade finance platform</w:t>
      </w:r>
      <w:r w:rsidR="00E926DC" w:rsidRPr="00D24B3E">
        <w:rPr>
          <w:b/>
          <w:bCs/>
        </w:rPr>
        <w:t>s</w:t>
      </w:r>
      <w:r w:rsidR="00D81885" w:rsidRPr="00D24B3E">
        <w:rPr>
          <w:b/>
          <w:bCs/>
        </w:rPr>
        <w:t xml:space="preserve"> and the generation of sustainable income in corporate banking.</w:t>
      </w:r>
      <w:r w:rsidR="00D81885" w:rsidRPr="00D24B3E">
        <w:t xml:space="preserve"> Through a qualitative, multiple-case study design, the research focuses on five North Asian markets</w:t>
      </w:r>
      <w:r w:rsidR="00E926DC" w:rsidRPr="00D24B3E">
        <w:t xml:space="preserve">: </w:t>
      </w:r>
      <w:r w:rsidR="00D81885" w:rsidRPr="00D24B3E">
        <w:t xml:space="preserve">Hong Kong, China, Japan, South Korea, and Taiwan, each varying in </w:t>
      </w:r>
      <w:r w:rsidR="00E926DC" w:rsidRPr="00D24B3E">
        <w:t xml:space="preserve">terms of </w:t>
      </w:r>
      <w:r w:rsidR="00D81885" w:rsidRPr="00D24B3E">
        <w:t>regulatory development, digital maturity</w:t>
      </w:r>
      <w:r w:rsidR="00A011E8" w:rsidRPr="00D24B3E">
        <w:rPr>
          <w:rStyle w:val="FootnoteReference"/>
        </w:rPr>
        <w:footnoteReference w:id="1"/>
      </w:r>
      <w:r w:rsidR="0086388B">
        <w:t>,</w:t>
      </w:r>
      <w:r>
        <w:t xml:space="preserve"> </w:t>
      </w:r>
      <w:r w:rsidR="00D81885" w:rsidRPr="00D24B3E">
        <w:t>and client sophistication.</w:t>
      </w:r>
    </w:p>
    <w:p w14:paraId="332C1899" w14:textId="6049F7EB" w:rsidR="000B4273" w:rsidRPr="00D24B3E" w:rsidRDefault="00B57159" w:rsidP="0022152C">
      <w:pPr>
        <w:spacing w:line="276" w:lineRule="auto"/>
        <w:jc w:val="both"/>
        <w:rPr>
          <w:color w:val="000000"/>
        </w:rPr>
      </w:pPr>
      <w:r w:rsidRPr="00D24B3E">
        <w:t xml:space="preserve">This study advances theoretical understanding by positioning digital trade finance as a coordinated platform model, where monetization emerges from interdependent relationships among banks, </w:t>
      </w:r>
      <w:proofErr w:type="spellStart"/>
      <w:r w:rsidRPr="00D24B3E">
        <w:t>fintechs</w:t>
      </w:r>
      <w:proofErr w:type="spellEnd"/>
      <w:r w:rsidRPr="00D24B3E">
        <w:t xml:space="preserve">, clients, and regulators. </w:t>
      </w:r>
      <w:r w:rsidR="00E926DC" w:rsidRPr="00D24B3E">
        <w:rPr>
          <w:color w:val="000000"/>
        </w:rPr>
        <w:t xml:space="preserve">Unlike prior studies focused on process automation, this research explores income logic embedded in </w:t>
      </w:r>
      <w:r w:rsidR="00D31413" w:rsidRPr="00D24B3E">
        <w:rPr>
          <w:color w:val="000000"/>
        </w:rPr>
        <w:t xml:space="preserve">the </w:t>
      </w:r>
      <w:r w:rsidR="00E926DC" w:rsidRPr="00D24B3E">
        <w:rPr>
          <w:color w:val="000000"/>
        </w:rPr>
        <w:t>trade platform</w:t>
      </w:r>
      <w:r w:rsidR="00E926DC" w:rsidRPr="00D24B3E">
        <w:t xml:space="preserve">, </w:t>
      </w:r>
      <w:r w:rsidRPr="00D24B3E">
        <w:t>highlight</w:t>
      </w:r>
      <w:r w:rsidR="00E926DC" w:rsidRPr="00D24B3E">
        <w:t>ing</w:t>
      </w:r>
      <w:r w:rsidRPr="00D24B3E">
        <w:t xml:space="preserve"> collaborative strategies as drivers of recurring, service-based income. Corporate banks are redefined as orchestrators aligning digital infrastructure with regulatory compliance and client engagement. </w:t>
      </w:r>
      <w:r w:rsidR="00B2055E" w:rsidRPr="00D24B3E">
        <w:rPr>
          <w:color w:val="000000"/>
        </w:rPr>
        <w:t xml:space="preserve">Findings offer strategic insights for banks seeking income diversification, </w:t>
      </w:r>
      <w:proofErr w:type="spellStart"/>
      <w:r w:rsidR="00B2055E" w:rsidRPr="00D24B3E">
        <w:rPr>
          <w:color w:val="000000"/>
        </w:rPr>
        <w:t>fintechs</w:t>
      </w:r>
      <w:proofErr w:type="spellEnd"/>
      <w:r w:rsidR="00B2055E" w:rsidRPr="00D24B3E">
        <w:rPr>
          <w:color w:val="000000"/>
        </w:rPr>
        <w:t xml:space="preserve"> designing scalable integration models, and policymakers supporting sustainable digital trade ecosystems in North Asia.</w:t>
      </w:r>
      <w:r w:rsidR="00D31413" w:rsidRPr="00D24B3E">
        <w:rPr>
          <w:color w:val="000000"/>
        </w:rPr>
        <w:t xml:space="preserve"> This paper ex</w:t>
      </w:r>
      <w:r w:rsidR="0086388B">
        <w:rPr>
          <w:color w:val="000000"/>
        </w:rPr>
        <w:t>amin</w:t>
      </w:r>
      <w:r w:rsidR="00D31413" w:rsidRPr="00D24B3E">
        <w:rPr>
          <w:color w:val="000000"/>
        </w:rPr>
        <w:t xml:space="preserve">es whether digital trade finance innovations generate recurring </w:t>
      </w:r>
      <w:r w:rsidR="00E11020">
        <w:rPr>
          <w:color w:val="000000"/>
        </w:rPr>
        <w:t>bank income</w:t>
      </w:r>
      <w:r w:rsidR="0086388B">
        <w:rPr>
          <w:color w:val="000000"/>
        </w:rPr>
        <w:t>,</w:t>
      </w:r>
      <w:r w:rsidR="00073DAA" w:rsidRPr="00D24B3E">
        <w:rPr>
          <w:color w:val="000000"/>
        </w:rPr>
        <w:t xml:space="preserve"> </w:t>
      </w:r>
      <w:r w:rsidR="0086388B">
        <w:rPr>
          <w:color w:val="000000"/>
        </w:rPr>
        <w:t>thereby ensuring</w:t>
      </w:r>
      <w:r w:rsidR="00073DAA" w:rsidRPr="00D24B3E">
        <w:rPr>
          <w:color w:val="000000"/>
        </w:rPr>
        <w:t xml:space="preserve"> operational sustainability</w:t>
      </w:r>
      <w:r w:rsidR="00D31413" w:rsidRPr="00D24B3E">
        <w:rPr>
          <w:color w:val="000000"/>
        </w:rPr>
        <w:t>.</w:t>
      </w:r>
    </w:p>
    <w:p w14:paraId="27FCA4E4" w14:textId="77777777" w:rsidR="00F614B4" w:rsidRPr="00D24B3E" w:rsidRDefault="00F614B4" w:rsidP="00EA48C6">
      <w:pPr>
        <w:jc w:val="both"/>
        <w:rPr>
          <w:color w:val="000000"/>
        </w:rPr>
      </w:pPr>
    </w:p>
    <w:p w14:paraId="3C240B37" w14:textId="12E7C16A" w:rsidR="00F614B4" w:rsidRPr="00D24B3E" w:rsidRDefault="00F614B4" w:rsidP="0022152C">
      <w:pPr>
        <w:spacing w:line="276" w:lineRule="auto"/>
      </w:pPr>
      <w:r w:rsidRPr="00D24B3E">
        <w:rPr>
          <w:b/>
          <w:bCs/>
        </w:rPr>
        <w:t>Keywords:</w:t>
      </w:r>
      <w:r w:rsidRPr="00D24B3E">
        <w:rPr>
          <w:b/>
          <w:bCs/>
        </w:rPr>
        <w:br/>
      </w:r>
      <w:r w:rsidRPr="00D24B3E">
        <w:t xml:space="preserve">Digital trade finance, income, </w:t>
      </w:r>
      <w:r w:rsidR="00560A7F" w:rsidRPr="00D24B3E">
        <w:t>c</w:t>
      </w:r>
      <w:r w:rsidRPr="00D24B3E">
        <w:t xml:space="preserve">orporate banking, </w:t>
      </w:r>
      <w:r w:rsidR="00560A7F" w:rsidRPr="00D24B3E">
        <w:t>p</w:t>
      </w:r>
      <w:r w:rsidRPr="00D24B3E">
        <w:t xml:space="preserve">latform, North Asia, </w:t>
      </w:r>
      <w:r w:rsidR="00560A7F" w:rsidRPr="00D24B3E">
        <w:t>d</w:t>
      </w:r>
      <w:r w:rsidRPr="00D24B3E">
        <w:t>igital transformation</w:t>
      </w:r>
    </w:p>
    <w:p w14:paraId="7E7727C6" w14:textId="77777777" w:rsidR="00B2055E" w:rsidRPr="00D24B3E" w:rsidRDefault="00B2055E" w:rsidP="0022152C">
      <w:pPr>
        <w:spacing w:line="276" w:lineRule="auto"/>
        <w:jc w:val="both"/>
      </w:pPr>
    </w:p>
    <w:p w14:paraId="63B1ADFB" w14:textId="77777777" w:rsidR="0022152C" w:rsidRPr="00D24B3E" w:rsidRDefault="0022152C">
      <w:pPr>
        <w:rPr>
          <w:b/>
          <w:bCs/>
          <w:color w:val="000000" w:themeColor="text1"/>
        </w:rPr>
      </w:pPr>
      <w:r w:rsidRPr="00D24B3E">
        <w:rPr>
          <w:b/>
          <w:bCs/>
          <w:color w:val="000000" w:themeColor="text1"/>
        </w:rPr>
        <w:br w:type="page"/>
      </w:r>
    </w:p>
    <w:p w14:paraId="61DD8D84" w14:textId="4028437B" w:rsidR="00FF4423" w:rsidRPr="00D24B3E" w:rsidRDefault="00F614B4" w:rsidP="00D24B3E">
      <w:pPr>
        <w:pStyle w:val="Heading1"/>
        <w:rPr>
          <w:sz w:val="24"/>
          <w:szCs w:val="24"/>
        </w:rPr>
      </w:pPr>
      <w:bookmarkStart w:id="1" w:name="_Toc204471194"/>
      <w:r w:rsidRPr="00D24B3E">
        <w:rPr>
          <w:sz w:val="24"/>
          <w:szCs w:val="24"/>
        </w:rPr>
        <w:lastRenderedPageBreak/>
        <w:t>2.</w:t>
      </w:r>
      <w:r w:rsidR="00EA48C6" w:rsidRPr="00D24B3E">
        <w:rPr>
          <w:sz w:val="24"/>
          <w:szCs w:val="24"/>
        </w:rPr>
        <w:t xml:space="preserve"> </w:t>
      </w:r>
      <w:r w:rsidR="00EA48C6" w:rsidRPr="00D24B3E">
        <w:rPr>
          <w:sz w:val="24"/>
          <w:szCs w:val="24"/>
        </w:rPr>
        <w:tab/>
      </w:r>
      <w:r w:rsidR="00FF4423" w:rsidRPr="00D24B3E">
        <w:rPr>
          <w:sz w:val="24"/>
          <w:szCs w:val="24"/>
        </w:rPr>
        <w:t>Methodology and Sampling</w:t>
      </w:r>
      <w:bookmarkEnd w:id="1"/>
    </w:p>
    <w:p w14:paraId="10629B1D" w14:textId="77777777" w:rsidR="00EA48C6" w:rsidRPr="00D24B3E" w:rsidRDefault="00EA48C6" w:rsidP="00EA48C6">
      <w:pPr>
        <w:jc w:val="both"/>
      </w:pPr>
    </w:p>
    <w:p w14:paraId="6FF20C33" w14:textId="74FEBB1F" w:rsidR="00073DAA" w:rsidRPr="00D24B3E" w:rsidRDefault="00EA48C6" w:rsidP="0022152C">
      <w:pPr>
        <w:autoSpaceDE w:val="0"/>
        <w:autoSpaceDN w:val="0"/>
        <w:adjustRightInd w:val="0"/>
        <w:spacing w:after="320" w:line="276" w:lineRule="auto"/>
        <w:jc w:val="both"/>
      </w:pPr>
      <w:r w:rsidRPr="00D24B3E">
        <w:t>This study adopts a qualitative</w:t>
      </w:r>
      <w:r w:rsidR="0086388B">
        <w:t xml:space="preserve"> and </w:t>
      </w:r>
      <w:r w:rsidRPr="00D24B3E">
        <w:t xml:space="preserve">case study design to examine corporate banks in North Asia monetize digital trade services within complex regulatory and operational environments. </w:t>
      </w:r>
      <w:r w:rsidR="00D26B48" w:rsidRPr="00D24B3E">
        <w:t xml:space="preserve">A qualitative case study is selected because it enables an in-depth examination of complex, real-world practices related to digital trade platform design, implementation, and monetization within institutional settings. </w:t>
      </w:r>
      <w:r w:rsidR="002126DD">
        <w:t>It captures strategic reasoning, contextual dynamics, and stakeholder interactions that influence revenue outcomes compared to survey or quantitative methods</w:t>
      </w:r>
      <w:r w:rsidR="00D26B48" w:rsidRPr="00D24B3E">
        <w:t xml:space="preserve">. This approach is appropriate for investigating platform-driven income generation across diverse regulatory and market conditions in North Asia. </w:t>
      </w:r>
      <w:r w:rsidR="00E926DC" w:rsidRPr="00D24B3E">
        <w:rPr>
          <w:color w:val="000000"/>
        </w:rPr>
        <w:t>Based on semi-structured interviews and internal document analysis, d</w:t>
      </w:r>
      <w:r w:rsidRPr="00D24B3E">
        <w:t xml:space="preserve">ata will be collected through two primary methods: (1) semi-structured interviews and (2) document analysis. </w:t>
      </w:r>
      <w:r w:rsidR="00073DAA" w:rsidRPr="00D24B3E">
        <w:t xml:space="preserve">Interviews will target transformation leaders, product heads, and senior </w:t>
      </w:r>
      <w:r w:rsidR="0086388B">
        <w:t>relationship managers</w:t>
      </w:r>
      <w:r w:rsidR="00073DAA" w:rsidRPr="00D24B3E">
        <w:t xml:space="preserve"> from 10 banks across Hong Kong, Japan, China, Korea, and Taiwan</w:t>
      </w:r>
      <w:r w:rsidRPr="00D24B3E">
        <w:t xml:space="preserve">. Targeted participants include digital transformation leads, trade product heads, and senior relationship managers directly responsible for </w:t>
      </w:r>
      <w:r w:rsidR="00073DAA" w:rsidRPr="00D24B3E">
        <w:t>designing</w:t>
      </w:r>
      <w:r w:rsidRPr="00D24B3E">
        <w:t>, deliver</w:t>
      </w:r>
      <w:r w:rsidR="00073DAA" w:rsidRPr="00D24B3E">
        <w:t>ing</w:t>
      </w:r>
      <w:r w:rsidRPr="00D24B3E">
        <w:t>, and commercializ</w:t>
      </w:r>
      <w:r w:rsidR="00073DAA" w:rsidRPr="00D24B3E">
        <w:t>ing</w:t>
      </w:r>
      <w:r w:rsidRPr="00D24B3E">
        <w:t xml:space="preserve"> digital trade finance platforms. </w:t>
      </w:r>
    </w:p>
    <w:p w14:paraId="252FEA4C" w14:textId="3BFD42FC" w:rsidR="00EA48C6" w:rsidRDefault="00EA48C6" w:rsidP="0022152C">
      <w:pPr>
        <w:autoSpaceDE w:val="0"/>
        <w:autoSpaceDN w:val="0"/>
        <w:adjustRightInd w:val="0"/>
        <w:spacing w:after="320" w:line="276" w:lineRule="auto"/>
        <w:jc w:val="both"/>
      </w:pPr>
      <w:r w:rsidRPr="00D24B3E">
        <w:t>To ensure the relevance and depth of insights, participants will be selected through purposive sampling, targeting professionals directly involved in the design, implementation, and commercialization of digital trade finance platforms. Recruitment will be facilitated through established banking networks such as Citibank (global), HSBC (Hong Kong), Hang Seng Bank (Hong Kong), Bank of East Asia (Hong Kong), Mizuho Bank (Japan), and Hana Bank (Korea) to ensure access to individuals with extensive, experience-based perspectives across both local and regional banking contexts. Purposive sampling will ensure that all participants possess domain-specific expertise and strategic oversight. In addition, one hundred online surveys may supplement qualitative insights to support thematic convergence. Interview data will be triangulated with document analysis, including internal strategy documents, platform roadmaps, fee schedules, onboarding materials, and publicly available resources such as annual reports, industry white papers, and press releases. Analysis will follow a thematic coding structure aligned with the study’s integrated theoretical framework. Initial open coding will identify patterns related to platform monetization, client onboarding, revenue attribution, and organizational alignment. This dual-method design enables a context-sensitive understanding of digital trade monetization, capturing insights beyond the reach of aggregate-level quantitative models.</w:t>
      </w:r>
    </w:p>
    <w:p w14:paraId="3434D750" w14:textId="59B182D9" w:rsidR="0055656F" w:rsidRPr="00D24B3E" w:rsidRDefault="0055656F" w:rsidP="0022152C">
      <w:pPr>
        <w:autoSpaceDE w:val="0"/>
        <w:autoSpaceDN w:val="0"/>
        <w:adjustRightInd w:val="0"/>
        <w:spacing w:after="320" w:line="276" w:lineRule="auto"/>
        <w:jc w:val="both"/>
      </w:pPr>
      <w:r>
        <w:rPr>
          <w:rFonts w:ascii="Times-Roman" w:hAnsi="Times-Roman" w:cs="Times-Roman"/>
        </w:rPr>
        <w:t>In the subsequent phase of this research, empirical constructs will be operationalized through a structured case study protocol to ensure consistency and analytical depth. Each case institution will be evaluated using a diagnostic framework that captures measurable indicators such as platform adoption maturity, fee-income breakdown by digital trade services (e.g., issuance, advising, discounting), client onboarding timelines, and marginal cost-to-serve. Supplementary metrics such as digital client lifetime value, service-level pricing models, and cross-selling effectiveness will support comparison across institutions and markets. Thematic coding from semi-</w:t>
      </w:r>
      <w:r>
        <w:rPr>
          <w:rFonts w:ascii="Times-Roman" w:hAnsi="Times-Roman" w:cs="Times-Roman"/>
        </w:rPr>
        <w:lastRenderedPageBreak/>
        <w:t>structured interviews will be cross-referenced with these quantitative indicators to enhance internal validity and contextual grounding. By aligning qualitative insights with bank-level performance data, this empirical design will enable more nuanced, evidence-based conclusions regarding the monetization of digital trade finance platforms.</w:t>
      </w:r>
    </w:p>
    <w:p w14:paraId="531FBB37" w14:textId="7DFF94FC" w:rsidR="00F02E2D" w:rsidRPr="00D24B3E" w:rsidRDefault="00EA48C6" w:rsidP="0022152C">
      <w:pPr>
        <w:autoSpaceDE w:val="0"/>
        <w:autoSpaceDN w:val="0"/>
        <w:adjustRightInd w:val="0"/>
        <w:spacing w:after="320" w:line="276" w:lineRule="auto"/>
        <w:jc w:val="both"/>
      </w:pPr>
      <w:r w:rsidRPr="00D24B3E">
        <w:t xml:space="preserve">The limitations of this study stem from its qualitative method of inquiry, which yields context-specific insights that are not statistically generalizable. The small number of participating institutions and challenges in securing a broad, representative sample of senior banking executives restrict the breadth of sector-wide generalizations. However, this narrower focus allows for a more in-depth, institution-level analysis of strategic and operational practices. Dependability is reinforced through methodological triangulation, as </w:t>
      </w:r>
      <w:r w:rsidR="005319C2" w:rsidRPr="00D24B3E">
        <w:t>the study applies RBV, TOE, and SDL</w:t>
      </w:r>
      <w:r w:rsidR="00560A7F" w:rsidRPr="00D24B3E">
        <w:rPr>
          <w:rStyle w:val="FootnoteReference"/>
        </w:rPr>
        <w:footnoteReference w:id="2"/>
      </w:r>
      <w:r w:rsidR="005319C2" w:rsidRPr="00D24B3E">
        <w:t xml:space="preserve"> to examine the intersection of resources, context, and co-creation in shaping digital trade revenue</w:t>
      </w:r>
      <w:r w:rsidR="00D31413" w:rsidRPr="00D24B3E">
        <w:t xml:space="preserve">. </w:t>
      </w:r>
    </w:p>
    <w:p w14:paraId="6CFD6778" w14:textId="6EF68329" w:rsidR="00FF4423" w:rsidRPr="00D24B3E" w:rsidRDefault="00F614B4" w:rsidP="00D24B3E">
      <w:pPr>
        <w:pStyle w:val="Heading1"/>
        <w:rPr>
          <w:sz w:val="24"/>
          <w:szCs w:val="24"/>
        </w:rPr>
      </w:pPr>
      <w:bookmarkStart w:id="2" w:name="_Toc204471195"/>
      <w:r w:rsidRPr="00D24B3E">
        <w:rPr>
          <w:sz w:val="24"/>
          <w:szCs w:val="24"/>
        </w:rPr>
        <w:t>3.</w:t>
      </w:r>
      <w:r w:rsidRPr="00D24B3E">
        <w:rPr>
          <w:sz w:val="24"/>
          <w:szCs w:val="24"/>
        </w:rPr>
        <w:tab/>
        <w:t>Literature Review</w:t>
      </w:r>
      <w:bookmarkEnd w:id="2"/>
    </w:p>
    <w:p w14:paraId="0E49A91E" w14:textId="60C0C88C" w:rsidR="00F02E2D" w:rsidRPr="00D24B3E" w:rsidRDefault="00F614B4" w:rsidP="00D24B3E">
      <w:pPr>
        <w:pStyle w:val="Heading2"/>
        <w:rPr>
          <w:sz w:val="24"/>
          <w:szCs w:val="24"/>
        </w:rPr>
      </w:pPr>
      <w:bookmarkStart w:id="3" w:name="_Toc204471196"/>
      <w:r w:rsidRPr="00D24B3E">
        <w:rPr>
          <w:sz w:val="24"/>
          <w:szCs w:val="24"/>
        </w:rPr>
        <w:t>3.1  Introduction</w:t>
      </w:r>
      <w:bookmarkEnd w:id="3"/>
    </w:p>
    <w:p w14:paraId="3AE9A370" w14:textId="254E5D1F" w:rsidR="00F02E2D" w:rsidRPr="00D24B3E" w:rsidRDefault="00F86EB4" w:rsidP="0022152C">
      <w:pPr>
        <w:spacing w:before="240" w:after="240" w:line="276" w:lineRule="auto"/>
        <w:jc w:val="both"/>
      </w:pPr>
      <w:r w:rsidRPr="00D24B3E">
        <w:t xml:space="preserve">This research extends current literature and provides actionable guidance for banks, </w:t>
      </w:r>
      <w:proofErr w:type="spellStart"/>
      <w:r w:rsidRPr="00D24B3E">
        <w:t>fintechs</w:t>
      </w:r>
      <w:proofErr w:type="spellEnd"/>
      <w:r w:rsidRPr="00D24B3E">
        <w:t>, and regulators navigating digital trade evolution</w:t>
      </w:r>
      <w:r w:rsidR="009871AD" w:rsidRPr="00D24B3E">
        <w:rPr>
          <w:rFonts w:eastAsia="Times-Roman"/>
        </w:rPr>
        <w:t xml:space="preserve">. Drawing on 20 recent academic and industry sources, the review critically compares different perspectives to </w:t>
      </w:r>
      <w:r w:rsidR="005319C2" w:rsidRPr="00D24B3E">
        <w:rPr>
          <w:rFonts w:eastAsia="Times-Roman"/>
        </w:rPr>
        <w:t>evaluate</w:t>
      </w:r>
      <w:r w:rsidR="009871AD" w:rsidRPr="00D24B3E">
        <w:rPr>
          <w:rFonts w:eastAsia="Times-Roman"/>
        </w:rPr>
        <w:t xml:space="preserve"> </w:t>
      </w:r>
      <w:r w:rsidR="00D31413" w:rsidRPr="00D24B3E">
        <w:rPr>
          <w:rFonts w:eastAsia="Times-Roman"/>
        </w:rPr>
        <w:t xml:space="preserve">the influence of </w:t>
      </w:r>
      <w:r w:rsidR="009871AD" w:rsidRPr="00D24B3E">
        <w:rPr>
          <w:rFonts w:eastAsia="Times-Roman"/>
        </w:rPr>
        <w:t xml:space="preserve">digital trade finance platforms on fee-based income in corporate banking. Despite the rise of blockchain LCs, AI compliance tools, and e-documents, the mechanisms driving measurable financial returns remain unclear. (Huang, 2023; </w:t>
      </w:r>
      <w:proofErr w:type="spellStart"/>
      <w:r w:rsidR="009871AD" w:rsidRPr="00D24B3E">
        <w:rPr>
          <w:rFonts w:eastAsia="Times-Roman"/>
        </w:rPr>
        <w:t>Citterio</w:t>
      </w:r>
      <w:proofErr w:type="spellEnd"/>
      <w:r w:rsidR="009871AD" w:rsidRPr="00D24B3E">
        <w:rPr>
          <w:rFonts w:eastAsia="Times-Roman"/>
        </w:rPr>
        <w:t>, King, and Locatelli, 2024). Nevertheless, many studies cite these technologies as catalysts for improving transparency, efficiency, and risk mitigation (Chang, Luo, and Chen, 2019; Khalil et al., 2025). However, despite these operational improvements, the causal link to sustained, trade-specific non-interest income is seldom examined (</w:t>
      </w:r>
      <w:proofErr w:type="spellStart"/>
      <w:r w:rsidR="009871AD" w:rsidRPr="00D24B3E">
        <w:rPr>
          <w:rFonts w:eastAsia="Times-Roman"/>
        </w:rPr>
        <w:t>Citterio</w:t>
      </w:r>
      <w:proofErr w:type="spellEnd"/>
      <w:r w:rsidR="009871AD" w:rsidRPr="00D24B3E">
        <w:rPr>
          <w:rFonts w:eastAsia="Times-Roman"/>
        </w:rPr>
        <w:t>, King, and Locatelli, 2024).</w:t>
      </w:r>
    </w:p>
    <w:p w14:paraId="302FDABA" w14:textId="575C3565" w:rsidR="00F02E2D" w:rsidRPr="00D24B3E" w:rsidRDefault="00000000" w:rsidP="0022152C">
      <w:pPr>
        <w:spacing w:after="240" w:line="276" w:lineRule="auto"/>
        <w:jc w:val="both"/>
      </w:pPr>
      <w:r w:rsidRPr="00D24B3E">
        <w:rPr>
          <w:rFonts w:eastAsia="Times-Roman"/>
        </w:rPr>
        <w:t xml:space="preserve">This literature review reveals five central themes shaping scholarly discourse on digital trade finance in corporate banking: operational efficiency, theoretical grounding, platform ecosystems, </w:t>
      </w:r>
      <w:r w:rsidR="0086388B">
        <w:rPr>
          <w:rFonts w:eastAsia="Times-Roman"/>
        </w:rPr>
        <w:t>operational value, and market diversity</w:t>
      </w:r>
      <w:r w:rsidRPr="00D24B3E">
        <w:rPr>
          <w:rFonts w:eastAsia="Times-Roman"/>
        </w:rPr>
        <w:t xml:space="preserve">. </w:t>
      </w:r>
      <w:r w:rsidRPr="00D24B3E">
        <w:rPr>
          <w:rFonts w:eastAsia="Times-Bold"/>
        </w:rPr>
        <w:t>Operational efficiency</w:t>
      </w:r>
      <w:r w:rsidRPr="00D24B3E">
        <w:rPr>
          <w:rFonts w:eastAsia="Times-Roman"/>
        </w:rPr>
        <w:t xml:space="preserve"> refers to faster processing, enhanced compliance, and reduced manual intervention driven by digital adoption (Guo </w:t>
      </w:r>
      <w:r w:rsidR="002126DD">
        <w:rPr>
          <w:rFonts w:eastAsia="Times-Roman"/>
        </w:rPr>
        <w:t>&amp;</w:t>
      </w:r>
      <w:r w:rsidRPr="00D24B3E">
        <w:rPr>
          <w:rFonts w:eastAsia="Times-Roman"/>
        </w:rPr>
        <w:t xml:space="preserve"> Ma, 2025; Diyan Lestari, Ma, and Jun, 2023). </w:t>
      </w:r>
      <w:r w:rsidR="00F86EB4" w:rsidRPr="00D24B3E">
        <w:t>Although digital transformation in Asia promises operational efficiency, its specific contribution to income in trade finance remains underexplored</w:t>
      </w:r>
      <w:r w:rsidRPr="00D24B3E">
        <w:rPr>
          <w:rFonts w:eastAsia="Times-Roman"/>
        </w:rPr>
        <w:t xml:space="preserve">. </w:t>
      </w:r>
      <w:r w:rsidRPr="00D24B3E">
        <w:rPr>
          <w:rFonts w:eastAsia="Times-Bold"/>
        </w:rPr>
        <w:t>Theoretical grounding</w:t>
      </w:r>
      <w:r w:rsidRPr="00D24B3E">
        <w:rPr>
          <w:rFonts w:eastAsia="Times-Roman"/>
        </w:rPr>
        <w:t xml:space="preserve"> is often limited to macro-level profitability studies, with insufficient focus on trade-specific income models and digital pricing strategies (Xie </w:t>
      </w:r>
      <w:r w:rsidR="009871AD" w:rsidRPr="00D24B3E">
        <w:rPr>
          <w:rFonts w:eastAsia="Times-Roman"/>
        </w:rPr>
        <w:t>&amp;</w:t>
      </w:r>
      <w:r w:rsidRPr="00D24B3E">
        <w:rPr>
          <w:rFonts w:eastAsia="Times-Roman"/>
        </w:rPr>
        <w:t xml:space="preserve"> Wang, 2023; Huang, 2023). </w:t>
      </w:r>
      <w:r w:rsidRPr="00D24B3E">
        <w:rPr>
          <w:rFonts w:eastAsia="Times-Bold"/>
        </w:rPr>
        <w:t>Platform ecosystems</w:t>
      </w:r>
      <w:r w:rsidR="009871AD" w:rsidRPr="00D24B3E">
        <w:rPr>
          <w:rFonts w:eastAsia="Times-Roman"/>
        </w:rPr>
        <w:t>, defined as collaborative infrastructures involving banks, fintech firms, and corporate clients,</w:t>
      </w:r>
      <w:r w:rsidRPr="00D24B3E">
        <w:rPr>
          <w:rFonts w:eastAsia="Times-Roman"/>
        </w:rPr>
        <w:t xml:space="preserve"> are increasingly central to digital service delivery. </w:t>
      </w:r>
      <w:r w:rsidR="009871AD" w:rsidRPr="00D24B3E">
        <w:rPr>
          <w:rFonts w:eastAsia="Times-Roman"/>
        </w:rPr>
        <w:t>However,</w:t>
      </w:r>
      <w:r w:rsidRPr="00D24B3E">
        <w:rPr>
          <w:rFonts w:eastAsia="Times-Roman"/>
        </w:rPr>
        <w:t xml:space="preserve"> their role in enabling monetization through pricing architecture, bundling, or advisory services is </w:t>
      </w:r>
      <w:r w:rsidR="002126DD">
        <w:rPr>
          <w:rFonts w:eastAsia="Times-Roman"/>
        </w:rPr>
        <w:t>poorly</w:t>
      </w:r>
      <w:r w:rsidRPr="00D24B3E">
        <w:rPr>
          <w:rFonts w:eastAsia="Times-Roman"/>
        </w:rPr>
        <w:t xml:space="preserve"> </w:t>
      </w:r>
      <w:r w:rsidRPr="00D24B3E">
        <w:rPr>
          <w:rFonts w:eastAsia="Times-Roman"/>
        </w:rPr>
        <w:lastRenderedPageBreak/>
        <w:t xml:space="preserve">theorized (Tanveer et al., 2025; Hossain </w:t>
      </w:r>
      <w:r w:rsidR="009871AD" w:rsidRPr="00D24B3E">
        <w:rPr>
          <w:rFonts w:eastAsia="Times-Roman"/>
        </w:rPr>
        <w:t>&amp;</w:t>
      </w:r>
      <w:r w:rsidRPr="00D24B3E">
        <w:rPr>
          <w:rFonts w:eastAsia="Times-Roman"/>
        </w:rPr>
        <w:t xml:space="preserve"> Sultana, 2024). Finally, </w:t>
      </w:r>
      <w:r w:rsidR="0086388B">
        <w:rPr>
          <w:rFonts w:eastAsia="Times-Bold"/>
        </w:rPr>
        <w:t>market diversity</w:t>
      </w:r>
      <w:r w:rsidRPr="00D24B3E">
        <w:rPr>
          <w:rFonts w:eastAsia="Times-Roman"/>
        </w:rPr>
        <w:t xml:space="preserve"> in </w:t>
      </w:r>
      <w:r w:rsidR="0086388B">
        <w:rPr>
          <w:rFonts w:eastAsia="Times-Roman"/>
        </w:rPr>
        <w:t xml:space="preserve">different </w:t>
      </w:r>
      <w:r w:rsidRPr="00D24B3E">
        <w:rPr>
          <w:rFonts w:eastAsia="Times-Roman"/>
        </w:rPr>
        <w:t xml:space="preserve">regulatory </w:t>
      </w:r>
      <w:r w:rsidR="0086388B">
        <w:rPr>
          <w:rFonts w:eastAsia="Times-Roman"/>
        </w:rPr>
        <w:t>jurisdictions</w:t>
      </w:r>
      <w:r w:rsidRPr="00D24B3E">
        <w:rPr>
          <w:rFonts w:eastAsia="Times-Roman"/>
        </w:rPr>
        <w:t xml:space="preserve"> and client sophistication across North Asia, poses critical yet often overlooked challenges for generalizing platform strategies (Han et al., 2025; Kimura et al., 2021).</w:t>
      </w:r>
    </w:p>
    <w:p w14:paraId="655D290D" w14:textId="4F7E461E" w:rsidR="00124EB2" w:rsidRPr="00D24B3E" w:rsidRDefault="009871AD" w:rsidP="0022152C">
      <w:pPr>
        <w:spacing w:after="240" w:line="276" w:lineRule="auto"/>
        <w:jc w:val="both"/>
      </w:pPr>
      <w:r w:rsidRPr="00D24B3E">
        <w:rPr>
          <w:rFonts w:eastAsia="Times-Roman"/>
        </w:rPr>
        <w:t xml:space="preserve">This study draws on three complementary theoretical frameworks to address these interconnected themes. The </w:t>
      </w:r>
      <w:r w:rsidRPr="00D24B3E">
        <w:rPr>
          <w:rFonts w:eastAsia="Times-Bold"/>
        </w:rPr>
        <w:t>Resource-Based View (RBV)</w:t>
      </w:r>
      <w:r w:rsidRPr="00D24B3E">
        <w:rPr>
          <w:rFonts w:eastAsia="Times-Roman"/>
        </w:rPr>
        <w:t xml:space="preserve"> emphasizes that internal resources such as IT agility, digital architecture, and executive alignment drive firm-level performance and monetization outcomes in digital trade (Liu, Chen, and Chou, 2011). </w:t>
      </w:r>
      <w:r w:rsidRPr="00D24B3E">
        <w:rPr>
          <w:rFonts w:eastAsia="Times-Bold"/>
        </w:rPr>
        <w:t>The technology-</w:t>
      </w:r>
      <w:r w:rsidR="00EA48C6" w:rsidRPr="00D24B3E">
        <w:rPr>
          <w:rFonts w:eastAsia="Times-Bold"/>
        </w:rPr>
        <w:t>organization-e</w:t>
      </w:r>
      <w:r w:rsidRPr="00D24B3E">
        <w:rPr>
          <w:rFonts w:eastAsia="Times-Bold"/>
        </w:rPr>
        <w:t xml:space="preserve">nvironment (TOE) framework contextualizes adoption by accounting for external forces such as market readiness, institutional norms, and policy environments that are </w:t>
      </w:r>
      <w:r w:rsidRPr="00D24B3E">
        <w:rPr>
          <w:rFonts w:eastAsia="Times-Roman"/>
        </w:rPr>
        <w:t xml:space="preserve">particularly relevant for cross-market comparisons in North Asia (Duong &amp; Nguyen, 2025). </w:t>
      </w:r>
      <w:r w:rsidR="00F86EB4" w:rsidRPr="00D24B3E">
        <w:t>Lastly, Service-Dominant Logic (SDL) emphasizes value co-creation, linking monetization to client engagement, perceived value, and tailored service delivery</w:t>
      </w:r>
      <w:r w:rsidR="00F86EB4" w:rsidRPr="00D24B3E">
        <w:rPr>
          <w:rFonts w:eastAsia="Times-Roman"/>
        </w:rPr>
        <w:t xml:space="preserve"> </w:t>
      </w:r>
      <w:r w:rsidRPr="00D24B3E">
        <w:rPr>
          <w:rFonts w:eastAsia="Times-Roman"/>
        </w:rPr>
        <w:t>(Vargo &amp; Lusch, 2004; Liu et al., 2023). These frameworks offer a multidimensional perspective: RBV explains internal capabilities enable monetization; TOE situates these capabilities within external environments; and SDL highlights how client interaction transforms digital service delivery into sustainable</w:t>
      </w:r>
      <w:r w:rsidR="0086388B">
        <w:rPr>
          <w:rFonts w:eastAsia="Times-Roman"/>
        </w:rPr>
        <w:t xml:space="preserve"> </w:t>
      </w:r>
      <w:r w:rsidRPr="00D24B3E">
        <w:rPr>
          <w:rFonts w:eastAsia="Times-Roman"/>
        </w:rPr>
        <w:t>fe</w:t>
      </w:r>
      <w:r w:rsidR="0086388B">
        <w:rPr>
          <w:rFonts w:eastAsia="Times-Roman"/>
        </w:rPr>
        <w:t>e</w:t>
      </w:r>
      <w:r w:rsidRPr="00D24B3E">
        <w:rPr>
          <w:rFonts w:eastAsia="Times-Roman"/>
        </w:rPr>
        <w:t xml:space="preserve"> income. This integrated foundation informs the study’s exploration of how digital platforms generate commercial value in diverse, evolving trade finance ecosystems (see Fig. 1).</w:t>
      </w:r>
    </w:p>
    <w:p w14:paraId="521EA11F" w14:textId="73281FE9" w:rsidR="00F02E2D" w:rsidRPr="00D24B3E" w:rsidRDefault="00000000">
      <w:pPr>
        <w:jc w:val="center"/>
      </w:pPr>
      <w:r w:rsidRPr="00D24B3E">
        <w:rPr>
          <w:b/>
          <w:bCs/>
        </w:rPr>
        <w:t>Fig. 1 Summary of Theoretical Frameworks</w:t>
      </w:r>
    </w:p>
    <w:p w14:paraId="7C17F67A" w14:textId="77777777" w:rsidR="00F02E2D" w:rsidRPr="00D24B3E" w:rsidRDefault="00F02E2D">
      <w:pPr>
        <w:jc w:val="center"/>
      </w:pPr>
    </w:p>
    <w:p w14:paraId="3E57ACD1" w14:textId="0F6AB860" w:rsidR="00F02E2D" w:rsidRPr="00D24B3E" w:rsidRDefault="00FE6CCB">
      <w:pPr>
        <w:spacing w:after="120"/>
        <w:jc w:val="both"/>
      </w:pPr>
      <w:r w:rsidRPr="00D24B3E">
        <w:rPr>
          <w:noProof/>
        </w:rPr>
        <w:drawing>
          <wp:inline distT="0" distB="0" distL="0" distR="0" wp14:anchorId="0C2FE703" wp14:editId="64EC15E5">
            <wp:extent cx="5943600" cy="1508149"/>
            <wp:effectExtent l="0" t="0" r="0" b="0"/>
            <wp:docPr id="158444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41768" name=""/>
                    <pic:cNvPicPr/>
                  </pic:nvPicPr>
                  <pic:blipFill rotWithShape="1">
                    <a:blip r:embed="rId13"/>
                    <a:srcRect b="7921"/>
                    <a:stretch>
                      <a:fillRect/>
                    </a:stretch>
                  </pic:blipFill>
                  <pic:spPr bwMode="auto">
                    <a:xfrm>
                      <a:off x="0" y="0"/>
                      <a:ext cx="5943600" cy="1508149"/>
                    </a:xfrm>
                    <a:prstGeom prst="rect">
                      <a:avLst/>
                    </a:prstGeom>
                    <a:ln>
                      <a:noFill/>
                    </a:ln>
                    <a:extLst>
                      <a:ext uri="{53640926-AAD7-44D8-BBD7-CCE9431645EC}">
                        <a14:shadowObscured xmlns:a14="http://schemas.microsoft.com/office/drawing/2010/main"/>
                      </a:ext>
                    </a:extLst>
                  </pic:spPr>
                </pic:pic>
              </a:graphicData>
            </a:graphic>
          </wp:inline>
        </w:drawing>
      </w:r>
    </w:p>
    <w:p w14:paraId="448DA990" w14:textId="77777777" w:rsidR="00F02E2D" w:rsidRPr="00D24B3E" w:rsidRDefault="00000000">
      <w:pPr>
        <w:spacing w:after="120"/>
      </w:pPr>
      <w:r w:rsidRPr="00D24B3E">
        <w:t>Source: Maureen Chan</w:t>
      </w:r>
    </w:p>
    <w:p w14:paraId="09AED8C6" w14:textId="1B1D4D9B" w:rsidR="00F02E2D" w:rsidRPr="00D24B3E" w:rsidRDefault="00000000" w:rsidP="0022152C">
      <w:pPr>
        <w:pStyle w:val="Heading4"/>
        <w:keepLines/>
        <w:spacing w:before="200" w:after="0" w:line="276" w:lineRule="auto"/>
        <w:jc w:val="both"/>
      </w:pPr>
      <w:r w:rsidRPr="00D24B3E">
        <w:rPr>
          <w:rFonts w:eastAsia="Times-Roman"/>
          <w:b w:val="0"/>
          <w:bCs w:val="0"/>
        </w:rPr>
        <w:t xml:space="preserve">A research gap is a conceptual or empirical void that remains underexplored despite existing studies. The literature provides limited insight into how digital services are priced, adopted, and monetized at the transaction level. (Zhou and Li, 2023; Ismail, 2020; Duong and Nguyen, 2025). This study addresses that gap through a qualitative, case-based research </w:t>
      </w:r>
      <w:r w:rsidR="00F86EB4" w:rsidRPr="00D24B3E">
        <w:rPr>
          <w:b w:val="0"/>
          <w:bCs w:val="0"/>
          <w:color w:val="000000"/>
        </w:rPr>
        <w:t>analyzing banks’ strategies for platform configuration, income model development, and client adoption</w:t>
      </w:r>
      <w:r w:rsidRPr="00D24B3E">
        <w:rPr>
          <w:rFonts w:eastAsia="Times-Roman"/>
          <w:b w:val="0"/>
          <w:bCs w:val="0"/>
        </w:rPr>
        <w:t xml:space="preserve">. </w:t>
      </w:r>
      <w:r w:rsidR="0086388B">
        <w:rPr>
          <w:rFonts w:eastAsia="Times-Roman"/>
          <w:b w:val="0"/>
          <w:bCs w:val="0"/>
        </w:rPr>
        <w:t>It</w:t>
      </w:r>
      <w:r w:rsidRPr="00D24B3E">
        <w:rPr>
          <w:rFonts w:eastAsia="Times-Roman"/>
          <w:b w:val="0"/>
          <w:bCs w:val="0"/>
        </w:rPr>
        <w:t xml:space="preserve"> provides both a theoretical and empirical foundation to </w:t>
      </w:r>
      <w:r w:rsidR="005319C2" w:rsidRPr="00D24B3E">
        <w:rPr>
          <w:rFonts w:eastAsia="Times-Roman"/>
          <w:b w:val="0"/>
          <w:bCs w:val="0"/>
        </w:rPr>
        <w:t xml:space="preserve">evaluate </w:t>
      </w:r>
      <w:r w:rsidRPr="00D24B3E">
        <w:rPr>
          <w:rFonts w:eastAsia="Times-Roman"/>
          <w:b w:val="0"/>
          <w:bCs w:val="0"/>
        </w:rPr>
        <w:t>the income-generating capacity of digital services within a strategic banking context.</w:t>
      </w:r>
    </w:p>
    <w:p w14:paraId="70831C1B" w14:textId="77777777" w:rsidR="008E1E6C" w:rsidRDefault="008E1E6C">
      <w:pPr>
        <w:rPr>
          <w:b/>
          <w:bCs/>
        </w:rPr>
      </w:pPr>
      <w:r>
        <w:br w:type="page"/>
      </w:r>
    </w:p>
    <w:p w14:paraId="13BEE725" w14:textId="4F7C5985" w:rsidR="00F02E2D" w:rsidRPr="00D24B3E" w:rsidRDefault="00F614B4" w:rsidP="00D24B3E">
      <w:pPr>
        <w:pStyle w:val="Heading4"/>
      </w:pPr>
      <w:r w:rsidRPr="00D24B3E">
        <w:lastRenderedPageBreak/>
        <w:t>3.1.1  Problem Statement</w:t>
      </w:r>
    </w:p>
    <w:p w14:paraId="1DB6274C" w14:textId="77777777" w:rsidR="00F02E2D" w:rsidRPr="00D24B3E" w:rsidRDefault="00F02E2D" w:rsidP="0022152C">
      <w:pPr>
        <w:spacing w:line="276" w:lineRule="auto"/>
        <w:jc w:val="both"/>
      </w:pPr>
    </w:p>
    <w:p w14:paraId="6B4BE2CC" w14:textId="09F5AD81" w:rsidR="0022152C" w:rsidRPr="0055656F" w:rsidRDefault="00000000" w:rsidP="0055656F">
      <w:pPr>
        <w:spacing w:line="276" w:lineRule="auto"/>
        <w:jc w:val="both"/>
      </w:pPr>
      <w:r w:rsidRPr="00D24B3E">
        <w:rPr>
          <w:rFonts w:eastAsia="Times-Roman"/>
        </w:rPr>
        <w:t>Despite significant progress in digitizing trade finance, the link between digital platforms and sustainable fee-based income remains underexplored. Operational efficiency marked by faster processing and improved compliance is well</w:t>
      </w:r>
      <w:r w:rsidR="00F86EB4" w:rsidRPr="00D24B3E">
        <w:rPr>
          <w:rFonts w:eastAsia="Times-Roman"/>
        </w:rPr>
        <w:t xml:space="preserve"> </w:t>
      </w:r>
      <w:r w:rsidRPr="00D24B3E">
        <w:rPr>
          <w:rFonts w:eastAsia="Times-Roman"/>
        </w:rPr>
        <w:t>documented (Diyan Lestari, Ma, and Jun, 2023; Khalil et al., 2025)</w:t>
      </w:r>
      <w:r w:rsidR="009871AD" w:rsidRPr="00D24B3E">
        <w:rPr>
          <w:rFonts w:eastAsia="Times-Roman"/>
        </w:rPr>
        <w:t>. However,</w:t>
      </w:r>
      <w:r w:rsidRPr="00D24B3E">
        <w:rPr>
          <w:rFonts w:eastAsia="Times-Roman"/>
        </w:rPr>
        <w:t xml:space="preserve"> </w:t>
      </w:r>
      <w:r w:rsidR="00073DAA" w:rsidRPr="00D24B3E">
        <w:t>limited empirical focus exists on revenue attribution mechanisms within digital trade ecosystems</w:t>
      </w:r>
      <w:r w:rsidRPr="00D24B3E">
        <w:rPr>
          <w:rFonts w:eastAsia="Times-Roman"/>
        </w:rPr>
        <w:t xml:space="preserve">, defined as revenue from services like issuance, advising, and discounting. Research rarely addresses how banks design digital pricing, encourage client adoption, or </w:t>
      </w:r>
      <w:r w:rsidR="005319C2" w:rsidRPr="00D24B3E">
        <w:rPr>
          <w:rFonts w:eastAsia="Times-Roman"/>
        </w:rPr>
        <w:t xml:space="preserve">uncover </w:t>
      </w:r>
      <w:r w:rsidRPr="00D24B3E">
        <w:rPr>
          <w:rFonts w:eastAsia="Times-Roman"/>
        </w:rPr>
        <w:t>financial returns across diverse North Asian regulatory environments (</w:t>
      </w:r>
      <w:proofErr w:type="spellStart"/>
      <w:r w:rsidRPr="00D24B3E">
        <w:rPr>
          <w:rFonts w:eastAsia="Times-Roman"/>
        </w:rPr>
        <w:t>Citterio</w:t>
      </w:r>
      <w:proofErr w:type="spellEnd"/>
      <w:r w:rsidRPr="00D24B3E">
        <w:rPr>
          <w:rFonts w:eastAsia="Times-Roman"/>
        </w:rPr>
        <w:t>, King, and Locatelli, 202</w:t>
      </w:r>
      <w:r w:rsidR="005319C2" w:rsidRPr="00D24B3E">
        <w:rPr>
          <w:rFonts w:eastAsia="Times-Roman"/>
        </w:rPr>
        <w:t>2)</w:t>
      </w:r>
    </w:p>
    <w:p w14:paraId="70827B36" w14:textId="5E5F25E0" w:rsidR="00F02E2D" w:rsidRDefault="00F614B4" w:rsidP="00D24B3E">
      <w:pPr>
        <w:pStyle w:val="Heading4"/>
      </w:pPr>
      <w:r w:rsidRPr="00D24B3E">
        <w:t>3.1.2</w:t>
      </w:r>
      <w:r w:rsidRPr="00D24B3E">
        <w:tab/>
        <w:t>Purpose</w:t>
      </w:r>
    </w:p>
    <w:p w14:paraId="1DDA74D5" w14:textId="77777777" w:rsidR="00D24B3E" w:rsidRPr="00D24B3E" w:rsidRDefault="00D24B3E" w:rsidP="00D24B3E"/>
    <w:p w14:paraId="58BDAE18" w14:textId="5A4B7860" w:rsidR="00F02E2D" w:rsidRPr="00D24B3E" w:rsidRDefault="009871AD" w:rsidP="0022152C">
      <w:pPr>
        <w:spacing w:after="240" w:line="276" w:lineRule="auto"/>
        <w:jc w:val="both"/>
      </w:pPr>
      <w:r w:rsidRPr="00D24B3E">
        <w:rPr>
          <w:rFonts w:eastAsia="Times-Roman"/>
        </w:rPr>
        <w:t xml:space="preserve">This qualitative study </w:t>
      </w:r>
      <w:r w:rsidR="002126DD">
        <w:rPr>
          <w:rFonts w:eastAsia="Times-Roman"/>
        </w:rPr>
        <w:t>examines</w:t>
      </w:r>
      <w:r w:rsidRPr="00D24B3E">
        <w:rPr>
          <w:rFonts w:eastAsia="Times-Roman"/>
        </w:rPr>
        <w:t xml:space="preserve"> corporate banks operating in North Asia leverage digital trade finance platforms to generate sustainable income growth. A digital trade finance platform is a technology-enabled infrastructure that facilitates the electronic execution, processing, and settlement of trade finance transactions. This research investigates how banks design platform architecture, structure pricing models, and align internal capabilities with external conditions, such as regulatory frameworks and client adoption behavior. </w:t>
      </w:r>
      <w:r w:rsidR="002126DD">
        <w:rPr>
          <w:rFonts w:eastAsia="Times-Roman"/>
        </w:rPr>
        <w:t>The study addresses a critical gap in the literature by analyzing the strategic and operational factors that enable or hinder monetization</w:t>
      </w:r>
      <w:r w:rsidRPr="00D24B3E">
        <w:rPr>
          <w:rFonts w:eastAsia="Times-Roman"/>
        </w:rPr>
        <w:t>. It provides actionable insights for banking executives, fintech developers, and policymakers seeking to enhance revenue growth and ensure the long-term viability of digital trade finance solutions.</w:t>
      </w:r>
    </w:p>
    <w:p w14:paraId="7FCCA2B6" w14:textId="2FE9D59C" w:rsidR="00F02E2D" w:rsidRPr="00D24B3E" w:rsidRDefault="00F614B4" w:rsidP="00D24B3E">
      <w:pPr>
        <w:pStyle w:val="Heading4"/>
      </w:pPr>
      <w:r w:rsidRPr="00D24B3E">
        <w:t>3.1.3 Significance of the Study</w:t>
      </w:r>
    </w:p>
    <w:p w14:paraId="688B11B5" w14:textId="77777777" w:rsidR="00F02E2D" w:rsidRPr="00D24B3E" w:rsidRDefault="00F02E2D"/>
    <w:p w14:paraId="3A3334AE" w14:textId="413193DE" w:rsidR="00F02E2D" w:rsidRPr="00D24B3E" w:rsidRDefault="00000000" w:rsidP="0022152C">
      <w:pPr>
        <w:spacing w:line="276" w:lineRule="auto"/>
        <w:jc w:val="both"/>
      </w:pPr>
      <w:r w:rsidRPr="00D24B3E">
        <w:rPr>
          <w:rFonts w:eastAsia="Times-Roman"/>
        </w:rPr>
        <w:t xml:space="preserve">This research contributes to academic discourse by adopting an integrated, multidimensional analysis to examine how corporate banks in North Asia design and monetize digital trade platforms for fee-based income growth. Through a qualitative, case-based methodology, the study explores the interplay between internal capabilities (e.g., digital infrastructure), external conditions (e.g., regulation, market maturity), and client engagement strategies (e.g., onboarding, pricing, bundling). The combined application of </w:t>
      </w:r>
      <w:r w:rsidR="0086388B">
        <w:rPr>
          <w:rFonts w:eastAsia="Times-Roman"/>
        </w:rPr>
        <w:t xml:space="preserve">three theoretical frameworks, namely </w:t>
      </w:r>
      <w:r w:rsidRPr="00D24B3E">
        <w:rPr>
          <w:rFonts w:eastAsia="Times-Roman"/>
        </w:rPr>
        <w:t xml:space="preserve">RBV, TOE, and SDL enables a comprehensive understanding of </w:t>
      </w:r>
      <w:r w:rsidR="009871AD" w:rsidRPr="00D24B3E">
        <w:rPr>
          <w:rFonts w:eastAsia="Times-Roman"/>
        </w:rPr>
        <w:t xml:space="preserve">organizational resources, environmental context, and value </w:t>
      </w:r>
      <w:r w:rsidR="0086388B">
        <w:rPr>
          <w:rFonts w:eastAsia="Times-Roman"/>
        </w:rPr>
        <w:t>combination</w:t>
      </w:r>
      <w:r w:rsidR="009871AD" w:rsidRPr="00D24B3E">
        <w:rPr>
          <w:rFonts w:eastAsia="Times-Roman"/>
        </w:rPr>
        <w:t xml:space="preserve"> </w:t>
      </w:r>
      <w:r w:rsidR="0086388B">
        <w:rPr>
          <w:rFonts w:eastAsia="Times-Roman"/>
        </w:rPr>
        <w:t>to create</w:t>
      </w:r>
      <w:r w:rsidR="009871AD" w:rsidRPr="00D24B3E">
        <w:rPr>
          <w:rFonts w:eastAsia="Times-Roman"/>
        </w:rPr>
        <w:t xml:space="preserve"> platform monetization</w:t>
      </w:r>
      <w:r w:rsidRPr="00D24B3E">
        <w:rPr>
          <w:rFonts w:eastAsia="Times-Roman"/>
        </w:rPr>
        <w:t xml:space="preserve">. This layered approach </w:t>
      </w:r>
      <w:r w:rsidR="009871AD" w:rsidRPr="00D24B3E">
        <w:rPr>
          <w:rFonts w:eastAsia="Times-Roman"/>
        </w:rPr>
        <w:t>advances theoretical insight and</w:t>
      </w:r>
      <w:r w:rsidRPr="00D24B3E">
        <w:rPr>
          <w:rFonts w:eastAsia="Times-Roman"/>
        </w:rPr>
        <w:t xml:space="preserve"> offers actionable guidance for banks, </w:t>
      </w:r>
      <w:proofErr w:type="spellStart"/>
      <w:r w:rsidRPr="00D24B3E">
        <w:rPr>
          <w:rFonts w:eastAsia="Times-Roman"/>
        </w:rPr>
        <w:t>fintechs</w:t>
      </w:r>
      <w:proofErr w:type="spellEnd"/>
      <w:r w:rsidRPr="00D24B3E">
        <w:rPr>
          <w:rFonts w:eastAsia="Times-Roman"/>
        </w:rPr>
        <w:t>, and regulators seeking to optimize digital trade finance performance.</w:t>
      </w:r>
    </w:p>
    <w:p w14:paraId="5978CE93" w14:textId="77777777" w:rsidR="00F02E2D" w:rsidRPr="00D24B3E" w:rsidRDefault="00F02E2D"/>
    <w:p w14:paraId="0A99D5AA" w14:textId="02D8CC9D" w:rsidR="00F02E2D" w:rsidRPr="00D24B3E" w:rsidRDefault="00F614B4" w:rsidP="00D24B3E">
      <w:pPr>
        <w:pStyle w:val="Heading2"/>
        <w:rPr>
          <w:sz w:val="24"/>
          <w:szCs w:val="24"/>
        </w:rPr>
      </w:pPr>
      <w:bookmarkStart w:id="4" w:name="_Toc204471197"/>
      <w:r w:rsidRPr="00D24B3E">
        <w:rPr>
          <w:sz w:val="24"/>
          <w:szCs w:val="24"/>
        </w:rPr>
        <w:t>3.2  Body of the Review</w:t>
      </w:r>
      <w:bookmarkEnd w:id="4"/>
    </w:p>
    <w:p w14:paraId="4AA6A2B0" w14:textId="77777777" w:rsidR="00F02E2D" w:rsidRPr="00D24B3E" w:rsidRDefault="00F02E2D"/>
    <w:p w14:paraId="7A626A20" w14:textId="66C92196" w:rsidR="00F02E2D" w:rsidRPr="00D24B3E" w:rsidRDefault="00000000" w:rsidP="0022152C">
      <w:pPr>
        <w:spacing w:after="240" w:line="276" w:lineRule="auto"/>
        <w:jc w:val="both"/>
      </w:pPr>
      <w:r w:rsidRPr="00D24B3E">
        <w:rPr>
          <w:rFonts w:eastAsia="Times-Roman"/>
        </w:rPr>
        <w:t xml:space="preserve">Digital trade finance integrates advanced technologies into global commerce, transforming to the extent </w:t>
      </w:r>
      <w:r w:rsidR="00A02839" w:rsidRPr="00D24B3E">
        <w:rPr>
          <w:rFonts w:eastAsia="Times-Roman"/>
        </w:rPr>
        <w:t xml:space="preserve">that </w:t>
      </w:r>
      <w:r w:rsidRPr="00D24B3E">
        <w:rPr>
          <w:rFonts w:eastAsia="Times-Roman"/>
        </w:rPr>
        <w:t>corporate banks facilitate international trade</w:t>
      </w:r>
      <w:r w:rsidR="002126DD">
        <w:rPr>
          <w:rFonts w:eastAsia="Times-Roman"/>
        </w:rPr>
        <w:t xml:space="preserve">. </w:t>
      </w:r>
      <w:r w:rsidRPr="00D24B3E">
        <w:rPr>
          <w:rFonts w:eastAsia="Times-Roman"/>
        </w:rPr>
        <w:t xml:space="preserve">A growing body of literature </w:t>
      </w:r>
      <w:r w:rsidRPr="00D24B3E">
        <w:rPr>
          <w:rFonts w:eastAsia="Times-Roman"/>
        </w:rPr>
        <w:lastRenderedPageBreak/>
        <w:t xml:space="preserve">acknowledges that technologies such as blockchain-enabled documentation (Chang, Luo, and Chen, 2019), AI-powered document verification (Khalil et al., 2025), and end-to-end digital trade platforms </w:t>
      </w:r>
      <w:r w:rsidRPr="00D24B3E">
        <w:t>(Tanveer et al.</w:t>
      </w:r>
      <w:r w:rsidR="009871AD" w:rsidRPr="00D24B3E">
        <w:t xml:space="preserve">, </w:t>
      </w:r>
      <w:r w:rsidRPr="00D24B3E">
        <w:t xml:space="preserve">2025) </w:t>
      </w:r>
      <w:r w:rsidRPr="00D24B3E">
        <w:rPr>
          <w:rFonts w:eastAsia="Times-Roman"/>
        </w:rPr>
        <w:t>have redefined transaction processing, transparency, and efficiency across supply chains. However, despite these advancements, limited empirical clarity exists on whether and to what extent these digital innovations contribute to sustainable, trade-specific, fee-based income. This question is especially critical for corporate banks with narrowing interest margins and rising compliance expenditures (</w:t>
      </w:r>
      <w:proofErr w:type="spellStart"/>
      <w:r w:rsidRPr="00D24B3E">
        <w:rPr>
          <w:rFonts w:eastAsia="Times-Roman"/>
        </w:rPr>
        <w:t>Citterio</w:t>
      </w:r>
      <w:proofErr w:type="spellEnd"/>
      <w:r w:rsidRPr="00D24B3E">
        <w:rPr>
          <w:rFonts w:eastAsia="Times-Roman"/>
        </w:rPr>
        <w:t>, A., King, R., and Locatelli, A.</w:t>
      </w:r>
      <w:r w:rsidR="009871AD" w:rsidRPr="00D24B3E">
        <w:rPr>
          <w:rFonts w:eastAsia="Times-Roman"/>
        </w:rPr>
        <w:t xml:space="preserve">, </w:t>
      </w:r>
      <w:r w:rsidRPr="00D24B3E">
        <w:rPr>
          <w:rFonts w:eastAsia="Times-Roman"/>
        </w:rPr>
        <w:t>2024).</w:t>
      </w:r>
      <w:r w:rsidR="00124EB2" w:rsidRPr="00D24B3E">
        <w:t xml:space="preserve"> </w:t>
      </w:r>
      <w:r w:rsidRPr="00D24B3E">
        <w:rPr>
          <w:rFonts w:eastAsia="Times-Roman"/>
        </w:rPr>
        <w:t>To enable a concept-driven synthesis of diverse scholarly contributions, the literature is organized into five thematic clusters (See Fig. 2). In this study, clustering enables targeted analysis across monetization, efficiency, theory, ecosystems, and regulation to clarify how digital trade finance drives fee-based income in North Asia.</w:t>
      </w:r>
    </w:p>
    <w:p w14:paraId="2C8E3D6B" w14:textId="77777777" w:rsidR="00F02E2D" w:rsidRPr="00D24B3E" w:rsidRDefault="00000000">
      <w:pPr>
        <w:jc w:val="center"/>
      </w:pPr>
      <w:r w:rsidRPr="00D24B3E">
        <w:rPr>
          <w:b/>
          <w:bCs/>
        </w:rPr>
        <w:t>Fig. 2 Thematic clustering of the concepts from the literature review</w:t>
      </w:r>
    </w:p>
    <w:p w14:paraId="67D70C02" w14:textId="015662F4" w:rsidR="00F02E2D" w:rsidRPr="00D24B3E" w:rsidRDefault="00FE6CCB">
      <w:pPr>
        <w:spacing w:after="240"/>
        <w:jc w:val="center"/>
      </w:pPr>
      <w:r w:rsidRPr="00D24B3E">
        <w:rPr>
          <w:b/>
          <w:bCs/>
          <w:noProof/>
        </w:rPr>
        <w:drawing>
          <wp:inline distT="0" distB="0" distL="0" distR="0" wp14:anchorId="6A1EE4DC" wp14:editId="22CCC838">
            <wp:extent cx="3077028" cy="1976258"/>
            <wp:effectExtent l="0" t="0" r="0" b="5080"/>
            <wp:docPr id="859743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743897" name=""/>
                    <pic:cNvPicPr/>
                  </pic:nvPicPr>
                  <pic:blipFill>
                    <a:blip r:embed="rId14"/>
                    <a:stretch>
                      <a:fillRect/>
                    </a:stretch>
                  </pic:blipFill>
                  <pic:spPr>
                    <a:xfrm>
                      <a:off x="0" y="0"/>
                      <a:ext cx="3171431" cy="2036889"/>
                    </a:xfrm>
                    <a:prstGeom prst="rect">
                      <a:avLst/>
                    </a:prstGeom>
                  </pic:spPr>
                </pic:pic>
              </a:graphicData>
            </a:graphic>
          </wp:inline>
        </w:drawing>
      </w:r>
    </w:p>
    <w:p w14:paraId="3FF49646" w14:textId="77777777" w:rsidR="00F02E2D" w:rsidRPr="00D24B3E" w:rsidRDefault="00000000">
      <w:pPr>
        <w:spacing w:after="120"/>
        <w:jc w:val="center"/>
      </w:pPr>
      <w:r w:rsidRPr="00D24B3E">
        <w:t>Source: Maureen Chan</w:t>
      </w:r>
    </w:p>
    <w:p w14:paraId="2535C456" w14:textId="370E977C" w:rsidR="00F02E2D" w:rsidRPr="00D24B3E" w:rsidRDefault="00F614B4" w:rsidP="00D24B3E">
      <w:pPr>
        <w:pStyle w:val="Heading4"/>
      </w:pPr>
      <w:r w:rsidRPr="00D24B3E">
        <w:rPr>
          <w:rFonts w:eastAsia="Times-Bold"/>
        </w:rPr>
        <w:t>3.2.1</w:t>
      </w:r>
      <w:r w:rsidRPr="00D24B3E">
        <w:rPr>
          <w:rFonts w:eastAsia="Times-Bold"/>
        </w:rPr>
        <w:tab/>
        <w:t>Conceptual Foundation – cluster 1</w:t>
      </w:r>
    </w:p>
    <w:p w14:paraId="1AB9E6F8" w14:textId="32BDB46B" w:rsidR="00F02E2D" w:rsidRPr="00D24B3E" w:rsidRDefault="00000000" w:rsidP="0022152C">
      <w:pPr>
        <w:spacing w:after="240" w:line="276" w:lineRule="auto"/>
        <w:jc w:val="both"/>
      </w:pPr>
      <w:r w:rsidRPr="00D24B3E">
        <w:rPr>
          <w:rFonts w:eastAsia="Times-Roman"/>
        </w:rPr>
        <w:t xml:space="preserve">Trade finance is a banking segment characterized by high-value transactions, intricate compliance protocols, and operational complexity. While numerous studies affirm the positive impact of digitization on bank profitability and competitiveness (He et al., 2025; </w:t>
      </w:r>
      <w:proofErr w:type="spellStart"/>
      <w:r w:rsidRPr="00D24B3E">
        <w:rPr>
          <w:rFonts w:eastAsia="Times-Roman"/>
        </w:rPr>
        <w:t>Forcadell</w:t>
      </w:r>
      <w:proofErr w:type="spellEnd"/>
      <w:r w:rsidRPr="00D24B3E">
        <w:rPr>
          <w:rFonts w:eastAsia="Times-Roman"/>
        </w:rPr>
        <w:t xml:space="preserve">, </w:t>
      </w:r>
      <w:proofErr w:type="spellStart"/>
      <w:r w:rsidRPr="00D24B3E">
        <w:rPr>
          <w:rFonts w:eastAsia="Times-Roman"/>
        </w:rPr>
        <w:t>Aracil</w:t>
      </w:r>
      <w:proofErr w:type="spellEnd"/>
      <w:r w:rsidRPr="00D24B3E">
        <w:rPr>
          <w:rFonts w:eastAsia="Times-Roman"/>
        </w:rPr>
        <w:t>, and Ubeda, 2020), most emphasize retail banking or generalized financial outcomes. Digital services such as issuance, advising, and confirmation are financial functions that require distinct evaluation due to their direct link to fee-based income. Nguyen-</w:t>
      </w:r>
      <w:proofErr w:type="spellStart"/>
      <w:r w:rsidRPr="00D24B3E">
        <w:rPr>
          <w:rFonts w:eastAsia="Times-Roman"/>
        </w:rPr>
        <w:t>Thi</w:t>
      </w:r>
      <w:proofErr w:type="spellEnd"/>
      <w:r w:rsidRPr="00D24B3E">
        <w:rPr>
          <w:rFonts w:eastAsia="Times-Roman"/>
        </w:rPr>
        <w:t>-Huong et al. (2023) and Hossain and Sultana (2024) observe that although digitization provides scalability and transparency, its commercial benefits in trade finance are seldom quantified at the service level. This cluster identifies a conceptual gap: the insufficient examination of revenue attribution mechanisms within digital trade initiatives, especially in service-intensive areas such as documentary trade</w:t>
      </w:r>
      <w:r w:rsidR="007B1A88">
        <w:rPr>
          <w:rFonts w:eastAsia="Times-Roman"/>
        </w:rPr>
        <w:t xml:space="preserve"> finance</w:t>
      </w:r>
      <w:r w:rsidRPr="00D24B3E">
        <w:rPr>
          <w:rFonts w:eastAsia="Times-Roman"/>
        </w:rPr>
        <w:t>.</w:t>
      </w:r>
    </w:p>
    <w:p w14:paraId="68DE75C2" w14:textId="584BB110" w:rsidR="00F02E2D" w:rsidRPr="00D24B3E" w:rsidRDefault="00F614B4" w:rsidP="00D24B3E">
      <w:pPr>
        <w:pStyle w:val="Heading4"/>
      </w:pPr>
      <w:r w:rsidRPr="00D24B3E">
        <w:t xml:space="preserve">3.2.2  Theoretical Grounding </w:t>
      </w:r>
      <w:r w:rsidRPr="00D24B3E">
        <w:rPr>
          <w:rFonts w:eastAsia="Times-Bold"/>
        </w:rPr>
        <w:t>– cluster 2</w:t>
      </w:r>
    </w:p>
    <w:p w14:paraId="39588020" w14:textId="5EC0788D" w:rsidR="00F02E2D" w:rsidRPr="00D24B3E" w:rsidRDefault="00000000" w:rsidP="0022152C">
      <w:pPr>
        <w:spacing w:after="240" w:line="276" w:lineRule="auto"/>
        <w:jc w:val="both"/>
      </w:pPr>
      <w:r w:rsidRPr="00D24B3E">
        <w:rPr>
          <w:rFonts w:eastAsia="Times-Roman"/>
        </w:rPr>
        <w:t xml:space="preserve">Digital trade finance </w:t>
      </w:r>
      <w:r w:rsidR="009871AD" w:rsidRPr="00D24B3E">
        <w:rPr>
          <w:rFonts w:eastAsia="Times-Roman"/>
        </w:rPr>
        <w:t xml:space="preserve">is </w:t>
      </w:r>
      <w:r w:rsidRPr="00D24B3E">
        <w:rPr>
          <w:rFonts w:eastAsia="Times-Roman"/>
        </w:rPr>
        <w:t xml:space="preserve">conceptualized through three strategic lenses: the Resource-Based View (RBV), the Technology-Organization-Environment (TOE) framework, and Service-Dominant </w:t>
      </w:r>
      <w:r w:rsidRPr="00D24B3E">
        <w:rPr>
          <w:rFonts w:eastAsia="Times-Roman"/>
        </w:rPr>
        <w:lastRenderedPageBreak/>
        <w:t>Logic (SDL). These theories explain how banks can align internal capability, environmental readiness, and client-centric design to derive income from digital trade services.</w:t>
      </w:r>
    </w:p>
    <w:p w14:paraId="13380DA4" w14:textId="5DF16D2B" w:rsidR="00F02E2D" w:rsidRPr="00D24B3E" w:rsidRDefault="00FA3B2D" w:rsidP="0022152C">
      <w:pPr>
        <w:spacing w:after="240" w:line="276" w:lineRule="auto"/>
        <w:jc w:val="both"/>
      </w:pPr>
      <w:r w:rsidRPr="00D24B3E">
        <w:rPr>
          <w:rFonts w:eastAsia="Times-Roman"/>
        </w:rPr>
        <w:t xml:space="preserve">RBV defines competitive advantage as stemming from unique internal resources such as advanced digital architecture, skilled IT personnel, and strategic leadership that are valuable, rare, and difficult to imitate. While Liu, Chen, and Chou (2011) emphasize that misalignment between digital resources and strategic goals can limit return on investment, this view often overlooks the influence of external partnerships and evolving market dynamics. Although Yu, Zheng, and Liu (2025) demonstrate that agility in deploying IT capabilities is vital for </w:t>
      </w:r>
      <w:r w:rsidR="009871AD" w:rsidRPr="00D24B3E">
        <w:rPr>
          <w:rFonts w:eastAsia="Times-Roman"/>
        </w:rPr>
        <w:t>monetizing</w:t>
      </w:r>
      <w:r w:rsidRPr="00D24B3E">
        <w:rPr>
          <w:rFonts w:eastAsia="Times-Roman"/>
        </w:rPr>
        <w:t xml:space="preserve"> digital banking, RBV tends to assume a static environment and may underplay inter-organizational collaboration</w:t>
      </w:r>
      <w:r w:rsidR="002126DD">
        <w:rPr>
          <w:rFonts w:eastAsia="Times-Roman"/>
        </w:rPr>
        <w:t>, which is</w:t>
      </w:r>
      <w:r w:rsidRPr="00D24B3E">
        <w:rPr>
          <w:rFonts w:eastAsia="Times-Roman"/>
        </w:rPr>
        <w:t xml:space="preserve"> crucial in digital ecosystems. RBV emphasizes the value of internal resources; it inadequately addresses how platform success in digital trade often hinges on </w:t>
      </w:r>
      <w:r w:rsidRPr="00D24B3E">
        <w:rPr>
          <w:rFonts w:eastAsia="Times-Bold"/>
        </w:rPr>
        <w:t>external collaboration</w:t>
      </w:r>
      <w:r w:rsidRPr="00D24B3E">
        <w:rPr>
          <w:rFonts w:eastAsia="Times-Roman"/>
        </w:rPr>
        <w:t xml:space="preserve">, such as fintech partnerships, regulatory engagement, and interoperability with client systems. In rapidly digitizing trade ecosystems, </w:t>
      </w:r>
      <w:r w:rsidRPr="00D24B3E">
        <w:rPr>
          <w:rFonts w:eastAsia="Times-Bold"/>
        </w:rPr>
        <w:t>value is co-created across institutional boundaries</w:t>
      </w:r>
      <w:r w:rsidRPr="00D24B3E">
        <w:rPr>
          <w:rFonts w:eastAsia="Times-Roman"/>
        </w:rPr>
        <w:t>, making the firm-centric RBV potentially too narrow for evaluating monetization strategies.</w:t>
      </w:r>
    </w:p>
    <w:p w14:paraId="68700107" w14:textId="22EFB5B9" w:rsidR="00F02E2D" w:rsidRPr="00D24B3E" w:rsidRDefault="00FA3B2D" w:rsidP="0022152C">
      <w:pPr>
        <w:spacing w:after="240" w:line="276" w:lineRule="auto"/>
        <w:jc w:val="both"/>
      </w:pPr>
      <w:r w:rsidRPr="00D24B3E">
        <w:rPr>
          <w:rFonts w:eastAsia="Times-Roman"/>
        </w:rPr>
        <w:t xml:space="preserve">TOE describes digital transformation as shaped by technological capability, organizational commitment, and external conditions such as policy frameworks and market maturity. Duong and Nguyen (2025) show that </w:t>
      </w:r>
      <w:r w:rsidR="009871AD" w:rsidRPr="00D24B3E">
        <w:rPr>
          <w:rFonts w:eastAsia="Times-Roman"/>
        </w:rPr>
        <w:t>regional regulatory infrastructure differences</w:t>
      </w:r>
      <w:r w:rsidRPr="00D24B3E">
        <w:rPr>
          <w:rFonts w:eastAsia="Times-Roman"/>
        </w:rPr>
        <w:t xml:space="preserve"> significantly affect platform effectiveness, reinforcing the model’s contextual relevance. TOE framework </w:t>
      </w:r>
      <w:r w:rsidR="009871AD" w:rsidRPr="00D24B3E">
        <w:rPr>
          <w:rFonts w:eastAsia="Times-Roman"/>
        </w:rPr>
        <w:t>treats</w:t>
      </w:r>
      <w:r w:rsidRPr="00D24B3E">
        <w:rPr>
          <w:rFonts w:eastAsia="Times-Roman"/>
        </w:rPr>
        <w:t xml:space="preserve"> organizations as </w:t>
      </w:r>
      <w:r w:rsidRPr="00D24B3E">
        <w:rPr>
          <w:rFonts w:eastAsia="Times-Bold"/>
        </w:rPr>
        <w:t>reactive agents</w:t>
      </w:r>
      <w:r w:rsidRPr="00D24B3E">
        <w:rPr>
          <w:rFonts w:eastAsia="Times-Roman"/>
        </w:rPr>
        <w:t xml:space="preserve"> shaped by external conditions like regulation and technology readiness. However, in digital trade finance, leading banks often </w:t>
      </w:r>
      <w:r w:rsidRPr="00D24B3E">
        <w:rPr>
          <w:rFonts w:eastAsia="Times-Bold"/>
        </w:rPr>
        <w:t>proactively shape their environments</w:t>
      </w:r>
      <w:r w:rsidRPr="00D24B3E">
        <w:rPr>
          <w:rFonts w:eastAsia="Times-Roman"/>
        </w:rPr>
        <w:t xml:space="preserve"> </w:t>
      </w:r>
      <w:r w:rsidR="009871AD" w:rsidRPr="00D24B3E">
        <w:rPr>
          <w:rFonts w:eastAsia="Times-Roman"/>
        </w:rPr>
        <w:t xml:space="preserve">by </w:t>
      </w:r>
      <w:r w:rsidRPr="00D24B3E">
        <w:rPr>
          <w:rFonts w:eastAsia="Times-Roman"/>
        </w:rPr>
        <w:t>lobbying regulators, co-developing standards, and orchestrating ecosystems.</w:t>
      </w:r>
    </w:p>
    <w:p w14:paraId="2BE44914" w14:textId="2F3ECC7D" w:rsidR="00F02E2D" w:rsidRPr="00D24B3E" w:rsidRDefault="00D74258" w:rsidP="0022152C">
      <w:pPr>
        <w:spacing w:after="240" w:line="276" w:lineRule="auto"/>
        <w:jc w:val="both"/>
      </w:pPr>
      <w:r w:rsidRPr="00D24B3E">
        <w:rPr>
          <w:rFonts w:eastAsia="Times-Roman"/>
        </w:rPr>
        <w:t xml:space="preserve">SDL reconceptualizes value as co-created through ongoing service exchange, not embedded into products. According to Vargo and Lusch (2004), this logic prioritizes client engagement, customization, and integration into the service lifecycle. </w:t>
      </w:r>
      <w:r w:rsidR="007B1A88">
        <w:rPr>
          <w:rFonts w:ascii="Times-Roman" w:hAnsi="Times-Roman" w:cs="Times-Roman"/>
        </w:rPr>
        <w:t xml:space="preserve">While Liu et al. (2023) emphasize that digital onboarding and value bundling play a critical role in enabling banks to convert digital interactions into revenue, the concept of co-creation remains difficult to quantify, particularly about pricing strategies and the attribution of fee-based income, which are central to the monetization of digital trade platforms. </w:t>
      </w:r>
      <w:r w:rsidRPr="00D24B3E">
        <w:t>This limits SDL’s applicability in financial modeling or platform revenue analytics.</w:t>
      </w:r>
    </w:p>
    <w:p w14:paraId="73F23758" w14:textId="210AD552" w:rsidR="008A4322" w:rsidRPr="00D24B3E" w:rsidRDefault="008A4322" w:rsidP="0022152C">
      <w:pPr>
        <w:spacing w:after="240" w:line="276" w:lineRule="auto"/>
        <w:jc w:val="both"/>
        <w:rPr>
          <w:color w:val="000000"/>
        </w:rPr>
      </w:pPr>
      <w:r w:rsidRPr="00D24B3E">
        <w:rPr>
          <w:color w:val="000000"/>
        </w:rPr>
        <w:t xml:space="preserve">While RBV’s firm-centric lens, TOE’s descriptive nature, and SDL’s conceptual abstraction each present limitations, their combined application offers a more holistic and balanced framework to capture </w:t>
      </w:r>
      <w:r w:rsidR="009871AD" w:rsidRPr="00D24B3E">
        <w:rPr>
          <w:color w:val="000000"/>
        </w:rPr>
        <w:t>digital trade platform monetization's internal, contextual, and relational dimensions</w:t>
      </w:r>
      <w:r w:rsidRPr="00D24B3E">
        <w:rPr>
          <w:color w:val="000000"/>
        </w:rPr>
        <w:t>.</w:t>
      </w:r>
    </w:p>
    <w:p w14:paraId="0672F6C0" w14:textId="77777777" w:rsidR="0055656F" w:rsidRDefault="0055656F">
      <w:pPr>
        <w:rPr>
          <w:b/>
          <w:bCs/>
        </w:rPr>
      </w:pPr>
      <w:r>
        <w:rPr>
          <w:b/>
          <w:bCs/>
        </w:rPr>
        <w:br w:type="page"/>
      </w:r>
    </w:p>
    <w:p w14:paraId="6B7D9469" w14:textId="0F673BEF" w:rsidR="00113069" w:rsidRPr="00D24B3E" w:rsidRDefault="00113069" w:rsidP="00A763FC">
      <w:pPr>
        <w:jc w:val="center"/>
      </w:pPr>
      <w:r w:rsidRPr="00D24B3E">
        <w:rPr>
          <w:b/>
          <w:bCs/>
        </w:rPr>
        <w:lastRenderedPageBreak/>
        <w:t>Fig. 3 Integrated Theoretical Lens for Digital Trade Finance</w:t>
      </w:r>
    </w:p>
    <w:p w14:paraId="2A00326B" w14:textId="56A03AA2" w:rsidR="00113069" w:rsidRPr="00D24B3E" w:rsidRDefault="00A763FC" w:rsidP="00A763FC">
      <w:pPr>
        <w:spacing w:after="240"/>
        <w:jc w:val="center"/>
        <w:rPr>
          <w:color w:val="000000"/>
        </w:rPr>
      </w:pPr>
      <w:r w:rsidRPr="00D24B3E">
        <w:rPr>
          <w:noProof/>
          <w:color w:val="000000"/>
        </w:rPr>
        <w:drawing>
          <wp:inline distT="0" distB="0" distL="0" distR="0" wp14:anchorId="1C0ECF5F" wp14:editId="13063548">
            <wp:extent cx="4396212" cy="1519361"/>
            <wp:effectExtent l="0" t="0" r="0" b="0"/>
            <wp:docPr id="2008425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25247" name=""/>
                    <pic:cNvPicPr/>
                  </pic:nvPicPr>
                  <pic:blipFill rotWithShape="1">
                    <a:blip r:embed="rId15"/>
                    <a:srcRect l="1099" t="24398" r="-1099" b="23677"/>
                    <a:stretch>
                      <a:fillRect/>
                    </a:stretch>
                  </pic:blipFill>
                  <pic:spPr bwMode="auto">
                    <a:xfrm>
                      <a:off x="0" y="0"/>
                      <a:ext cx="4396212" cy="1519361"/>
                    </a:xfrm>
                    <a:prstGeom prst="rect">
                      <a:avLst/>
                    </a:prstGeom>
                    <a:ln>
                      <a:noFill/>
                    </a:ln>
                    <a:extLst>
                      <a:ext uri="{53640926-AAD7-44D8-BBD7-CCE9431645EC}">
                        <a14:shadowObscured xmlns:a14="http://schemas.microsoft.com/office/drawing/2010/main"/>
                      </a:ext>
                    </a:extLst>
                  </pic:spPr>
                </pic:pic>
              </a:graphicData>
            </a:graphic>
          </wp:inline>
        </w:drawing>
      </w:r>
    </w:p>
    <w:p w14:paraId="7AE39211" w14:textId="77777777" w:rsidR="00F954AC" w:rsidRDefault="00113069" w:rsidP="00F954AC">
      <w:pPr>
        <w:spacing w:after="240"/>
        <w:jc w:val="center"/>
        <w:rPr>
          <w:b/>
          <w:bCs/>
        </w:rPr>
      </w:pPr>
      <w:r w:rsidRPr="00D24B3E">
        <w:t>Source: Maureen Cha</w:t>
      </w:r>
      <w:r w:rsidR="0055656F">
        <w:t>n</w:t>
      </w:r>
    </w:p>
    <w:p w14:paraId="0EC60D00" w14:textId="176BE987" w:rsidR="00A763FC" w:rsidRDefault="00F614B4" w:rsidP="00F954AC">
      <w:pPr>
        <w:pStyle w:val="Heading4"/>
        <w:rPr>
          <w:rFonts w:eastAsia="Times-Bold"/>
        </w:rPr>
      </w:pPr>
      <w:r w:rsidRPr="00D24B3E">
        <w:t xml:space="preserve">3.2.3 Operational Value vs. Revenue Realization </w:t>
      </w:r>
      <w:r w:rsidRPr="00D24B3E">
        <w:rPr>
          <w:rFonts w:eastAsia="Times-Bold"/>
        </w:rPr>
        <w:t>– clus</w:t>
      </w:r>
      <w:r w:rsidR="0055656F">
        <w:rPr>
          <w:rFonts w:eastAsia="Times-Bold"/>
        </w:rPr>
        <w:t>te</w:t>
      </w:r>
      <w:r w:rsidRPr="00D24B3E">
        <w:rPr>
          <w:rFonts w:eastAsia="Times-Bold"/>
        </w:rPr>
        <w:t>r 3</w:t>
      </w:r>
    </w:p>
    <w:p w14:paraId="3821F0E9" w14:textId="77777777" w:rsidR="00F954AC" w:rsidRPr="00F954AC" w:rsidRDefault="00F954AC" w:rsidP="00F954AC"/>
    <w:p w14:paraId="5DAC8133" w14:textId="50058D21" w:rsidR="007B1A88" w:rsidRDefault="00000000" w:rsidP="0022152C">
      <w:pPr>
        <w:spacing w:line="276" w:lineRule="auto"/>
        <w:jc w:val="both"/>
        <w:rPr>
          <w:rFonts w:eastAsia="Times-Roman"/>
        </w:rPr>
      </w:pPr>
      <w:r w:rsidRPr="00D24B3E">
        <w:rPr>
          <w:rFonts w:eastAsia="Times-Roman"/>
        </w:rPr>
        <w:t xml:space="preserve">Digital trade finance platforms </w:t>
      </w:r>
      <w:r w:rsidR="007B1A88">
        <w:rPr>
          <w:rFonts w:eastAsia="Times-Roman"/>
        </w:rPr>
        <w:t>improve</w:t>
      </w:r>
      <w:r w:rsidRPr="00D24B3E">
        <w:rPr>
          <w:rFonts w:eastAsia="Times-Roman"/>
        </w:rPr>
        <w:t xml:space="preserve"> operational efficiency through automation, </w:t>
      </w:r>
      <w:r w:rsidR="007B1A88">
        <w:rPr>
          <w:rFonts w:eastAsia="Times-Roman"/>
        </w:rPr>
        <w:t xml:space="preserve">enhanced </w:t>
      </w:r>
      <w:r w:rsidRPr="00D24B3E">
        <w:rPr>
          <w:rFonts w:eastAsia="Times-Roman"/>
        </w:rPr>
        <w:t xml:space="preserve">compliance, and </w:t>
      </w:r>
      <w:r w:rsidR="007B1A88">
        <w:rPr>
          <w:rFonts w:eastAsia="Times-Roman"/>
        </w:rPr>
        <w:t xml:space="preserve">expedited </w:t>
      </w:r>
      <w:r w:rsidRPr="00D24B3E">
        <w:rPr>
          <w:rFonts w:eastAsia="Times-Roman"/>
        </w:rPr>
        <w:t xml:space="preserve">document turnaround (Guo </w:t>
      </w:r>
      <w:r w:rsidR="002126DD">
        <w:rPr>
          <w:rFonts w:eastAsia="Times-Roman"/>
        </w:rPr>
        <w:t>&amp;</w:t>
      </w:r>
      <w:r w:rsidRPr="00D24B3E">
        <w:rPr>
          <w:rFonts w:eastAsia="Times-Roman"/>
        </w:rPr>
        <w:t xml:space="preserve"> Ma, 2025; Khalil et al., 2025). While these benefits are well documented, some scholars argue that operational efficiencies can </w:t>
      </w:r>
      <w:r w:rsidRPr="00D24B3E">
        <w:rPr>
          <w:rFonts w:eastAsia="Times-Bold"/>
        </w:rPr>
        <w:t>indirectly lead</w:t>
      </w:r>
      <w:r w:rsidRPr="00D24B3E">
        <w:rPr>
          <w:rFonts w:eastAsia="Times-Roman"/>
        </w:rPr>
        <w:t xml:space="preserve"> to income by enabling service scalability and freeing up relationship managers for value-added tasks (He et al., 2025). </w:t>
      </w:r>
      <w:r w:rsidR="00F954AC">
        <w:rPr>
          <w:rFonts w:ascii="Times-Roman" w:hAnsi="Times-Roman" w:cs="Times-Roman"/>
        </w:rPr>
        <w:t>Although operational benefits are widely documented, scholars differ on their income impact. Some argue that automation enables service scalability and frees relationship managers for higher-value tasks (He et al., 2025). Others caution that without deliberate monetization structures, these efficiencies are often absorbed as cost savings rather than revenue drivers (</w:t>
      </w:r>
      <w:proofErr w:type="spellStart"/>
      <w:r w:rsidR="00F954AC">
        <w:rPr>
          <w:rFonts w:ascii="Times-Roman" w:hAnsi="Times-Roman" w:cs="Times-Roman"/>
        </w:rPr>
        <w:t>Citterio</w:t>
      </w:r>
      <w:proofErr w:type="spellEnd"/>
      <w:r w:rsidR="00F954AC">
        <w:rPr>
          <w:rFonts w:ascii="Times-Roman" w:hAnsi="Times-Roman" w:cs="Times-Roman"/>
        </w:rPr>
        <w:t>, King, and Locatelli, 2024).</w:t>
      </w:r>
    </w:p>
    <w:p w14:paraId="50972CF1" w14:textId="77777777" w:rsidR="007B1A88" w:rsidRDefault="007B1A88" w:rsidP="0022152C">
      <w:pPr>
        <w:spacing w:line="276" w:lineRule="auto"/>
        <w:jc w:val="both"/>
        <w:rPr>
          <w:rFonts w:eastAsia="Times-Roman"/>
        </w:rPr>
      </w:pPr>
    </w:p>
    <w:p w14:paraId="6AD49621" w14:textId="0A605BEC" w:rsidR="00124EB2" w:rsidRPr="00D24B3E" w:rsidRDefault="00000000" w:rsidP="007B1A88">
      <w:pPr>
        <w:spacing w:line="276" w:lineRule="auto"/>
        <w:jc w:val="both"/>
        <w:rPr>
          <w:b/>
          <w:bCs/>
        </w:rPr>
      </w:pPr>
      <w:r w:rsidRPr="00D24B3E">
        <w:rPr>
          <w:rFonts w:eastAsia="Times-Roman"/>
        </w:rPr>
        <w:t>This conflicting evidence highlights the need to disentangle efficiency from monetization by explicitly tracking how digital enhancements convert into measurable, service-level income. To address this gap, the present study advocates aligning operational KPIs with revenue-based indicators</w:t>
      </w:r>
      <w:r w:rsidR="007B1A88">
        <w:rPr>
          <w:rFonts w:eastAsia="Times-Roman"/>
        </w:rPr>
        <w:t xml:space="preserve">, </w:t>
      </w:r>
      <w:r w:rsidRPr="00D24B3E">
        <w:rPr>
          <w:rFonts w:eastAsia="Times-Roman"/>
        </w:rPr>
        <w:t>such as marginal cost-to-serve and fee-per-service</w:t>
      </w:r>
      <w:r w:rsidR="007B1A88">
        <w:rPr>
          <w:rFonts w:eastAsia="Times-Roman"/>
        </w:rPr>
        <w:t xml:space="preserve">, </w:t>
      </w:r>
      <w:r w:rsidR="00BF2AD9">
        <w:rPr>
          <w:rFonts w:eastAsia="Times-Roman"/>
        </w:rPr>
        <w:t>to</w:t>
      </w:r>
      <w:r w:rsidR="007B1A88">
        <w:rPr>
          <w:rFonts w:eastAsia="Times-Roman"/>
        </w:rPr>
        <w:t xml:space="preserve"> better</w:t>
      </w:r>
      <w:r w:rsidR="00BF2AD9">
        <w:rPr>
          <w:rFonts w:eastAsia="Times-Roman"/>
        </w:rPr>
        <w:t xml:space="preserve"> understand the commercial yield of digital trade platforms</w:t>
      </w:r>
      <w:r w:rsidRPr="00D24B3E">
        <w:rPr>
          <w:rFonts w:eastAsia="Times-Roman"/>
        </w:rPr>
        <w:t xml:space="preserve">. </w:t>
      </w:r>
      <w:r w:rsidRPr="00D24B3E">
        <w:t xml:space="preserve">Notably, operational efficiency remains a central outcome of digitization, </w:t>
      </w:r>
      <w:r w:rsidR="007B1A88">
        <w:t xml:space="preserve">but </w:t>
      </w:r>
      <w:r w:rsidRPr="00D24B3E">
        <w:t xml:space="preserve">it does not inherently lead to improved revenue performance. </w:t>
      </w:r>
      <w:r w:rsidR="007B1A88">
        <w:rPr>
          <w:rFonts w:ascii="Times-Roman" w:hAnsi="Times-Roman" w:cs="Times-Roman"/>
        </w:rPr>
        <w:t>This highlights the importance of analyzing monetization strategies, such as pricing models and service bundling embedded within platform design. Shifting the focus from cost-efficiency to revenue generation aligns the study with both academic inquiry and practical business priorities.</w:t>
      </w:r>
    </w:p>
    <w:p w14:paraId="11CE8FA0" w14:textId="37C3B22A" w:rsidR="00F02E2D" w:rsidRPr="00D24B3E" w:rsidRDefault="00F614B4" w:rsidP="00D24B3E">
      <w:pPr>
        <w:pStyle w:val="Heading4"/>
      </w:pPr>
      <w:r w:rsidRPr="00D24B3E">
        <w:t xml:space="preserve">3.2.4 Platform, Ecosystem Value and Monetization Models </w:t>
      </w:r>
      <w:r w:rsidRPr="00D24B3E">
        <w:rPr>
          <w:rFonts w:eastAsia="Times-Bold"/>
        </w:rPr>
        <w:t>– cluster 4</w:t>
      </w:r>
    </w:p>
    <w:p w14:paraId="3C689583" w14:textId="6457441F" w:rsidR="00F02E2D" w:rsidRPr="00D24B3E" w:rsidRDefault="00000000" w:rsidP="0022152C">
      <w:pPr>
        <w:spacing w:before="280" w:after="280" w:line="276" w:lineRule="auto"/>
        <w:jc w:val="both"/>
      </w:pPr>
      <w:r w:rsidRPr="00D24B3E">
        <w:t xml:space="preserve">A digital trade finance ecosystem is a collaborative infrastructure of banks, fintech firms, and corporate clients, enabled by technology to deliver integrated trade services. These ecosystems aim to improve coordination and unlock monetization opportunities through digital tools such as shared platforms, API-based services, and intelligent compliance layers (Tanveer et al., 2025; Han et al., 2025). Ecosystem effectiveness depends on commercial design. As Hossain and Sultana (2024) note, gaps often emerge between platform functionality and revenue realization, stemming </w:t>
      </w:r>
      <w:r w:rsidRPr="00D24B3E">
        <w:lastRenderedPageBreak/>
        <w:t>from unclear pricing structures, inconsistent client onboarding, or misalignment between compliance and revenue teams.</w:t>
      </w:r>
    </w:p>
    <w:p w14:paraId="133C98C3" w14:textId="77777777" w:rsidR="00F02E2D" w:rsidRPr="00D24B3E" w:rsidRDefault="00000000" w:rsidP="0022152C">
      <w:pPr>
        <w:spacing w:before="280" w:after="280" w:line="276" w:lineRule="auto"/>
        <w:jc w:val="both"/>
      </w:pPr>
      <w:r w:rsidRPr="00D24B3E">
        <w:t>Monetization models referring to structured revenue strategies like bundled offerings, usage-based fees, and premium advisory services are still underexplored in business-to-business (B2B) trade contexts. Sultana and Alam (2024) argue that transparency and frictionless customer experience are vital for sustainable income. Mishra and Maria (2023) support this, suggesting that banks must prioritize monetization logic early in the platform design phase to ensure revenue alignment.</w:t>
      </w:r>
    </w:p>
    <w:p w14:paraId="16BD1FF9" w14:textId="539890CD" w:rsidR="00F02E2D" w:rsidRPr="00D24B3E" w:rsidRDefault="00F614B4" w:rsidP="00D24B3E">
      <w:pPr>
        <w:pStyle w:val="Heading4"/>
      </w:pPr>
      <w:r w:rsidRPr="00D24B3E">
        <w:t xml:space="preserve">3.2.5 Market Diversity </w:t>
      </w:r>
      <w:r w:rsidRPr="00D24B3E">
        <w:rPr>
          <w:rFonts w:eastAsia="Times-Bold"/>
        </w:rPr>
        <w:t>– cluster 5</w:t>
      </w:r>
    </w:p>
    <w:p w14:paraId="70805099" w14:textId="29B725F3" w:rsidR="00F02E2D" w:rsidRPr="00D24B3E" w:rsidRDefault="007B1A88" w:rsidP="0022152C">
      <w:pPr>
        <w:spacing w:after="240" w:line="276" w:lineRule="auto"/>
        <w:jc w:val="both"/>
      </w:pPr>
      <w:r>
        <w:rPr>
          <w:rFonts w:eastAsia="Times-Roman"/>
        </w:rPr>
        <w:t>Market diversity</w:t>
      </w:r>
      <w:r w:rsidRPr="00D24B3E">
        <w:rPr>
          <w:rFonts w:eastAsia="Times-Roman"/>
        </w:rPr>
        <w:t xml:space="preserve"> in digital trade performance is shaped by institutional maturity, policy alignment, and technological infrastructure. Macro-level studies (Wu, Liu, and Yang, 2023) provide broad insights but often ignore North Asia’s fragmented regulatory context. Duong and Nguyen (2025) argue that digital policy maturity significantly affects platform scalability and commercial success. Ong et al. (2023) also highlight the tension between digital inclusion and monetization strategies.</w:t>
      </w:r>
    </w:p>
    <w:p w14:paraId="07B70D80" w14:textId="438A4F9B" w:rsidR="00F02E2D" w:rsidRPr="00D24B3E" w:rsidRDefault="00000000" w:rsidP="0022152C">
      <w:pPr>
        <w:spacing w:after="240" w:line="276" w:lineRule="auto"/>
        <w:jc w:val="both"/>
      </w:pPr>
      <w:r w:rsidRPr="00D24B3E">
        <w:rPr>
          <w:rFonts w:eastAsia="Times-Roman"/>
        </w:rPr>
        <w:t>Research by Ismail (2020), Kimura et al. (2021), and Zheng (2025) shows that jurisdiction-specific digital capabilities influence the pace and profitability of trade finance digitization. This thematic cluster confirms the importance of conducting comparative, context-aware analysis to understand how regulatory, cultural, and infrastructure differences shape income outcomes across North Asian markets.</w:t>
      </w:r>
    </w:p>
    <w:p w14:paraId="148DA04C" w14:textId="75561DA1" w:rsidR="00F02E2D" w:rsidRPr="00D24B3E" w:rsidRDefault="00F614B4" w:rsidP="00D24B3E">
      <w:pPr>
        <w:pStyle w:val="Heading2"/>
        <w:rPr>
          <w:sz w:val="24"/>
          <w:szCs w:val="24"/>
        </w:rPr>
      </w:pPr>
      <w:bookmarkStart w:id="5" w:name="_Toc204471198"/>
      <w:r w:rsidRPr="00D24B3E">
        <w:rPr>
          <w:sz w:val="24"/>
          <w:szCs w:val="24"/>
        </w:rPr>
        <w:t>3.3  Research Gaps</w:t>
      </w:r>
      <w:bookmarkEnd w:id="5"/>
    </w:p>
    <w:p w14:paraId="184B5150" w14:textId="70603CEF" w:rsidR="00F02E2D" w:rsidRPr="00D24B3E" w:rsidRDefault="00F614B4" w:rsidP="00D24B3E">
      <w:pPr>
        <w:pStyle w:val="Heading4"/>
      </w:pPr>
      <w:r w:rsidRPr="00D24B3E">
        <w:t>3.3.1</w:t>
      </w:r>
      <w:r w:rsidRPr="00D24B3E">
        <w:tab/>
        <w:t>Theme 1: Methodological Gaps – Lack of Qualitative Micro-Level Analysis</w:t>
      </w:r>
    </w:p>
    <w:p w14:paraId="49F4977E" w14:textId="77777777" w:rsidR="007B1A88" w:rsidRDefault="00000000" w:rsidP="0022152C">
      <w:pPr>
        <w:spacing w:after="240" w:line="276" w:lineRule="auto"/>
        <w:jc w:val="both"/>
        <w:rPr>
          <w:rFonts w:eastAsia="Times-Roman"/>
        </w:rPr>
      </w:pPr>
      <w:r w:rsidRPr="00D24B3E">
        <w:rPr>
          <w:rFonts w:eastAsia="Times-Roman"/>
        </w:rPr>
        <w:t xml:space="preserve">Contemporary research on digital transformation in banking is predominantly macroeconomic and quantitative, which limits insights into institution-level dynamics of trade platform monetization. A methodological gap emerges from the dominance of econometric modeling that often generalizes sector-wide trends while overlooking the strategic logic within individual institutions. A </w:t>
      </w:r>
      <w:r w:rsidRPr="00D24B3E">
        <w:rPr>
          <w:rFonts w:eastAsia="Times-Bold"/>
        </w:rPr>
        <w:t>case-based study</w:t>
      </w:r>
      <w:r w:rsidRPr="00D24B3E">
        <w:rPr>
          <w:rFonts w:eastAsia="Times-Roman"/>
        </w:rPr>
        <w:t xml:space="preserve"> is defined as a qualitative approach that investigates phenomena within real-world contexts by examining decisions, processes, and perspectives in depth. Rare contributions by </w:t>
      </w:r>
      <w:proofErr w:type="spellStart"/>
      <w:r w:rsidRPr="00D24B3E">
        <w:rPr>
          <w:rFonts w:eastAsia="Times-Roman"/>
        </w:rPr>
        <w:t>Kreitstshtein</w:t>
      </w:r>
      <w:proofErr w:type="spellEnd"/>
      <w:r w:rsidRPr="00D24B3E">
        <w:rPr>
          <w:rFonts w:eastAsia="Times-Roman"/>
        </w:rPr>
        <w:t xml:space="preserve"> (2017) and Liu et al. (2011) illustrate the value of such approaches in capturing organizational mechanisms underlying digital outcomes. </w:t>
      </w:r>
    </w:p>
    <w:p w14:paraId="1C7B2B67" w14:textId="58BB8757" w:rsidR="00F02E2D" w:rsidRPr="007B1A88" w:rsidRDefault="00000000" w:rsidP="0022152C">
      <w:pPr>
        <w:spacing w:after="240" w:line="276" w:lineRule="auto"/>
        <w:jc w:val="both"/>
        <w:rPr>
          <w:rFonts w:eastAsia="Times-Roman"/>
        </w:rPr>
      </w:pPr>
      <w:r w:rsidRPr="00D24B3E">
        <w:rPr>
          <w:rFonts w:eastAsia="Times-Roman"/>
        </w:rPr>
        <w:t>This present study addresses this gap by adopting a qualitative case study methodology to explore the internal and external mechanisms through which commercial banks in North Asia monetize digital trade finance.</w:t>
      </w:r>
      <w:r w:rsidR="008A4322" w:rsidRPr="00D24B3E">
        <w:rPr>
          <w:color w:val="000000"/>
        </w:rPr>
        <w:t xml:space="preserve"> </w:t>
      </w:r>
      <w:r w:rsidR="007B1A88">
        <w:rPr>
          <w:rFonts w:ascii="Times-Roman" w:hAnsi="Times-Roman" w:cs="Times-Roman"/>
        </w:rPr>
        <w:t>Richer qualitative approaches enable the exploration of underlying pricing rationales, expose adoption challenges influenced by organizational norms and client dynamics, and elucidate internal decision-making processes that are typically concealed within aggregate-level quantitative analyses.</w:t>
      </w:r>
    </w:p>
    <w:p w14:paraId="3C3CD0E1" w14:textId="5B74B9F9" w:rsidR="00F02E2D" w:rsidRPr="00D24B3E" w:rsidRDefault="00F614B4" w:rsidP="00D24B3E">
      <w:pPr>
        <w:pStyle w:val="Heading4"/>
      </w:pPr>
      <w:r w:rsidRPr="00D24B3E">
        <w:lastRenderedPageBreak/>
        <w:t>3.3.2</w:t>
      </w:r>
      <w:r w:rsidRPr="00D24B3E">
        <w:tab/>
        <w:t>Theme 2: Income Attribution Gaps – Underdeveloped Trade Fee Revenue</w:t>
      </w:r>
    </w:p>
    <w:p w14:paraId="04262601" w14:textId="77777777" w:rsidR="00F02E2D" w:rsidRPr="00D24B3E" w:rsidRDefault="00000000" w:rsidP="0022152C">
      <w:pPr>
        <w:spacing w:after="240" w:line="276" w:lineRule="auto"/>
        <w:jc w:val="both"/>
      </w:pPr>
      <w:r w:rsidRPr="00D24B3E">
        <w:rPr>
          <w:rFonts w:eastAsia="Times-Roman"/>
        </w:rPr>
        <w:t>To bridge the attribution gap, the study proposes a conceptual tool for disaggregating digital income streams. A revenue stream is a distinct source of income linked to a specific financial product, customer action, or service component (Cai &amp; Chen, 2022). In digital trade finance, revenue streams such as advising, issuance, or confirmation are often aggregated, obscuring their individual contribution. A service-level monetization framework is a diagnostic model developed to trace income generation across three dimensions: platform-enabled delivery, client-perceived value, and embedded monetization logic (Nguyen-</w:t>
      </w:r>
      <w:proofErr w:type="spellStart"/>
      <w:r w:rsidRPr="00D24B3E">
        <w:rPr>
          <w:rFonts w:eastAsia="Times-Roman"/>
        </w:rPr>
        <w:t>Thi</w:t>
      </w:r>
      <w:proofErr w:type="spellEnd"/>
      <w:r w:rsidRPr="00D24B3E">
        <w:rPr>
          <w:rFonts w:eastAsia="Times-Roman"/>
        </w:rPr>
        <w:t xml:space="preserve">-Huong et al., 2023). By using this framework, the research provides a structured basis to evaluate how digital trade platforms generate non-interest income at the service level. This study addresses the attribution gap by focusing explicitly on </w:t>
      </w:r>
      <w:r w:rsidRPr="00D24B3E">
        <w:rPr>
          <w:rFonts w:eastAsia="Times-Bold"/>
        </w:rPr>
        <w:t xml:space="preserve">trade-related non-interest income </w:t>
      </w:r>
      <w:r w:rsidRPr="00D24B3E">
        <w:rPr>
          <w:rFonts w:eastAsia="Times-Roman"/>
        </w:rPr>
        <w:t>defined as income generated from service-based activities rather than interest-bearing loans and how it materializes through monetization mechanisms embedded in digital trade platforms. By evaluating revenue at both the product and process level, this research aims to clarify the financial outcomes of digital trade adoption in corporate banking.</w:t>
      </w:r>
    </w:p>
    <w:p w14:paraId="468C94CF" w14:textId="4BA4FBD3" w:rsidR="00F02E2D" w:rsidRPr="00D24B3E" w:rsidRDefault="00F614B4" w:rsidP="00D24B3E">
      <w:pPr>
        <w:pStyle w:val="Heading4"/>
      </w:pPr>
      <w:r w:rsidRPr="00D24B3E">
        <w:t>3.3.3</w:t>
      </w:r>
      <w:r w:rsidRPr="00D24B3E">
        <w:tab/>
        <w:t xml:space="preserve">Theme 3: </w:t>
      </w:r>
      <w:r w:rsidR="007B1A88">
        <w:t>Monies</w:t>
      </w:r>
      <w:r w:rsidRPr="00D24B3E">
        <w:t xml:space="preserve"> Model Gaps – Monetization Pathways Remain Underexplored</w:t>
      </w:r>
    </w:p>
    <w:p w14:paraId="1A3595A1" w14:textId="3F347A5D" w:rsidR="00F02E2D" w:rsidRPr="00D24B3E" w:rsidRDefault="00000000" w:rsidP="0022152C">
      <w:pPr>
        <w:spacing w:after="240" w:line="276" w:lineRule="auto"/>
        <w:jc w:val="both"/>
      </w:pPr>
      <w:r w:rsidRPr="00D24B3E">
        <w:rPr>
          <w:rFonts w:eastAsia="Times-Roman"/>
        </w:rPr>
        <w:t xml:space="preserve">A monetization pathway refers to a strategic approach through which an institution converts capabilities, services, or interactions into sustained, measurable income. Despite significant investments in digital infrastructure, existing research provides limited insight into banks' structure of commercial models around digital trade finance. Most studies emphasize operational improvements, such as enhanced speed, accuracy, or compliance (Guo </w:t>
      </w:r>
      <w:r w:rsidR="009871AD" w:rsidRPr="00D24B3E">
        <w:rPr>
          <w:rFonts w:eastAsia="Times-Roman"/>
        </w:rPr>
        <w:t>&amp;</w:t>
      </w:r>
      <w:r w:rsidRPr="00D24B3E">
        <w:rPr>
          <w:rFonts w:eastAsia="Times-Roman"/>
        </w:rPr>
        <w:t xml:space="preserve"> Ma, 2025; Khalil et al., 2025</w:t>
      </w:r>
      <w:proofErr w:type="gramStart"/>
      <w:r w:rsidRPr="00D24B3E">
        <w:rPr>
          <w:rFonts w:eastAsia="Times-Roman"/>
        </w:rPr>
        <w:t xml:space="preserve">), </w:t>
      </w:r>
      <w:r w:rsidR="009871AD" w:rsidRPr="00D24B3E">
        <w:rPr>
          <w:rFonts w:eastAsia="Times-Roman"/>
        </w:rPr>
        <w:t>but</w:t>
      </w:r>
      <w:proofErr w:type="gramEnd"/>
      <w:r w:rsidR="009871AD" w:rsidRPr="00D24B3E">
        <w:rPr>
          <w:rFonts w:eastAsia="Times-Roman"/>
        </w:rPr>
        <w:t xml:space="preserve"> </w:t>
      </w:r>
      <w:r w:rsidRPr="00D24B3E">
        <w:rPr>
          <w:rFonts w:eastAsia="Times-Roman"/>
        </w:rPr>
        <w:t>offer little explanation of the revenue-generation logic that supports platform sustainability (</w:t>
      </w:r>
      <w:proofErr w:type="spellStart"/>
      <w:r w:rsidRPr="00D24B3E">
        <w:rPr>
          <w:rFonts w:eastAsia="Times-Roman"/>
        </w:rPr>
        <w:t>Citterio</w:t>
      </w:r>
      <w:proofErr w:type="spellEnd"/>
      <w:r w:rsidRPr="00D24B3E">
        <w:rPr>
          <w:rFonts w:eastAsia="Times-Roman"/>
        </w:rPr>
        <w:t>, King, and Locatelli, 2024).</w:t>
      </w:r>
    </w:p>
    <w:p w14:paraId="14B9FF75" w14:textId="5C9E027D" w:rsidR="00F02E2D" w:rsidRPr="00D24B3E" w:rsidRDefault="00000000" w:rsidP="0022152C">
      <w:pPr>
        <w:spacing w:after="240" w:line="276" w:lineRule="auto"/>
        <w:jc w:val="both"/>
      </w:pPr>
      <w:r w:rsidRPr="00D24B3E">
        <w:rPr>
          <w:rFonts w:eastAsia="Times-Roman"/>
        </w:rPr>
        <w:t xml:space="preserve">There is a notable absence of empirical work detailing how banks price digital services, bundle value-added features, or calculate returns on digital trade investments. </w:t>
      </w:r>
      <w:r w:rsidR="002F3D7B">
        <w:rPr>
          <w:rFonts w:ascii="Times-Roman" w:hAnsi="Times-Roman" w:cs="Times-Roman"/>
        </w:rPr>
        <w:t xml:space="preserve">Hossain and Sultana (2024) emphasize pricing transparency, user-centric design, and onboarding strategies as key to commercial success across five North Asian markets, though their recommendations remain largely conceptual. </w:t>
      </w:r>
      <w:r w:rsidRPr="00D24B3E">
        <w:rPr>
          <w:rFonts w:eastAsia="Times-Roman"/>
        </w:rPr>
        <w:t xml:space="preserve">Similarly, </w:t>
      </w:r>
      <w:r w:rsidRPr="00D24B3E">
        <w:t>Tanveer et al.</w:t>
      </w:r>
      <w:r w:rsidRPr="00D24B3E">
        <w:rPr>
          <w:rFonts w:eastAsia="Times-Roman"/>
        </w:rPr>
        <w:t xml:space="preserve"> (2025) </w:t>
      </w:r>
      <w:r w:rsidR="002F3D7B">
        <w:rPr>
          <w:rFonts w:ascii="Times-Roman" w:hAnsi="Times-Roman" w:cs="Times-Roman"/>
        </w:rPr>
        <w:t>acknowledge the importance of platform ecosystems in contemporary trade services but offer limited analysis of the revenue models that sustain effective platform operations.</w:t>
      </w:r>
      <w:r w:rsidRPr="00D24B3E">
        <w:rPr>
          <w:rFonts w:eastAsia="Times-Roman"/>
        </w:rPr>
        <w:t xml:space="preserve">. This reflects a broader gap in the literature: while banks recognize digital trade as a new revenue source, </w:t>
      </w:r>
      <w:r w:rsidR="00073DAA" w:rsidRPr="00D24B3E">
        <w:rPr>
          <w:rFonts w:eastAsia="Times-Roman"/>
        </w:rPr>
        <w:t xml:space="preserve">limited research </w:t>
      </w:r>
      <w:r w:rsidRPr="00D24B3E">
        <w:rPr>
          <w:rFonts w:eastAsia="Times-Roman"/>
        </w:rPr>
        <w:t>investigate</w:t>
      </w:r>
      <w:r w:rsidR="00073DAA" w:rsidRPr="00D24B3E">
        <w:rPr>
          <w:rFonts w:eastAsia="Times-Roman"/>
        </w:rPr>
        <w:t>s</w:t>
      </w:r>
      <w:r w:rsidRPr="00D24B3E">
        <w:rPr>
          <w:rFonts w:eastAsia="Times-Roman"/>
        </w:rPr>
        <w:t xml:space="preserve"> how pricing strategies, service segmentation, or product differentiation are operationalized to ensure profitability (Nguyen-</w:t>
      </w:r>
      <w:proofErr w:type="spellStart"/>
      <w:r w:rsidRPr="00D24B3E">
        <w:rPr>
          <w:rFonts w:eastAsia="Times-Roman"/>
        </w:rPr>
        <w:t>Thi</w:t>
      </w:r>
      <w:proofErr w:type="spellEnd"/>
      <w:r w:rsidRPr="00D24B3E">
        <w:rPr>
          <w:rFonts w:eastAsia="Times-Roman"/>
        </w:rPr>
        <w:t>-Huong et al., 2023; Kimura et al., 2021).</w:t>
      </w:r>
    </w:p>
    <w:p w14:paraId="3E89E74C" w14:textId="17425145" w:rsidR="00F02E2D" w:rsidRPr="00D24B3E" w:rsidRDefault="00000000" w:rsidP="0022152C">
      <w:pPr>
        <w:spacing w:after="240" w:line="276" w:lineRule="auto"/>
        <w:jc w:val="both"/>
        <w:rPr>
          <w:rFonts w:eastAsia="Times-Roman"/>
        </w:rPr>
      </w:pPr>
      <w:r w:rsidRPr="00D24B3E">
        <w:rPr>
          <w:rFonts w:eastAsia="Times-Roman"/>
        </w:rPr>
        <w:t xml:space="preserve">Many banks continue to apply traditional pricing models to digital trade finance services, overlooking the cost efficiencies and scalability potential inherent to these channels. Approaches </w:t>
      </w:r>
      <w:r w:rsidRPr="00D24B3E">
        <w:rPr>
          <w:rFonts w:eastAsia="Times-Roman"/>
        </w:rPr>
        <w:lastRenderedPageBreak/>
        <w:t>such as</w:t>
      </w:r>
      <w:r w:rsidR="00560A7F" w:rsidRPr="00D24B3E">
        <w:rPr>
          <w:rFonts w:eastAsia="Times-Roman"/>
        </w:rPr>
        <w:t xml:space="preserve"> tier</w:t>
      </w:r>
      <w:r w:rsidRPr="00D24B3E">
        <w:rPr>
          <w:rFonts w:eastAsia="Times-Roman"/>
        </w:rPr>
        <w:t xml:space="preserve"> pricing</w:t>
      </w:r>
      <w:r w:rsidR="00560A7F" w:rsidRPr="00D24B3E">
        <w:rPr>
          <w:rFonts w:eastAsia="Times-Roman"/>
        </w:rPr>
        <w:t xml:space="preserve"> models</w:t>
      </w:r>
      <w:r w:rsidR="00560A7F" w:rsidRPr="00D24B3E">
        <w:rPr>
          <w:rStyle w:val="FootnoteReference"/>
          <w:rFonts w:eastAsia="Times-Roman"/>
        </w:rPr>
        <w:footnoteReference w:id="3"/>
      </w:r>
      <w:r w:rsidRPr="00D24B3E">
        <w:rPr>
          <w:rFonts w:eastAsia="Times-Roman"/>
        </w:rPr>
        <w:t xml:space="preserve">, usage-based fees, and subscription models are seldom implemented, limiting the commercial responsiveness of digital offerings (Sultana and Alam, 2024; Cai </w:t>
      </w:r>
      <w:r w:rsidR="009871AD" w:rsidRPr="00D24B3E">
        <w:rPr>
          <w:rFonts w:eastAsia="Times-Roman"/>
        </w:rPr>
        <w:t>&amp;</w:t>
      </w:r>
      <w:r w:rsidRPr="00D24B3E">
        <w:rPr>
          <w:rFonts w:eastAsia="Times-Roman"/>
        </w:rPr>
        <w:t xml:space="preserve"> Chen, 2022). Moreover, financial metrics essential to digital monetization</w:t>
      </w:r>
      <w:r w:rsidR="002F3D7B">
        <w:rPr>
          <w:rFonts w:eastAsia="Times-Roman"/>
        </w:rPr>
        <w:t>,</w:t>
      </w:r>
      <w:r w:rsidRPr="00D24B3E">
        <w:rPr>
          <w:rFonts w:eastAsia="Times-Roman"/>
        </w:rPr>
        <w:t xml:space="preserve"> </w:t>
      </w:r>
      <w:r w:rsidR="002F3D7B">
        <w:rPr>
          <w:rFonts w:eastAsia="Times-Roman"/>
        </w:rPr>
        <w:t>for example,</w:t>
      </w:r>
      <w:r w:rsidRPr="00D24B3E">
        <w:rPr>
          <w:rFonts w:eastAsia="Times-Roman"/>
        </w:rPr>
        <w:t xml:space="preserve"> cost-to-serve, marginal revenue per service, and digital client lifetime value</w:t>
      </w:r>
      <w:r w:rsidR="002F3D7B">
        <w:rPr>
          <w:rFonts w:eastAsia="Times-Roman"/>
        </w:rPr>
        <w:t>,</w:t>
      </w:r>
      <w:r w:rsidRPr="00D24B3E">
        <w:rPr>
          <w:rFonts w:eastAsia="Times-Roman"/>
        </w:rPr>
        <w:t xml:space="preserve"> are rarely evaluated, particularly in business-to-business trade finance, where service complexity and client expectations vary widely (Mishra and Maria, 2023; Xie and Wang, 2023).</w:t>
      </w:r>
    </w:p>
    <w:p w14:paraId="431C5D68" w14:textId="7F2E70E7" w:rsidR="00F614B4" w:rsidRPr="00D24B3E" w:rsidRDefault="00000000" w:rsidP="0022152C">
      <w:pPr>
        <w:spacing w:after="240" w:line="276" w:lineRule="auto"/>
        <w:jc w:val="both"/>
      </w:pPr>
      <w:r w:rsidRPr="00D24B3E">
        <w:rPr>
          <w:rFonts w:eastAsia="Times-Roman"/>
        </w:rPr>
        <w:t xml:space="preserve">These deficiencies are often compounded by organizational fragmentation, including unclear ownership of digital initiatives and insufficient coordination between IT and commercial units. </w:t>
      </w:r>
      <w:r w:rsidR="002F3D7B">
        <w:rPr>
          <w:rFonts w:eastAsia="Times-Roman"/>
        </w:rPr>
        <w:t>Although</w:t>
      </w:r>
      <w:r w:rsidRPr="00D24B3E">
        <w:rPr>
          <w:rFonts w:eastAsia="Times-Roman"/>
        </w:rPr>
        <w:t xml:space="preserve"> many banks have adopted digital advisory tools, real-time analytics dashboards, and enterprise resource planning (ERP) integrations, the pricing of such services frequently lacks transparency and consistency (Duong and Nguyen, 2025).</w:t>
      </w:r>
    </w:p>
    <w:p w14:paraId="4E80D8D0" w14:textId="02B404BE" w:rsidR="00F02E2D" w:rsidRDefault="00F614B4" w:rsidP="00D24B3E">
      <w:pPr>
        <w:pStyle w:val="Heading4"/>
      </w:pPr>
      <w:r w:rsidRPr="00D24B3E">
        <w:t>3.3.4</w:t>
      </w:r>
      <w:r w:rsidRPr="00D24B3E">
        <w:tab/>
        <w:t xml:space="preserve">Theme 4: Regional Comparison Gaps – Lack of Jurisdictional Perspective </w:t>
      </w:r>
    </w:p>
    <w:p w14:paraId="18C29659" w14:textId="77777777" w:rsidR="00FE5713" w:rsidRPr="00FE5713" w:rsidRDefault="00FE5713" w:rsidP="00FE5713"/>
    <w:p w14:paraId="400A7503" w14:textId="33AE3B3D" w:rsidR="00F02E2D" w:rsidRPr="00D24B3E" w:rsidRDefault="00000000" w:rsidP="0022152C">
      <w:pPr>
        <w:spacing w:after="240" w:line="276" w:lineRule="auto"/>
        <w:jc w:val="both"/>
      </w:pPr>
      <w:r w:rsidRPr="00D24B3E">
        <w:rPr>
          <w:rFonts w:eastAsia="Times-Roman"/>
        </w:rPr>
        <w:t xml:space="preserve">A regional comparison gap refers to the absence of cross-market empirical studies that evaluate institutional, regulatory, and infrastructural variations influence </w:t>
      </w:r>
      <w:r w:rsidR="00BF2AD9">
        <w:rPr>
          <w:rFonts w:eastAsia="Times-Roman"/>
        </w:rPr>
        <w:t>digital trade finance platforms' design, adoption, and revenue performance</w:t>
      </w:r>
      <w:r w:rsidRPr="00D24B3E">
        <w:rPr>
          <w:rFonts w:eastAsia="Times-Roman"/>
        </w:rPr>
        <w:t>. This gap is particularly salient in North Asia, where economies such as Hong Kong, Japan, South Korea, Taiwan, and China exhibit distinct levels of digital maturity, client sophistication, and regulatory frameworks.</w:t>
      </w:r>
    </w:p>
    <w:p w14:paraId="6C37B892" w14:textId="3185DC42" w:rsidR="00F02E2D" w:rsidRPr="00D24B3E" w:rsidRDefault="002F3D7B" w:rsidP="0022152C">
      <w:pPr>
        <w:spacing w:after="240" w:line="276" w:lineRule="auto"/>
        <w:jc w:val="both"/>
      </w:pPr>
      <w:r>
        <w:rPr>
          <w:rFonts w:eastAsia="Times-Roman"/>
        </w:rPr>
        <w:t>Despite</w:t>
      </w:r>
      <w:r w:rsidRPr="00D24B3E">
        <w:rPr>
          <w:rFonts w:eastAsia="Times-Roman"/>
        </w:rPr>
        <w:t xml:space="preserve"> existing literature provides valuable single-market insights, such as those of He et al. (2025) on China and Mishra and Maria (2023) on India, it rarely investigates the comparative dynamics across jurisdictions. Regulatory diversity, defined as the variation in legal, compliance, and supervisory frameworks governing financial services, is especially influential in this context. </w:t>
      </w:r>
      <w:r>
        <w:rPr>
          <w:rFonts w:eastAsia="Times-Roman"/>
        </w:rPr>
        <w:t>L</w:t>
      </w:r>
      <w:r w:rsidR="00073DAA" w:rsidRPr="00D24B3E">
        <w:rPr>
          <w:rFonts w:eastAsia="Times-Roman"/>
        </w:rPr>
        <w:t xml:space="preserve">imited research </w:t>
      </w:r>
      <w:r w:rsidR="00BF2AD9">
        <w:rPr>
          <w:rFonts w:eastAsia="Times-Roman"/>
        </w:rPr>
        <w:t>focuses systematically on examining</w:t>
      </w:r>
      <w:r w:rsidRPr="00D24B3E">
        <w:rPr>
          <w:rFonts w:eastAsia="Times-Roman"/>
        </w:rPr>
        <w:t xml:space="preserve"> how such diversity shapes platform implementation or income generation outcomes in cross-border settings (Duong </w:t>
      </w:r>
      <w:r w:rsidR="009871AD" w:rsidRPr="00D24B3E">
        <w:rPr>
          <w:rFonts w:eastAsia="Times-Roman"/>
        </w:rPr>
        <w:t>&amp;</w:t>
      </w:r>
      <w:r w:rsidRPr="00D24B3E">
        <w:rPr>
          <w:rFonts w:eastAsia="Times-Roman"/>
        </w:rPr>
        <w:t xml:space="preserve"> Nguyen, 2025; Kimura et al., 2021).</w:t>
      </w:r>
    </w:p>
    <w:p w14:paraId="30B0B9FE" w14:textId="25496FB7" w:rsidR="00F954AC" w:rsidRDefault="00000000" w:rsidP="0022152C">
      <w:pPr>
        <w:spacing w:after="240" w:line="276" w:lineRule="auto"/>
        <w:jc w:val="both"/>
        <w:rPr>
          <w:rFonts w:eastAsia="Times-Roman"/>
        </w:rPr>
      </w:pPr>
      <w:r w:rsidRPr="00D24B3E">
        <w:rPr>
          <w:rFonts w:eastAsia="Times-Roman"/>
        </w:rPr>
        <w:t>Client sophistication</w:t>
      </w:r>
      <w:r w:rsidR="002F3D7B">
        <w:rPr>
          <w:rFonts w:eastAsia="Times-Roman"/>
        </w:rPr>
        <w:t>,</w:t>
      </w:r>
      <w:r w:rsidRPr="00D24B3E">
        <w:rPr>
          <w:rFonts w:eastAsia="Times-Roman"/>
        </w:rPr>
        <w:t xml:space="preserve"> which denotes the degree to which corporate clients are digitally literate, operationally integrated, and risk-aware, varies across the region. While high levels of digital readiness are reported in urban financial centers (Liu et al., 2023; Nguyen-</w:t>
      </w:r>
      <w:proofErr w:type="spellStart"/>
      <w:r w:rsidRPr="00D24B3E">
        <w:rPr>
          <w:rFonts w:eastAsia="Times-Roman"/>
        </w:rPr>
        <w:t>Thi</w:t>
      </w:r>
      <w:proofErr w:type="spellEnd"/>
      <w:r w:rsidRPr="00D24B3E">
        <w:rPr>
          <w:rFonts w:eastAsia="Times-Roman"/>
        </w:rPr>
        <w:t>-Huong et al., 2023), they do not uniformly extend to broader national markets, influencing adoption rates and pricing elasticity. As Sultana and Alam (2024) argue, monetization strategies must be adapted to local client behaviors and regulatory constraints, rather than assumed to be universally applicable.</w:t>
      </w:r>
    </w:p>
    <w:p w14:paraId="7ED0A4A6" w14:textId="3CEB67D0" w:rsidR="00F02E2D" w:rsidRPr="00F954AC" w:rsidRDefault="00F954AC" w:rsidP="00F954AC">
      <w:pPr>
        <w:rPr>
          <w:rFonts w:eastAsia="Times-Roman"/>
        </w:rPr>
      </w:pPr>
      <w:r>
        <w:rPr>
          <w:rFonts w:eastAsia="Times-Roman"/>
        </w:rPr>
        <w:br w:type="page"/>
      </w:r>
    </w:p>
    <w:p w14:paraId="06DC0FFB" w14:textId="39BC231E" w:rsidR="00F02E2D" w:rsidRPr="00D24B3E" w:rsidRDefault="00F614B4" w:rsidP="00D24B3E">
      <w:pPr>
        <w:pStyle w:val="Heading4"/>
      </w:pPr>
      <w:bookmarkStart w:id="6" w:name="_Toc204466116"/>
      <w:r w:rsidRPr="00D24B3E">
        <w:lastRenderedPageBreak/>
        <w:t>3.3.5  Teamwork and Leadership in Ecosystem Design</w:t>
      </w:r>
      <w:bookmarkEnd w:id="6"/>
    </w:p>
    <w:p w14:paraId="435DC755" w14:textId="77777777" w:rsidR="00F02E2D" w:rsidRPr="00D24B3E" w:rsidRDefault="00F02E2D"/>
    <w:p w14:paraId="608D714D" w14:textId="101EB99D" w:rsidR="00F614B4" w:rsidRPr="00D24B3E" w:rsidRDefault="00000000" w:rsidP="0022152C">
      <w:pPr>
        <w:spacing w:line="276" w:lineRule="auto"/>
        <w:jc w:val="both"/>
        <w:rPr>
          <w:b/>
          <w:bCs/>
        </w:rPr>
      </w:pPr>
      <w:r w:rsidRPr="00D24B3E">
        <w:t xml:space="preserve">Banks act </w:t>
      </w:r>
      <w:r w:rsidR="009871AD" w:rsidRPr="00D24B3E">
        <w:t>as service providers and</w:t>
      </w:r>
      <w:r w:rsidRPr="00D24B3E">
        <w:t xml:space="preserve"> ecosystem </w:t>
      </w:r>
      <w:r w:rsidR="002F3D7B">
        <w:t>integrators</w:t>
      </w:r>
      <w:r w:rsidR="009871AD" w:rsidRPr="00D24B3E">
        <w:t>,</w:t>
      </w:r>
      <w:r w:rsidRPr="00D24B3E">
        <w:t xml:space="preserve"> establishing the digital infrastructure, governance standards, and collaborative frameworks necessary to engage clients, fintech partners, and regulators</w:t>
      </w:r>
      <w:r w:rsidRPr="00D24B3E">
        <w:rPr>
          <w:rFonts w:eastAsia="-webkit-standard"/>
        </w:rPr>
        <w:t xml:space="preserve"> </w:t>
      </w:r>
      <w:r w:rsidRPr="00D24B3E">
        <w:t>(Tanveer et al., 2025). This leadership role involves coordinating multi-party interests, balancing risk responsibilities, and shaping platform architecture to align with regulatory, operational, and commercial goals. A clearer understanding of this ecosystem leadership dynamic enhances the research’s relevance to industry decision-makers and supports future policy dialogue on cross-border trade innovation (Wolska, 2005).</w:t>
      </w:r>
    </w:p>
    <w:p w14:paraId="1FFA81C8" w14:textId="77777777" w:rsidR="00F614B4" w:rsidRPr="00D24B3E" w:rsidRDefault="00F614B4" w:rsidP="00F614B4">
      <w:pPr>
        <w:jc w:val="both"/>
        <w:rPr>
          <w:b/>
          <w:bCs/>
        </w:rPr>
      </w:pPr>
    </w:p>
    <w:p w14:paraId="39C46FD6" w14:textId="0BDF7685" w:rsidR="00F02E2D" w:rsidRPr="00D24B3E" w:rsidRDefault="00F614B4" w:rsidP="00D24B3E">
      <w:pPr>
        <w:pStyle w:val="Heading2"/>
        <w:rPr>
          <w:sz w:val="24"/>
          <w:szCs w:val="24"/>
        </w:rPr>
      </w:pPr>
      <w:bookmarkStart w:id="7" w:name="_Toc204471199"/>
      <w:r w:rsidRPr="00D24B3E">
        <w:rPr>
          <w:sz w:val="24"/>
          <w:szCs w:val="24"/>
        </w:rPr>
        <w:t>3.4  Conclusion of Literature Review</w:t>
      </w:r>
      <w:bookmarkEnd w:id="7"/>
    </w:p>
    <w:p w14:paraId="2735D83F" w14:textId="77777777" w:rsidR="00FE6CCB" w:rsidRPr="00D24B3E" w:rsidRDefault="00FE6CCB"/>
    <w:p w14:paraId="026AD212" w14:textId="1D014F01" w:rsidR="003826A3" w:rsidRPr="00D24B3E" w:rsidRDefault="003826A3" w:rsidP="0022152C">
      <w:pPr>
        <w:autoSpaceDE w:val="0"/>
        <w:autoSpaceDN w:val="0"/>
        <w:adjustRightInd w:val="0"/>
        <w:spacing w:after="320" w:line="276" w:lineRule="auto"/>
        <w:jc w:val="both"/>
      </w:pPr>
      <w:r w:rsidRPr="00D24B3E">
        <w:t xml:space="preserve">This study offers academic and managerial contributions by analyzing digital trade platforms generate value through service-level monetization. A digital ecosystem is a coordinated business model that integrates banks, fintech, clients, and regulators to deliver scalable, fee-based trade services (Tanveer et al., 2025). A qualitative case study is a context-sensitive research method </w:t>
      </w:r>
      <w:r w:rsidR="009871AD" w:rsidRPr="00D24B3E">
        <w:t>that explores</w:t>
      </w:r>
      <w:r w:rsidRPr="00D24B3E">
        <w:t xml:space="preserve"> complex institutional practices through real-life data (Yin, 2018; </w:t>
      </w:r>
      <w:proofErr w:type="spellStart"/>
      <w:r w:rsidRPr="00D24B3E">
        <w:t>Kreitstshtein</w:t>
      </w:r>
      <w:proofErr w:type="spellEnd"/>
      <w:r w:rsidRPr="00D24B3E">
        <w:t xml:space="preserve">, 2017). This study applies it to investigate how </w:t>
      </w:r>
      <w:r w:rsidR="009871AD" w:rsidRPr="00D24B3E">
        <w:t>North Asian banks</w:t>
      </w:r>
      <w:r w:rsidRPr="00D24B3E">
        <w:t xml:space="preserve"> design, adopt, and monetize digital trade services under varied regulatory and market conditions. Data will be collected via semi-structured interviews with product leaders and supported by a document analysis of platform features, pricing logic, and performance metrics.</w:t>
      </w:r>
    </w:p>
    <w:p w14:paraId="5709B39C" w14:textId="41063D3E" w:rsidR="003826A3" w:rsidRPr="00D24B3E" w:rsidRDefault="00F954AC" w:rsidP="0022152C">
      <w:pPr>
        <w:autoSpaceDE w:val="0"/>
        <w:autoSpaceDN w:val="0"/>
        <w:adjustRightInd w:val="0"/>
        <w:spacing w:after="320" w:line="276" w:lineRule="auto"/>
      </w:pPr>
      <w:r>
        <w:rPr>
          <w:rFonts w:ascii="Times-Roman" w:hAnsi="Times-Roman" w:cs="Times-Roman"/>
        </w:rPr>
        <w:t>Despite recent advancements, the literature continues to highlight key challenges—fragmented pricing models, inconsistent onboarding, and weak internal revenue alignment. These gaps raise unresolved questions</w:t>
      </w:r>
      <w:r w:rsidR="003826A3" w:rsidRPr="00D24B3E">
        <w:t>:</w:t>
      </w:r>
    </w:p>
    <w:p w14:paraId="50BA3B51" w14:textId="457F4242" w:rsidR="00F02E2D" w:rsidRPr="00D24B3E" w:rsidRDefault="00000000" w:rsidP="0022152C">
      <w:pPr>
        <w:numPr>
          <w:ilvl w:val="0"/>
          <w:numId w:val="3"/>
        </w:numPr>
        <w:pBdr>
          <w:left w:val="none" w:sz="0" w:space="4" w:color="auto"/>
        </w:pBdr>
        <w:spacing w:before="240" w:after="240" w:line="276" w:lineRule="auto"/>
        <w:ind w:left="450" w:hanging="450"/>
        <w:rPr>
          <w:rFonts w:eastAsia="Times-Roman"/>
        </w:rPr>
      </w:pPr>
      <w:r w:rsidRPr="00D24B3E">
        <w:rPr>
          <w:rFonts w:eastAsia="Times-Roman"/>
        </w:rPr>
        <w:t>Which service-level strategies</w:t>
      </w:r>
      <w:r w:rsidR="009871AD" w:rsidRPr="00D24B3E">
        <w:rPr>
          <w:rFonts w:eastAsia="Times-Roman"/>
        </w:rPr>
        <w:t xml:space="preserve">, such as pricing or </w:t>
      </w:r>
      <w:r w:rsidR="00560A7F" w:rsidRPr="00D24B3E">
        <w:rPr>
          <w:rFonts w:eastAsia="Times-Roman"/>
        </w:rPr>
        <w:t>tiered pricing</w:t>
      </w:r>
      <w:r w:rsidR="009871AD" w:rsidRPr="00D24B3E">
        <w:rPr>
          <w:rFonts w:eastAsia="Times-Roman"/>
        </w:rPr>
        <w:t xml:space="preserve"> models, support monetization</w:t>
      </w:r>
      <w:r w:rsidRPr="00D24B3E">
        <w:rPr>
          <w:rFonts w:eastAsia="Times-Roman"/>
        </w:rPr>
        <w:t>?</w:t>
      </w:r>
    </w:p>
    <w:p w14:paraId="13827A81" w14:textId="77777777" w:rsidR="00F02E2D" w:rsidRPr="00D24B3E" w:rsidRDefault="00000000" w:rsidP="0022152C">
      <w:pPr>
        <w:numPr>
          <w:ilvl w:val="0"/>
          <w:numId w:val="3"/>
        </w:numPr>
        <w:pBdr>
          <w:left w:val="none" w:sz="0" w:space="4" w:color="auto"/>
        </w:pBdr>
        <w:spacing w:after="240" w:line="276" w:lineRule="auto"/>
        <w:ind w:left="450" w:hanging="450"/>
        <w:rPr>
          <w:rFonts w:eastAsia="Times-Roman"/>
        </w:rPr>
      </w:pPr>
      <w:r w:rsidRPr="00D24B3E">
        <w:rPr>
          <w:rFonts w:eastAsia="Times-Roman"/>
        </w:rPr>
        <w:t>How do contextual differences in regulation and client readiness shape digital income outcomes across North Asia?</w:t>
      </w:r>
    </w:p>
    <w:p w14:paraId="0FA265CE" w14:textId="77777777" w:rsidR="00F02E2D" w:rsidRPr="00D24B3E" w:rsidRDefault="00000000" w:rsidP="0022152C">
      <w:pPr>
        <w:numPr>
          <w:ilvl w:val="0"/>
          <w:numId w:val="3"/>
        </w:numPr>
        <w:pBdr>
          <w:left w:val="none" w:sz="0" w:space="4" w:color="auto"/>
        </w:pBdr>
        <w:spacing w:after="240" w:line="276" w:lineRule="auto"/>
        <w:ind w:left="450" w:hanging="450"/>
        <w:rPr>
          <w:rFonts w:eastAsia="Times-Roman"/>
        </w:rPr>
      </w:pPr>
      <w:r w:rsidRPr="00D24B3E">
        <w:rPr>
          <w:rFonts w:eastAsia="Times-Roman"/>
        </w:rPr>
        <w:t>How can alignment between internal infrastructure and client-facing services be evaluated to support adoption and revenue realization?</w:t>
      </w:r>
    </w:p>
    <w:p w14:paraId="699A2D8C" w14:textId="77777777" w:rsidR="003B44D2" w:rsidRDefault="002F3D7B" w:rsidP="002F3D7B">
      <w:pPr>
        <w:autoSpaceDE w:val="0"/>
        <w:autoSpaceDN w:val="0"/>
        <w:adjustRightInd w:val="0"/>
        <w:spacing w:line="276" w:lineRule="auto"/>
        <w:jc w:val="both"/>
        <w:rPr>
          <w:rFonts w:ascii="Times-Roman" w:hAnsi="Times-Roman" w:cs="Times-Roman"/>
        </w:rPr>
      </w:pPr>
      <w:r>
        <w:rPr>
          <w:rFonts w:ascii="Times-Roman" w:hAnsi="Times-Roman" w:cs="Times-Roman"/>
        </w:rPr>
        <w:t xml:space="preserve">This study addresses critical theoretical and empirical gaps through a qualitative, ecosystem-oriented perspective. It offers both practical and conceptual insights for banks aiming to modernize trade services amid regulatory constraints and evolving client demands. The research reconceptualizes corporate banks as strategic architects of digital trade ecosystems, entities that platform design, institutional capabilities, and regulatory alignment to enable scalable, service-based revenue. This framing informs the study’s methodology, which adopts a comparative, </w:t>
      </w:r>
      <w:r>
        <w:rPr>
          <w:rFonts w:ascii="Times-Roman" w:hAnsi="Times-Roman" w:cs="Times-Roman"/>
        </w:rPr>
        <w:lastRenderedPageBreak/>
        <w:t xml:space="preserve">multiple-case design across five North Asian markets to examine the income-generation dynamics embedded within digital trade platforms. </w:t>
      </w:r>
    </w:p>
    <w:p w14:paraId="4EE1DEA9" w14:textId="77777777" w:rsidR="003B44D2" w:rsidRDefault="003B44D2" w:rsidP="002F3D7B">
      <w:pPr>
        <w:autoSpaceDE w:val="0"/>
        <w:autoSpaceDN w:val="0"/>
        <w:adjustRightInd w:val="0"/>
        <w:spacing w:line="276" w:lineRule="auto"/>
        <w:jc w:val="both"/>
        <w:rPr>
          <w:rFonts w:ascii="Times-Roman" w:hAnsi="Times-Roman" w:cs="Times-Roman"/>
        </w:rPr>
      </w:pPr>
    </w:p>
    <w:p w14:paraId="6DE62182" w14:textId="474DA9FD" w:rsidR="003826A3" w:rsidRPr="003B44D2" w:rsidRDefault="003B44D2" w:rsidP="002F3D7B">
      <w:pPr>
        <w:autoSpaceDE w:val="0"/>
        <w:autoSpaceDN w:val="0"/>
        <w:adjustRightInd w:val="0"/>
        <w:spacing w:line="276" w:lineRule="auto"/>
        <w:jc w:val="both"/>
        <w:rPr>
          <w:rFonts w:ascii="Times-Roman" w:hAnsi="Times-Roman" w:cs="Times-Roman"/>
        </w:rPr>
      </w:pPr>
      <w:r>
        <w:rPr>
          <w:rFonts w:ascii="Times-Roman" w:hAnsi="Times-Roman" w:cs="Times-Roman"/>
        </w:rPr>
        <w:t xml:space="preserve">The findings of this </w:t>
      </w:r>
      <w:r>
        <w:rPr>
          <w:rFonts w:ascii="Times-Roman" w:hAnsi="Times-Roman" w:cs="Times-Roman"/>
        </w:rPr>
        <w:t>literature review</w:t>
      </w:r>
      <w:r>
        <w:rPr>
          <w:rFonts w:ascii="Times-Roman" w:hAnsi="Times-Roman" w:cs="Times-Roman"/>
        </w:rPr>
        <w:t xml:space="preserve"> suggest that corporate banks </w:t>
      </w:r>
      <w:r>
        <w:rPr>
          <w:rFonts w:ascii="Times-Roman" w:hAnsi="Times-Roman" w:cs="Times-Roman"/>
        </w:rPr>
        <w:t>may benefit from positioning</w:t>
      </w:r>
      <w:r>
        <w:rPr>
          <w:rFonts w:ascii="Times-Roman" w:hAnsi="Times-Roman" w:cs="Times-Roman"/>
        </w:rPr>
        <w:t xml:space="preserve"> digital trade platforms as strategic tools for generating income</w:t>
      </w:r>
      <w:r>
        <w:rPr>
          <w:rFonts w:ascii="Times-Roman" w:hAnsi="Times-Roman" w:cs="Times-Roman"/>
        </w:rPr>
        <w:t xml:space="preserve"> and </w:t>
      </w:r>
      <w:r>
        <w:rPr>
          <w:rFonts w:ascii="Times-Roman" w:hAnsi="Times-Roman" w:cs="Times-Roman"/>
        </w:rPr>
        <w:t xml:space="preserve">improving operational efficiency. This requires integrating revenue-generating features directly into trade </w:t>
      </w:r>
      <w:r>
        <w:rPr>
          <w:rFonts w:ascii="Times-Roman" w:hAnsi="Times-Roman" w:cs="Times-Roman"/>
        </w:rPr>
        <w:t xml:space="preserve">finance </w:t>
      </w:r>
      <w:r>
        <w:rPr>
          <w:rFonts w:ascii="Times-Roman" w:hAnsi="Times-Roman" w:cs="Times-Roman"/>
        </w:rPr>
        <w:t>services. Banks should develop systems that measure income by service type and digital channel to understand which offerings contribute most to revenue. Internally, collaboration between product</w:t>
      </w:r>
      <w:r>
        <w:rPr>
          <w:rFonts w:ascii="Times-Roman" w:hAnsi="Times-Roman" w:cs="Times-Roman"/>
        </w:rPr>
        <w:t xml:space="preserve"> development</w:t>
      </w:r>
      <w:r>
        <w:rPr>
          <w:rFonts w:ascii="Times-Roman" w:hAnsi="Times-Roman" w:cs="Times-Roman"/>
        </w:rPr>
        <w:t xml:space="preserve">, </w:t>
      </w:r>
      <w:r>
        <w:rPr>
          <w:rFonts w:ascii="Times-Roman" w:hAnsi="Times-Roman" w:cs="Times-Roman"/>
        </w:rPr>
        <w:t>technology</w:t>
      </w:r>
      <w:r>
        <w:rPr>
          <w:rFonts w:ascii="Times-Roman" w:hAnsi="Times-Roman" w:cs="Times-Roman"/>
        </w:rPr>
        <w:t xml:space="preserve">, compliance, and client relationship teams is necessary to support this strategy. In addition, structured client onboarding and engagement programs are essential to increase usage of digital platforms and </w:t>
      </w:r>
      <w:r>
        <w:rPr>
          <w:rFonts w:ascii="Times-Roman" w:hAnsi="Times-Roman" w:cs="Times-Roman"/>
        </w:rPr>
        <w:t>drive</w:t>
      </w:r>
      <w:r>
        <w:rPr>
          <w:rFonts w:ascii="Times-Roman" w:hAnsi="Times-Roman" w:cs="Times-Roman"/>
        </w:rPr>
        <w:t xml:space="preserve"> service value. Since regulatory conditions and digital readiness differ across markets, platform design and pricing models should be tailored to local needs. These practical steps enable banks to move beyond delivering digital services and instead lead digital trade ecosystems that support long-term revenue growth.</w:t>
      </w:r>
      <w:r>
        <w:rPr>
          <w:rFonts w:ascii="Times-Roman" w:hAnsi="Times-Roman" w:cs="Times-Roman"/>
        </w:rPr>
        <w:t xml:space="preserve"> </w:t>
      </w:r>
      <w:r w:rsidR="002F3D7B">
        <w:rPr>
          <w:rFonts w:ascii="Times-Roman" w:hAnsi="Times-Roman" w:cs="Times-Roman"/>
        </w:rPr>
        <w:t>Future research may build on these findings by expanding cross-regional comparisons, assessing monetization strategies over time, and exploring the evolving roles of fintech partnerships and policy frameworks in shaping commercially sustainable digital trade ecosystems.</w:t>
      </w:r>
    </w:p>
    <w:p w14:paraId="7AFDFF73" w14:textId="77777777" w:rsidR="00F02E2D" w:rsidRPr="00D24B3E" w:rsidRDefault="00000000">
      <w:pPr>
        <w:sectPr w:rsidR="00F02E2D" w:rsidRPr="00D24B3E">
          <w:footerReference w:type="even" r:id="rId16"/>
          <w:footerReference w:type="default" r:id="rId17"/>
          <w:pgSz w:w="12240" w:h="15840"/>
          <w:pgMar w:top="1440" w:right="1440" w:bottom="1440" w:left="1440" w:header="708" w:footer="708" w:gutter="0"/>
          <w:cols w:space="708"/>
        </w:sectPr>
      </w:pPr>
      <w:r w:rsidRPr="00D24B3E">
        <w:rPr>
          <w:vanish/>
        </w:rPr>
        <w:t> </w:t>
      </w:r>
    </w:p>
    <w:p w14:paraId="7D3DE652" w14:textId="77777777" w:rsidR="00F02E2D" w:rsidRPr="00D24B3E" w:rsidRDefault="00000000">
      <w:r w:rsidRPr="00D24B3E">
        <w:rPr>
          <w:b/>
          <w:bCs/>
        </w:rPr>
        <w:lastRenderedPageBreak/>
        <w:t>References</w:t>
      </w:r>
    </w:p>
    <w:p w14:paraId="5444582D" w14:textId="31116541" w:rsidR="00F02E2D" w:rsidRPr="00D24B3E" w:rsidRDefault="00000000" w:rsidP="00D24B3E">
      <w:pPr>
        <w:pStyle w:val="Heading1"/>
        <w:numPr>
          <w:ilvl w:val="0"/>
          <w:numId w:val="3"/>
        </w:numPr>
        <w:rPr>
          <w:sz w:val="24"/>
          <w:szCs w:val="24"/>
        </w:rPr>
      </w:pPr>
      <w:bookmarkStart w:id="8" w:name="_Toc204471200"/>
      <w:r w:rsidRPr="00D24B3E">
        <w:rPr>
          <w:sz w:val="24"/>
          <w:szCs w:val="24"/>
        </w:rPr>
        <w:t>Annotated Bibliography</w:t>
      </w:r>
      <w:bookmarkEnd w:id="8"/>
    </w:p>
    <w:p w14:paraId="5CF7AC22" w14:textId="77777777" w:rsidR="00F02E2D" w:rsidRPr="00D24B3E" w:rsidRDefault="00000000">
      <w:proofErr w:type="spellStart"/>
      <w:r w:rsidRPr="00D24B3E">
        <w:t>Administrare</w:t>
      </w:r>
      <w:proofErr w:type="spellEnd"/>
      <w:r w:rsidRPr="00D24B3E">
        <w:t xml:space="preserve">, J., </w:t>
      </w:r>
      <w:proofErr w:type="spellStart"/>
      <w:r w:rsidRPr="00D24B3E">
        <w:t>Jurnal</w:t>
      </w:r>
      <w:proofErr w:type="spellEnd"/>
      <w:r w:rsidRPr="00D24B3E">
        <w:t xml:space="preserve">, </w:t>
      </w:r>
      <w:proofErr w:type="spellStart"/>
      <w:r w:rsidRPr="00D24B3E">
        <w:t>Ilmiah</w:t>
      </w:r>
      <w:proofErr w:type="spellEnd"/>
      <w:r w:rsidRPr="00D24B3E">
        <w:t xml:space="preserve">, P., Pendidikan, D., </w:t>
      </w:r>
      <w:proofErr w:type="spellStart"/>
      <w:r w:rsidRPr="00D24B3E">
        <w:t>Perkantoran</w:t>
      </w:r>
      <w:proofErr w:type="spellEnd"/>
      <w:r w:rsidRPr="00D24B3E">
        <w:t xml:space="preserve">, A., Shanti, R., </w:t>
      </w:r>
      <w:proofErr w:type="spellStart"/>
      <w:r w:rsidRPr="00D24B3E">
        <w:t>Avianto</w:t>
      </w:r>
      <w:proofErr w:type="spellEnd"/>
      <w:r w:rsidRPr="00D24B3E">
        <w:t xml:space="preserve">, W., Wibowo, W., </w:t>
      </w:r>
      <w:proofErr w:type="spellStart"/>
      <w:r w:rsidRPr="00D24B3E">
        <w:t>Bisnis</w:t>
      </w:r>
      <w:proofErr w:type="spellEnd"/>
      <w:r w:rsidRPr="00D24B3E">
        <w:t>, S., and Bogor, P. (2022). A Systematic Review on Banking Digital Transformation. 9(2), 543–552. https://core.ac.uk/download/pdf/548771375.pdf</w:t>
      </w:r>
    </w:p>
    <w:p w14:paraId="249382DF" w14:textId="77777777" w:rsidR="00F02E2D" w:rsidRPr="00D24B3E" w:rsidRDefault="00F02E2D">
      <w:pPr>
        <w:ind w:left="720"/>
      </w:pPr>
    </w:p>
    <w:p w14:paraId="4A107BC7" w14:textId="0591FBD6" w:rsidR="00F02E2D" w:rsidRPr="00D24B3E" w:rsidRDefault="00000000">
      <w:pPr>
        <w:ind w:left="720"/>
      </w:pPr>
      <w:r w:rsidRPr="00D24B3E">
        <w:rPr>
          <w:rFonts w:eastAsia="Times-Roman"/>
        </w:rPr>
        <w:t xml:space="preserve">Explain </w:t>
      </w:r>
      <w:r w:rsidR="009871AD" w:rsidRPr="00D24B3E">
        <w:rPr>
          <w:rFonts w:eastAsia="Times-Roman"/>
        </w:rPr>
        <w:t xml:space="preserve">how </w:t>
      </w:r>
      <w:r w:rsidRPr="00D24B3E">
        <w:rPr>
          <w:rFonts w:eastAsia="Times-Roman"/>
        </w:rPr>
        <w:t>digital transformation drives strategic agility and service innovation in banking. Focus on operational enablers to examine trade-specific fee income strategies.</w:t>
      </w:r>
    </w:p>
    <w:p w14:paraId="7569682B" w14:textId="0808969A" w:rsidR="00F02E2D" w:rsidRPr="00D24B3E" w:rsidRDefault="00000000">
      <w:pPr>
        <w:ind w:left="720"/>
      </w:pPr>
      <w:r w:rsidRPr="00D24B3E">
        <w:rPr>
          <w:rFonts w:eastAsia="Times-Roman"/>
        </w:rPr>
        <w:t xml:space="preserve">Supports the link between digital innovation and profitability, highlighting gaps in trade-specific fee income analysis, reinforcing Cluster </w:t>
      </w:r>
      <w:r w:rsidR="009871AD" w:rsidRPr="00D24B3E">
        <w:rPr>
          <w:rFonts w:eastAsia="Times-Roman"/>
        </w:rPr>
        <w:t>1's</w:t>
      </w:r>
      <w:r w:rsidRPr="00D24B3E">
        <w:rPr>
          <w:rFonts w:eastAsia="Times-Roman"/>
        </w:rPr>
        <w:t xml:space="preserve"> focus on internal enablers and monetization</w:t>
      </w:r>
    </w:p>
    <w:p w14:paraId="67CE2285" w14:textId="77777777" w:rsidR="00F02E2D" w:rsidRPr="00D24B3E" w:rsidRDefault="00F02E2D"/>
    <w:p w14:paraId="60CBE9E5" w14:textId="1A220211" w:rsidR="00560A7F" w:rsidRPr="00D24B3E" w:rsidRDefault="00560A7F">
      <w:pPr>
        <w:rPr>
          <w:color w:val="000000" w:themeColor="text1"/>
        </w:rPr>
      </w:pPr>
      <w:r w:rsidRPr="00D24B3E">
        <w:rPr>
          <w:color w:val="000000" w:themeColor="text1"/>
        </w:rPr>
        <w:t>Barney, J. B. (1991).</w:t>
      </w:r>
      <w:r w:rsidRPr="00D24B3E">
        <w:rPr>
          <w:rStyle w:val="apple-converted-space"/>
          <w:color w:val="000000" w:themeColor="text1"/>
        </w:rPr>
        <w:t> </w:t>
      </w:r>
      <w:r w:rsidRPr="00D24B3E">
        <w:rPr>
          <w:rStyle w:val="Emphasis"/>
          <w:color w:val="000000" w:themeColor="text1"/>
        </w:rPr>
        <w:t>Firm resources and sustained competitive advantage</w:t>
      </w:r>
      <w:r w:rsidRPr="00D24B3E">
        <w:rPr>
          <w:color w:val="000000" w:themeColor="text1"/>
        </w:rPr>
        <w:t>. Journal of Management, 17(1), 99–120.</w:t>
      </w:r>
      <w:r w:rsidR="005E301C" w:rsidRPr="00D24B3E">
        <w:rPr>
          <w:color w:val="000000" w:themeColor="text1"/>
        </w:rPr>
        <w:t xml:space="preserve"> </w:t>
      </w:r>
      <w:hyperlink r:id="rId18" w:history="1">
        <w:r w:rsidR="00FA3B2D" w:rsidRPr="00D24B3E">
          <w:rPr>
            <w:rStyle w:val="Hyperlink"/>
            <w:color w:val="000000" w:themeColor="text1"/>
          </w:rPr>
          <w:t>https://josephmahoney.web.illinois.edu/BA545_Fall%202022/Barney%20(1991).pdf</w:t>
        </w:r>
      </w:hyperlink>
    </w:p>
    <w:p w14:paraId="60CACB8D" w14:textId="77777777" w:rsidR="00FA3B2D" w:rsidRPr="00D24B3E" w:rsidRDefault="00FA3B2D">
      <w:pPr>
        <w:rPr>
          <w:color w:val="EE0000"/>
        </w:rPr>
      </w:pPr>
    </w:p>
    <w:p w14:paraId="68A0E2EE" w14:textId="7E317941" w:rsidR="00FA3B2D" w:rsidRPr="00D24B3E" w:rsidRDefault="00FA3B2D" w:rsidP="00FA3B2D">
      <w:pPr>
        <w:pStyle w:val="NormalWeb"/>
        <w:spacing w:before="0" w:beforeAutospacing="0" w:after="0" w:afterAutospacing="0"/>
        <w:ind w:left="720"/>
        <w:rPr>
          <w:color w:val="000000"/>
        </w:rPr>
      </w:pPr>
      <w:r w:rsidRPr="00D24B3E">
        <w:rPr>
          <w:color w:val="000000"/>
        </w:rPr>
        <w:t xml:space="preserve">Explain </w:t>
      </w:r>
      <w:r w:rsidR="00BF2AD9">
        <w:rPr>
          <w:color w:val="000000"/>
        </w:rPr>
        <w:t xml:space="preserve">that firms can achieve sustained competitive advantage by possessing valuable, rare, inimitable, and non-replaceable </w:t>
      </w:r>
      <w:r w:rsidRPr="00D24B3E">
        <w:rPr>
          <w:color w:val="000000"/>
        </w:rPr>
        <w:t>resources, emphasizing the strategic importance of internal capabilities.</w:t>
      </w:r>
    </w:p>
    <w:p w14:paraId="3E97D250" w14:textId="4B05C121" w:rsidR="00FA3B2D" w:rsidRPr="00D24B3E" w:rsidRDefault="00FA3B2D" w:rsidP="00FA3B2D">
      <w:pPr>
        <w:pStyle w:val="NormalWeb"/>
        <w:spacing w:before="0" w:beforeAutospacing="0" w:after="0" w:afterAutospacing="0"/>
        <w:ind w:left="720"/>
        <w:rPr>
          <w:color w:val="000000"/>
        </w:rPr>
      </w:pPr>
      <w:r w:rsidRPr="00D24B3E">
        <w:rPr>
          <w:color w:val="000000"/>
        </w:rPr>
        <w:t>Directly related to one of the integrated theories, RBV</w:t>
      </w:r>
      <w:r w:rsidR="00BF2AD9">
        <w:rPr>
          <w:color w:val="000000"/>
        </w:rPr>
        <w:t>,</w:t>
      </w:r>
      <w:r w:rsidRPr="00D24B3E">
        <w:rPr>
          <w:color w:val="000000"/>
        </w:rPr>
        <w:t xml:space="preserve"> by positioning a bank’s digital infrastructure, human capital, and process expertise as critical enablers of monetizing trade finance platforms and generating fee-based income.</w:t>
      </w:r>
    </w:p>
    <w:p w14:paraId="50A1D410" w14:textId="77777777" w:rsidR="00FA3B2D" w:rsidRPr="00D24B3E" w:rsidRDefault="00FA3B2D">
      <w:pPr>
        <w:rPr>
          <w:color w:val="EE0000"/>
        </w:rPr>
      </w:pPr>
    </w:p>
    <w:p w14:paraId="5E5B2CF2" w14:textId="77777777" w:rsidR="00560A7F" w:rsidRPr="00D24B3E" w:rsidRDefault="00560A7F"/>
    <w:p w14:paraId="6A0F2D8B" w14:textId="09D8D474" w:rsidR="00F02E2D" w:rsidRPr="00D24B3E" w:rsidRDefault="00000000">
      <w:r w:rsidRPr="00D24B3E">
        <w:t xml:space="preserve">Begum, A., Mosa, </w:t>
      </w:r>
      <w:r w:rsidR="009871AD" w:rsidRPr="00D24B3E">
        <w:t>&amp;</w:t>
      </w:r>
      <w:r w:rsidRPr="00D24B3E">
        <w:t xml:space="preserve"> </w:t>
      </w:r>
      <w:proofErr w:type="spellStart"/>
      <w:r w:rsidRPr="00D24B3E">
        <w:t>Shaharima</w:t>
      </w:r>
      <w:proofErr w:type="spellEnd"/>
      <w:r w:rsidRPr="00D24B3E">
        <w:t xml:space="preserve"> </w:t>
      </w:r>
      <w:proofErr w:type="spellStart"/>
      <w:r w:rsidRPr="00D24B3E">
        <w:t>Juthi</w:t>
      </w:r>
      <w:proofErr w:type="spellEnd"/>
      <w:r w:rsidRPr="00D24B3E">
        <w:t>. (2022). Systematic Review of Blockchain Technology in Trade Finance and Banking Security. 25–52. https://www.researchgate.net/publication/389537218_SYSTEMATIC_REVIEW_OF_BLOCKCHAIN_TECHNOLOGY_IN_TRADE_FINANCE_and_BANKING_SECURITY</w:t>
      </w:r>
    </w:p>
    <w:p w14:paraId="6353168B" w14:textId="77777777" w:rsidR="00F02E2D" w:rsidRPr="00D24B3E" w:rsidRDefault="00F02E2D"/>
    <w:p w14:paraId="0594C5AA" w14:textId="13DA4BDF" w:rsidR="00F02E2D" w:rsidRPr="00D24B3E" w:rsidRDefault="00000000">
      <w:pPr>
        <w:ind w:left="720"/>
      </w:pPr>
      <w:r w:rsidRPr="00D24B3E">
        <w:rPr>
          <w:rFonts w:eastAsia="Times-Roman"/>
        </w:rPr>
        <w:t xml:space="preserve">This article analyzes 38 case studies to illustrate </w:t>
      </w:r>
      <w:r w:rsidR="009871AD" w:rsidRPr="00D24B3E">
        <w:rPr>
          <w:rFonts w:eastAsia="Times-Roman"/>
        </w:rPr>
        <w:t xml:space="preserve">that </w:t>
      </w:r>
      <w:r w:rsidRPr="00D24B3E">
        <w:rPr>
          <w:rFonts w:eastAsia="Times-Roman"/>
        </w:rPr>
        <w:t>blockchain enhances trade finance by reducing transaction times, fraud, and cyber risks.</w:t>
      </w:r>
    </w:p>
    <w:p w14:paraId="376FC534" w14:textId="77777777" w:rsidR="00F02E2D" w:rsidRPr="00D24B3E" w:rsidRDefault="00000000">
      <w:pPr>
        <w:ind w:left="720"/>
      </w:pPr>
      <w:r w:rsidRPr="00D24B3E">
        <w:rPr>
          <w:rFonts w:eastAsia="Times-Roman"/>
        </w:rPr>
        <w:t>It is relevant to the present study as it links operational efficiencies from blockchain adoption to potential monetization via trade-related fee income.</w:t>
      </w:r>
    </w:p>
    <w:p w14:paraId="55ED2971" w14:textId="77777777" w:rsidR="00F02E2D" w:rsidRPr="00D24B3E" w:rsidRDefault="00F02E2D">
      <w:pPr>
        <w:ind w:left="360" w:hanging="360"/>
      </w:pPr>
    </w:p>
    <w:p w14:paraId="065BADD2" w14:textId="77777777" w:rsidR="00F02E2D" w:rsidRPr="00D24B3E" w:rsidRDefault="00000000">
      <w:pPr>
        <w:ind w:left="360" w:hanging="360"/>
      </w:pPr>
      <w:r w:rsidRPr="00D24B3E">
        <w:t>Bowman, L. (2023, May). Digitalization brings new funding for trade. Ebsco.com; Euromoney.</w:t>
      </w:r>
    </w:p>
    <w:p w14:paraId="0627F5A2" w14:textId="77777777" w:rsidR="00F02E2D" w:rsidRPr="00D24B3E" w:rsidRDefault="00F02E2D">
      <w:pPr>
        <w:ind w:left="720"/>
      </w:pPr>
    </w:p>
    <w:p w14:paraId="4606FF00" w14:textId="389D6A87" w:rsidR="00F02E2D" w:rsidRPr="00D24B3E" w:rsidRDefault="00000000">
      <w:pPr>
        <w:ind w:left="720"/>
      </w:pPr>
      <w:r w:rsidRPr="00D24B3E">
        <w:t xml:space="preserve">The article highlights </w:t>
      </w:r>
      <w:r w:rsidR="009871AD" w:rsidRPr="00D24B3E">
        <w:t xml:space="preserve">that </w:t>
      </w:r>
      <w:r w:rsidRPr="00D24B3E">
        <w:t>digitalization facilitates access to new funding mechanisms in trade finance, including electronic trade documentation.</w:t>
      </w:r>
    </w:p>
    <w:p w14:paraId="157170DA" w14:textId="77777777" w:rsidR="00F02E2D" w:rsidRPr="00D24B3E" w:rsidRDefault="00000000">
      <w:pPr>
        <w:ind w:left="720"/>
      </w:pPr>
      <w:r w:rsidRPr="00D24B3E">
        <w:t>This source aligns with digital tools improving service offerings and income in corporate trade finance.</w:t>
      </w:r>
    </w:p>
    <w:p w14:paraId="125B4F5D" w14:textId="77777777" w:rsidR="008801AA" w:rsidRPr="00D24B3E" w:rsidRDefault="008801AA">
      <w:pPr>
        <w:ind w:left="720"/>
      </w:pPr>
    </w:p>
    <w:p w14:paraId="66508907" w14:textId="77777777" w:rsidR="00F84A1E" w:rsidRDefault="00F84A1E">
      <w:bookmarkStart w:id="9" w:name="_Toc204466117"/>
      <w:r>
        <w:br w:type="page"/>
      </w:r>
    </w:p>
    <w:p w14:paraId="3C032A78" w14:textId="32E71655" w:rsidR="00F02E2D" w:rsidRPr="00D24B3E" w:rsidRDefault="00000000" w:rsidP="008801AA">
      <w:pPr>
        <w:ind w:left="360" w:hanging="360"/>
      </w:pPr>
      <w:r w:rsidRPr="00D24B3E">
        <w:lastRenderedPageBreak/>
        <w:t xml:space="preserve">Cai, J., </w:t>
      </w:r>
      <w:r w:rsidR="009871AD" w:rsidRPr="00D24B3E">
        <w:t>&amp;</w:t>
      </w:r>
      <w:r w:rsidRPr="00D24B3E">
        <w:t xml:space="preserve"> Chen, M. A. (2022). Digital Transformation and Fee-Based Income: Evidence from Asian Banks. Asia-Pacific Financial Markets Review, 19(4), 211–230.</w:t>
      </w:r>
      <w:bookmarkEnd w:id="9"/>
    </w:p>
    <w:p w14:paraId="60811E2D" w14:textId="77777777" w:rsidR="00F02E2D" w:rsidRPr="00D24B3E" w:rsidRDefault="00F02E2D" w:rsidP="008801AA">
      <w:pPr>
        <w:ind w:left="360" w:hanging="360"/>
      </w:pPr>
    </w:p>
    <w:p w14:paraId="546F835B" w14:textId="47450471" w:rsidR="00F02E2D" w:rsidRPr="00D24B3E" w:rsidRDefault="00000000" w:rsidP="008801AA">
      <w:pPr>
        <w:ind w:left="720"/>
      </w:pPr>
      <w:r w:rsidRPr="00D24B3E">
        <w:t xml:space="preserve">Examine how digital transformation in trade finance directly contributes to </w:t>
      </w:r>
      <w:r w:rsidR="009871AD" w:rsidRPr="00D24B3E">
        <w:t>fee-based income growth</w:t>
      </w:r>
      <w:r w:rsidRPr="00D24B3E">
        <w:t xml:space="preserve"> among Asian commercial banks. Their findings validate the significance of regional institutional factors, particularly in North Asia, in shaping the monetization outcomes of digital banking services.</w:t>
      </w:r>
    </w:p>
    <w:p w14:paraId="550F202F" w14:textId="77777777" w:rsidR="00F02E2D" w:rsidRPr="00D24B3E" w:rsidRDefault="00F02E2D" w:rsidP="008801AA">
      <w:pPr>
        <w:ind w:left="360" w:hanging="360"/>
      </w:pPr>
    </w:p>
    <w:p w14:paraId="40529B04" w14:textId="18FB2D6F" w:rsidR="00F02E2D" w:rsidRPr="00D24B3E" w:rsidRDefault="00000000">
      <w:r w:rsidRPr="00D24B3E">
        <w:t xml:space="preserve">Chang, S. E., Luo, H. L., </w:t>
      </w:r>
      <w:r w:rsidR="009871AD" w:rsidRPr="00D24B3E">
        <w:t>&amp;</w:t>
      </w:r>
      <w:r w:rsidRPr="00D24B3E">
        <w:t xml:space="preserve"> Chen, Y. (2019). Blockchain-Enabled Trade Finance Innovation: A Potential Paradigm Shift </w:t>
      </w:r>
      <w:r w:rsidR="009871AD" w:rsidRPr="00D24B3E">
        <w:t>in</w:t>
      </w:r>
      <w:r w:rsidRPr="00D24B3E">
        <w:t xml:space="preserve"> Using Letter of Credit. Sustainability, 12(1), 188. https://www.mdpi.com/2071-1050/12/1/188</w:t>
      </w:r>
    </w:p>
    <w:p w14:paraId="3C11D087" w14:textId="77777777" w:rsidR="00F02E2D" w:rsidRPr="00D24B3E" w:rsidRDefault="00F02E2D"/>
    <w:p w14:paraId="1279B059" w14:textId="77777777" w:rsidR="00F02E2D" w:rsidRPr="00D24B3E" w:rsidRDefault="00000000">
      <w:pPr>
        <w:ind w:left="720"/>
      </w:pPr>
      <w:r w:rsidRPr="00D24B3E">
        <w:t>This study investigates the application of blockchain technology in trade finance, especially regarding Letters of Credit, and explores verification in processes.</w:t>
      </w:r>
    </w:p>
    <w:p w14:paraId="323FF30A" w14:textId="3B3F9942" w:rsidR="00F02E2D" w:rsidRPr="00D24B3E" w:rsidRDefault="00000000" w:rsidP="00FE6CCB">
      <w:pPr>
        <w:ind w:left="720"/>
      </w:pPr>
      <w:r w:rsidRPr="00D24B3E">
        <w:t>Relevant blockchain digital solutions may reduce cost and risk</w:t>
      </w:r>
      <w:r w:rsidR="00BF2AD9">
        <w:t xml:space="preserve"> while enhancing service quality, which are </w:t>
      </w:r>
      <w:r w:rsidRPr="00D24B3E">
        <w:t>key factors in evaluating fee income growth.</w:t>
      </w:r>
    </w:p>
    <w:p w14:paraId="05A7B4DC" w14:textId="77777777" w:rsidR="008801AA" w:rsidRPr="00D24B3E" w:rsidRDefault="008801AA" w:rsidP="00FE6CCB">
      <w:pPr>
        <w:ind w:left="720"/>
      </w:pPr>
    </w:p>
    <w:p w14:paraId="5A5B90BC" w14:textId="166C9170" w:rsidR="00F02E2D" w:rsidRPr="00D24B3E" w:rsidRDefault="00000000">
      <w:proofErr w:type="spellStart"/>
      <w:r w:rsidRPr="00D24B3E">
        <w:t>Citterio</w:t>
      </w:r>
      <w:proofErr w:type="spellEnd"/>
      <w:r w:rsidRPr="00D24B3E">
        <w:t xml:space="preserve">, A., King, T., </w:t>
      </w:r>
      <w:r w:rsidR="009871AD" w:rsidRPr="00D24B3E">
        <w:t>&amp;</w:t>
      </w:r>
      <w:r w:rsidRPr="00D24B3E">
        <w:t xml:space="preserve"> Locatelli, R. (2024). Is digital transformation profitable for banks? Evidence from Europe. Finance Research Letters, 70(106269), 106269–106269. https://osuva.uwasa.fi/bitstream/handle/10024/18175/Osuva_Citterio_King_Locatelli_2024.pdf;jsessionid=FC6667BB0F629FED1CB286C2A1BF4A61?sequence=2</w:t>
      </w:r>
    </w:p>
    <w:p w14:paraId="05CC6ECB" w14:textId="77777777" w:rsidR="00F02E2D" w:rsidRPr="00D24B3E" w:rsidRDefault="00F02E2D">
      <w:pPr>
        <w:ind w:left="720"/>
      </w:pPr>
    </w:p>
    <w:p w14:paraId="0EC303D8" w14:textId="77777777" w:rsidR="00F02E2D" w:rsidRPr="00D24B3E" w:rsidRDefault="00000000">
      <w:pPr>
        <w:ind w:left="720"/>
      </w:pPr>
      <w:r w:rsidRPr="00D24B3E">
        <w:t xml:space="preserve">The article finds that European banks achieve higher fee-based income when digital transformation is tied to service </w:t>
      </w:r>
      <w:proofErr w:type="spellStart"/>
      <w:r w:rsidRPr="00D24B3E">
        <w:t>innovation.n</w:t>
      </w:r>
      <w:proofErr w:type="spellEnd"/>
    </w:p>
    <w:p w14:paraId="6A771B61" w14:textId="65863CA3" w:rsidR="00F02E2D" w:rsidRPr="00D24B3E" w:rsidRDefault="00000000">
      <w:pPr>
        <w:ind w:left="720"/>
      </w:pPr>
      <w:r w:rsidRPr="00D24B3E">
        <w:t>Relevant to the thesis due to methodology and emphasis on monetization mechanisms</w:t>
      </w:r>
      <w:r w:rsidR="009871AD" w:rsidRPr="00D24B3E">
        <w:t>, which</w:t>
      </w:r>
      <w:r w:rsidRPr="00D24B3E">
        <w:t xml:space="preserve"> offer a comparative foundation for evaluating similar strategies that may translate in the context of North Asian corporate banking.</w:t>
      </w:r>
    </w:p>
    <w:p w14:paraId="766254FE" w14:textId="77777777" w:rsidR="00F02E2D" w:rsidRPr="00D24B3E" w:rsidRDefault="00F02E2D"/>
    <w:p w14:paraId="35637EAC" w14:textId="75C4A14C" w:rsidR="00F02E2D" w:rsidRPr="00D24B3E" w:rsidRDefault="00000000">
      <w:r w:rsidRPr="00D24B3E">
        <w:t xml:space="preserve">Diyan Lestari, Ma, S., </w:t>
      </w:r>
      <w:r w:rsidR="009871AD" w:rsidRPr="00D24B3E">
        <w:t>&amp;</w:t>
      </w:r>
      <w:r w:rsidRPr="00D24B3E">
        <w:t xml:space="preserve"> Jun, A. (2023). Enhancing bank stability from diversification and digitalization perspectives in ASEAN. Studies in Economics and Finance, 40(4), 606–624. https://ideas.repec.org/a/eme/sefpps/sef-12-2022-0554.html</w:t>
      </w:r>
    </w:p>
    <w:p w14:paraId="44FF63A0" w14:textId="77777777" w:rsidR="00F02E2D" w:rsidRPr="00D24B3E" w:rsidRDefault="00F02E2D">
      <w:pPr>
        <w:ind w:left="720"/>
      </w:pPr>
    </w:p>
    <w:p w14:paraId="149DD47C" w14:textId="4FA0C3D9" w:rsidR="00F02E2D" w:rsidRPr="00D24B3E" w:rsidRDefault="00000000">
      <w:pPr>
        <w:ind w:left="720"/>
      </w:pPr>
      <w:r w:rsidRPr="00D24B3E">
        <w:rPr>
          <w:rFonts w:eastAsia="Times-Roman"/>
        </w:rPr>
        <w:t xml:space="preserve">The article reinforces the focus on non-interest income as a strategic growth lever by showing that digitalization in ASEAN banks enhances income streams </w:t>
      </w:r>
      <w:r w:rsidR="009871AD" w:rsidRPr="00D24B3E">
        <w:rPr>
          <w:rFonts w:eastAsia="Times-Roman"/>
        </w:rPr>
        <w:t>and</w:t>
      </w:r>
      <w:r w:rsidRPr="00D24B3E">
        <w:rPr>
          <w:rFonts w:eastAsia="Times-Roman"/>
        </w:rPr>
        <w:t xml:space="preserve"> contributes to long-term stability.</w:t>
      </w:r>
    </w:p>
    <w:p w14:paraId="05ED46FB" w14:textId="674D0B4C" w:rsidR="00F02E2D" w:rsidRPr="00D24B3E" w:rsidRDefault="00000000">
      <w:pPr>
        <w:ind w:left="720"/>
      </w:pPr>
      <w:r w:rsidRPr="00D24B3E">
        <w:rPr>
          <w:rFonts w:eastAsia="Times-Roman"/>
        </w:rPr>
        <w:t>The findings support the argument that digital trade services</w:t>
      </w:r>
      <w:r w:rsidR="009871AD" w:rsidRPr="00D24B3E">
        <w:rPr>
          <w:rFonts w:eastAsia="Times-Roman"/>
        </w:rPr>
        <w:t xml:space="preserve"> can significantly improve profitability and financial resilience when integrated with diversification strategies</w:t>
      </w:r>
      <w:r w:rsidRPr="00D24B3E">
        <w:rPr>
          <w:rFonts w:eastAsia="Times-Roman"/>
        </w:rPr>
        <w:t>.</w:t>
      </w:r>
    </w:p>
    <w:p w14:paraId="7AC8CBEB" w14:textId="77777777" w:rsidR="00F02E2D" w:rsidRPr="00D24B3E" w:rsidRDefault="00F02E2D"/>
    <w:p w14:paraId="0443F42E" w14:textId="4920D32C" w:rsidR="00F02E2D" w:rsidRPr="00D24B3E" w:rsidRDefault="00000000">
      <w:r w:rsidRPr="00D24B3E">
        <w:t xml:space="preserve">Duong, H. K., </w:t>
      </w:r>
      <w:r w:rsidR="009871AD" w:rsidRPr="00D24B3E">
        <w:t>&amp;</w:t>
      </w:r>
      <w:r w:rsidRPr="00D24B3E">
        <w:t xml:space="preserve"> Nguyen, H. C. (2025). The impact of digitalization on firm value, financial performance, and green initiatives: evidence from Vietnam, an emerging economy. Journal of Applied Accounting Research. https://www.emerald.com/insight/content/doi/10.1108/jaar-01-2025-0015/full/html?skipTracking=true</w:t>
      </w:r>
    </w:p>
    <w:p w14:paraId="3DFB3B4A" w14:textId="77777777" w:rsidR="00F02E2D" w:rsidRPr="00D24B3E" w:rsidRDefault="00F02E2D">
      <w:pPr>
        <w:ind w:left="720"/>
      </w:pPr>
    </w:p>
    <w:p w14:paraId="6A1E50A9" w14:textId="77BE49F3" w:rsidR="00F02E2D" w:rsidRPr="00D24B3E" w:rsidRDefault="00000000">
      <w:pPr>
        <w:ind w:left="720"/>
      </w:pPr>
      <w:r w:rsidRPr="00D24B3E">
        <w:rPr>
          <w:rFonts w:eastAsia="Times-Roman"/>
        </w:rPr>
        <w:t>Examines how digitalization affects firm value and sustainability practices in Vietnam’s financial sector by digital tool adoption, revenue metrics, and ESG integration.</w:t>
      </w:r>
    </w:p>
    <w:p w14:paraId="280947E0" w14:textId="77777777" w:rsidR="00F02E2D" w:rsidRPr="00D24B3E" w:rsidRDefault="00000000">
      <w:pPr>
        <w:ind w:left="720"/>
      </w:pPr>
      <w:r w:rsidRPr="00D24B3E">
        <w:rPr>
          <w:rFonts w:eastAsia="Times-Roman"/>
        </w:rPr>
        <w:lastRenderedPageBreak/>
        <w:t>Relevant to the thesis as it highlights the need for alignment between digital trade service implementation, profitability objectives, and broader sustainability frameworks, supporting the case for multi-dimensional performance assessment.</w:t>
      </w:r>
    </w:p>
    <w:p w14:paraId="0717261C" w14:textId="77777777" w:rsidR="00F02E2D" w:rsidRPr="00D24B3E" w:rsidRDefault="00F02E2D"/>
    <w:p w14:paraId="1E1DA976" w14:textId="701BDB70" w:rsidR="00F02E2D" w:rsidRPr="00D24B3E" w:rsidRDefault="00000000">
      <w:proofErr w:type="spellStart"/>
      <w:r w:rsidRPr="00D24B3E">
        <w:t>Forcadell</w:t>
      </w:r>
      <w:proofErr w:type="spellEnd"/>
      <w:r w:rsidRPr="00D24B3E">
        <w:t xml:space="preserve">, F. J., </w:t>
      </w:r>
      <w:proofErr w:type="spellStart"/>
      <w:r w:rsidRPr="00D24B3E">
        <w:t>Aracil</w:t>
      </w:r>
      <w:proofErr w:type="spellEnd"/>
      <w:r w:rsidRPr="00D24B3E">
        <w:t xml:space="preserve">, E., </w:t>
      </w:r>
      <w:r w:rsidR="009871AD" w:rsidRPr="00D24B3E">
        <w:t>&amp;</w:t>
      </w:r>
      <w:r w:rsidRPr="00D24B3E">
        <w:t xml:space="preserve"> Ubeda, F. (2020). Using reputation for corporate sustainability to tackle banks' digitalization challenges. Business Strategy and the Environment, 29(6), 2181–2193. https://onlinelibrary.wiley.com/doi/abs/10.1002/bse.2494</w:t>
      </w:r>
    </w:p>
    <w:p w14:paraId="72FACA90" w14:textId="77777777" w:rsidR="00F02E2D" w:rsidRPr="00D24B3E" w:rsidRDefault="00F02E2D"/>
    <w:p w14:paraId="1A39E715" w14:textId="60738CB5" w:rsidR="00F02E2D" w:rsidRPr="00D24B3E" w:rsidRDefault="00000000">
      <w:pPr>
        <w:ind w:left="720"/>
      </w:pPr>
      <w:r w:rsidRPr="00D24B3E">
        <w:rPr>
          <w:rFonts w:eastAsia="Times-Roman"/>
        </w:rPr>
        <w:t xml:space="preserve">This study emphasizes </w:t>
      </w:r>
      <w:r w:rsidR="009871AD" w:rsidRPr="00D24B3E">
        <w:rPr>
          <w:rFonts w:eastAsia="Times-Roman"/>
        </w:rPr>
        <w:t>that banks should</w:t>
      </w:r>
      <w:r w:rsidRPr="00D24B3E">
        <w:rPr>
          <w:rFonts w:eastAsia="Times-Roman"/>
        </w:rPr>
        <w:t xml:space="preserve"> enhance client engagement and brand trust during digital transformation.</w:t>
      </w:r>
    </w:p>
    <w:p w14:paraId="3A62D257" w14:textId="6F5E9041" w:rsidR="00F02E2D" w:rsidRPr="00D24B3E" w:rsidRDefault="00000000">
      <w:pPr>
        <w:ind w:left="720"/>
      </w:pPr>
      <w:r w:rsidRPr="00D24B3E">
        <w:rPr>
          <w:rFonts w:eastAsia="Times-Roman"/>
        </w:rPr>
        <w:t>Directly related through value co-creation</w:t>
      </w:r>
      <w:r w:rsidR="009871AD" w:rsidRPr="00D24B3E">
        <w:rPr>
          <w:rFonts w:eastAsia="Times-Roman"/>
        </w:rPr>
        <w:t xml:space="preserve">, as the study investigates the </w:t>
      </w:r>
      <w:r w:rsidRPr="00D24B3E">
        <w:rPr>
          <w:rFonts w:eastAsia="Times-Roman"/>
        </w:rPr>
        <w:t xml:space="preserve">monetization of digital trade </w:t>
      </w:r>
      <w:r w:rsidR="00BF2AD9">
        <w:rPr>
          <w:rFonts w:eastAsia="Times-Roman"/>
        </w:rPr>
        <w:t>services</w:t>
      </w:r>
      <w:r w:rsidRPr="00D24B3E">
        <w:rPr>
          <w:rFonts w:eastAsia="Times-Roman"/>
        </w:rPr>
        <w:t>, it provides evidence that organizational capabilities and client perception are critical to income growth.</w:t>
      </w:r>
    </w:p>
    <w:p w14:paraId="7C2C38E8" w14:textId="77777777" w:rsidR="00F02E2D" w:rsidRPr="00D24B3E" w:rsidRDefault="00F02E2D"/>
    <w:p w14:paraId="47900C4D" w14:textId="1954E72E" w:rsidR="00F02E2D" w:rsidRPr="00D24B3E" w:rsidRDefault="00000000">
      <w:r w:rsidRPr="00D24B3E">
        <w:t xml:space="preserve">Gandhi, T. (2020). Asian Development Bank, Asia-Pacific Trade Facilitation Report 2019: Bridging Trade Finance Gaps Through Technology, Asian Development Bank (ADB). Journal of Asian Economic Integration, 2(1), 125–128. </w:t>
      </w:r>
      <w:hyperlink r:id="rId19" w:history="1">
        <w:r w:rsidR="00560A7F" w:rsidRPr="00D24B3E">
          <w:rPr>
            <w:rStyle w:val="Hyperlink"/>
          </w:rPr>
          <w:t>https://www.researchgate.net/publication/340864701_Asian_Development_Bank_Asia-Pacific_Trade_Facilitation_Report_2019_Bridging_Trade_Finance_Gaps_Through_Technology_Asian_Development_Bank_ADB</w:t>
        </w:r>
      </w:hyperlink>
    </w:p>
    <w:p w14:paraId="26EDBCAF" w14:textId="77777777" w:rsidR="00560A7F" w:rsidRPr="00D24B3E" w:rsidRDefault="00560A7F"/>
    <w:p w14:paraId="7C34AEBA" w14:textId="0C4B5B8E" w:rsidR="00F02E2D" w:rsidRPr="00D24B3E" w:rsidRDefault="00000000">
      <w:pPr>
        <w:ind w:left="720"/>
      </w:pPr>
      <w:r w:rsidRPr="00D24B3E">
        <w:t xml:space="preserve">The paper </w:t>
      </w:r>
      <w:r w:rsidR="009871AD" w:rsidRPr="00D24B3E">
        <w:t>discusses digital transformation to tackle manual processing and risk aversion that incur</w:t>
      </w:r>
      <w:r w:rsidRPr="00D24B3E">
        <w:t xml:space="preserve"> high transaction costs.</w:t>
      </w:r>
    </w:p>
    <w:p w14:paraId="0C1FFDB9" w14:textId="77777777" w:rsidR="00F02E2D" w:rsidRPr="00D24B3E" w:rsidRDefault="00000000">
      <w:pPr>
        <w:ind w:left="720"/>
      </w:pPr>
      <w:r w:rsidRPr="00D24B3E">
        <w:t>These studies fit the paper because they address how digital trade platforms influence fee income growth and highlight the organizational and policy conditions.</w:t>
      </w:r>
    </w:p>
    <w:p w14:paraId="4255681E" w14:textId="77777777" w:rsidR="00F02E2D" w:rsidRPr="00D24B3E" w:rsidRDefault="00F02E2D">
      <w:pPr>
        <w:ind w:left="720"/>
      </w:pPr>
    </w:p>
    <w:p w14:paraId="61880C6E" w14:textId="02C42B6B" w:rsidR="00F02E2D" w:rsidRPr="00D24B3E" w:rsidRDefault="00000000">
      <w:r w:rsidRPr="00D24B3E">
        <w:t xml:space="preserve">Guo, R., </w:t>
      </w:r>
      <w:r w:rsidR="009871AD" w:rsidRPr="00D24B3E">
        <w:t>&amp;</w:t>
      </w:r>
      <w:r w:rsidRPr="00D24B3E">
        <w:t xml:space="preserve"> Ma, B. (2025). Does </w:t>
      </w:r>
      <w:r w:rsidR="00BF2AD9">
        <w:t>digitally</w:t>
      </w:r>
      <w:r w:rsidRPr="00D24B3E">
        <w:t xml:space="preserve"> inclusive finance enhance the profitability of commercial banks?  Evidence from China. Applied Economics Letters, 1 </w:t>
      </w:r>
      <w:hyperlink r:id="rId20" w:history="1">
        <w:r w:rsidR="00F02E2D" w:rsidRPr="00D24B3E">
          <w:rPr>
            <w:color w:val="000000"/>
            <w:u w:val="single" w:color="000000"/>
          </w:rPr>
          <w:t>https://www.researchgate.net/publication/392107393_Does_digital_inclusive_finance_enhance_the_profitability_of_commercial_banks_-_Evidence_from_China</w:t>
        </w:r>
      </w:hyperlink>
    </w:p>
    <w:p w14:paraId="3B51C761" w14:textId="77777777" w:rsidR="00F02E2D" w:rsidRPr="00D24B3E" w:rsidRDefault="00F02E2D"/>
    <w:p w14:paraId="4B5AB1E6" w14:textId="4F9B7B76" w:rsidR="00F02E2D" w:rsidRPr="00D24B3E" w:rsidRDefault="00BF2AD9">
      <w:pPr>
        <w:ind w:left="720"/>
      </w:pPr>
      <w:r>
        <w:t>Investigate</w:t>
      </w:r>
      <w:r w:rsidRPr="00D24B3E">
        <w:t xml:space="preserve"> how digital financial inclusion initiatives affect profitability in Chinese banks.</w:t>
      </w:r>
    </w:p>
    <w:p w14:paraId="7167A057" w14:textId="77777777" w:rsidR="00F02E2D" w:rsidRPr="00D24B3E" w:rsidRDefault="00000000">
      <w:pPr>
        <w:ind w:left="720"/>
      </w:pPr>
      <w:r w:rsidRPr="00D24B3E">
        <w:t>Offers quantitative confirmation of the link between digital services and bank performance in China.</w:t>
      </w:r>
    </w:p>
    <w:p w14:paraId="2F7F1701" w14:textId="77777777" w:rsidR="00F02E2D" w:rsidRPr="00D24B3E" w:rsidRDefault="00F02E2D"/>
    <w:p w14:paraId="39A23C55" w14:textId="58673CB9" w:rsidR="00F02E2D" w:rsidRPr="00D24B3E" w:rsidRDefault="00000000">
      <w:r w:rsidRPr="00D24B3E">
        <w:t xml:space="preserve">Hakizimana, S., Wairimu, M.-M. C., </w:t>
      </w:r>
      <w:r w:rsidR="009871AD" w:rsidRPr="00D24B3E">
        <w:t>&amp;</w:t>
      </w:r>
      <w:r w:rsidRPr="00D24B3E">
        <w:t xml:space="preserve"> </w:t>
      </w:r>
      <w:proofErr w:type="spellStart"/>
      <w:r w:rsidRPr="00D24B3E">
        <w:t>Muathe</w:t>
      </w:r>
      <w:proofErr w:type="spellEnd"/>
      <w:r w:rsidRPr="00D24B3E">
        <w:t xml:space="preserve">, S. (2023). Digital Banking Transformation and Performance. Where Do We Stand? International Journal of Management Research and Emerging Sciences, 13(1). </w:t>
      </w:r>
      <w:hyperlink r:id="rId21" w:history="1">
        <w:r w:rsidR="00F02E2D" w:rsidRPr="00D24B3E">
          <w:rPr>
            <w:color w:val="000000"/>
            <w:u w:val="single" w:color="000000"/>
          </w:rPr>
          <w:t>https://ijmres.pk/index.php/IJMRES/article/view/404</w:t>
        </w:r>
      </w:hyperlink>
    </w:p>
    <w:p w14:paraId="1FF160D9" w14:textId="77777777" w:rsidR="00F02E2D" w:rsidRPr="00D24B3E" w:rsidRDefault="00F02E2D"/>
    <w:p w14:paraId="0A1D21C1" w14:textId="77777777" w:rsidR="00F02E2D" w:rsidRPr="00D24B3E" w:rsidRDefault="00000000">
      <w:pPr>
        <w:ind w:left="720"/>
      </w:pPr>
      <w:r w:rsidRPr="00D24B3E">
        <w:rPr>
          <w:rFonts w:eastAsia="Times-Roman"/>
        </w:rPr>
        <w:t>Provides a comprehensive scoping review outlining key drivers of digital banking transformation, such as technology adoption, regulatory frameworks, and organizational readiness.</w:t>
      </w:r>
    </w:p>
    <w:p w14:paraId="1AA49014" w14:textId="4A44E173" w:rsidR="00F02E2D" w:rsidRPr="00D24B3E" w:rsidRDefault="00000000">
      <w:pPr>
        <w:ind w:left="720"/>
      </w:pPr>
      <w:r w:rsidRPr="00D24B3E">
        <w:rPr>
          <w:rFonts w:eastAsia="Times-Roman"/>
        </w:rPr>
        <w:t xml:space="preserve">This source supports the conceptual foundation by mapping the broader digitalization landscape in banking, helping to contextualize platform-based trade finance strategies within </w:t>
      </w:r>
      <w:r w:rsidR="009871AD" w:rsidRPr="00D24B3E">
        <w:rPr>
          <w:rFonts w:eastAsia="Times-Roman"/>
        </w:rPr>
        <w:t>broader</w:t>
      </w:r>
      <w:r w:rsidRPr="00D24B3E">
        <w:rPr>
          <w:rFonts w:eastAsia="Times-Roman"/>
        </w:rPr>
        <w:t xml:space="preserve"> institutional trends.</w:t>
      </w:r>
    </w:p>
    <w:p w14:paraId="36381420" w14:textId="77777777" w:rsidR="00F02E2D" w:rsidRPr="00D24B3E" w:rsidRDefault="00F02E2D">
      <w:pPr>
        <w:ind w:left="720"/>
      </w:pPr>
    </w:p>
    <w:p w14:paraId="2068E6B2" w14:textId="1418F2D2" w:rsidR="00F02E2D" w:rsidRPr="00D24B3E" w:rsidRDefault="00000000">
      <w:r w:rsidRPr="00D24B3E">
        <w:lastRenderedPageBreak/>
        <w:t xml:space="preserve">Han, Q., Wang, F., Wang, Y., and Guo, F. (2025). How </w:t>
      </w:r>
      <w:r w:rsidR="009871AD" w:rsidRPr="00D24B3E">
        <w:t xml:space="preserve">are supply chain and digitalization </w:t>
      </w:r>
      <w:r w:rsidRPr="00D24B3E">
        <w:t xml:space="preserve">significant contributors to international trade? The role of renewable </w:t>
      </w:r>
      <w:r w:rsidR="009871AD" w:rsidRPr="00D24B3E">
        <w:t xml:space="preserve">energy </w:t>
      </w:r>
      <w:r w:rsidRPr="00D24B3E">
        <w:t xml:space="preserve">and energy intensity in global trade powerhouses’ economies. Energy Economics, 145, 108429. </w:t>
      </w:r>
      <w:hyperlink r:id="rId22" w:history="1">
        <w:r w:rsidR="00F02E2D" w:rsidRPr="00D24B3E">
          <w:rPr>
            <w:color w:val="000000"/>
            <w:u w:val="single" w:color="000000"/>
          </w:rPr>
          <w:t>https://www.researchgate.net/publication/390281260_How_supply_chain_and_digitalization_are_significant_contributors_to_international_trade_The_role_of_renewable_and_energy_intensity_in_global_trade_powerhouses'_economies</w:t>
        </w:r>
      </w:hyperlink>
    </w:p>
    <w:p w14:paraId="7366F0AF" w14:textId="77777777" w:rsidR="00F02E2D" w:rsidRPr="00D24B3E" w:rsidRDefault="00F02E2D">
      <w:pPr>
        <w:ind w:firstLine="720"/>
      </w:pPr>
    </w:p>
    <w:p w14:paraId="4F2C685A" w14:textId="77777777" w:rsidR="00F02E2D" w:rsidRPr="00D24B3E" w:rsidRDefault="00000000">
      <w:pPr>
        <w:ind w:firstLine="720"/>
      </w:pPr>
      <w:r w:rsidRPr="00D24B3E">
        <w:t>Examines digitalization and supply chain factors that influence international trade flows.</w:t>
      </w:r>
    </w:p>
    <w:p w14:paraId="75AC2B6B" w14:textId="5A44FF58" w:rsidR="00F02E2D" w:rsidRPr="00D24B3E" w:rsidRDefault="009871AD">
      <w:pPr>
        <w:ind w:left="720"/>
      </w:pPr>
      <w:r w:rsidRPr="00D24B3E">
        <w:t xml:space="preserve">It </w:t>
      </w:r>
      <w:r w:rsidR="00BF2AD9">
        <w:t>supports</w:t>
      </w:r>
      <w:r w:rsidRPr="00D24B3E">
        <w:t xml:space="preserve"> digital strategy, strengthening the rationale that digital structures in value chains can enhance trade volumes and potentially associated banking fees.</w:t>
      </w:r>
    </w:p>
    <w:p w14:paraId="690AA932" w14:textId="77777777" w:rsidR="00F02E2D" w:rsidRPr="00D24B3E" w:rsidRDefault="00F02E2D">
      <w:pPr>
        <w:ind w:left="720"/>
      </w:pPr>
    </w:p>
    <w:p w14:paraId="5909D0A2" w14:textId="77777777" w:rsidR="00F02E2D" w:rsidRDefault="00000000">
      <w:r w:rsidRPr="00D24B3E">
        <w:t xml:space="preserve">He, Q., Tong, Z., Mai, H., Shen, Y., and Jiang, J. (2025). Digital transformation and profitability in rural commercial banks. Finance Research Letters, 85, 107867. </w:t>
      </w:r>
      <w:hyperlink r:id="rId23" w:history="1">
        <w:r w:rsidR="00F02E2D" w:rsidRPr="00D24B3E">
          <w:rPr>
            <w:color w:val="000000"/>
            <w:u w:val="single" w:color="000000"/>
          </w:rPr>
          <w:t>https://www.researchgate.net/publication/393290473_Digital_Transformation_and_Profitability_in_Rural_Commercial_Banks</w:t>
        </w:r>
      </w:hyperlink>
    </w:p>
    <w:p w14:paraId="314FAA9E" w14:textId="77777777" w:rsidR="008E1E6C" w:rsidRPr="00D24B3E" w:rsidRDefault="008E1E6C"/>
    <w:p w14:paraId="6895BF26" w14:textId="77777777" w:rsidR="00F02E2D" w:rsidRPr="00D24B3E" w:rsidRDefault="00000000">
      <w:pPr>
        <w:ind w:left="720"/>
      </w:pPr>
      <w:r w:rsidRPr="00D24B3E">
        <w:t>Demonstrates that even rural banks benefit from digital transformation through improved profitability.</w:t>
      </w:r>
    </w:p>
    <w:p w14:paraId="53D30F03" w14:textId="77777777" w:rsidR="00F02E2D" w:rsidRPr="00D24B3E" w:rsidRDefault="00000000">
      <w:pPr>
        <w:ind w:left="720"/>
      </w:pPr>
      <w:r w:rsidRPr="00D24B3E">
        <w:rPr>
          <w:rFonts w:eastAsia="Times-Roman"/>
        </w:rPr>
        <w:t>Relate to the concept that digital adoption can drive profitability beyond major institutions, reinforcing the potential of digital trade platforms to generate fee-based income in diverse market contexts.</w:t>
      </w:r>
    </w:p>
    <w:p w14:paraId="62F3C9BE" w14:textId="77777777" w:rsidR="00F02E2D" w:rsidRPr="00D24B3E" w:rsidRDefault="00F02E2D">
      <w:pPr>
        <w:ind w:left="720"/>
      </w:pPr>
    </w:p>
    <w:p w14:paraId="3D8F6E31" w14:textId="77777777" w:rsidR="00F02E2D" w:rsidRPr="00D24B3E" w:rsidRDefault="00000000">
      <w:r w:rsidRPr="00D24B3E">
        <w:t>Huang, Z. (2023). Research on the Impact of Digital Transformation of Commercial Banks on Profitability. SHS Web of Conferences, 163, 02015. https://www.researchgate.net/publication/370364383_Research_on_the_Impact_of_Digital_Transformation_of_Commercial_Banks_on_Profitability</w:t>
      </w:r>
    </w:p>
    <w:p w14:paraId="4283246B" w14:textId="77777777" w:rsidR="00F02E2D" w:rsidRPr="00D24B3E" w:rsidRDefault="00F02E2D">
      <w:pPr>
        <w:ind w:left="720"/>
      </w:pPr>
    </w:p>
    <w:p w14:paraId="3C18F5D0" w14:textId="77777777" w:rsidR="00F02E2D" w:rsidRPr="00D24B3E" w:rsidRDefault="00000000">
      <w:pPr>
        <w:ind w:left="720"/>
      </w:pPr>
      <w:r w:rsidRPr="00D24B3E">
        <w:t>Study 16 Chinese commercial banks using a regression model and find a positive relationship between digital transformation and profitability.</w:t>
      </w:r>
    </w:p>
    <w:p w14:paraId="249AF758" w14:textId="77777777" w:rsidR="00F02E2D" w:rsidRPr="00D24B3E" w:rsidRDefault="00000000">
      <w:pPr>
        <w:ind w:left="720"/>
      </w:pPr>
      <w:r w:rsidRPr="00D24B3E">
        <w:t>Relating to digital trade enhances bank profitability.</w:t>
      </w:r>
    </w:p>
    <w:p w14:paraId="680FA915" w14:textId="77777777" w:rsidR="00F02E2D" w:rsidRPr="00D24B3E" w:rsidRDefault="00F02E2D">
      <w:pPr>
        <w:ind w:left="720"/>
      </w:pPr>
    </w:p>
    <w:p w14:paraId="3BD67AB9" w14:textId="77777777" w:rsidR="00F02E2D" w:rsidRPr="00D24B3E" w:rsidRDefault="00000000">
      <w:r w:rsidRPr="00D24B3E">
        <w:t xml:space="preserve">Huynh, J. (2025). Digital transformation and the bank lending channel. China Finance Review International. </w:t>
      </w:r>
      <w:hyperlink r:id="rId24" w:history="1">
        <w:r w:rsidR="00F02E2D" w:rsidRPr="00D24B3E">
          <w:rPr>
            <w:color w:val="000000"/>
            <w:u w:val="single" w:color="000000"/>
          </w:rPr>
          <w:t>https://www.emerald.com/insight/content/doi/10.1108/cfri-10-2024-0615/full/html?skipTracking=true</w:t>
        </w:r>
      </w:hyperlink>
    </w:p>
    <w:p w14:paraId="2E2EDADB" w14:textId="77777777" w:rsidR="00F02E2D" w:rsidRPr="00D24B3E" w:rsidRDefault="00F02E2D"/>
    <w:p w14:paraId="568EE09E" w14:textId="693986EB" w:rsidR="00F02E2D" w:rsidRPr="00D24B3E" w:rsidRDefault="009871AD">
      <w:pPr>
        <w:ind w:left="720"/>
      </w:pPr>
      <w:r w:rsidRPr="00D24B3E">
        <w:t>A study related to digital transformation weakens the traditional bank lending channel by reducing its sensitivity to monetary policy.</w:t>
      </w:r>
    </w:p>
    <w:p w14:paraId="424BFE2A" w14:textId="70625C5D" w:rsidR="00F02E2D" w:rsidRPr="00D24B3E" w:rsidRDefault="00000000">
      <w:pPr>
        <w:ind w:left="720"/>
      </w:pPr>
      <w:r w:rsidRPr="00D24B3E">
        <w:t>Relevant to the paper</w:t>
      </w:r>
      <w:r w:rsidR="009871AD" w:rsidRPr="00D24B3E">
        <w:t>,</w:t>
      </w:r>
      <w:r w:rsidRPr="00D24B3E">
        <w:t xml:space="preserve"> as mentioned, </w:t>
      </w:r>
      <w:r w:rsidR="009871AD" w:rsidRPr="00D24B3E">
        <w:t xml:space="preserve">is a </w:t>
      </w:r>
      <w:r w:rsidRPr="00D24B3E">
        <w:t>strategic shift toward fee-based income, such as digital trade services, as banks reduce reliance on interest-driven revenue models.</w:t>
      </w:r>
    </w:p>
    <w:p w14:paraId="78627941" w14:textId="77777777" w:rsidR="00F02E2D" w:rsidRPr="00D24B3E" w:rsidRDefault="00F02E2D">
      <w:pPr>
        <w:ind w:left="720"/>
      </w:pPr>
    </w:p>
    <w:p w14:paraId="74D2B74F" w14:textId="77777777" w:rsidR="00F02E2D" w:rsidRPr="00D24B3E" w:rsidRDefault="00000000">
      <w:r w:rsidRPr="00D24B3E">
        <w:t xml:space="preserve">Ismail, N. W. (2020). Digital trade facilitation and bilateral trade in selected Asian countries. Studies in Economics and Finance, ahead-of-print(ahead-of-print). </w:t>
      </w:r>
      <w:hyperlink r:id="rId25" w:history="1">
        <w:r w:rsidR="00F02E2D" w:rsidRPr="00D24B3E">
          <w:rPr>
            <w:color w:val="000000"/>
            <w:u w:val="single" w:color="000000"/>
          </w:rPr>
          <w:t>https://www.sci-hub.se/downloads/2020-07-26/5333/ismail2020.pdf</w:t>
        </w:r>
      </w:hyperlink>
    </w:p>
    <w:p w14:paraId="52CF45EA" w14:textId="77777777" w:rsidR="00F02E2D" w:rsidRPr="00D24B3E" w:rsidRDefault="00F02E2D"/>
    <w:p w14:paraId="74B9F15B" w14:textId="1FE9065D" w:rsidR="00F02E2D" w:rsidRPr="00D24B3E" w:rsidRDefault="009871AD">
      <w:pPr>
        <w:ind w:left="720"/>
      </w:pPr>
      <w:r w:rsidRPr="00D24B3E">
        <w:t>This paper uses gravity-model econometrics to evaluate how digital infrastructure, usage, and security influence bilateral trade flows across Asian nations.</w:t>
      </w:r>
    </w:p>
    <w:p w14:paraId="1C6D179D" w14:textId="77777777" w:rsidR="00F02E2D" w:rsidRPr="00D24B3E" w:rsidRDefault="00000000">
      <w:pPr>
        <w:ind w:left="720"/>
      </w:pPr>
      <w:r w:rsidRPr="00D24B3E">
        <w:lastRenderedPageBreak/>
        <w:t>Relate to foundational evidence that digital trade facilitation improves trade volumes in digitized trade ecosystems to benefit from increased fee-earning opportunities.</w:t>
      </w:r>
    </w:p>
    <w:p w14:paraId="202F9690" w14:textId="77777777" w:rsidR="00F02E2D" w:rsidRPr="00D24B3E" w:rsidRDefault="00F02E2D"/>
    <w:p w14:paraId="5CAFD273" w14:textId="77777777" w:rsidR="00F02E2D" w:rsidRPr="00D24B3E" w:rsidRDefault="00000000">
      <w:proofErr w:type="spellStart"/>
      <w:r w:rsidRPr="00D24B3E">
        <w:t>Jameaba</w:t>
      </w:r>
      <w:proofErr w:type="spellEnd"/>
      <w:r w:rsidRPr="00D24B3E">
        <w:t>, M. (2024). Digitalization, Emerging Technologies, and Financial Stability: Challenges and Opportunities for the Indonesian Banking Sector and Beyond. Social Science Research Network. https://papers.ssrn.com/sol3/papers.cfm?abstract_id=4808469</w:t>
      </w:r>
    </w:p>
    <w:p w14:paraId="60297232" w14:textId="77777777" w:rsidR="00F02E2D" w:rsidRPr="00D24B3E" w:rsidRDefault="00F02E2D">
      <w:pPr>
        <w:ind w:left="720"/>
      </w:pPr>
    </w:p>
    <w:p w14:paraId="310EE200" w14:textId="77777777" w:rsidR="00F02E2D" w:rsidRPr="00D24B3E" w:rsidRDefault="00000000">
      <w:pPr>
        <w:ind w:left="720"/>
      </w:pPr>
      <w:r w:rsidRPr="00D24B3E">
        <w:t>Explores the intersection of digitalization and financial stability in the banking sector, focusing on risks and innovations driven by emerging technologies.</w:t>
      </w:r>
    </w:p>
    <w:p w14:paraId="2300DAD1" w14:textId="34BFE853" w:rsidR="00F02E2D" w:rsidRPr="00D24B3E" w:rsidRDefault="00000000">
      <w:pPr>
        <w:ind w:left="720"/>
      </w:pPr>
      <w:r w:rsidRPr="00D24B3E">
        <w:rPr>
          <w:rFonts w:eastAsia="Times-Roman"/>
        </w:rPr>
        <w:t xml:space="preserve">It is related because it explores digitalization impacts </w:t>
      </w:r>
      <w:r w:rsidR="009871AD" w:rsidRPr="00D24B3E">
        <w:rPr>
          <w:rFonts w:eastAsia="Times-Roman"/>
        </w:rPr>
        <w:t xml:space="preserve">on </w:t>
      </w:r>
      <w:r w:rsidRPr="00D24B3E">
        <w:rPr>
          <w:rFonts w:eastAsia="Times-Roman"/>
        </w:rPr>
        <w:t>financial systems in emerging markets, aligning with this study’s focus on regulatory and institutional influences in digital trade finance.</w:t>
      </w:r>
    </w:p>
    <w:p w14:paraId="72D73BF8" w14:textId="77777777" w:rsidR="00F02E2D" w:rsidRPr="00D24B3E" w:rsidRDefault="00F02E2D">
      <w:pPr>
        <w:ind w:left="720"/>
      </w:pPr>
    </w:p>
    <w:p w14:paraId="46249433" w14:textId="77777777" w:rsidR="00F02E2D" w:rsidRPr="00D24B3E" w:rsidRDefault="00000000">
      <w:r w:rsidRPr="00D24B3E">
        <w:t xml:space="preserve">Johan </w:t>
      </w:r>
      <w:proofErr w:type="spellStart"/>
      <w:r w:rsidRPr="00D24B3E">
        <w:t>Lazuardi</w:t>
      </w:r>
      <w:proofErr w:type="spellEnd"/>
      <w:r w:rsidRPr="00D24B3E">
        <w:t xml:space="preserve">, </w:t>
      </w:r>
      <w:proofErr w:type="spellStart"/>
      <w:r w:rsidRPr="00D24B3E">
        <w:t>Muktiyanto</w:t>
      </w:r>
      <w:proofErr w:type="spellEnd"/>
      <w:r w:rsidRPr="00D24B3E">
        <w:t xml:space="preserve">, A., and </w:t>
      </w:r>
      <w:proofErr w:type="spellStart"/>
      <w:r w:rsidRPr="00D24B3E">
        <w:t>Hety</w:t>
      </w:r>
      <w:proofErr w:type="spellEnd"/>
      <w:r w:rsidRPr="00D24B3E">
        <w:t xml:space="preserve"> Budiyanti. (2023). Analysis of the Influence of Digital Banks on Bank Profitability. </w:t>
      </w:r>
      <w:proofErr w:type="spellStart"/>
      <w:r w:rsidRPr="00D24B3E">
        <w:t>Jurnal</w:t>
      </w:r>
      <w:proofErr w:type="spellEnd"/>
      <w:r w:rsidRPr="00D24B3E">
        <w:t xml:space="preserve"> </w:t>
      </w:r>
      <w:proofErr w:type="spellStart"/>
      <w:r w:rsidRPr="00D24B3E">
        <w:t>Ilmu</w:t>
      </w:r>
      <w:proofErr w:type="spellEnd"/>
      <w:r w:rsidRPr="00D24B3E">
        <w:t xml:space="preserve"> </w:t>
      </w:r>
      <w:proofErr w:type="spellStart"/>
      <w:r w:rsidRPr="00D24B3E">
        <w:t>Keuangan</w:t>
      </w:r>
      <w:proofErr w:type="spellEnd"/>
      <w:r w:rsidRPr="00D24B3E">
        <w:t xml:space="preserve"> Dan </w:t>
      </w:r>
      <w:proofErr w:type="spellStart"/>
      <w:r w:rsidRPr="00D24B3E">
        <w:t>Perbankan</w:t>
      </w:r>
      <w:proofErr w:type="spellEnd"/>
      <w:r w:rsidRPr="00D24B3E">
        <w:t xml:space="preserve"> (JIKA), 12(2), 171–180. https://ojs.unikom.ac.id/index.php/jika/article/view/9517</w:t>
      </w:r>
    </w:p>
    <w:p w14:paraId="04565327" w14:textId="77777777" w:rsidR="00F02E2D" w:rsidRPr="00D24B3E" w:rsidRDefault="00F02E2D">
      <w:pPr>
        <w:ind w:left="720"/>
      </w:pPr>
    </w:p>
    <w:p w14:paraId="7EC0C4D9" w14:textId="0F76B248" w:rsidR="00F02E2D" w:rsidRPr="00D24B3E" w:rsidRDefault="00000000">
      <w:pPr>
        <w:ind w:left="720"/>
      </w:pPr>
      <w:r w:rsidRPr="00D24B3E">
        <w:t xml:space="preserve">Explores how </w:t>
      </w:r>
      <w:r w:rsidR="009871AD" w:rsidRPr="00D24B3E">
        <w:t xml:space="preserve">a </w:t>
      </w:r>
      <w:r w:rsidRPr="00D24B3E">
        <w:t xml:space="preserve">digital-focused bank outperforms traditional banks </w:t>
      </w:r>
      <w:r w:rsidR="00333704">
        <w:t>in terms of</w:t>
      </w:r>
      <w:r w:rsidRPr="00D24B3E">
        <w:t xml:space="preserve"> efficiency and profitability.</w:t>
      </w:r>
    </w:p>
    <w:p w14:paraId="444CB630" w14:textId="6BCB21DC" w:rsidR="00F02E2D" w:rsidRPr="00D24B3E" w:rsidRDefault="00000000">
      <w:pPr>
        <w:ind w:left="720"/>
      </w:pPr>
      <w:r w:rsidRPr="00D24B3E">
        <w:t xml:space="preserve">Relevant to </w:t>
      </w:r>
      <w:r w:rsidR="009871AD" w:rsidRPr="00D24B3E">
        <w:t>the digital shift, the revenue base is to gain more income from</w:t>
      </w:r>
      <w:r w:rsidRPr="00D24B3E">
        <w:t xml:space="preserve"> trade service fees.</w:t>
      </w:r>
    </w:p>
    <w:p w14:paraId="4DF624EE" w14:textId="77777777" w:rsidR="00F02E2D" w:rsidRPr="00D24B3E" w:rsidRDefault="00F02E2D">
      <w:pPr>
        <w:ind w:left="720"/>
      </w:pPr>
    </w:p>
    <w:p w14:paraId="76F3A1F6" w14:textId="6C2CB641" w:rsidR="00F02E2D" w:rsidRPr="00D24B3E" w:rsidRDefault="00000000">
      <w:r w:rsidRPr="00D24B3E">
        <w:t xml:space="preserve">Khalil, M. A., Padmanabhan, R., Hadid, M., Adel </w:t>
      </w:r>
      <w:proofErr w:type="spellStart"/>
      <w:r w:rsidRPr="00D24B3E">
        <w:t>Elomri</w:t>
      </w:r>
      <w:proofErr w:type="spellEnd"/>
      <w:r w:rsidRPr="00D24B3E">
        <w:t xml:space="preserve">, </w:t>
      </w:r>
      <w:r w:rsidR="009871AD" w:rsidRPr="00D24B3E">
        <w:t>&amp;</w:t>
      </w:r>
      <w:r w:rsidRPr="00D24B3E">
        <w:t xml:space="preserve"> </w:t>
      </w:r>
      <w:proofErr w:type="spellStart"/>
      <w:r w:rsidRPr="00D24B3E">
        <w:t>Laoucine</w:t>
      </w:r>
      <w:proofErr w:type="spellEnd"/>
      <w:r w:rsidRPr="00D24B3E">
        <w:t xml:space="preserve"> </w:t>
      </w:r>
      <w:proofErr w:type="spellStart"/>
      <w:r w:rsidRPr="00D24B3E">
        <w:t>Kerbache</w:t>
      </w:r>
      <w:proofErr w:type="spellEnd"/>
      <w:r w:rsidRPr="00D24B3E">
        <w:t>. (2025). AI-driven transformation in trade finance: A roadmap for automating letter of credit document examination. Digital Business, 100130–100130. https://www.sciencedirect.com/science/article/pii/S2666954425000250</w:t>
      </w:r>
    </w:p>
    <w:p w14:paraId="7B9962F5" w14:textId="77777777" w:rsidR="00F02E2D" w:rsidRPr="00D24B3E" w:rsidRDefault="00F02E2D">
      <w:pPr>
        <w:ind w:left="720"/>
      </w:pPr>
    </w:p>
    <w:p w14:paraId="4676564D" w14:textId="77777777" w:rsidR="00F02E2D" w:rsidRPr="00D24B3E" w:rsidRDefault="00000000">
      <w:pPr>
        <w:ind w:left="720"/>
      </w:pPr>
      <w:r w:rsidRPr="00D24B3E">
        <w:t>Explores the automation of LC processes using AI and its impact on trade finance efficiency.</w:t>
      </w:r>
    </w:p>
    <w:p w14:paraId="44D9A735" w14:textId="054CC734" w:rsidR="00F02E2D" w:rsidRPr="00D24B3E" w:rsidRDefault="00000000">
      <w:pPr>
        <w:ind w:left="720"/>
      </w:pPr>
      <w:r w:rsidRPr="00D24B3E">
        <w:t xml:space="preserve">Directly relevant to the bank, </w:t>
      </w:r>
      <w:r w:rsidR="009871AD" w:rsidRPr="00D24B3E">
        <w:t xml:space="preserve">a new trade product is needed </w:t>
      </w:r>
      <w:r w:rsidRPr="00D24B3E">
        <w:t xml:space="preserve">to optimize operational </w:t>
      </w:r>
      <w:r w:rsidR="00333704">
        <w:t>costs</w:t>
      </w:r>
      <w:r w:rsidRPr="00D24B3E">
        <w:t xml:space="preserve"> and unlock revenue by streamlining core trade processes.</w:t>
      </w:r>
    </w:p>
    <w:p w14:paraId="6CF070EC" w14:textId="77777777" w:rsidR="00F02E2D" w:rsidRPr="00D24B3E" w:rsidRDefault="00F02E2D"/>
    <w:p w14:paraId="5F28F150" w14:textId="501D2E2B" w:rsidR="00F02E2D" w:rsidRPr="00D24B3E" w:rsidRDefault="00000000">
      <w:r w:rsidRPr="00D24B3E">
        <w:t xml:space="preserve">Kong, N., Wang, B., Zhang, Y., </w:t>
      </w:r>
      <w:r w:rsidR="009871AD" w:rsidRPr="00D24B3E">
        <w:t>&amp;</w:t>
      </w:r>
      <w:r w:rsidRPr="00D24B3E">
        <w:t xml:space="preserve"> Zhou, N. (2024). How does digital technology affect </w:t>
      </w:r>
      <w:r w:rsidR="00333704">
        <w:t>service</w:t>
      </w:r>
      <w:r w:rsidR="009871AD" w:rsidRPr="00D24B3E">
        <w:t xml:space="preserve"> exports</w:t>
      </w:r>
      <w:r w:rsidRPr="00D24B3E">
        <w:t>? Journal of Asian Economics, 95, 101814. https://www.researchgate.net/publication/384378005_How_does_Digital_Technology_Affect_Export_in_Services</w:t>
      </w:r>
    </w:p>
    <w:p w14:paraId="40BE7356" w14:textId="77777777" w:rsidR="00F02E2D" w:rsidRPr="00D24B3E" w:rsidRDefault="00000000">
      <w:pPr>
        <w:ind w:left="720"/>
      </w:pPr>
      <w:r w:rsidRPr="00D24B3E">
        <w:t>The study uses econometric methods to link digital tech adoption with service export growth in Asia.</w:t>
      </w:r>
    </w:p>
    <w:p w14:paraId="655B8BF2" w14:textId="6B244076" w:rsidR="00F02E2D" w:rsidRPr="00D24B3E" w:rsidRDefault="00000000">
      <w:pPr>
        <w:ind w:left="720"/>
      </w:pPr>
      <w:r w:rsidRPr="00D24B3E">
        <w:t xml:space="preserve">Offers evidence supporting </w:t>
      </w:r>
      <w:r w:rsidR="009871AD" w:rsidRPr="00D24B3E">
        <w:t xml:space="preserve">an </w:t>
      </w:r>
      <w:r w:rsidRPr="00D24B3E">
        <w:t>investigation into how digitalization strengthens client engagement and monetization potential, especially in international trade contexts.</w:t>
      </w:r>
    </w:p>
    <w:p w14:paraId="0414BDBA" w14:textId="77777777" w:rsidR="00F02E2D" w:rsidRPr="00D24B3E" w:rsidRDefault="00F02E2D"/>
    <w:p w14:paraId="2ABF30E2" w14:textId="77777777" w:rsidR="00F02E2D" w:rsidRPr="00D24B3E" w:rsidRDefault="00000000">
      <w:proofErr w:type="spellStart"/>
      <w:r w:rsidRPr="00D24B3E">
        <w:t>Kreitstshtein</w:t>
      </w:r>
      <w:proofErr w:type="spellEnd"/>
      <w:r w:rsidRPr="00D24B3E">
        <w:t>, A. (2017). Digital transformation and its effects on the competency framework: a case study of digital banking. https://www.theseus.fi/handle/10024/122409</w:t>
      </w:r>
    </w:p>
    <w:p w14:paraId="03C31D4E" w14:textId="77777777" w:rsidR="00F02E2D" w:rsidRPr="00D24B3E" w:rsidRDefault="00F02E2D">
      <w:pPr>
        <w:ind w:left="720"/>
      </w:pPr>
    </w:p>
    <w:p w14:paraId="6F47EC96" w14:textId="77777777" w:rsidR="00F02E2D" w:rsidRPr="00D24B3E" w:rsidRDefault="00000000">
      <w:pPr>
        <w:ind w:left="720"/>
      </w:pPr>
      <w:r w:rsidRPr="00D24B3E">
        <w:t>Provides digital banking that transforms HR competencies and institutional capabilities.</w:t>
      </w:r>
    </w:p>
    <w:p w14:paraId="354C19A0" w14:textId="77777777" w:rsidR="00F02E2D" w:rsidRPr="00D24B3E" w:rsidRDefault="00000000">
      <w:pPr>
        <w:ind w:left="720"/>
      </w:pPr>
      <w:r w:rsidRPr="00D24B3E">
        <w:rPr>
          <w:rFonts w:eastAsia="Times-Roman"/>
        </w:rPr>
        <w:lastRenderedPageBreak/>
        <w:t>Provides case-based insights into how digital transformation reshapes banking competencies, supporting this study’s focus on institutional capabilities in platform monetization.</w:t>
      </w:r>
    </w:p>
    <w:p w14:paraId="437FCE97" w14:textId="77777777" w:rsidR="00F02E2D" w:rsidRPr="00D24B3E" w:rsidRDefault="00F02E2D">
      <w:pPr>
        <w:ind w:left="720"/>
      </w:pPr>
    </w:p>
    <w:p w14:paraId="19254AED" w14:textId="77777777" w:rsidR="00F02E2D" w:rsidRPr="00D24B3E" w:rsidRDefault="00000000">
      <w:r w:rsidRPr="00D24B3E">
        <w:t xml:space="preserve">Kriebel, J., and </w:t>
      </w:r>
      <w:proofErr w:type="spellStart"/>
      <w:r w:rsidRPr="00D24B3E">
        <w:t>Debener</w:t>
      </w:r>
      <w:proofErr w:type="spellEnd"/>
      <w:r w:rsidRPr="00D24B3E">
        <w:t xml:space="preserve">, J. (2019). Measuring the Effect of Digitalization Efforts on Bank Performance. SSRN Electronic Journal. </w:t>
      </w:r>
      <w:hyperlink r:id="rId26" w:history="1">
        <w:r w:rsidR="00F02E2D" w:rsidRPr="00D24B3E">
          <w:rPr>
            <w:color w:val="000000"/>
            <w:u w:val="single" w:color="000000"/>
          </w:rPr>
          <w:t>https://www.researchgate.net/publication/336457789_Measuring_the_Effect_of_Digitalization_Efforts_on_Bank_Performance</w:t>
        </w:r>
      </w:hyperlink>
    </w:p>
    <w:p w14:paraId="46B8384B" w14:textId="77777777" w:rsidR="00F02E2D" w:rsidRPr="00D24B3E" w:rsidRDefault="00F02E2D"/>
    <w:p w14:paraId="2454790D" w14:textId="4811A854" w:rsidR="00F02E2D" w:rsidRPr="00D24B3E" w:rsidRDefault="00000000">
      <w:pPr>
        <w:ind w:left="720"/>
      </w:pPr>
      <w:r w:rsidRPr="00D24B3E">
        <w:t xml:space="preserve">The paper provides a framework to measure </w:t>
      </w:r>
      <w:r w:rsidR="009871AD" w:rsidRPr="00D24B3E">
        <w:t xml:space="preserve">the impact of digitalization </w:t>
      </w:r>
      <w:r w:rsidRPr="00D24B3E">
        <w:t>using various bank performance metrics.</w:t>
      </w:r>
    </w:p>
    <w:p w14:paraId="57B4BF76" w14:textId="77777777" w:rsidR="00F02E2D" w:rsidRPr="00D24B3E" w:rsidRDefault="00000000">
      <w:pPr>
        <w:ind w:left="720"/>
      </w:pPr>
      <w:r w:rsidRPr="00D24B3E">
        <w:t>Provides theoretical underpinnings for developing KPIs that link trade service innovation to fee income growth.</w:t>
      </w:r>
    </w:p>
    <w:p w14:paraId="4C22069B" w14:textId="77777777" w:rsidR="00F02E2D" w:rsidRPr="00D24B3E" w:rsidRDefault="00F02E2D"/>
    <w:p w14:paraId="506441FF" w14:textId="1702CEAF" w:rsidR="00F02E2D" w:rsidRPr="00D24B3E" w:rsidRDefault="00000000">
      <w:r w:rsidRPr="00D24B3E">
        <w:t xml:space="preserve">Li, D., Liu, Y., Zhang, L., </w:t>
      </w:r>
      <w:r w:rsidR="009871AD" w:rsidRPr="00D24B3E">
        <w:t>&amp;</w:t>
      </w:r>
      <w:r w:rsidRPr="00D24B3E">
        <w:t xml:space="preserve"> Zheng, Z. (2025). Digital Economy Development and Trade Credit Supply: Evidence from Chinese A-Share Listed Firms. Research in International Business and Finance, 77, 102900. https://ideas.repec.org/a/eee/riibaf/v77y2025ipas0275531925001564.html</w:t>
      </w:r>
    </w:p>
    <w:p w14:paraId="3144BDBD" w14:textId="77777777" w:rsidR="00F02E2D" w:rsidRPr="00D24B3E" w:rsidRDefault="00F02E2D">
      <w:pPr>
        <w:ind w:left="720"/>
      </w:pPr>
    </w:p>
    <w:p w14:paraId="352FB6EE" w14:textId="77777777" w:rsidR="00F02E2D" w:rsidRPr="00D24B3E" w:rsidRDefault="00000000">
      <w:pPr>
        <w:ind w:left="720"/>
      </w:pPr>
      <w:r w:rsidRPr="00D24B3E">
        <w:rPr>
          <w:rFonts w:eastAsia="Times-Roman"/>
        </w:rPr>
        <w:t>Examines digital economy development influences trade credit supply among Chinese firms, highlighting the role of digitalization in enhancing financial access and operational efficiency.</w:t>
      </w:r>
    </w:p>
    <w:p w14:paraId="028995F1" w14:textId="775E922D" w:rsidR="00F02E2D" w:rsidRPr="00D24B3E" w:rsidRDefault="00000000">
      <w:pPr>
        <w:ind w:left="720"/>
      </w:pPr>
      <w:r w:rsidRPr="00D24B3E">
        <w:rPr>
          <w:rFonts w:eastAsia="Times-Roman"/>
        </w:rPr>
        <w:t xml:space="preserve">It supports </w:t>
      </w:r>
      <w:r w:rsidR="009871AD" w:rsidRPr="00D24B3E">
        <w:rPr>
          <w:rFonts w:eastAsia="Times-Roman"/>
        </w:rPr>
        <w:t xml:space="preserve">the </w:t>
      </w:r>
      <w:r w:rsidRPr="00D24B3E">
        <w:rPr>
          <w:rFonts w:eastAsia="Times-Roman"/>
        </w:rPr>
        <w:t xml:space="preserve">thesis by illustrating </w:t>
      </w:r>
      <w:r w:rsidR="009871AD" w:rsidRPr="00D24B3E">
        <w:rPr>
          <w:rFonts w:eastAsia="Times-Roman"/>
        </w:rPr>
        <w:t xml:space="preserve">the impact of digital infrastructure on </w:t>
      </w:r>
      <w:r w:rsidRPr="00D24B3E">
        <w:rPr>
          <w:rFonts w:eastAsia="Times-Roman"/>
        </w:rPr>
        <w:t>trade-related financial flows, especially in the Chinese market context.</w:t>
      </w:r>
    </w:p>
    <w:p w14:paraId="7349EAFB" w14:textId="77777777" w:rsidR="00F02E2D" w:rsidRPr="00D24B3E" w:rsidRDefault="00F02E2D">
      <w:pPr>
        <w:ind w:left="720"/>
      </w:pPr>
    </w:p>
    <w:p w14:paraId="75C8945F" w14:textId="173E53EB" w:rsidR="00F02E2D" w:rsidRPr="00D24B3E" w:rsidRDefault="00000000">
      <w:r w:rsidRPr="00D24B3E">
        <w:t>Li, H., Lin, X., and Zhang, Z. (2025). How does digital finance affect imports, exports, and trade balance?</w:t>
      </w:r>
      <w:r w:rsidR="008D286A">
        <w:t xml:space="preserve"> </w:t>
      </w:r>
      <w:r w:rsidRPr="00D24B3E">
        <w:t>Evidence from China. International Review of Economics and Finance, 99, 104054. https://doi.org/10.1016/j.iref.2025.104054</w:t>
      </w:r>
    </w:p>
    <w:p w14:paraId="2AF0F494" w14:textId="77777777" w:rsidR="00F02E2D" w:rsidRPr="00D24B3E" w:rsidRDefault="00F02E2D">
      <w:pPr>
        <w:ind w:left="720"/>
      </w:pPr>
    </w:p>
    <w:p w14:paraId="78E3932D" w14:textId="77777777" w:rsidR="00F02E2D" w:rsidRPr="00D24B3E" w:rsidRDefault="00000000">
      <w:pPr>
        <w:ind w:left="720"/>
      </w:pPr>
      <w:r w:rsidRPr="00D24B3E">
        <w:t>Analyzes how digital finance alters trade flows in China’s macroeconomic context</w:t>
      </w:r>
    </w:p>
    <w:p w14:paraId="4D921524" w14:textId="77777777" w:rsidR="00F02E2D" w:rsidRPr="00D24B3E" w:rsidRDefault="00000000">
      <w:pPr>
        <w:ind w:left="720"/>
      </w:pPr>
      <w:r w:rsidRPr="00D24B3E">
        <w:t>Contributes macro-level evidence that digital finance drives cross-border trade activity.</w:t>
      </w:r>
    </w:p>
    <w:p w14:paraId="7841E037" w14:textId="77777777" w:rsidR="00F02E2D" w:rsidRPr="00D24B3E" w:rsidRDefault="00F02E2D"/>
    <w:p w14:paraId="12438B87" w14:textId="630D52C8" w:rsidR="00F02E2D" w:rsidRPr="00D24B3E" w:rsidRDefault="00000000">
      <w:r w:rsidRPr="00D24B3E">
        <w:t xml:space="preserve">Lin, </w:t>
      </w:r>
      <w:r w:rsidR="00333704">
        <w:t>S.-H</w:t>
      </w:r>
      <w:r w:rsidRPr="00D24B3E">
        <w:t>. (2022). Discussion on Banking Efficiency and Determinants in the Digital Finance Environment - Evidence in Taiwan. Ebsco.com. https://research.ebsco.com/c/vdch4v/viewer/pdf/gbahkxygcj</w:t>
      </w:r>
    </w:p>
    <w:p w14:paraId="444C82F3" w14:textId="77777777" w:rsidR="00F02E2D" w:rsidRPr="00D24B3E" w:rsidRDefault="00F02E2D">
      <w:pPr>
        <w:ind w:left="720"/>
      </w:pPr>
    </w:p>
    <w:p w14:paraId="46487400" w14:textId="363552DF" w:rsidR="00F02E2D" w:rsidRPr="00D24B3E" w:rsidRDefault="00000000">
      <w:pPr>
        <w:ind w:left="720"/>
      </w:pPr>
      <w:r w:rsidRPr="00D24B3E">
        <w:t xml:space="preserve">Investigates how digital finance affects banking, focusing on structural determinants </w:t>
      </w:r>
      <w:r w:rsidR="009871AD" w:rsidRPr="00D24B3E">
        <w:t>influencing</w:t>
      </w:r>
      <w:r w:rsidRPr="00D24B3E">
        <w:t xml:space="preserve"> performance in a digitized environment.</w:t>
      </w:r>
    </w:p>
    <w:p w14:paraId="64970807" w14:textId="77777777" w:rsidR="00F02E2D" w:rsidRPr="00D24B3E" w:rsidRDefault="00000000">
      <w:pPr>
        <w:ind w:left="720"/>
      </w:pPr>
      <w:r w:rsidRPr="00D24B3E">
        <w:rPr>
          <w:rFonts w:eastAsia="Times-Roman"/>
        </w:rPr>
        <w:t>Provides empirical evidence from Taiwan on how digital finance affects banking efficiency, offering regional insights relevant to evaluating digital trade platform performance in North Asia</w:t>
      </w:r>
    </w:p>
    <w:p w14:paraId="111BE131" w14:textId="77777777" w:rsidR="00F02E2D" w:rsidRPr="00D24B3E" w:rsidRDefault="00F02E2D"/>
    <w:p w14:paraId="759AD6CF" w14:textId="53C85197" w:rsidR="00F02E2D" w:rsidRPr="00D24B3E" w:rsidRDefault="00000000">
      <w:r w:rsidRPr="00D24B3E">
        <w:t xml:space="preserve">Liu, D., Chen, S., </w:t>
      </w:r>
      <w:r w:rsidR="009871AD" w:rsidRPr="00D24B3E">
        <w:t>&amp;</w:t>
      </w:r>
      <w:r w:rsidRPr="00D24B3E">
        <w:t xml:space="preserve"> Chou, T. (2011). Resource fit in digital transformation: Lessons from the CBC Bank global e‐banking project. Management Decision, 49(10), 1728–1742. https://www.researchgate.net/publication/254187496_Resource_fit_in_digital_transformation_Lessons_learned_from_the_CBC_Bank_global_e-banking_project</w:t>
      </w:r>
    </w:p>
    <w:p w14:paraId="502FC460" w14:textId="77777777" w:rsidR="00F02E2D" w:rsidRPr="00D24B3E" w:rsidRDefault="00F02E2D">
      <w:pPr>
        <w:ind w:left="720"/>
      </w:pPr>
    </w:p>
    <w:p w14:paraId="538D7668" w14:textId="77777777" w:rsidR="00F02E2D" w:rsidRPr="00D24B3E" w:rsidRDefault="00000000">
      <w:pPr>
        <w:ind w:left="720"/>
      </w:pPr>
      <w:r w:rsidRPr="00D24B3E">
        <w:lastRenderedPageBreak/>
        <w:t>Analyzes digital banking transformation and aligning internal resources during digitization.</w:t>
      </w:r>
    </w:p>
    <w:p w14:paraId="75046452" w14:textId="7EB25FDB" w:rsidR="00F02E2D" w:rsidRPr="00D24B3E" w:rsidRDefault="00000000">
      <w:pPr>
        <w:ind w:left="720"/>
      </w:pPr>
      <w:r w:rsidRPr="00D24B3E">
        <w:t xml:space="preserve">Relevant to capability alignment </w:t>
      </w:r>
      <w:r w:rsidR="009871AD" w:rsidRPr="00D24B3E">
        <w:t>remains</w:t>
      </w:r>
      <w:r w:rsidRPr="00D24B3E">
        <w:t xml:space="preserve"> foundational, emphasizing strategic planning in digital initiatives for fee-based growth in trade services.</w:t>
      </w:r>
    </w:p>
    <w:p w14:paraId="4489973F" w14:textId="77777777" w:rsidR="00F02E2D" w:rsidRPr="00D24B3E" w:rsidRDefault="00F02E2D"/>
    <w:p w14:paraId="6D7C36A8" w14:textId="77777777" w:rsidR="00F02E2D" w:rsidRPr="00D24B3E" w:rsidRDefault="00000000">
      <w:r w:rsidRPr="00D24B3E">
        <w:t xml:space="preserve">Marini </w:t>
      </w:r>
      <w:proofErr w:type="spellStart"/>
      <w:r w:rsidRPr="00D24B3E">
        <w:t>Astari</w:t>
      </w:r>
      <w:proofErr w:type="spellEnd"/>
      <w:r w:rsidRPr="00D24B3E">
        <w:t xml:space="preserve"> </w:t>
      </w:r>
      <w:proofErr w:type="spellStart"/>
      <w:r w:rsidRPr="00D24B3E">
        <w:t>Indrianti</w:t>
      </w:r>
      <w:proofErr w:type="spellEnd"/>
      <w:r w:rsidRPr="00D24B3E">
        <w:t xml:space="preserve">, </w:t>
      </w:r>
      <w:proofErr w:type="spellStart"/>
      <w:r w:rsidRPr="00D24B3E">
        <w:t>Asep</w:t>
      </w:r>
      <w:proofErr w:type="spellEnd"/>
      <w:r w:rsidRPr="00D24B3E">
        <w:t xml:space="preserve"> Nurdin, and </w:t>
      </w:r>
      <w:proofErr w:type="spellStart"/>
      <w:r w:rsidRPr="00D24B3E">
        <w:t>Mirwan</w:t>
      </w:r>
      <w:proofErr w:type="spellEnd"/>
      <w:r w:rsidRPr="00D24B3E">
        <w:t xml:space="preserve"> Surya </w:t>
      </w:r>
      <w:proofErr w:type="spellStart"/>
      <w:r w:rsidRPr="00D24B3E">
        <w:t>Perdhana</w:t>
      </w:r>
      <w:proofErr w:type="spellEnd"/>
      <w:r w:rsidRPr="00D24B3E">
        <w:t>. (2025). Digital Trade Finance Transformation and Sustainable Marketing Strategies: A Literature Review. Economic and Business Horizon, 4(2), 137–146. https://journal.lifescifi.com/index.php/ebh/article/view/621</w:t>
      </w:r>
    </w:p>
    <w:p w14:paraId="5149C504" w14:textId="77777777" w:rsidR="00F02E2D" w:rsidRPr="00D24B3E" w:rsidRDefault="00F02E2D">
      <w:pPr>
        <w:ind w:left="720"/>
      </w:pPr>
    </w:p>
    <w:p w14:paraId="1617F935" w14:textId="77777777" w:rsidR="00F02E2D" w:rsidRPr="00D24B3E" w:rsidRDefault="00000000">
      <w:pPr>
        <w:ind w:left="720"/>
      </w:pPr>
      <w:r w:rsidRPr="00D24B3E">
        <w:t>Highlights key transformations in digital trade finance and its intersection with sustainable marketing strategies.</w:t>
      </w:r>
    </w:p>
    <w:p w14:paraId="30C0160F" w14:textId="26D4AB1A" w:rsidR="00F02E2D" w:rsidRPr="00D24B3E" w:rsidRDefault="00000000">
      <w:pPr>
        <w:ind w:left="720"/>
      </w:pPr>
      <w:r w:rsidRPr="00D24B3E">
        <w:t xml:space="preserve">Directly aligned with the research purpose, </w:t>
      </w:r>
      <w:r w:rsidR="009871AD" w:rsidRPr="00D24B3E">
        <w:t xml:space="preserve">a </w:t>
      </w:r>
      <w:r w:rsidRPr="00D24B3E">
        <w:t>synthesized foundation for digital trade solutions may drive revenue growth in corporate banking.</w:t>
      </w:r>
    </w:p>
    <w:p w14:paraId="541B12F1" w14:textId="77777777" w:rsidR="00F02E2D" w:rsidRPr="00D24B3E" w:rsidRDefault="00F02E2D"/>
    <w:p w14:paraId="2DB28B0F" w14:textId="40A5770B" w:rsidR="00F02E2D" w:rsidRPr="00D24B3E" w:rsidRDefault="00000000">
      <w:r w:rsidRPr="00D24B3E">
        <w:t xml:space="preserve">Mishra, N., </w:t>
      </w:r>
      <w:r w:rsidR="009871AD" w:rsidRPr="00D24B3E">
        <w:t>&amp;</w:t>
      </w:r>
      <w:r w:rsidRPr="00D24B3E">
        <w:t xml:space="preserve"> Maria, A. (2023). Digital services and digital trade in the Asia Pacific: an alternative model for digital integration? Asia Pacific Law Review, 31(2), 489–513. https://www.tandfonline.com/doi/full/10.1080/10192557.2023.2216058</w:t>
      </w:r>
    </w:p>
    <w:p w14:paraId="358D7A51" w14:textId="77777777" w:rsidR="00F02E2D" w:rsidRPr="00D24B3E" w:rsidRDefault="00F02E2D">
      <w:pPr>
        <w:ind w:left="720"/>
      </w:pPr>
    </w:p>
    <w:p w14:paraId="0F9A544A" w14:textId="0C98EDED" w:rsidR="00F02E2D" w:rsidRPr="00D24B3E" w:rsidRDefault="00000000">
      <w:pPr>
        <w:ind w:left="720"/>
      </w:pPr>
      <w:r w:rsidRPr="00D24B3E">
        <w:t xml:space="preserve">Proposes </w:t>
      </w:r>
      <w:r w:rsidR="009871AD" w:rsidRPr="00D24B3E">
        <w:t xml:space="preserve">a </w:t>
      </w:r>
      <w:r w:rsidRPr="00D24B3E">
        <w:t>legal and operational framework for digital trade integration in the Asia-Pacific region.</w:t>
      </w:r>
    </w:p>
    <w:p w14:paraId="2EA04CB6" w14:textId="6532FEB5" w:rsidR="00F02E2D" w:rsidRPr="00D24B3E" w:rsidRDefault="00000000">
      <w:pPr>
        <w:ind w:left="720"/>
      </w:pPr>
      <w:r w:rsidRPr="00D24B3E">
        <w:t xml:space="preserve">Relevant from a policy and infrastructure viewpoint, it supports </w:t>
      </w:r>
      <w:r w:rsidR="009871AD" w:rsidRPr="00D24B3E">
        <w:t>examining</w:t>
      </w:r>
      <w:r w:rsidRPr="00D24B3E">
        <w:t xml:space="preserve"> how legal structures influence digital trade adoption among </w:t>
      </w:r>
      <w:r w:rsidR="009871AD" w:rsidRPr="00D24B3E">
        <w:t>Asian banks</w:t>
      </w:r>
      <w:r w:rsidRPr="00D24B3E">
        <w:t>.</w:t>
      </w:r>
    </w:p>
    <w:p w14:paraId="56ABB3F0" w14:textId="77777777" w:rsidR="00F02E2D" w:rsidRPr="00D24B3E" w:rsidRDefault="00F02E2D"/>
    <w:p w14:paraId="1422E584" w14:textId="74195E17" w:rsidR="00F02E2D" w:rsidRPr="00D24B3E" w:rsidRDefault="00000000">
      <w:r w:rsidRPr="00D24B3E">
        <w:t xml:space="preserve">Mohammed Sawkat Hossain </w:t>
      </w:r>
      <w:r w:rsidR="009871AD" w:rsidRPr="00D24B3E">
        <w:t>&amp;</w:t>
      </w:r>
      <w:r w:rsidRPr="00D24B3E">
        <w:t xml:space="preserve"> Sultana, M. (2024). Digitalization of corporate finance and firm performance: global evidence and analysis. Journal of Financial Economic Policy. https://www.emerald.com/insight/content/doi/10.1108/jfep-04-2023-0109/full/html?skipTracking=true</w:t>
      </w:r>
    </w:p>
    <w:p w14:paraId="19CBBEF0" w14:textId="77777777" w:rsidR="00F02E2D" w:rsidRPr="00D24B3E" w:rsidRDefault="00F02E2D">
      <w:pPr>
        <w:ind w:left="720"/>
      </w:pPr>
    </w:p>
    <w:p w14:paraId="3868C9B1" w14:textId="05F16F6A" w:rsidR="00F02E2D" w:rsidRPr="00D24B3E" w:rsidRDefault="005319C2">
      <w:pPr>
        <w:ind w:left="720"/>
      </w:pPr>
      <w:r w:rsidRPr="00D24B3E">
        <w:t>Interrogate the effect of corporate digital finance tools on firm performance across various countries.</w:t>
      </w:r>
    </w:p>
    <w:p w14:paraId="270E503D" w14:textId="77777777" w:rsidR="00F02E2D" w:rsidRPr="00D24B3E" w:rsidRDefault="00000000">
      <w:pPr>
        <w:ind w:left="720"/>
      </w:pPr>
      <w:r w:rsidRPr="00D24B3E">
        <w:t>This evidence validates digital finance impacts performance, offering strong support for exploring this connection in trade fee income generation.</w:t>
      </w:r>
    </w:p>
    <w:p w14:paraId="6B28EBD4" w14:textId="77777777" w:rsidR="00F02E2D" w:rsidRPr="00D24B3E" w:rsidRDefault="00F02E2D"/>
    <w:p w14:paraId="1BEC22A6" w14:textId="77777777" w:rsidR="00F02E2D" w:rsidRPr="00D24B3E" w:rsidRDefault="00000000">
      <w:r w:rsidRPr="00D24B3E">
        <w:t xml:space="preserve">Mosa. (2025). Systematic Review of Blockchain Technology in Trade Finance and Banking Security. SSRN Electronic Journal. </w:t>
      </w:r>
      <w:hyperlink r:id="rId27" w:history="1">
        <w:r w:rsidR="00F02E2D" w:rsidRPr="00D24B3E">
          <w:rPr>
            <w:color w:val="000000"/>
            <w:u w:val="single" w:color="000000"/>
          </w:rPr>
          <w:t>https://papers.ssrn.com/sol3/papers.cfm?abstract_id=5161366</w:t>
        </w:r>
      </w:hyperlink>
    </w:p>
    <w:p w14:paraId="4CF9ECBB" w14:textId="77777777" w:rsidR="00F02E2D" w:rsidRPr="00D24B3E" w:rsidRDefault="00F02E2D"/>
    <w:p w14:paraId="2AFBA524" w14:textId="47162A19" w:rsidR="00F02E2D" w:rsidRPr="00D24B3E" w:rsidRDefault="00000000">
      <w:pPr>
        <w:ind w:left="720"/>
      </w:pPr>
      <w:r w:rsidRPr="00D24B3E">
        <w:t xml:space="preserve">Evaluates the role of blockchain in modernizing trade finance processes and enhancing </w:t>
      </w:r>
      <w:r w:rsidR="009871AD" w:rsidRPr="00D24B3E">
        <w:t>cybersecurity</w:t>
      </w:r>
      <w:r w:rsidRPr="00D24B3E">
        <w:t>.</w:t>
      </w:r>
    </w:p>
    <w:p w14:paraId="12FB1C70" w14:textId="77777777" w:rsidR="00F02E2D" w:rsidRPr="00D24B3E" w:rsidRDefault="00000000">
      <w:pPr>
        <w:ind w:left="720"/>
      </w:pPr>
      <w:r w:rsidRPr="00D24B3E">
        <w:t>Blockchain is a critical enabler in digital trade solutions, and this study provides robust insights for assessing innovative platforms influencing fee growth.</w:t>
      </w:r>
    </w:p>
    <w:p w14:paraId="467EBDAB" w14:textId="77777777" w:rsidR="00F02E2D" w:rsidRPr="00D24B3E" w:rsidRDefault="00F02E2D"/>
    <w:p w14:paraId="073F1FD1" w14:textId="2C2EA503" w:rsidR="00F02E2D" w:rsidRPr="00D24B3E" w:rsidRDefault="00000000">
      <w:r w:rsidRPr="00D24B3E">
        <w:t>Nguyen-</w:t>
      </w:r>
      <w:proofErr w:type="spellStart"/>
      <w:r w:rsidRPr="00D24B3E">
        <w:t>Thi</w:t>
      </w:r>
      <w:proofErr w:type="spellEnd"/>
      <w:r w:rsidRPr="00D24B3E">
        <w:t xml:space="preserve">-Huong, L., Nguyen-Viet, H., Nguyen-Phuong, A., </w:t>
      </w:r>
      <w:r w:rsidR="009871AD" w:rsidRPr="00D24B3E">
        <w:t>&amp;</w:t>
      </w:r>
      <w:r w:rsidRPr="00D24B3E">
        <w:t xml:space="preserve"> Nguyen, D. V. (2023). How does digital transformation impact bank performance? How Does Digital Transformation Impact Bank Performance?, 11(1). </w:t>
      </w:r>
      <w:r w:rsidRPr="00D24B3E">
        <w:lastRenderedPageBreak/>
        <w:t>https://www.researchgate.net/publication/371899748_How_does_digital_transformation_impact_bank_performance</w:t>
      </w:r>
    </w:p>
    <w:p w14:paraId="1BB44E79" w14:textId="77777777" w:rsidR="00F02E2D" w:rsidRPr="00D24B3E" w:rsidRDefault="00F02E2D">
      <w:pPr>
        <w:ind w:left="720"/>
      </w:pPr>
    </w:p>
    <w:p w14:paraId="6F333E9D" w14:textId="77777777" w:rsidR="00F02E2D" w:rsidRPr="00D24B3E" w:rsidRDefault="00000000">
      <w:pPr>
        <w:ind w:left="720"/>
      </w:pPr>
      <w:r w:rsidRPr="00D24B3E">
        <w:t>Focus on fee income as an outcome of using digital tools to support income diversification.</w:t>
      </w:r>
    </w:p>
    <w:p w14:paraId="1BF5F1E4" w14:textId="77777777" w:rsidR="00F02E2D" w:rsidRPr="00D24B3E" w:rsidRDefault="00000000">
      <w:pPr>
        <w:ind w:left="720"/>
      </w:pPr>
      <w:r w:rsidRPr="00D24B3E">
        <w:rPr>
          <w:rFonts w:eastAsia="Times-Roman"/>
        </w:rPr>
        <w:t>Relate by linking digital trade adoption to performance outcomes in corporate banking.</w:t>
      </w:r>
    </w:p>
    <w:p w14:paraId="454D7E09" w14:textId="77777777" w:rsidR="00F02E2D" w:rsidRPr="00D24B3E" w:rsidRDefault="00F02E2D"/>
    <w:p w14:paraId="48E900AD" w14:textId="17B6F53F" w:rsidR="00F02E2D" w:rsidRPr="00D24B3E" w:rsidRDefault="00000000">
      <w:r w:rsidRPr="00D24B3E">
        <w:t xml:space="preserve">Oh, </w:t>
      </w:r>
      <w:r w:rsidR="00333704">
        <w:t>K.-Y.</w:t>
      </w:r>
      <w:r w:rsidRPr="00D24B3E">
        <w:t xml:space="preserve">, Cruickshank, D., </w:t>
      </w:r>
      <w:r w:rsidR="009871AD" w:rsidRPr="00D24B3E">
        <w:t>&amp;</w:t>
      </w:r>
      <w:r w:rsidRPr="00D24B3E">
        <w:t xml:space="preserve"> Anderson, A. R. (2009). The adoption of e-trade innovations by Korean small and medium-sized firms. </w:t>
      </w:r>
      <w:proofErr w:type="spellStart"/>
      <w:r w:rsidRPr="00D24B3E">
        <w:t>Technovation</w:t>
      </w:r>
      <w:proofErr w:type="spellEnd"/>
      <w:r w:rsidRPr="00D24B3E">
        <w:t>, 29(2), 110–121. https://rgu-repository.worktribe.com/output/247833/the-adoption-of-e-trade-innovations-by-korean-small-and-medium-sized-firms</w:t>
      </w:r>
    </w:p>
    <w:p w14:paraId="2DCBCBC9" w14:textId="77777777" w:rsidR="00F02E2D" w:rsidRPr="00D24B3E" w:rsidRDefault="00F02E2D">
      <w:pPr>
        <w:ind w:left="720"/>
      </w:pPr>
    </w:p>
    <w:p w14:paraId="7E5596D0" w14:textId="77777777" w:rsidR="00F02E2D" w:rsidRPr="00D24B3E" w:rsidRDefault="00000000">
      <w:pPr>
        <w:ind w:left="720"/>
      </w:pPr>
      <w:r w:rsidRPr="00D24B3E">
        <w:t>Explores e-trade technologies among SMEs in Korea and perceived benefits.</w:t>
      </w:r>
    </w:p>
    <w:p w14:paraId="34879DA1" w14:textId="77777777" w:rsidR="00F02E2D" w:rsidRPr="00D24B3E" w:rsidRDefault="00000000">
      <w:pPr>
        <w:ind w:left="720"/>
      </w:pPr>
      <w:r w:rsidRPr="00D24B3E">
        <w:rPr>
          <w:rFonts w:eastAsia="Times-Roman"/>
        </w:rPr>
        <w:t>This article supports the thesis by highlighting early adoption patterns of digital trade tools, offering foundational insights into how banks evolve services in response to digital transformation.</w:t>
      </w:r>
    </w:p>
    <w:p w14:paraId="51B6EAE6" w14:textId="77777777" w:rsidR="00F02E2D" w:rsidRPr="00D24B3E" w:rsidRDefault="00F02E2D"/>
    <w:p w14:paraId="715E6958" w14:textId="0870673B" w:rsidR="00F02E2D" w:rsidRPr="00D24B3E" w:rsidRDefault="00000000">
      <w:r w:rsidRPr="00D24B3E">
        <w:t xml:space="preserve">Ong, </w:t>
      </w:r>
      <w:r w:rsidR="00333704">
        <w:t>H.-B.</w:t>
      </w:r>
      <w:r w:rsidRPr="00D24B3E">
        <w:t xml:space="preserve">, </w:t>
      </w:r>
      <w:proofErr w:type="spellStart"/>
      <w:r w:rsidRPr="00D24B3E">
        <w:t>Wasiuzzaman</w:t>
      </w:r>
      <w:proofErr w:type="spellEnd"/>
      <w:r w:rsidRPr="00D24B3E">
        <w:t xml:space="preserve">, S., Chong, </w:t>
      </w:r>
      <w:r w:rsidR="00333704">
        <w:t>L.-L.</w:t>
      </w:r>
      <w:r w:rsidRPr="00D24B3E">
        <w:t xml:space="preserve">, </w:t>
      </w:r>
      <w:r w:rsidR="009871AD" w:rsidRPr="00D24B3E">
        <w:t>&amp;</w:t>
      </w:r>
      <w:r w:rsidRPr="00D24B3E">
        <w:t xml:space="preserve"> Choon, S.-W. (2023). </w:t>
      </w:r>
      <w:proofErr w:type="spellStart"/>
      <w:r w:rsidRPr="00D24B3E">
        <w:t>Digitalisation</w:t>
      </w:r>
      <w:proofErr w:type="spellEnd"/>
      <w:r w:rsidRPr="00D24B3E">
        <w:t xml:space="preserve"> and financial inclusion of </w:t>
      </w:r>
      <w:r w:rsidR="009871AD" w:rsidRPr="00D24B3E">
        <w:t>lower-middle-income</w:t>
      </w:r>
      <w:r w:rsidRPr="00D24B3E">
        <w:t xml:space="preserve"> ASEAN. </w:t>
      </w:r>
      <w:proofErr w:type="spellStart"/>
      <w:r w:rsidRPr="00D24B3E">
        <w:t>Heliyon</w:t>
      </w:r>
      <w:proofErr w:type="spellEnd"/>
      <w:r w:rsidRPr="00D24B3E">
        <w:t>, 9(2), e13347. https://www.sciencedirect.com/science/article/pii/S2405844023005546</w:t>
      </w:r>
    </w:p>
    <w:p w14:paraId="4DFC5578" w14:textId="77777777" w:rsidR="00F02E2D" w:rsidRPr="00D24B3E" w:rsidRDefault="00F02E2D">
      <w:pPr>
        <w:ind w:left="720"/>
      </w:pPr>
    </w:p>
    <w:p w14:paraId="6467CA36" w14:textId="77777777" w:rsidR="00F02E2D" w:rsidRPr="00D24B3E" w:rsidRDefault="00000000">
      <w:pPr>
        <w:ind w:left="720"/>
      </w:pPr>
      <w:r w:rsidRPr="00D24B3E">
        <w:t>Investigating digitalization in ASEAN economies promotes financial inclusion by improving access to banking services and reducing operational constraints.</w:t>
      </w:r>
    </w:p>
    <w:p w14:paraId="7CC56FDA" w14:textId="77777777" w:rsidR="00F02E2D" w:rsidRPr="00D24B3E" w:rsidRDefault="00000000">
      <w:pPr>
        <w:ind w:left="720"/>
      </w:pPr>
      <w:r w:rsidRPr="00D24B3E">
        <w:t>This supports the thesis by digital platforms broadening client engagement and enabling fee-based income growth.</w:t>
      </w:r>
    </w:p>
    <w:p w14:paraId="3D60F029" w14:textId="77777777" w:rsidR="00F02E2D" w:rsidRPr="00D24B3E" w:rsidRDefault="00F02E2D"/>
    <w:p w14:paraId="4AEA395F" w14:textId="7346BEC0" w:rsidR="00F02E2D" w:rsidRPr="00D24B3E" w:rsidRDefault="00000000">
      <w:r w:rsidRPr="00D24B3E">
        <w:t xml:space="preserve">Osei, L. K., Cherkasova, Y., </w:t>
      </w:r>
      <w:r w:rsidR="009871AD" w:rsidRPr="00D24B3E">
        <w:t>&amp;</w:t>
      </w:r>
      <w:r w:rsidRPr="00D24B3E">
        <w:t xml:space="preserve"> </w:t>
      </w:r>
      <w:proofErr w:type="spellStart"/>
      <w:r w:rsidRPr="00D24B3E">
        <w:t>Oware</w:t>
      </w:r>
      <w:proofErr w:type="spellEnd"/>
      <w:r w:rsidRPr="00D24B3E">
        <w:t>, K. M. (2023). Unlocking the Full Potential of Digital Transformation in banking: a Bibliometric Review and Emerging Trend. Future Business Journal, 9(1), 1–18. https://fbj.springeropen.com/articles/10.1186/s43093-023-00207-2</w:t>
      </w:r>
    </w:p>
    <w:p w14:paraId="16A7E19B" w14:textId="77777777" w:rsidR="00F02E2D" w:rsidRPr="00D24B3E" w:rsidRDefault="00F02E2D">
      <w:pPr>
        <w:ind w:left="720"/>
      </w:pPr>
    </w:p>
    <w:p w14:paraId="4186C6F5" w14:textId="77777777" w:rsidR="00F02E2D" w:rsidRPr="00D24B3E" w:rsidRDefault="00000000">
      <w:pPr>
        <w:ind w:left="720"/>
      </w:pPr>
      <w:r w:rsidRPr="00D24B3E">
        <w:t>Provide a digital platform, customer-centric innovation, and blockchain for change.</w:t>
      </w:r>
    </w:p>
    <w:p w14:paraId="6A8B8210" w14:textId="77777777" w:rsidR="00F02E2D" w:rsidRPr="00D24B3E" w:rsidRDefault="00000000">
      <w:pPr>
        <w:ind w:left="720"/>
      </w:pPr>
      <w:r w:rsidRPr="00D24B3E">
        <w:t>Directly supporting the study’s focus on monetization models and platform design.</w:t>
      </w:r>
    </w:p>
    <w:p w14:paraId="05099095" w14:textId="77777777" w:rsidR="00F02E2D" w:rsidRPr="00D24B3E" w:rsidRDefault="00F02E2D"/>
    <w:p w14:paraId="5AFC65C4" w14:textId="77777777" w:rsidR="00F02E2D" w:rsidRPr="00D24B3E" w:rsidRDefault="00000000">
      <w:proofErr w:type="spellStart"/>
      <w:r w:rsidRPr="00D24B3E">
        <w:t>Ozili</w:t>
      </w:r>
      <w:proofErr w:type="spellEnd"/>
      <w:r w:rsidRPr="00D24B3E">
        <w:t xml:space="preserve">, P. K. (2023). Digital finance research and developments around the world: a literature review. International Journal of Business Forecasting and Marketing Intelligence, 8(1), 35. </w:t>
      </w:r>
      <w:hyperlink r:id="rId28" w:history="1">
        <w:r w:rsidR="00F02E2D" w:rsidRPr="00D24B3E">
          <w:rPr>
            <w:color w:val="000000"/>
            <w:u w:val="single" w:color="000000"/>
          </w:rPr>
          <w:t>https://papers.ssrn.com/sol3/papers.cfm?abstract_id=4149109</w:t>
        </w:r>
      </w:hyperlink>
    </w:p>
    <w:p w14:paraId="1FD8EE8A" w14:textId="77777777" w:rsidR="00F02E2D" w:rsidRPr="00D24B3E" w:rsidRDefault="00F02E2D"/>
    <w:p w14:paraId="6043F1E8" w14:textId="77777777" w:rsidR="00F02E2D" w:rsidRPr="00D24B3E" w:rsidRDefault="00000000">
      <w:pPr>
        <w:ind w:left="720"/>
      </w:pPr>
      <w:r w:rsidRPr="00D24B3E">
        <w:t>Underscore gaps in evidence connecting digital transactions to consistent profitability fee models.</w:t>
      </w:r>
    </w:p>
    <w:p w14:paraId="29A43FF4" w14:textId="2E8806A4" w:rsidR="00F02E2D" w:rsidRPr="00D24B3E" w:rsidRDefault="00000000">
      <w:pPr>
        <w:ind w:left="720"/>
      </w:pPr>
      <w:r w:rsidRPr="00D24B3E">
        <w:t xml:space="preserve">Relevant to acknowledge </w:t>
      </w:r>
      <w:r w:rsidR="009871AD" w:rsidRPr="00D24B3E">
        <w:t xml:space="preserve">that </w:t>
      </w:r>
      <w:r w:rsidRPr="00D24B3E">
        <w:t>profitability impacts remain underexplored.</w:t>
      </w:r>
    </w:p>
    <w:p w14:paraId="1D3631FC" w14:textId="77777777" w:rsidR="00F02E2D" w:rsidRPr="00D24B3E" w:rsidRDefault="00F02E2D"/>
    <w:p w14:paraId="432848D1" w14:textId="77777777" w:rsidR="00F02E2D" w:rsidRPr="00D24B3E" w:rsidRDefault="00000000">
      <w:r w:rsidRPr="00D24B3E">
        <w:t>Porfírio, J., Felício, J. A., and Carrilho, T. (2024). Factors affecting digital transformation in banking. Journal of Business Research, 171, 114393–114393. https://ideas.repec.org/a/eee/jbrese/v171y2024ics014829632300752x.html</w:t>
      </w:r>
    </w:p>
    <w:p w14:paraId="7B7E6392" w14:textId="77777777" w:rsidR="00F02E2D" w:rsidRPr="00D24B3E" w:rsidRDefault="00F02E2D">
      <w:pPr>
        <w:ind w:left="720"/>
      </w:pPr>
    </w:p>
    <w:p w14:paraId="3ABEDC96" w14:textId="43B915D9" w:rsidR="00F02E2D" w:rsidRPr="00D24B3E" w:rsidRDefault="00000000">
      <w:pPr>
        <w:ind w:left="720"/>
      </w:pPr>
      <w:r w:rsidRPr="00D24B3E">
        <w:lastRenderedPageBreak/>
        <w:t xml:space="preserve">Identifies leadership commitment, </w:t>
      </w:r>
      <w:r w:rsidR="009871AD" w:rsidRPr="00D24B3E">
        <w:t>organizational</w:t>
      </w:r>
      <w:r w:rsidRPr="00D24B3E">
        <w:t xml:space="preserve"> agility, technology readiness, customer expectation, and regulatory conditions.</w:t>
      </w:r>
    </w:p>
    <w:p w14:paraId="47214CC5" w14:textId="3805543C" w:rsidR="00F02E2D" w:rsidRPr="00D24B3E" w:rsidRDefault="00000000">
      <w:pPr>
        <w:ind w:left="720"/>
      </w:pPr>
      <w:r w:rsidRPr="00D24B3E">
        <w:t xml:space="preserve">Relevant to bridging strategic </w:t>
      </w:r>
      <w:r w:rsidR="009871AD" w:rsidRPr="00D24B3E">
        <w:t>operations and environmental</w:t>
      </w:r>
      <w:r w:rsidRPr="00D24B3E">
        <w:t xml:space="preserve"> considerations to bring income with digital.</w:t>
      </w:r>
    </w:p>
    <w:p w14:paraId="638AF915" w14:textId="77777777" w:rsidR="00F02E2D" w:rsidRPr="00D24B3E" w:rsidRDefault="00F02E2D">
      <w:pPr>
        <w:ind w:left="720"/>
      </w:pPr>
    </w:p>
    <w:p w14:paraId="65827A76" w14:textId="784BF15B" w:rsidR="00F02E2D" w:rsidRPr="00D24B3E" w:rsidRDefault="00000000">
      <w:proofErr w:type="spellStart"/>
      <w:r w:rsidRPr="00D24B3E">
        <w:t>Safeza</w:t>
      </w:r>
      <w:proofErr w:type="spellEnd"/>
      <w:r w:rsidRPr="00D24B3E">
        <w:t xml:space="preserve"> Mohd </w:t>
      </w:r>
      <w:proofErr w:type="spellStart"/>
      <w:r w:rsidRPr="00D24B3E">
        <w:t>Sapian</w:t>
      </w:r>
      <w:proofErr w:type="spellEnd"/>
      <w:r w:rsidRPr="00D24B3E">
        <w:t xml:space="preserve">, Nurudeen Abdulkadir, </w:t>
      </w:r>
      <w:r w:rsidR="009871AD" w:rsidRPr="00D24B3E">
        <w:t>&amp;</w:t>
      </w:r>
      <w:r w:rsidRPr="00D24B3E">
        <w:t xml:space="preserve"> </w:t>
      </w:r>
      <w:proofErr w:type="spellStart"/>
      <w:r w:rsidRPr="00D24B3E">
        <w:t>Norhazlina</w:t>
      </w:r>
      <w:proofErr w:type="spellEnd"/>
      <w:r w:rsidRPr="00D24B3E">
        <w:t xml:space="preserve"> Ibrahim. (2021). Trade Finance in </w:t>
      </w:r>
      <w:r w:rsidR="009871AD" w:rsidRPr="00D24B3E">
        <w:t xml:space="preserve">the </w:t>
      </w:r>
      <w:r w:rsidRPr="00D24B3E">
        <w:t xml:space="preserve">Digital Era: Can FinTech Harness the Current Risks and Challenges? The Journal of </w:t>
      </w:r>
      <w:proofErr w:type="spellStart"/>
      <w:r w:rsidRPr="00D24B3E">
        <w:t>Muamalat</w:t>
      </w:r>
      <w:proofErr w:type="spellEnd"/>
      <w:r w:rsidRPr="00D24B3E">
        <w:t xml:space="preserve"> and Islamic Finance Research, 78–89. https://www.researchgate.net/publication/352079832_Trade_Finance_in_Digital_Era_Can_FinTech_Harness_the_Current_Risks_and_Challenges</w:t>
      </w:r>
    </w:p>
    <w:p w14:paraId="59A0E6EB" w14:textId="77777777" w:rsidR="00F02E2D" w:rsidRPr="00D24B3E" w:rsidRDefault="00F02E2D">
      <w:pPr>
        <w:ind w:left="720"/>
      </w:pPr>
    </w:p>
    <w:p w14:paraId="0CC7AE59" w14:textId="770AC92D" w:rsidR="00F02E2D" w:rsidRPr="00D24B3E" w:rsidRDefault="00000000">
      <w:pPr>
        <w:ind w:left="720"/>
      </w:pPr>
      <w:r w:rsidRPr="00D24B3E">
        <w:t xml:space="preserve">Discuss FinTech impacts </w:t>
      </w:r>
      <w:r w:rsidR="009871AD" w:rsidRPr="00D24B3E">
        <w:t xml:space="preserve">on </w:t>
      </w:r>
      <w:r w:rsidRPr="00D24B3E">
        <w:t>trade finance by balancing innovation with emerging risks.</w:t>
      </w:r>
    </w:p>
    <w:p w14:paraId="6378522A" w14:textId="74130DE6" w:rsidR="00F02E2D" w:rsidRPr="00D24B3E" w:rsidRDefault="009871AD">
      <w:pPr>
        <w:ind w:left="720"/>
      </w:pPr>
      <w:r w:rsidRPr="00D24B3E">
        <w:t>It is highly relevant and examines the ecosystem challenges of digital trade tools, contributing nuance for risk-profitability analysis in fee income models.</w:t>
      </w:r>
    </w:p>
    <w:p w14:paraId="19F4FA30" w14:textId="77777777" w:rsidR="00F02E2D" w:rsidRPr="00D24B3E" w:rsidRDefault="00F02E2D"/>
    <w:p w14:paraId="662ED09D" w14:textId="77777777" w:rsidR="00F02E2D" w:rsidRPr="00D24B3E" w:rsidRDefault="00000000">
      <w:proofErr w:type="spellStart"/>
      <w:r w:rsidRPr="00D24B3E">
        <w:t>Starnawska</w:t>
      </w:r>
      <w:proofErr w:type="spellEnd"/>
      <w:r w:rsidRPr="00D24B3E">
        <w:t>, S. E. (2020). Sustainability in the Banking Industry Through Technological Transformation. The Palgrave Handbook of Corporate Sustainability in the Digital Era, 429–453. https://ideas.repec.org/h/spr/sprchp/978-3-030-42412-1_22.html</w:t>
      </w:r>
    </w:p>
    <w:p w14:paraId="2D05F453" w14:textId="77777777" w:rsidR="00F02E2D" w:rsidRPr="00D24B3E" w:rsidRDefault="00F02E2D">
      <w:pPr>
        <w:ind w:left="720"/>
      </w:pPr>
    </w:p>
    <w:p w14:paraId="587ACD19" w14:textId="5F506B64" w:rsidR="00F02E2D" w:rsidRPr="00D24B3E" w:rsidRDefault="00000000">
      <w:pPr>
        <w:ind w:left="720"/>
      </w:pPr>
      <w:r w:rsidRPr="00D24B3E">
        <w:t xml:space="preserve">This chapter explores </w:t>
      </w:r>
      <w:r w:rsidR="009871AD" w:rsidRPr="00D24B3E">
        <w:t xml:space="preserve">how </w:t>
      </w:r>
      <w:r w:rsidRPr="00D24B3E">
        <w:t>technological innovation drives sustainability in banking, emphasizing risk management, customer trust, and ESG goals through digital infrastructure.</w:t>
      </w:r>
    </w:p>
    <w:p w14:paraId="7A1B13B7" w14:textId="137A8BC3" w:rsidR="00F02E2D" w:rsidRPr="00D24B3E" w:rsidRDefault="00000000">
      <w:pPr>
        <w:ind w:left="720"/>
      </w:pPr>
      <w:r w:rsidRPr="00D24B3E">
        <w:t xml:space="preserve">Highly relevant to the digital transformation topic, especially </w:t>
      </w:r>
      <w:r w:rsidR="009871AD" w:rsidRPr="00D24B3E">
        <w:t xml:space="preserve">as </w:t>
      </w:r>
      <w:r w:rsidRPr="00D24B3E">
        <w:t>technology contributes to long-term financial sustainability within banks.</w:t>
      </w:r>
    </w:p>
    <w:p w14:paraId="7BD0594D" w14:textId="77777777" w:rsidR="00F02E2D" w:rsidRPr="00D24B3E" w:rsidRDefault="00F02E2D"/>
    <w:p w14:paraId="02FEC88D" w14:textId="2023AB97" w:rsidR="00F02E2D" w:rsidRPr="00D24B3E" w:rsidRDefault="00000000">
      <w:r w:rsidRPr="00D24B3E">
        <w:t xml:space="preserve">Sultana, A., </w:t>
      </w:r>
      <w:r w:rsidR="009871AD" w:rsidRPr="00D24B3E">
        <w:t>&amp;</w:t>
      </w:r>
      <w:r w:rsidRPr="00D24B3E">
        <w:t xml:space="preserve"> Alam, S. (2024). Adaptation of Blockchain Technology into the Letter of Credit (LC) Arrangement: An Overview of the Sustainable Business Practice in Asia. Green Management: A New Paradigm in the World of Business, 303–337. https://www.emerald.com/insight/content/doi/10.1108/978-1-83797-442-920241017/full/html?skipTracking=true</w:t>
      </w:r>
    </w:p>
    <w:p w14:paraId="03607A28" w14:textId="77777777" w:rsidR="00F02E2D" w:rsidRPr="00D24B3E" w:rsidRDefault="00F02E2D">
      <w:pPr>
        <w:ind w:left="720"/>
      </w:pPr>
    </w:p>
    <w:p w14:paraId="273AF51A" w14:textId="62DA89B7" w:rsidR="00F02E2D" w:rsidRPr="00D24B3E" w:rsidRDefault="00000000">
      <w:pPr>
        <w:ind w:left="720"/>
      </w:pPr>
      <w:r w:rsidRPr="00D24B3E">
        <w:t xml:space="preserve">This examines how blockchain is </w:t>
      </w:r>
      <w:r w:rsidR="009871AD" w:rsidRPr="00D24B3E">
        <w:t xml:space="preserve">adopted in LC processes, focusing on </w:t>
      </w:r>
      <w:r w:rsidRPr="00D24B3E">
        <w:t>sustainable business applications within Asian banking systems.</w:t>
      </w:r>
    </w:p>
    <w:p w14:paraId="1BD9A323" w14:textId="24CBAD31" w:rsidR="00F02E2D" w:rsidRPr="00D24B3E" w:rsidRDefault="00000000">
      <w:pPr>
        <w:ind w:left="720"/>
      </w:pPr>
      <w:r w:rsidRPr="00D24B3E">
        <w:t xml:space="preserve">Support cluster 4 by illustrating </w:t>
      </w:r>
      <w:r w:rsidR="009871AD" w:rsidRPr="00D24B3E">
        <w:t xml:space="preserve">a </w:t>
      </w:r>
      <w:r w:rsidRPr="00D24B3E">
        <w:t>blockchain-based LC streamline process and bringing more income.</w:t>
      </w:r>
    </w:p>
    <w:p w14:paraId="0754267F" w14:textId="77777777" w:rsidR="00F02E2D" w:rsidRPr="00D24B3E" w:rsidRDefault="00F02E2D"/>
    <w:p w14:paraId="42559321" w14:textId="10018157" w:rsidR="00F02E2D" w:rsidRPr="00D24B3E" w:rsidRDefault="00000000">
      <w:r w:rsidRPr="00D24B3E">
        <w:t xml:space="preserve">Tanveer, U., Hoang, T. G., </w:t>
      </w:r>
      <w:r w:rsidR="009871AD" w:rsidRPr="00D24B3E">
        <w:t>&amp;</w:t>
      </w:r>
      <w:r w:rsidRPr="00D24B3E">
        <w:t xml:space="preserve"> Ishaq, S. (2025). Reshaping Global Trade Finance and Supply Chains Through Digital Supply Chain Finance Platforms. Journal of Business Logistics, 46(3). https://onlinelibrary.wiley.com/doi/10.1111/jbl.70022</w:t>
      </w:r>
    </w:p>
    <w:p w14:paraId="67FA2D48" w14:textId="77777777" w:rsidR="00F02E2D" w:rsidRPr="00D24B3E" w:rsidRDefault="00000000">
      <w:pPr>
        <w:ind w:left="720"/>
      </w:pPr>
      <w:r w:rsidRPr="00D24B3E">
        <w:t>Explores digital platforms in supply chain finance to improve liquidity, transparency, and efficiency in trade finance ecosystems.</w:t>
      </w:r>
    </w:p>
    <w:p w14:paraId="03A80A43" w14:textId="0CB3C129" w:rsidR="00F02E2D" w:rsidRPr="00D24B3E" w:rsidRDefault="00000000">
      <w:pPr>
        <w:ind w:left="720"/>
      </w:pPr>
      <w:r w:rsidRPr="00D24B3E">
        <w:t>Relevant in providing platform performance and monetization strategies in digital trade ecosystems</w:t>
      </w:r>
      <w:r w:rsidR="009871AD" w:rsidRPr="00D24B3E">
        <w:t xml:space="preserve">, matching the </w:t>
      </w:r>
      <w:r w:rsidRPr="00D24B3E">
        <w:t>focus on income generation.</w:t>
      </w:r>
    </w:p>
    <w:p w14:paraId="609E5D6B" w14:textId="77777777" w:rsidR="00F02E2D" w:rsidRPr="00D24B3E" w:rsidRDefault="00F02E2D">
      <w:pPr>
        <w:ind w:left="720"/>
      </w:pPr>
    </w:p>
    <w:p w14:paraId="3672AABD" w14:textId="507EAA2E" w:rsidR="00F02E2D" w:rsidRPr="00D24B3E" w:rsidRDefault="00000000">
      <w:proofErr w:type="spellStart"/>
      <w:r w:rsidRPr="00D24B3E">
        <w:lastRenderedPageBreak/>
        <w:t>Tarawneh</w:t>
      </w:r>
      <w:proofErr w:type="spellEnd"/>
      <w:r w:rsidRPr="00D24B3E">
        <w:t xml:space="preserve">, A., Abdul-Rahman, A., Mohd, I., </w:t>
      </w:r>
      <w:r w:rsidR="009871AD" w:rsidRPr="00D24B3E">
        <w:t>&amp;</w:t>
      </w:r>
      <w:r w:rsidRPr="00D24B3E">
        <w:t xml:space="preserve"> Ghazali, M. F. (2024). A Systematic Review of Fintech and Banking Profitability. International Journal of Financial Studies, 12(1), 3–3. https://www.mdpi.com/2227-7072/12/1/3</w:t>
      </w:r>
    </w:p>
    <w:p w14:paraId="680CD878" w14:textId="77777777" w:rsidR="00F02E2D" w:rsidRPr="00D24B3E" w:rsidRDefault="00F02E2D">
      <w:pPr>
        <w:ind w:left="720"/>
      </w:pPr>
    </w:p>
    <w:p w14:paraId="4FD95C31" w14:textId="77777777" w:rsidR="00F02E2D" w:rsidRPr="00D24B3E" w:rsidRDefault="00000000">
      <w:pPr>
        <w:ind w:left="720"/>
      </w:pPr>
      <w:r w:rsidRPr="00D24B3E">
        <w:t>Provides a systematic review of how fintech innovations influence bank profitability, highlighting key drivers such as digital platforms, automation, and client engagement tools.</w:t>
      </w:r>
    </w:p>
    <w:p w14:paraId="60B2B384" w14:textId="23CE7399" w:rsidR="00F02E2D" w:rsidRPr="00D24B3E" w:rsidRDefault="00000000">
      <w:pPr>
        <w:ind w:left="720"/>
      </w:pPr>
      <w:r w:rsidRPr="00D24B3E">
        <w:t>Supports the research by offering foundational insights into how digital transformation</w:t>
      </w:r>
      <w:r w:rsidR="009871AD" w:rsidRPr="00D24B3E">
        <w:t xml:space="preserve"> can impact revenue generation, particularly in service delivery</w:t>
      </w:r>
      <w:r w:rsidRPr="00D24B3E">
        <w:t>.</w:t>
      </w:r>
    </w:p>
    <w:p w14:paraId="429DC87D" w14:textId="77777777" w:rsidR="00F02E2D" w:rsidRPr="00D24B3E" w:rsidRDefault="00F02E2D"/>
    <w:p w14:paraId="3A212EB7" w14:textId="77777777" w:rsidR="00F02E2D" w:rsidRPr="00D24B3E" w:rsidRDefault="00000000">
      <w:r w:rsidRPr="00D24B3E">
        <w:t>Tarik Kellaf. (2024). Blockchain in trade finance: The Good, the Bad and the Verdict. Modern Finance, 2(2), 136–160. https://mf-journal.com/article/view/206</w:t>
      </w:r>
    </w:p>
    <w:p w14:paraId="2609EB03" w14:textId="77777777" w:rsidR="00F02E2D" w:rsidRPr="00D24B3E" w:rsidRDefault="00F02E2D">
      <w:pPr>
        <w:ind w:left="720"/>
      </w:pPr>
    </w:p>
    <w:p w14:paraId="6589A555" w14:textId="77777777" w:rsidR="00F02E2D" w:rsidRPr="00D24B3E" w:rsidRDefault="00000000">
      <w:pPr>
        <w:ind w:left="720"/>
      </w:pPr>
      <w:r w:rsidRPr="00D24B3E">
        <w:t>Provides a balanced evaluation of blockchain adoption in trade finance, covering benefits, such as fraud reduction and efficiency gains, and challenges, including legal uncertainty, interoperability, and high integration costs.</w:t>
      </w:r>
    </w:p>
    <w:p w14:paraId="6C98A683" w14:textId="01F33AD2" w:rsidR="00F02E2D" w:rsidRPr="00D24B3E" w:rsidRDefault="00000000">
      <w:pPr>
        <w:ind w:left="720"/>
      </w:pPr>
      <w:r w:rsidRPr="00D24B3E">
        <w:rPr>
          <w:rFonts w:eastAsia="Times-Roman"/>
        </w:rPr>
        <w:t>This article reinforces Cluster 4 by showing how blockchain shapes platform design, client trust, and monetization strategies, highlighting revenue potential and structural challenges.</w:t>
      </w:r>
    </w:p>
    <w:p w14:paraId="3738DA5D" w14:textId="77777777" w:rsidR="00F02E2D" w:rsidRPr="00D24B3E" w:rsidRDefault="00F02E2D">
      <w:pPr>
        <w:ind w:left="720"/>
      </w:pPr>
    </w:p>
    <w:p w14:paraId="1B1DF57C" w14:textId="2888A425" w:rsidR="00F02E2D" w:rsidRPr="00D24B3E" w:rsidRDefault="00000000">
      <w:r w:rsidRPr="00D24B3E">
        <w:t xml:space="preserve">Tariq, W., Chen, Y., Tariq, A., </w:t>
      </w:r>
      <w:r w:rsidR="009871AD" w:rsidRPr="00D24B3E">
        <w:t>&amp;</w:t>
      </w:r>
      <w:r w:rsidRPr="00D24B3E">
        <w:t xml:space="preserve"> Muhammad Saleem Sumbal. (2025). Transforming financial sustainability: the serial mediation of digitalization and financial inclusion through digital governance in banks. </w:t>
      </w:r>
      <w:proofErr w:type="spellStart"/>
      <w:r w:rsidRPr="00D24B3E">
        <w:t>Kybernetes</w:t>
      </w:r>
      <w:proofErr w:type="spellEnd"/>
      <w:r w:rsidRPr="00D24B3E">
        <w:t>. https://research.polyu.edu.hk/en/publications/transforming-financial-sustainability-the-serial-mediation-of-dig</w:t>
      </w:r>
    </w:p>
    <w:p w14:paraId="675F4566" w14:textId="77777777" w:rsidR="00F02E2D" w:rsidRPr="00D24B3E" w:rsidRDefault="00F02E2D">
      <w:pPr>
        <w:ind w:left="720"/>
      </w:pPr>
    </w:p>
    <w:p w14:paraId="4CF65277" w14:textId="37920556" w:rsidR="00F02E2D" w:rsidRPr="00D24B3E" w:rsidRDefault="00000000">
      <w:pPr>
        <w:ind w:left="720"/>
      </w:pPr>
      <w:r w:rsidRPr="00D24B3E">
        <w:t>Constructs a serial mediation model showing how digitalization and financial inclusion</w:t>
      </w:r>
      <w:r w:rsidR="009871AD" w:rsidRPr="00D24B3E">
        <w:t xml:space="preserve"> enhance financial sustainability in banks when enabled by digital governance</w:t>
      </w:r>
      <w:r w:rsidRPr="00D24B3E">
        <w:t>.</w:t>
      </w:r>
    </w:p>
    <w:p w14:paraId="20C6751A" w14:textId="6D8427AE" w:rsidR="00F02E2D" w:rsidRPr="00D24B3E" w:rsidRDefault="00000000">
      <w:pPr>
        <w:ind w:left="720"/>
      </w:pPr>
      <w:r w:rsidRPr="00D24B3E">
        <w:t xml:space="preserve">Directly supports </w:t>
      </w:r>
      <w:r w:rsidR="009871AD" w:rsidRPr="00D24B3E">
        <w:t>Clusters</w:t>
      </w:r>
      <w:r w:rsidRPr="00D24B3E">
        <w:t xml:space="preserve"> 1 and 2 by validating the need for strong institutional structures to support digital trade innovation.</w:t>
      </w:r>
    </w:p>
    <w:p w14:paraId="78872010" w14:textId="77777777" w:rsidR="00F02E2D" w:rsidRPr="00D24B3E" w:rsidRDefault="00F02E2D"/>
    <w:p w14:paraId="72E5F9CC" w14:textId="14F837E8" w:rsidR="00F02E2D" w:rsidRPr="00D24B3E" w:rsidRDefault="00000000">
      <w:r w:rsidRPr="00D24B3E">
        <w:t xml:space="preserve">Thieu, T., Ho, L., </w:t>
      </w:r>
      <w:r w:rsidR="009871AD" w:rsidRPr="00D24B3E">
        <w:t>&amp;</w:t>
      </w:r>
      <w:r w:rsidRPr="00D24B3E">
        <w:t xml:space="preserve"> Nguyen, D. T. (2023). Digitalization and bank profitability: evidence from an emerging country. International Journal of Bank Marketing, 41(7). https://www.emerald.com/insight/content/doi/10.1108/ijbm-03-2023-0156/full/html?skipTracking=true</w:t>
      </w:r>
    </w:p>
    <w:p w14:paraId="7BAD0E34" w14:textId="77777777" w:rsidR="00F02E2D" w:rsidRPr="00D24B3E" w:rsidRDefault="00F02E2D">
      <w:pPr>
        <w:ind w:left="720"/>
      </w:pPr>
    </w:p>
    <w:p w14:paraId="3906CDE9" w14:textId="780FA37D" w:rsidR="00F02E2D" w:rsidRPr="00D24B3E" w:rsidRDefault="009871AD">
      <w:pPr>
        <w:ind w:left="720"/>
      </w:pPr>
      <w:r w:rsidRPr="00D24B3E">
        <w:t>Investing in digital channels, customer service platforms, and process automation significantly improves bank profitability and competitiveness.</w:t>
      </w:r>
    </w:p>
    <w:p w14:paraId="55164892" w14:textId="455328C7" w:rsidR="00F02E2D" w:rsidRPr="00D24B3E" w:rsidRDefault="00000000">
      <w:pPr>
        <w:ind w:left="720"/>
      </w:pPr>
      <w:r w:rsidRPr="00D24B3E">
        <w:t>Useful for Cluster 3</w:t>
      </w:r>
      <w:r w:rsidR="009871AD" w:rsidRPr="00D24B3E">
        <w:t>,</w:t>
      </w:r>
      <w:r w:rsidRPr="00D24B3E">
        <w:t xml:space="preserve"> validating the business case for digitizing trade finance.</w:t>
      </w:r>
    </w:p>
    <w:p w14:paraId="52EAFC94" w14:textId="77777777" w:rsidR="00F02E2D" w:rsidRPr="00D24B3E" w:rsidRDefault="00F02E2D">
      <w:pPr>
        <w:ind w:left="720"/>
      </w:pPr>
    </w:p>
    <w:p w14:paraId="7619D97F" w14:textId="685F9006" w:rsidR="00560A7F" w:rsidRPr="00D24B3E" w:rsidRDefault="00560A7F">
      <w:pPr>
        <w:spacing w:line="240" w:lineRule="atLeast"/>
        <w:rPr>
          <w:color w:val="000000" w:themeColor="text1"/>
        </w:rPr>
      </w:pPr>
      <w:proofErr w:type="spellStart"/>
      <w:r w:rsidRPr="00D24B3E">
        <w:rPr>
          <w:color w:val="000000" w:themeColor="text1"/>
        </w:rPr>
        <w:t>Tornatzky</w:t>
      </w:r>
      <w:proofErr w:type="spellEnd"/>
      <w:r w:rsidRPr="00D24B3E">
        <w:rPr>
          <w:color w:val="000000" w:themeColor="text1"/>
        </w:rPr>
        <w:t>, L. G., &amp; Fleischer, M. (1990).</w:t>
      </w:r>
      <w:r w:rsidRPr="00D24B3E">
        <w:rPr>
          <w:rStyle w:val="apple-converted-space"/>
          <w:color w:val="000000" w:themeColor="text1"/>
        </w:rPr>
        <w:t> </w:t>
      </w:r>
      <w:r w:rsidRPr="00D24B3E">
        <w:rPr>
          <w:rStyle w:val="Emphasis"/>
          <w:color w:val="000000" w:themeColor="text1"/>
        </w:rPr>
        <w:t>The processes of technological innovation</w:t>
      </w:r>
      <w:r w:rsidRPr="00D24B3E">
        <w:rPr>
          <w:color w:val="000000" w:themeColor="text1"/>
        </w:rPr>
        <w:t>. Lexington Books.</w:t>
      </w:r>
      <w:r w:rsidR="005E301C" w:rsidRPr="00D24B3E">
        <w:rPr>
          <w:color w:val="000000" w:themeColor="text1"/>
        </w:rPr>
        <w:t xml:space="preserve"> </w:t>
      </w:r>
      <w:hyperlink r:id="rId29" w:history="1">
        <w:r w:rsidR="005E301C" w:rsidRPr="00D24B3E">
          <w:rPr>
            <w:rStyle w:val="Hyperlink"/>
            <w:color w:val="000000" w:themeColor="text1"/>
          </w:rPr>
          <w:t>https://www.researchgate.net/publication/291824703_Technological_Innovation_as_a_Process</w:t>
        </w:r>
      </w:hyperlink>
    </w:p>
    <w:p w14:paraId="2788A698" w14:textId="77777777" w:rsidR="005E301C" w:rsidRPr="00D24B3E" w:rsidRDefault="005E301C">
      <w:pPr>
        <w:spacing w:line="240" w:lineRule="atLeast"/>
        <w:rPr>
          <w:color w:val="000000" w:themeColor="text1"/>
        </w:rPr>
      </w:pPr>
    </w:p>
    <w:p w14:paraId="2A56C391" w14:textId="4359B5F0" w:rsidR="005E301C" w:rsidRPr="00D24B3E" w:rsidRDefault="005E301C" w:rsidP="005E301C">
      <w:pPr>
        <w:spacing w:line="240" w:lineRule="atLeast"/>
        <w:ind w:left="720"/>
        <w:rPr>
          <w:color w:val="000000" w:themeColor="text1"/>
        </w:rPr>
      </w:pPr>
      <w:r w:rsidRPr="00D24B3E">
        <w:rPr>
          <w:color w:val="000000" w:themeColor="text1"/>
        </w:rPr>
        <w:t>Explains that the adoption of technological innovation in firms is shaped by three key contextual influences: technological capabilities, organizational readiness, and the external environment.</w:t>
      </w:r>
    </w:p>
    <w:p w14:paraId="691C7484" w14:textId="7E8E77E7" w:rsidR="005E301C" w:rsidRPr="00D24B3E" w:rsidRDefault="00FA3B2D" w:rsidP="005E301C">
      <w:pPr>
        <w:spacing w:line="240" w:lineRule="atLeast"/>
        <w:ind w:left="720"/>
        <w:rPr>
          <w:color w:val="000000" w:themeColor="text1"/>
        </w:rPr>
      </w:pPr>
      <w:r w:rsidRPr="00D24B3E">
        <w:rPr>
          <w:color w:val="000000"/>
        </w:rPr>
        <w:lastRenderedPageBreak/>
        <w:t xml:space="preserve">Directly related to one of the integrated theories, TOE </w:t>
      </w:r>
      <w:r w:rsidR="00333704">
        <w:rPr>
          <w:color w:val="000000" w:themeColor="text1"/>
        </w:rPr>
        <w:t>provides</w:t>
      </w:r>
      <w:r w:rsidR="005E301C" w:rsidRPr="00D24B3E">
        <w:rPr>
          <w:color w:val="000000" w:themeColor="text1"/>
        </w:rPr>
        <w:t xml:space="preserve"> a structured lens to examine how North Asian banks’ internal resources, organizational strategies, and regulatory environments collectively influence the adoption and monetization of digital trade finance platforms.</w:t>
      </w:r>
    </w:p>
    <w:p w14:paraId="75C61E3F" w14:textId="77777777" w:rsidR="005E301C" w:rsidRPr="00D24B3E" w:rsidRDefault="005E301C">
      <w:pPr>
        <w:spacing w:line="240" w:lineRule="atLeast"/>
      </w:pPr>
    </w:p>
    <w:p w14:paraId="6599E023" w14:textId="32E17C54" w:rsidR="005E301C" w:rsidRPr="00D24B3E" w:rsidRDefault="005E301C">
      <w:pPr>
        <w:spacing w:line="240" w:lineRule="atLeast"/>
        <w:rPr>
          <w:color w:val="000000"/>
        </w:rPr>
      </w:pPr>
      <w:r w:rsidRPr="00D24B3E">
        <w:rPr>
          <w:color w:val="000000"/>
        </w:rPr>
        <w:t>Vargo, S. L., &amp; Lusch, R. F. (2004).</w:t>
      </w:r>
      <w:r w:rsidRPr="00D24B3E">
        <w:rPr>
          <w:rStyle w:val="apple-converted-space"/>
          <w:color w:val="000000"/>
        </w:rPr>
        <w:t> </w:t>
      </w:r>
      <w:r w:rsidRPr="00D24B3E">
        <w:rPr>
          <w:rStyle w:val="Emphasis"/>
          <w:color w:val="000000"/>
        </w:rPr>
        <w:t>Evolving to a new dominant logic for marketing</w:t>
      </w:r>
      <w:r w:rsidRPr="00D24B3E">
        <w:rPr>
          <w:color w:val="000000"/>
        </w:rPr>
        <w:t>. Journal of Marketing, 68(1), 1–17. https://www.taylorfrancis.com/chapters/edit/10.4324/9781315699035-2/evolving-new-dominant-logic-marketing-stephen-vargo-robert-lusch</w:t>
      </w:r>
    </w:p>
    <w:p w14:paraId="70DF92A2" w14:textId="77777777" w:rsidR="005E301C" w:rsidRPr="00D24B3E" w:rsidRDefault="005E301C">
      <w:pPr>
        <w:spacing w:line="240" w:lineRule="atLeast"/>
      </w:pPr>
    </w:p>
    <w:p w14:paraId="79194263" w14:textId="77777777" w:rsidR="005E301C" w:rsidRPr="00D24B3E" w:rsidRDefault="005E301C" w:rsidP="005E301C">
      <w:pPr>
        <w:autoSpaceDE w:val="0"/>
        <w:autoSpaceDN w:val="0"/>
        <w:adjustRightInd w:val="0"/>
        <w:ind w:left="720"/>
      </w:pPr>
      <w:r w:rsidRPr="00D24B3E">
        <w:t>Provide a paradigm shift in marketing theory that emphasizes value co-creation through service exchange, where goods are viewed as distribution mechanisms for service provision.</w:t>
      </w:r>
    </w:p>
    <w:p w14:paraId="5E2BCF7E" w14:textId="112268A6" w:rsidR="005E301C" w:rsidRPr="00D24B3E" w:rsidRDefault="00FA3B2D" w:rsidP="005E301C">
      <w:pPr>
        <w:autoSpaceDE w:val="0"/>
        <w:autoSpaceDN w:val="0"/>
        <w:adjustRightInd w:val="0"/>
        <w:ind w:left="720"/>
      </w:pPr>
      <w:r w:rsidRPr="00D24B3E">
        <w:rPr>
          <w:color w:val="000000"/>
        </w:rPr>
        <w:t xml:space="preserve">Directly related to one of the integrated theories, </w:t>
      </w:r>
      <w:r w:rsidR="005E301C" w:rsidRPr="00D24B3E">
        <w:t xml:space="preserve">SDL </w:t>
      </w:r>
      <w:r w:rsidR="00333704">
        <w:t>frames digital trade finance as a set of technological tools and</w:t>
      </w:r>
      <w:r w:rsidR="005E301C" w:rsidRPr="00D24B3E">
        <w:t xml:space="preserve"> a service ecosystem, where value and revenue emerge through collaborative interactions among banks, clients, </w:t>
      </w:r>
      <w:proofErr w:type="spellStart"/>
      <w:r w:rsidR="005E301C" w:rsidRPr="00D24B3E">
        <w:t>fintechs</w:t>
      </w:r>
      <w:proofErr w:type="spellEnd"/>
      <w:r w:rsidR="005E301C" w:rsidRPr="00D24B3E">
        <w:t>, and regulators.</w:t>
      </w:r>
    </w:p>
    <w:p w14:paraId="1BB9A05F" w14:textId="77777777" w:rsidR="005E301C" w:rsidRPr="00D24B3E" w:rsidRDefault="005E301C">
      <w:pPr>
        <w:spacing w:line="240" w:lineRule="atLeast"/>
      </w:pPr>
    </w:p>
    <w:p w14:paraId="1BE8970E" w14:textId="4C094C1C" w:rsidR="00F02E2D" w:rsidRPr="00D24B3E" w:rsidRDefault="00000000">
      <w:pPr>
        <w:spacing w:line="240" w:lineRule="atLeast"/>
      </w:pPr>
      <w:r w:rsidRPr="00D24B3E">
        <w:t>Wolska, A. (2025). New Cooperation Models Between Banks and Fintech: A Path Toward Digital Transformation in the Emerging Financial Ecosystem. </w:t>
      </w:r>
      <w:r w:rsidRPr="00D24B3E">
        <w:rPr>
          <w:i/>
          <w:iCs/>
        </w:rPr>
        <w:t>Financial Innovation and Technology</w:t>
      </w:r>
      <w:r w:rsidRPr="00D24B3E">
        <w:t>, 391–407. https://link.springer.com/chapter/10.1007/978-3-031-83402-8_17</w:t>
      </w:r>
    </w:p>
    <w:p w14:paraId="44F7AD08" w14:textId="77777777" w:rsidR="00F02E2D" w:rsidRPr="00D24B3E" w:rsidRDefault="00F02E2D"/>
    <w:p w14:paraId="6CB5E78B" w14:textId="02768FB4" w:rsidR="00F02E2D" w:rsidRPr="00D24B3E" w:rsidRDefault="00000000">
      <w:pPr>
        <w:ind w:left="720"/>
      </w:pPr>
      <w:r w:rsidRPr="00D24B3E">
        <w:t xml:space="preserve">Recognize the expanded role of banks, positioning them as an ecosystem </w:t>
      </w:r>
      <w:r w:rsidR="009871AD" w:rsidRPr="00D24B3E">
        <w:t>that includes</w:t>
      </w:r>
      <w:r w:rsidRPr="00D24B3E">
        <w:t xml:space="preserve"> </w:t>
      </w:r>
      <w:proofErr w:type="spellStart"/>
      <w:r w:rsidRPr="00D24B3E">
        <w:t>fintechs</w:t>
      </w:r>
      <w:proofErr w:type="spellEnd"/>
      <w:r w:rsidRPr="00D24B3E">
        <w:t xml:space="preserve"> and regulators.</w:t>
      </w:r>
    </w:p>
    <w:p w14:paraId="19809EF5" w14:textId="0408167B" w:rsidR="00F02E2D" w:rsidRPr="00D24B3E" w:rsidRDefault="00000000">
      <w:pPr>
        <w:ind w:left="720"/>
      </w:pPr>
      <w:r w:rsidRPr="00D24B3E">
        <w:t xml:space="preserve">Support the docus on digital </w:t>
      </w:r>
      <w:r w:rsidR="009871AD" w:rsidRPr="00D24B3E">
        <w:t>platforms</w:t>
      </w:r>
      <w:r w:rsidRPr="00D24B3E">
        <w:t xml:space="preserve"> that </w:t>
      </w:r>
      <w:r w:rsidR="009871AD" w:rsidRPr="00D24B3E">
        <w:t xml:space="preserve">the </w:t>
      </w:r>
      <w:r w:rsidRPr="00D24B3E">
        <w:t>future path depends on technology</w:t>
      </w:r>
      <w:r w:rsidR="009871AD" w:rsidRPr="00D24B3E">
        <w:t>,</w:t>
      </w:r>
      <w:r w:rsidRPr="00D24B3E">
        <w:t xml:space="preserve"> governance, collaboration, and regulatory imperatives.</w:t>
      </w:r>
    </w:p>
    <w:p w14:paraId="765EE036" w14:textId="77777777" w:rsidR="00F02E2D" w:rsidRPr="00D24B3E" w:rsidRDefault="00F02E2D"/>
    <w:p w14:paraId="30CC7533" w14:textId="77777777" w:rsidR="00F02E2D" w:rsidRPr="00D24B3E" w:rsidRDefault="00000000">
      <w:r w:rsidRPr="00D24B3E">
        <w:t>Wu, C., Liu, T., and Yang, X. (2023). Assessing the Impact of Digital Finance on the Total Factor Productivity of Commercial Banks: An Empirical Analysis of China. Mathematics, 11(3), 665. https://www.mdpi.com/2227-7390/11/3/665</w:t>
      </w:r>
    </w:p>
    <w:p w14:paraId="2EB8E97D" w14:textId="77777777" w:rsidR="00F02E2D" w:rsidRPr="00D24B3E" w:rsidRDefault="00F02E2D">
      <w:pPr>
        <w:ind w:left="720"/>
      </w:pPr>
    </w:p>
    <w:p w14:paraId="06E23096" w14:textId="1E084854" w:rsidR="00F02E2D" w:rsidRPr="00D24B3E" w:rsidRDefault="00000000">
      <w:pPr>
        <w:ind w:left="720"/>
      </w:pPr>
      <w:r w:rsidRPr="00D24B3E">
        <w:t xml:space="preserve">Digital innovations, especially AI, mobile platforms, and big data, </w:t>
      </w:r>
      <w:r w:rsidR="009871AD" w:rsidRPr="00D24B3E">
        <w:t xml:space="preserve">positively impact </w:t>
      </w:r>
      <w:r w:rsidRPr="00D24B3E">
        <w:t>bank productivity by enhancing operational efficiency and scalability.</w:t>
      </w:r>
    </w:p>
    <w:p w14:paraId="2E6EAB9B" w14:textId="71B872AE" w:rsidR="00F02E2D" w:rsidRPr="00D24B3E" w:rsidRDefault="009871AD">
      <w:pPr>
        <w:ind w:left="720"/>
      </w:pPr>
      <w:r w:rsidRPr="00D24B3E">
        <w:t>Valid for Cluster 3, explore how platform investments in digital trade finance are monetized.</w:t>
      </w:r>
    </w:p>
    <w:p w14:paraId="66BA2D3A" w14:textId="77777777" w:rsidR="00F02E2D" w:rsidRPr="00D24B3E" w:rsidRDefault="00F02E2D"/>
    <w:p w14:paraId="0F65F4B2" w14:textId="5563D309" w:rsidR="00F02E2D" w:rsidRPr="00D24B3E" w:rsidRDefault="00000000">
      <w:r w:rsidRPr="00D24B3E">
        <w:t xml:space="preserve">Xiao, Z., Li, Y., </w:t>
      </w:r>
      <w:r w:rsidR="009871AD" w:rsidRPr="00D24B3E">
        <w:t>&amp;</w:t>
      </w:r>
      <w:r w:rsidRPr="00D24B3E">
        <w:t xml:space="preserve"> Xiang, C. (2025). Do suppliers value customer firms’ digital transformation? Evidence from trade credit provision. International Review of Financial Analysis, 103976. https://papers.ssrn.com/sol3/papers.cfm?abstract_id=4807348</w:t>
      </w:r>
    </w:p>
    <w:p w14:paraId="55691659" w14:textId="77777777" w:rsidR="00F02E2D" w:rsidRPr="00D24B3E" w:rsidRDefault="00000000">
      <w:pPr>
        <w:ind w:left="720"/>
      </w:pPr>
      <w:r w:rsidRPr="00D24B3E">
        <w:t>This article examines suppliers' responses to the digital transformation of customer firms, focusing on trade credit decisions.</w:t>
      </w:r>
    </w:p>
    <w:p w14:paraId="3B8B2B53" w14:textId="77777777" w:rsidR="00F02E2D" w:rsidRPr="00D24B3E" w:rsidRDefault="00000000">
      <w:pPr>
        <w:ind w:left="720"/>
      </w:pPr>
      <w:r w:rsidRPr="00D24B3E">
        <w:rPr>
          <w:rFonts w:eastAsia="Times-Roman"/>
        </w:rPr>
        <w:t>This source is relevant as it examines how perceived digital capabilities shape financial relationships, offering insights into client digital adoption behavior and monetization dynamics.</w:t>
      </w:r>
    </w:p>
    <w:p w14:paraId="6509E492" w14:textId="77777777" w:rsidR="00F02E2D" w:rsidRPr="00D24B3E" w:rsidRDefault="00F02E2D">
      <w:pPr>
        <w:ind w:left="720"/>
      </w:pPr>
    </w:p>
    <w:p w14:paraId="47929193" w14:textId="50FC4612" w:rsidR="00F02E2D" w:rsidRPr="00D24B3E" w:rsidRDefault="00000000">
      <w:r w:rsidRPr="00D24B3E">
        <w:t xml:space="preserve">Yu, S., Zheng, X., </w:t>
      </w:r>
      <w:r w:rsidR="009871AD" w:rsidRPr="00D24B3E">
        <w:t>&amp;</w:t>
      </w:r>
      <w:r w:rsidRPr="00D24B3E">
        <w:t xml:space="preserve"> Liu, M. J. (2025). Board digital expertise and digital innovation: Evidence from commercial banks in China. Research in International Business and Finance, 76, 102854. https://ideas.repec.org/a/eee/riibaf/v76y2025ics0275531925001102.html</w:t>
      </w:r>
    </w:p>
    <w:p w14:paraId="5CE79AC1" w14:textId="77777777" w:rsidR="00F02E2D" w:rsidRPr="00D24B3E" w:rsidRDefault="00F02E2D"/>
    <w:p w14:paraId="3C28BC99" w14:textId="77777777" w:rsidR="00F02E2D" w:rsidRPr="00D24B3E" w:rsidRDefault="00000000">
      <w:pPr>
        <w:ind w:left="720"/>
      </w:pPr>
      <w:r w:rsidRPr="00D24B3E">
        <w:t>This research highlights the role of board digital expertise in fostering digital innovation within commercial banks. Results indicate a positive correlation between digitally skilled leadership and successful transformation projects.</w:t>
      </w:r>
    </w:p>
    <w:p w14:paraId="01D8154C" w14:textId="77777777" w:rsidR="00F02E2D" w:rsidRPr="00D24B3E" w:rsidRDefault="00000000">
      <w:pPr>
        <w:ind w:left="720"/>
      </w:pPr>
      <w:r w:rsidRPr="00D24B3E">
        <w:t>Directly supports Cluster 2, particularly the Resource-Based View (RBV), by emphasizing that human capital and governance capabilities are critical digital resources.</w:t>
      </w:r>
    </w:p>
    <w:p w14:paraId="59B5C4AC" w14:textId="77777777" w:rsidR="00F02E2D" w:rsidRPr="00D24B3E" w:rsidRDefault="00F02E2D">
      <w:pPr>
        <w:ind w:left="720"/>
      </w:pPr>
    </w:p>
    <w:p w14:paraId="2D46DFF1" w14:textId="77777777" w:rsidR="00F02E2D" w:rsidRPr="00D24B3E" w:rsidRDefault="00000000">
      <w:r w:rsidRPr="00D24B3E">
        <w:t>Zheng, M. (2025). Digital finance, e-commerce development, and regional trade development. Finance Research Letters, 81, 107532. https://www.researchgate.net/publication/391478142_Digital_Finance_E-commerce_Development_and_Regional_Trade_Development</w:t>
      </w:r>
    </w:p>
    <w:p w14:paraId="1309E8C9" w14:textId="77777777" w:rsidR="00F02E2D" w:rsidRPr="00D24B3E" w:rsidRDefault="00F02E2D">
      <w:pPr>
        <w:ind w:left="720"/>
      </w:pPr>
    </w:p>
    <w:p w14:paraId="7E341E63" w14:textId="77777777" w:rsidR="00F02E2D" w:rsidRPr="00D24B3E" w:rsidRDefault="00000000">
      <w:pPr>
        <w:ind w:left="720"/>
      </w:pPr>
      <w:r w:rsidRPr="00D24B3E">
        <w:t>Digital financial infrastructure significantly facilitates trade by improving access, reducing costs, and increasing efficiency in cross-border transactions.</w:t>
      </w:r>
    </w:p>
    <w:p w14:paraId="307EC516" w14:textId="77777777" w:rsidR="00F02E2D" w:rsidRPr="00D24B3E" w:rsidRDefault="00000000">
      <w:pPr>
        <w:ind w:left="720"/>
      </w:pPr>
      <w:r w:rsidRPr="00D24B3E">
        <w:t>Relevant to digital ecosystems and infrastructure investments, create the conditions for banks to scale digital trade services.</w:t>
      </w:r>
    </w:p>
    <w:p w14:paraId="0A5B9FE8" w14:textId="77777777" w:rsidR="00F02E2D" w:rsidRPr="00D24B3E" w:rsidRDefault="00F02E2D"/>
    <w:p w14:paraId="7812429F" w14:textId="2200DA6A" w:rsidR="00F02E2D" w:rsidRPr="00D24B3E" w:rsidRDefault="00000000">
      <w:r w:rsidRPr="00D24B3E">
        <w:t xml:space="preserve">Zhou, Z., </w:t>
      </w:r>
      <w:r w:rsidR="009871AD" w:rsidRPr="00D24B3E">
        <w:t>&amp;</w:t>
      </w:r>
      <w:r w:rsidRPr="00D24B3E">
        <w:t xml:space="preserve"> Li, Z. (2023). Corporate digital transformation and trade credit financing. Journal of Business Research, 160, 113793. https://www.sciencedirect.com/science/article/abs/pii/S0148296323001510</w:t>
      </w:r>
    </w:p>
    <w:p w14:paraId="6F92C891" w14:textId="77777777" w:rsidR="00F02E2D" w:rsidRPr="00D24B3E" w:rsidRDefault="00F02E2D"/>
    <w:p w14:paraId="6D2557C9" w14:textId="668C20DC" w:rsidR="00F02E2D" w:rsidRPr="00D24B3E" w:rsidRDefault="00000000">
      <w:pPr>
        <w:ind w:left="720"/>
      </w:pPr>
      <w:r w:rsidRPr="00D24B3E">
        <w:t xml:space="preserve">Digital maturity indicates how advanced a firm’s digital capabilities </w:t>
      </w:r>
      <w:r w:rsidR="009871AD" w:rsidRPr="00D24B3E">
        <w:t>are, such as using data analytics, automation, and digital platforms, enhancing its processes</w:t>
      </w:r>
      <w:r w:rsidRPr="00D24B3E">
        <w:t xml:space="preserve">. </w:t>
      </w:r>
    </w:p>
    <w:p w14:paraId="4CA5B6A0" w14:textId="13F636C9" w:rsidR="00F02E2D" w:rsidRPr="00D24B3E" w:rsidRDefault="00000000">
      <w:pPr>
        <w:ind w:left="720"/>
      </w:pPr>
      <w:r w:rsidRPr="00D24B3E">
        <w:t xml:space="preserve">Relevant by </w:t>
      </w:r>
      <w:r w:rsidR="00333704">
        <w:t>supporting</w:t>
      </w:r>
      <w:r w:rsidRPr="00D24B3E">
        <w:t xml:space="preserve"> Cluster 5 by showing how digital maturity enhances trade outcomes, creating fee-based service opportunities for banks across diverse markets.</w:t>
      </w:r>
    </w:p>
    <w:p w14:paraId="0C5BF4AA" w14:textId="77777777" w:rsidR="00F02E2D" w:rsidRPr="00D24B3E" w:rsidRDefault="00000000">
      <w:pPr>
        <w:sectPr w:rsidR="00F02E2D" w:rsidRPr="00D24B3E">
          <w:pgSz w:w="12240" w:h="15840"/>
          <w:pgMar w:top="1440" w:right="1440" w:bottom="1440" w:left="1440" w:header="708" w:footer="708" w:gutter="0"/>
          <w:cols w:space="708"/>
        </w:sectPr>
      </w:pPr>
      <w:r w:rsidRPr="00D24B3E">
        <w:rPr>
          <w:vanish/>
        </w:rPr>
        <w:t> </w:t>
      </w:r>
    </w:p>
    <w:p w14:paraId="3EC5DDBF" w14:textId="579FA618" w:rsidR="00F02E2D" w:rsidRPr="00D24B3E" w:rsidRDefault="00D24B3E" w:rsidP="00D24B3E">
      <w:pPr>
        <w:pStyle w:val="Heading1"/>
        <w:numPr>
          <w:ilvl w:val="0"/>
          <w:numId w:val="3"/>
        </w:numPr>
        <w:rPr>
          <w:sz w:val="24"/>
          <w:szCs w:val="24"/>
        </w:rPr>
      </w:pPr>
      <w:r w:rsidRPr="00D24B3E">
        <w:rPr>
          <w:sz w:val="24"/>
          <w:szCs w:val="24"/>
        </w:rPr>
        <w:lastRenderedPageBreak/>
        <w:t xml:space="preserve"> </w:t>
      </w:r>
      <w:bookmarkStart w:id="10" w:name="_Toc204471201"/>
      <w:r w:rsidRPr="00D24B3E">
        <w:rPr>
          <w:sz w:val="24"/>
          <w:szCs w:val="24"/>
        </w:rPr>
        <w:t>Appendix:</w:t>
      </w:r>
      <w:bookmarkEnd w:id="10"/>
    </w:p>
    <w:p w14:paraId="47D8C6DF" w14:textId="578C5721" w:rsidR="00F02E2D" w:rsidRPr="00D24B3E" w:rsidRDefault="00000000" w:rsidP="00D24B3E">
      <w:pPr>
        <w:pBdr>
          <w:left w:val="none" w:sz="0" w:space="22" w:color="auto"/>
        </w:pBdr>
        <w:spacing w:before="240" w:after="240"/>
      </w:pPr>
      <w:r w:rsidRPr="00D24B3E">
        <w:rPr>
          <w:b/>
          <w:bCs/>
        </w:rPr>
        <w:t>Research Questions</w:t>
      </w:r>
    </w:p>
    <w:p w14:paraId="625234B9" w14:textId="77777777" w:rsidR="00F02E2D" w:rsidRPr="00D24B3E" w:rsidRDefault="00000000" w:rsidP="00FE6CCB">
      <w:pPr>
        <w:numPr>
          <w:ilvl w:val="0"/>
          <w:numId w:val="6"/>
        </w:numPr>
        <w:pBdr>
          <w:left w:val="none" w:sz="0" w:space="4" w:color="auto"/>
        </w:pBdr>
        <w:spacing w:before="240" w:after="120"/>
        <w:ind w:left="1170" w:hanging="450"/>
      </w:pPr>
      <w:r w:rsidRPr="00D24B3E">
        <w:t>How are digital trade platforms architected to support fee-based service offerings?</w:t>
      </w:r>
    </w:p>
    <w:p w14:paraId="06BD83A3" w14:textId="77777777" w:rsidR="00F02E2D" w:rsidRPr="00D24B3E" w:rsidRDefault="00000000" w:rsidP="00FE6CCB">
      <w:pPr>
        <w:numPr>
          <w:ilvl w:val="0"/>
          <w:numId w:val="6"/>
        </w:numPr>
        <w:pBdr>
          <w:left w:val="none" w:sz="0" w:space="4" w:color="auto"/>
        </w:pBdr>
        <w:spacing w:after="120"/>
        <w:ind w:left="1170" w:hanging="450"/>
      </w:pPr>
      <w:r w:rsidRPr="00D24B3E">
        <w:t>What monetization models (e.g., tiered pricing, value-added services) are deployed in digital trade services?</w:t>
      </w:r>
    </w:p>
    <w:p w14:paraId="2F6FC34E" w14:textId="20AFC850" w:rsidR="00F02E2D" w:rsidRPr="00D24B3E" w:rsidRDefault="00000000" w:rsidP="00FE6CCB">
      <w:pPr>
        <w:numPr>
          <w:ilvl w:val="0"/>
          <w:numId w:val="6"/>
        </w:numPr>
        <w:pBdr>
          <w:left w:val="none" w:sz="0" w:space="4" w:color="auto"/>
        </w:pBdr>
        <w:spacing w:after="120"/>
        <w:ind w:left="1170" w:hanging="450"/>
      </w:pPr>
      <w:r w:rsidRPr="00D24B3E">
        <w:t xml:space="preserve">What factors drive or hinder </w:t>
      </w:r>
      <w:r w:rsidR="009871AD" w:rsidRPr="00D24B3E">
        <w:t>corporate banking client adoption of digital trade services</w:t>
      </w:r>
      <w:r w:rsidRPr="00D24B3E">
        <w:t>?</w:t>
      </w:r>
    </w:p>
    <w:p w14:paraId="6DA45EED" w14:textId="77777777" w:rsidR="00F02E2D" w:rsidRPr="00D24B3E" w:rsidRDefault="00000000" w:rsidP="00FE6CCB">
      <w:pPr>
        <w:numPr>
          <w:ilvl w:val="0"/>
          <w:numId w:val="6"/>
        </w:numPr>
        <w:pBdr>
          <w:left w:val="none" w:sz="0" w:space="4" w:color="auto"/>
        </w:pBdr>
        <w:spacing w:after="120"/>
        <w:ind w:left="1170" w:hanging="450"/>
      </w:pPr>
      <w:r w:rsidRPr="00D24B3E">
        <w:t>What internal capabilities (e.g., digital talent, leadership support) enable digital trade monetization?</w:t>
      </w:r>
    </w:p>
    <w:p w14:paraId="55DA90E6" w14:textId="77777777" w:rsidR="00F02E2D" w:rsidRPr="00D24B3E" w:rsidRDefault="00000000" w:rsidP="00FE6CCB">
      <w:pPr>
        <w:numPr>
          <w:ilvl w:val="0"/>
          <w:numId w:val="6"/>
        </w:numPr>
        <w:pBdr>
          <w:left w:val="none" w:sz="0" w:space="4" w:color="auto"/>
        </w:pBdr>
        <w:spacing w:after="120"/>
        <w:ind w:left="1170" w:hanging="450"/>
      </w:pPr>
      <w:r w:rsidRPr="00D24B3E">
        <w:t>How do organizational structures and culture affect platform innovation and revenue generation?</w:t>
      </w:r>
    </w:p>
    <w:p w14:paraId="3CF5A97D" w14:textId="77777777" w:rsidR="00F02E2D" w:rsidRPr="00D24B3E" w:rsidRDefault="00000000" w:rsidP="00FE6CCB">
      <w:pPr>
        <w:numPr>
          <w:ilvl w:val="0"/>
          <w:numId w:val="6"/>
        </w:numPr>
        <w:pBdr>
          <w:left w:val="none" w:sz="0" w:space="4" w:color="auto"/>
        </w:pBdr>
        <w:spacing w:after="120"/>
        <w:ind w:left="1170" w:hanging="450"/>
      </w:pPr>
      <w:r w:rsidRPr="00D24B3E">
        <w:t>How are strategic goals and KPIs for digital trade income aligned across departments?</w:t>
      </w:r>
    </w:p>
    <w:p w14:paraId="3773E366" w14:textId="77777777" w:rsidR="00F02E2D" w:rsidRPr="00D24B3E" w:rsidRDefault="00000000" w:rsidP="00FE6CCB">
      <w:pPr>
        <w:numPr>
          <w:ilvl w:val="0"/>
          <w:numId w:val="6"/>
        </w:numPr>
        <w:pBdr>
          <w:left w:val="none" w:sz="0" w:space="4" w:color="auto"/>
        </w:pBdr>
        <w:spacing w:after="120"/>
        <w:ind w:left="1170" w:hanging="450"/>
      </w:pPr>
      <w:r w:rsidRPr="00D24B3E">
        <w:t>How do banks track the financial performance of digital trade platforms?</w:t>
      </w:r>
    </w:p>
    <w:p w14:paraId="73E7825D" w14:textId="2EFF52EC" w:rsidR="00F02E2D" w:rsidRPr="00D24B3E" w:rsidRDefault="00000000" w:rsidP="00FE6CCB">
      <w:pPr>
        <w:numPr>
          <w:ilvl w:val="0"/>
          <w:numId w:val="6"/>
        </w:numPr>
        <w:pBdr>
          <w:left w:val="none" w:sz="0" w:space="4" w:color="auto"/>
        </w:pBdr>
        <w:spacing w:after="120"/>
        <w:ind w:left="1170" w:hanging="450"/>
      </w:pPr>
      <w:r w:rsidRPr="00D24B3E">
        <w:t xml:space="preserve">What internal metrics are used to </w:t>
      </w:r>
      <w:r w:rsidR="005319C2" w:rsidRPr="00D24B3E">
        <w:t>evaluate</w:t>
      </w:r>
      <w:r w:rsidRPr="00D24B3E">
        <w:t xml:space="preserve"> the profitability of specific digital trade services?</w:t>
      </w:r>
    </w:p>
    <w:p w14:paraId="13812079" w14:textId="1FE1CE67" w:rsidR="00F02E2D" w:rsidRPr="00D24B3E" w:rsidRDefault="00000000" w:rsidP="00FE6CCB">
      <w:pPr>
        <w:numPr>
          <w:ilvl w:val="0"/>
          <w:numId w:val="6"/>
        </w:numPr>
        <w:pBdr>
          <w:left w:val="none" w:sz="0" w:space="4" w:color="auto"/>
        </w:pBdr>
        <w:spacing w:after="120"/>
        <w:ind w:left="1170" w:hanging="450"/>
      </w:pPr>
      <w:r w:rsidRPr="00D24B3E">
        <w:t xml:space="preserve">How do institutions evaluate the impact of digital platforms on </w:t>
      </w:r>
      <w:r w:rsidR="00333704">
        <w:t>cross-selling</w:t>
      </w:r>
      <w:r w:rsidRPr="00D24B3E">
        <w:t xml:space="preserve"> or upsell</w:t>
      </w:r>
      <w:r w:rsidR="005319C2" w:rsidRPr="00D24B3E">
        <w:t>ing</w:t>
      </w:r>
      <w:r w:rsidRPr="00D24B3E">
        <w:t xml:space="preserve"> opportunities?</w:t>
      </w:r>
    </w:p>
    <w:p w14:paraId="5BC79101" w14:textId="77777777" w:rsidR="00F02E2D" w:rsidRPr="00D24B3E" w:rsidRDefault="00000000" w:rsidP="00FE6CCB">
      <w:pPr>
        <w:numPr>
          <w:ilvl w:val="0"/>
          <w:numId w:val="6"/>
        </w:numPr>
        <w:spacing w:after="120"/>
        <w:ind w:left="1170" w:hanging="450"/>
      </w:pPr>
      <w:r w:rsidRPr="00D24B3E">
        <w:t>How do banks incorporate regulatory compliance into the design of digital trade platforms?</w:t>
      </w:r>
    </w:p>
    <w:p w14:paraId="1212C568" w14:textId="77777777" w:rsidR="00F02E2D" w:rsidRPr="00D24B3E" w:rsidRDefault="00000000" w:rsidP="00FE6CCB">
      <w:pPr>
        <w:numPr>
          <w:ilvl w:val="0"/>
          <w:numId w:val="6"/>
        </w:numPr>
        <w:spacing w:after="120"/>
        <w:ind w:left="1170" w:hanging="450"/>
      </w:pPr>
      <w:r w:rsidRPr="00D24B3E">
        <w:t>What role do third-party partnerships (e.g., fintech firms) play in platform strategy</w:t>
      </w:r>
    </w:p>
    <w:p w14:paraId="752BEBCA" w14:textId="77777777" w:rsidR="00F02E2D" w:rsidRPr="00D24B3E" w:rsidRDefault="00000000" w:rsidP="00FE6CCB">
      <w:pPr>
        <w:numPr>
          <w:ilvl w:val="0"/>
          <w:numId w:val="6"/>
        </w:numPr>
        <w:spacing w:after="120"/>
        <w:ind w:left="1170" w:hanging="450"/>
      </w:pPr>
      <w:r w:rsidRPr="00D24B3E">
        <w:t>How do banks educate, onboard, and retain clients on digital trade platforms?</w:t>
      </w:r>
    </w:p>
    <w:p w14:paraId="31018963" w14:textId="77777777" w:rsidR="00F02E2D" w:rsidRPr="00D24B3E" w:rsidRDefault="00000000" w:rsidP="00FE6CCB">
      <w:pPr>
        <w:numPr>
          <w:ilvl w:val="0"/>
          <w:numId w:val="6"/>
        </w:numPr>
        <w:spacing w:after="120"/>
        <w:ind w:left="1170" w:hanging="450"/>
      </w:pPr>
      <w:r w:rsidRPr="00D24B3E">
        <w:t>What feedback mechanisms exist for capturing client experience and improving offerings?</w:t>
      </w:r>
    </w:p>
    <w:p w14:paraId="23006F1D" w14:textId="61E40581" w:rsidR="00F02E2D" w:rsidRPr="00D24B3E" w:rsidRDefault="00000000" w:rsidP="00FE6CCB">
      <w:pPr>
        <w:numPr>
          <w:ilvl w:val="0"/>
          <w:numId w:val="6"/>
        </w:numPr>
        <w:spacing w:after="120"/>
        <w:ind w:left="1170" w:hanging="450"/>
      </w:pPr>
      <w:r w:rsidRPr="00D24B3E">
        <w:t xml:space="preserve">How do </w:t>
      </w:r>
      <w:r w:rsidR="009871AD" w:rsidRPr="00D24B3E">
        <w:t xml:space="preserve">national regulations and digital trade policy differences </w:t>
      </w:r>
      <w:r w:rsidRPr="00D24B3E">
        <w:t>affect platform viability?</w:t>
      </w:r>
    </w:p>
    <w:p w14:paraId="62B35E56" w14:textId="77777777" w:rsidR="00F02E2D" w:rsidRPr="00D24B3E" w:rsidRDefault="00000000" w:rsidP="00FE6CCB">
      <w:pPr>
        <w:numPr>
          <w:ilvl w:val="0"/>
          <w:numId w:val="6"/>
        </w:numPr>
        <w:spacing w:after="120"/>
        <w:ind w:left="1170" w:hanging="450"/>
      </w:pPr>
      <w:r w:rsidRPr="00D24B3E">
        <w:t>How do market expectations around digital transparency, speed, and cost affect income potential?</w:t>
      </w:r>
    </w:p>
    <w:p w14:paraId="1636E8EE" w14:textId="77777777" w:rsidR="00F02E2D" w:rsidRPr="00D24B3E" w:rsidRDefault="00000000" w:rsidP="00FE6CCB">
      <w:pPr>
        <w:numPr>
          <w:ilvl w:val="0"/>
          <w:numId w:val="6"/>
        </w:numPr>
        <w:spacing w:after="240"/>
        <w:ind w:left="1170" w:hanging="450"/>
      </w:pPr>
      <w:r w:rsidRPr="00D24B3E">
        <w:t>How do strategies differ across North Asian markets, and what lessons can be transferred and applied in broader trade ecosystems and cross-border collaboration?</w:t>
      </w:r>
    </w:p>
    <w:p w14:paraId="41792931" w14:textId="2BAD7A73" w:rsidR="00FE6CCB" w:rsidRPr="00D74258" w:rsidRDefault="00FE6CCB" w:rsidP="00D74258">
      <w:pPr>
        <w:rPr>
          <w:b/>
          <w:bCs/>
        </w:rPr>
      </w:pPr>
    </w:p>
    <w:sectPr w:rsidR="00FE6CCB" w:rsidRPr="00D74258">
      <w:footerReference w:type="default" r:id="rId30"/>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F7DAD" w14:textId="77777777" w:rsidR="00B84074" w:rsidRDefault="00B84074">
      <w:r>
        <w:separator/>
      </w:r>
    </w:p>
  </w:endnote>
  <w:endnote w:type="continuationSeparator" w:id="0">
    <w:p w14:paraId="6B1EA922" w14:textId="77777777" w:rsidR="00B84074" w:rsidRDefault="00B84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imes-Roman">
    <w:altName w:val="Times New Roman"/>
    <w:panose1 w:val="020B0604020202020204"/>
    <w:charset w:val="00"/>
    <w:family w:val="roman"/>
    <w:pitch w:val="default"/>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w:panose1 w:val="020B0004020202020204"/>
    <w:charset w:val="00"/>
    <w:family w:val="swiss"/>
    <w:pitch w:val="variable"/>
    <w:sig w:usb0="20000287" w:usb1="00000003" w:usb2="00000000" w:usb3="00000000" w:csb0="0000019F" w:csb1="00000000"/>
  </w:font>
  <w:font w:name="Times-Bold">
    <w:altName w:val="Times New Roman"/>
    <w:panose1 w:val="020B0604020202020204"/>
    <w:charset w:val="00"/>
    <w:family w:val="roman"/>
    <w:pitch w:val="default"/>
    <w:sig w:usb0="00000003" w:usb1="00000000" w:usb2="0000000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14319"/>
      <w:docPartObj>
        <w:docPartGallery w:val="Page Numbers (Bottom of Page)"/>
        <w:docPartUnique/>
      </w:docPartObj>
    </w:sdtPr>
    <w:sdtContent>
      <w:p w14:paraId="61059FA2" w14:textId="6F78ABBD" w:rsidR="00CD3B4A" w:rsidRDefault="00CD3B4A" w:rsidP="000E1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03507257"/>
      <w:docPartObj>
        <w:docPartGallery w:val="Page Numbers (Bottom of Page)"/>
        <w:docPartUnique/>
      </w:docPartObj>
    </w:sdtPr>
    <w:sdtContent>
      <w:p w14:paraId="634D8490" w14:textId="440DA340" w:rsidR="00FE6CCB" w:rsidRDefault="00FE6CCB" w:rsidP="00CD3B4A">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02D90D" w14:textId="77777777" w:rsidR="00FE6CCB" w:rsidRDefault="00FE6C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3EC7D" w14:textId="1D223ABC" w:rsidR="00FE6CCB" w:rsidRPr="00A011E8" w:rsidRDefault="00FE6CCB" w:rsidP="00A011E8">
    <w:pPr>
      <w:pStyle w:val="Footer"/>
      <w:jc w:val="center"/>
      <w:rPr>
        <w:color w:val="000000" w:themeColor="text1"/>
      </w:rPr>
    </w:pPr>
    <w:r w:rsidRPr="00FE6CCB">
      <w:rPr>
        <w:color w:val="000000" w:themeColor="text1"/>
      </w:rPr>
      <w:t xml:space="preserve">Page </w:t>
    </w:r>
    <w:r w:rsidRPr="00FE6CCB">
      <w:rPr>
        <w:color w:val="000000" w:themeColor="text1"/>
      </w:rPr>
      <w:fldChar w:fldCharType="begin"/>
    </w:r>
    <w:r w:rsidRPr="00FE6CCB">
      <w:rPr>
        <w:color w:val="000000" w:themeColor="text1"/>
      </w:rPr>
      <w:instrText xml:space="preserve"> PAGE  \* Arabic  \* MERGEFORMAT </w:instrText>
    </w:r>
    <w:r w:rsidRPr="00FE6CCB">
      <w:rPr>
        <w:color w:val="000000" w:themeColor="text1"/>
      </w:rPr>
      <w:fldChar w:fldCharType="separate"/>
    </w:r>
    <w:r w:rsidRPr="00FE6CCB">
      <w:rPr>
        <w:noProof/>
        <w:color w:val="000000" w:themeColor="text1"/>
      </w:rPr>
      <w:t>2</w:t>
    </w:r>
    <w:r w:rsidRPr="00FE6CCB">
      <w:rPr>
        <w:color w:val="000000" w:themeColor="text1"/>
      </w:rPr>
      <w:fldChar w:fldCharType="end"/>
    </w:r>
    <w:r w:rsidRPr="00FE6CCB">
      <w:rPr>
        <w:color w:val="000000" w:themeColor="text1"/>
      </w:rPr>
      <w:t xml:space="preserve"> of </w:t>
    </w:r>
    <w:r w:rsidRPr="00FE6CCB">
      <w:rPr>
        <w:color w:val="000000" w:themeColor="text1"/>
      </w:rPr>
      <w:fldChar w:fldCharType="begin"/>
    </w:r>
    <w:r w:rsidRPr="00FE6CCB">
      <w:rPr>
        <w:color w:val="000000" w:themeColor="text1"/>
      </w:rPr>
      <w:instrText xml:space="preserve"> NUMPAGES  \* Arabic  \* MERGEFORMAT </w:instrText>
    </w:r>
    <w:r w:rsidRPr="00FE6CCB">
      <w:rPr>
        <w:color w:val="000000" w:themeColor="text1"/>
      </w:rPr>
      <w:fldChar w:fldCharType="separate"/>
    </w:r>
    <w:r w:rsidRPr="00FE6CCB">
      <w:rPr>
        <w:noProof/>
        <w:color w:val="000000" w:themeColor="text1"/>
      </w:rPr>
      <w:t>2</w:t>
    </w:r>
    <w:r w:rsidRPr="00FE6CCB">
      <w:rPr>
        <w:color w:val="000000" w:themeColor="text1"/>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2337411"/>
      <w:docPartObj>
        <w:docPartGallery w:val="Page Numbers (Bottom of Page)"/>
        <w:docPartUnique/>
      </w:docPartObj>
    </w:sdtPr>
    <w:sdtContent>
      <w:p w14:paraId="6B18716D" w14:textId="2C4F39F5" w:rsidR="00CD3B4A" w:rsidRDefault="00CD3B4A" w:rsidP="000E1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27</w:t>
        </w:r>
        <w:r>
          <w:rPr>
            <w:rStyle w:val="PageNumber"/>
          </w:rPr>
          <w:fldChar w:fldCharType="end"/>
        </w:r>
      </w:p>
    </w:sdtContent>
  </w:sdt>
  <w:p w14:paraId="5CC56372" w14:textId="77777777" w:rsidR="00F02E2D" w:rsidRDefault="00F02E2D" w:rsidP="00CD3B4A">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CEFC0" w14:textId="77777777" w:rsidR="00B84074" w:rsidRDefault="00B84074">
      <w:r>
        <w:separator/>
      </w:r>
    </w:p>
  </w:footnote>
  <w:footnote w:type="continuationSeparator" w:id="0">
    <w:p w14:paraId="6F9B2B62" w14:textId="77777777" w:rsidR="00B84074" w:rsidRDefault="00B84074">
      <w:r>
        <w:continuationSeparator/>
      </w:r>
    </w:p>
  </w:footnote>
  <w:footnote w:id="1">
    <w:p w14:paraId="2F60284B" w14:textId="4BCCDB0B" w:rsidR="00A011E8" w:rsidRPr="00A011E8" w:rsidRDefault="00A011E8" w:rsidP="00A011E8">
      <w:pPr>
        <w:pStyle w:val="Footer"/>
        <w:rPr>
          <w:color w:val="000000" w:themeColor="text1"/>
          <w:sz w:val="16"/>
          <w:szCs w:val="16"/>
        </w:rPr>
      </w:pPr>
      <w:r>
        <w:rPr>
          <w:rStyle w:val="FootnoteReference"/>
        </w:rPr>
        <w:footnoteRef/>
      </w:r>
      <w:r>
        <w:t xml:space="preserve"> </w:t>
      </w:r>
      <w:r w:rsidRPr="00560A7F">
        <w:rPr>
          <w:rFonts w:ascii="Times-Roman" w:hAnsi="Times-Roman" w:cs="Times-Roman"/>
          <w:i/>
          <w:iCs/>
          <w:sz w:val="16"/>
          <w:szCs w:val="16"/>
        </w:rPr>
        <w:t>Digital maturit</w:t>
      </w:r>
      <w:r w:rsidR="00560A7F">
        <w:rPr>
          <w:rFonts w:ascii="Times-Roman" w:hAnsi="Times-Roman" w:cs="Times-Roman"/>
          <w:i/>
          <w:iCs/>
          <w:sz w:val="16"/>
          <w:szCs w:val="16"/>
        </w:rPr>
        <w:t>y</w:t>
      </w:r>
      <w:r w:rsidR="00560A7F">
        <w:rPr>
          <w:rFonts w:ascii="Times-Roman" w:hAnsi="Times-Roman" w:cs="Times-Roman"/>
          <w:sz w:val="16"/>
          <w:szCs w:val="16"/>
        </w:rPr>
        <w:t xml:space="preserve"> </w:t>
      </w:r>
      <w:r w:rsidRPr="00A011E8">
        <w:rPr>
          <w:rFonts w:ascii="Times-Roman" w:hAnsi="Times-Roman" w:cs="Times-Roman"/>
          <w:sz w:val="16"/>
          <w:szCs w:val="16"/>
        </w:rPr>
        <w:t>defined as the extent to which digital technologies are embedded into a firm’s operations and strategy (Zhou &amp; Li, 2023), influences how banks approach platform monetization.</w:t>
      </w:r>
    </w:p>
    <w:p w14:paraId="12F1253D" w14:textId="16F6999E" w:rsidR="00A011E8" w:rsidRDefault="00A011E8">
      <w:pPr>
        <w:pStyle w:val="FootnoteText"/>
      </w:pPr>
    </w:p>
  </w:footnote>
  <w:footnote w:id="2">
    <w:p w14:paraId="510386C6" w14:textId="79061EF5" w:rsidR="00560A7F" w:rsidRDefault="00560A7F">
      <w:pPr>
        <w:pStyle w:val="FootnoteText"/>
      </w:pPr>
      <w:r>
        <w:rPr>
          <w:rStyle w:val="FootnoteReference"/>
        </w:rPr>
        <w:footnoteRef/>
      </w:r>
      <w:r>
        <w:t xml:space="preserve"> </w:t>
      </w:r>
      <w:r w:rsidRPr="00560A7F">
        <w:rPr>
          <w:i/>
          <w:iCs/>
          <w:color w:val="000000"/>
          <w:sz w:val="16"/>
          <w:szCs w:val="16"/>
        </w:rPr>
        <w:t>RBV</w:t>
      </w:r>
      <w:r w:rsidRPr="00560A7F">
        <w:rPr>
          <w:color w:val="000000"/>
          <w:sz w:val="16"/>
          <w:szCs w:val="16"/>
        </w:rPr>
        <w:t>: Resource-Based View</w:t>
      </w:r>
      <w:r w:rsidR="005E301C">
        <w:rPr>
          <w:color w:val="000000"/>
          <w:sz w:val="16"/>
          <w:szCs w:val="16"/>
        </w:rPr>
        <w:t xml:space="preserve"> (Barney, J.B., 1991)</w:t>
      </w:r>
      <w:r w:rsidRPr="00560A7F">
        <w:rPr>
          <w:color w:val="000000"/>
          <w:sz w:val="16"/>
          <w:szCs w:val="16"/>
        </w:rPr>
        <w:t xml:space="preserve">; </w:t>
      </w:r>
      <w:r w:rsidRPr="00560A7F">
        <w:rPr>
          <w:i/>
          <w:iCs/>
          <w:color w:val="000000"/>
          <w:sz w:val="16"/>
          <w:szCs w:val="16"/>
        </w:rPr>
        <w:t>TOE:</w:t>
      </w:r>
      <w:r w:rsidRPr="00560A7F">
        <w:rPr>
          <w:color w:val="000000"/>
          <w:sz w:val="16"/>
          <w:szCs w:val="16"/>
        </w:rPr>
        <w:t xml:space="preserve"> Technology</w:t>
      </w:r>
      <w:r>
        <w:rPr>
          <w:color w:val="000000"/>
          <w:sz w:val="16"/>
          <w:szCs w:val="16"/>
        </w:rPr>
        <w:t xml:space="preserve"> </w:t>
      </w:r>
      <w:r w:rsidRPr="00560A7F">
        <w:rPr>
          <w:color w:val="000000"/>
          <w:sz w:val="16"/>
          <w:szCs w:val="16"/>
        </w:rPr>
        <w:t>Organization</w:t>
      </w:r>
      <w:r>
        <w:rPr>
          <w:color w:val="000000"/>
          <w:sz w:val="16"/>
          <w:szCs w:val="16"/>
        </w:rPr>
        <w:t xml:space="preserve"> </w:t>
      </w:r>
      <w:r w:rsidRPr="00560A7F">
        <w:rPr>
          <w:color w:val="000000"/>
          <w:sz w:val="16"/>
          <w:szCs w:val="16"/>
        </w:rPr>
        <w:t>Environment</w:t>
      </w:r>
      <w:r w:rsidR="005E301C">
        <w:rPr>
          <w:color w:val="000000"/>
          <w:sz w:val="16"/>
          <w:szCs w:val="16"/>
        </w:rPr>
        <w:t xml:space="preserve"> (Tornatzky &amp; Fleischer, 1990)</w:t>
      </w:r>
      <w:r w:rsidRPr="00560A7F">
        <w:rPr>
          <w:color w:val="000000"/>
          <w:sz w:val="16"/>
          <w:szCs w:val="16"/>
        </w:rPr>
        <w:t xml:space="preserve">; </w:t>
      </w:r>
      <w:r w:rsidRPr="00560A7F">
        <w:rPr>
          <w:i/>
          <w:iCs/>
          <w:color w:val="000000"/>
          <w:sz w:val="16"/>
          <w:szCs w:val="16"/>
        </w:rPr>
        <w:t>SDL</w:t>
      </w:r>
      <w:r w:rsidRPr="00560A7F">
        <w:rPr>
          <w:color w:val="000000"/>
          <w:sz w:val="16"/>
          <w:szCs w:val="16"/>
        </w:rPr>
        <w:t>: Service-Dominant Logic</w:t>
      </w:r>
      <w:r w:rsidR="005E301C">
        <w:rPr>
          <w:color w:val="000000"/>
          <w:sz w:val="16"/>
          <w:szCs w:val="16"/>
        </w:rPr>
        <w:t xml:space="preserve"> (Vargo &amp; Lusch, 2004)</w:t>
      </w:r>
      <w:r w:rsidRPr="00560A7F">
        <w:rPr>
          <w:color w:val="000000"/>
          <w:sz w:val="16"/>
          <w:szCs w:val="16"/>
        </w:rPr>
        <w:t>.</w:t>
      </w:r>
    </w:p>
  </w:footnote>
  <w:footnote w:id="3">
    <w:p w14:paraId="227CA6DA" w14:textId="34C745F6" w:rsidR="00560A7F" w:rsidRDefault="00560A7F">
      <w:pPr>
        <w:pStyle w:val="FootnoteText"/>
      </w:pPr>
      <w:r>
        <w:rPr>
          <w:rStyle w:val="FootnoteReference"/>
        </w:rPr>
        <w:footnoteRef/>
      </w:r>
      <w:r>
        <w:t xml:space="preserve"> </w:t>
      </w:r>
      <w:r w:rsidRPr="00560A7F">
        <w:rPr>
          <w:rStyle w:val="Emphasis"/>
          <w:color w:val="000000"/>
          <w:sz w:val="16"/>
          <w:szCs w:val="16"/>
        </w:rPr>
        <w:t>Tiered pricing models</w:t>
      </w:r>
      <w:r w:rsidRPr="00560A7F">
        <w:rPr>
          <w:rStyle w:val="apple-converted-space"/>
          <w:color w:val="000000"/>
          <w:sz w:val="16"/>
          <w:szCs w:val="16"/>
        </w:rPr>
        <w:t> </w:t>
      </w:r>
      <w:r w:rsidRPr="00560A7F">
        <w:rPr>
          <w:color w:val="000000"/>
          <w:sz w:val="16"/>
          <w:szCs w:val="16"/>
        </w:rPr>
        <w:t>refer to structured fee arrangements in which clients are charged based on predefined usage levels, transaction volumes, or service packages. In digital trade finance, this often involves offering basic digital trade services at a lower cost, with premium features</w:t>
      </w:r>
      <w:r>
        <w:rPr>
          <w:color w:val="000000"/>
          <w:sz w:val="16"/>
          <w:szCs w:val="16"/>
        </w:rPr>
        <w:t xml:space="preserve"> </w:t>
      </w:r>
      <w:r w:rsidRPr="00560A7F">
        <w:rPr>
          <w:color w:val="000000"/>
          <w:sz w:val="16"/>
          <w:szCs w:val="16"/>
        </w:rPr>
        <w:t>such as real-time compliance support or custom integration</w:t>
      </w:r>
      <w:r>
        <w:rPr>
          <w:color w:val="000000"/>
          <w:sz w:val="16"/>
          <w:szCs w:val="16"/>
        </w:rPr>
        <w:t xml:space="preserve"> </w:t>
      </w:r>
      <w:r w:rsidRPr="00560A7F">
        <w:rPr>
          <w:color w:val="000000"/>
          <w:sz w:val="16"/>
          <w:szCs w:val="16"/>
        </w:rPr>
        <w:t>available at higher pricing tiers.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4500" w:hanging="360"/>
      </w:pPr>
    </w:lvl>
    <w:lvl w:ilvl="1">
      <w:start w:val="1"/>
      <w:numFmt w:val="lowerLetter"/>
      <w:lvlText w:val="%2."/>
      <w:lvlJc w:val="left"/>
      <w:pPr>
        <w:tabs>
          <w:tab w:val="num" w:pos="5220"/>
        </w:tabs>
        <w:ind w:left="5220" w:hanging="360"/>
      </w:pPr>
    </w:lvl>
    <w:lvl w:ilvl="2">
      <w:start w:val="1"/>
      <w:numFmt w:val="lowerRoman"/>
      <w:lvlText w:val="%3."/>
      <w:lvlJc w:val="right"/>
      <w:pPr>
        <w:tabs>
          <w:tab w:val="num" w:pos="5940"/>
        </w:tabs>
        <w:ind w:left="5940" w:hanging="180"/>
      </w:pPr>
    </w:lvl>
    <w:lvl w:ilvl="3">
      <w:start w:val="1"/>
      <w:numFmt w:val="decimal"/>
      <w:lvlText w:val="%4."/>
      <w:lvlJc w:val="left"/>
      <w:pPr>
        <w:tabs>
          <w:tab w:val="num" w:pos="6660"/>
        </w:tabs>
        <w:ind w:left="6660" w:hanging="360"/>
      </w:pPr>
    </w:lvl>
    <w:lvl w:ilvl="4">
      <w:start w:val="1"/>
      <w:numFmt w:val="lowerLetter"/>
      <w:lvlText w:val="%5."/>
      <w:lvlJc w:val="left"/>
      <w:pPr>
        <w:tabs>
          <w:tab w:val="num" w:pos="7380"/>
        </w:tabs>
        <w:ind w:left="7380" w:hanging="360"/>
      </w:pPr>
    </w:lvl>
    <w:lvl w:ilvl="5">
      <w:start w:val="1"/>
      <w:numFmt w:val="lowerRoman"/>
      <w:lvlText w:val="%6."/>
      <w:lvlJc w:val="right"/>
      <w:pPr>
        <w:tabs>
          <w:tab w:val="num" w:pos="8100"/>
        </w:tabs>
        <w:ind w:left="8100" w:hanging="180"/>
      </w:pPr>
    </w:lvl>
    <w:lvl w:ilvl="6">
      <w:start w:val="1"/>
      <w:numFmt w:val="decimal"/>
      <w:lvlText w:val="%7."/>
      <w:lvlJc w:val="left"/>
      <w:pPr>
        <w:tabs>
          <w:tab w:val="num" w:pos="8820"/>
        </w:tabs>
        <w:ind w:left="8820" w:hanging="360"/>
      </w:pPr>
    </w:lvl>
    <w:lvl w:ilvl="7">
      <w:start w:val="1"/>
      <w:numFmt w:val="lowerLetter"/>
      <w:lvlText w:val="%8."/>
      <w:lvlJc w:val="left"/>
      <w:pPr>
        <w:tabs>
          <w:tab w:val="num" w:pos="9540"/>
        </w:tabs>
        <w:ind w:left="9540" w:hanging="360"/>
      </w:pPr>
    </w:lvl>
    <w:lvl w:ilvl="8">
      <w:start w:val="1"/>
      <w:numFmt w:val="lowerRoman"/>
      <w:lvlText w:val="%9."/>
      <w:lvlJc w:val="right"/>
      <w:pPr>
        <w:tabs>
          <w:tab w:val="num" w:pos="10260"/>
        </w:tabs>
        <w:ind w:left="10260" w:hanging="180"/>
      </w:pPr>
    </w:lvl>
  </w:abstractNum>
  <w:abstractNum w:abstractNumId="1" w15:restartNumberingAfterBreak="0">
    <w:nsid w:val="00000002"/>
    <w:multiLevelType w:val="multilevel"/>
    <w:tmpl w:val="00000002"/>
    <w:lvl w:ilvl="0">
      <w:start w:val="2"/>
      <w:numFmt w:val="decimal"/>
      <w:lvlText w:val="%1."/>
      <w:lvlJc w:val="left"/>
      <w:pPr>
        <w:ind w:left="0" w:hanging="360"/>
      </w:pPr>
    </w:lvl>
    <w:lvl w:ilvl="1">
      <w:start w:val="1"/>
      <w:numFmt w:val="lowerLetter"/>
      <w:lvlText w:val="%2."/>
      <w:lvlJc w:val="left"/>
      <w:pPr>
        <w:tabs>
          <w:tab w:val="num" w:pos="720"/>
        </w:tabs>
        <w:ind w:left="720" w:hanging="360"/>
      </w:pPr>
    </w:lvl>
    <w:lvl w:ilvl="2">
      <w:start w:val="1"/>
      <w:numFmt w:val="lowerRoman"/>
      <w:lvlText w:val="%3."/>
      <w:lvlJc w:val="right"/>
      <w:pPr>
        <w:tabs>
          <w:tab w:val="num" w:pos="1440"/>
        </w:tabs>
        <w:ind w:left="1440" w:hanging="180"/>
      </w:pPr>
    </w:lvl>
    <w:lvl w:ilvl="3">
      <w:start w:val="1"/>
      <w:numFmt w:val="decimal"/>
      <w:lvlText w:val="%4."/>
      <w:lvlJc w:val="left"/>
      <w:pPr>
        <w:tabs>
          <w:tab w:val="num" w:pos="2160"/>
        </w:tabs>
        <w:ind w:left="2160" w:hanging="360"/>
      </w:pPr>
    </w:lvl>
    <w:lvl w:ilvl="4">
      <w:start w:val="1"/>
      <w:numFmt w:val="lowerLetter"/>
      <w:lvlText w:val="%5."/>
      <w:lvlJc w:val="left"/>
      <w:pPr>
        <w:tabs>
          <w:tab w:val="num" w:pos="2880"/>
        </w:tabs>
        <w:ind w:left="2880" w:hanging="360"/>
      </w:pPr>
    </w:lvl>
    <w:lvl w:ilvl="5">
      <w:start w:val="1"/>
      <w:numFmt w:val="lowerRoman"/>
      <w:lvlText w:val="%6."/>
      <w:lvlJc w:val="right"/>
      <w:pPr>
        <w:tabs>
          <w:tab w:val="num" w:pos="3600"/>
        </w:tabs>
        <w:ind w:left="3600" w:hanging="180"/>
      </w:pPr>
    </w:lvl>
    <w:lvl w:ilvl="6">
      <w:start w:val="1"/>
      <w:numFmt w:val="decimal"/>
      <w:lvlText w:val="%7."/>
      <w:lvlJc w:val="left"/>
      <w:pPr>
        <w:tabs>
          <w:tab w:val="num" w:pos="4320"/>
        </w:tabs>
        <w:ind w:left="4320" w:hanging="360"/>
      </w:pPr>
    </w:lvl>
    <w:lvl w:ilvl="7">
      <w:start w:val="1"/>
      <w:numFmt w:val="lowerLetter"/>
      <w:lvlText w:val="%8."/>
      <w:lvlJc w:val="left"/>
      <w:pPr>
        <w:tabs>
          <w:tab w:val="num" w:pos="5040"/>
        </w:tabs>
        <w:ind w:left="5040" w:hanging="360"/>
      </w:pPr>
    </w:lvl>
    <w:lvl w:ilvl="8">
      <w:start w:val="1"/>
      <w:numFmt w:val="lowerRoman"/>
      <w:lvlText w:val="%9."/>
      <w:lvlJc w:val="right"/>
      <w:pPr>
        <w:tabs>
          <w:tab w:val="num" w:pos="5760"/>
        </w:tabs>
        <w:ind w:left="5760" w:hanging="180"/>
      </w:pPr>
    </w:lvl>
  </w:abstractNum>
  <w:abstractNum w:abstractNumId="2" w15:restartNumberingAfterBreak="0">
    <w:nsid w:val="00000003"/>
    <w:multiLevelType w:val="multilevel"/>
    <w:tmpl w:val="00000003"/>
    <w:lvl w:ilvl="0">
      <w:start w:val="1"/>
      <w:numFmt w:val="decimal"/>
      <w:lvlText w:val="%1."/>
      <w:lvlJc w:val="left"/>
      <w:pPr>
        <w:ind w:left="0" w:hanging="360"/>
      </w:pPr>
    </w:lvl>
    <w:lvl w:ilvl="1">
      <w:start w:val="1"/>
      <w:numFmt w:val="lowerLetter"/>
      <w:lvlText w:val="%2."/>
      <w:lvlJc w:val="left"/>
      <w:pPr>
        <w:tabs>
          <w:tab w:val="num" w:pos="720"/>
        </w:tabs>
        <w:ind w:left="720" w:hanging="360"/>
      </w:pPr>
    </w:lvl>
    <w:lvl w:ilvl="2">
      <w:start w:val="1"/>
      <w:numFmt w:val="lowerRoman"/>
      <w:lvlText w:val="%3."/>
      <w:lvlJc w:val="right"/>
      <w:pPr>
        <w:tabs>
          <w:tab w:val="num" w:pos="1440"/>
        </w:tabs>
        <w:ind w:left="1440" w:hanging="180"/>
      </w:pPr>
    </w:lvl>
    <w:lvl w:ilvl="3">
      <w:start w:val="1"/>
      <w:numFmt w:val="decimal"/>
      <w:lvlText w:val="%4."/>
      <w:lvlJc w:val="left"/>
      <w:pPr>
        <w:tabs>
          <w:tab w:val="num" w:pos="2160"/>
        </w:tabs>
        <w:ind w:left="2160" w:hanging="360"/>
      </w:pPr>
    </w:lvl>
    <w:lvl w:ilvl="4">
      <w:start w:val="1"/>
      <w:numFmt w:val="lowerLetter"/>
      <w:lvlText w:val="%5."/>
      <w:lvlJc w:val="left"/>
      <w:pPr>
        <w:tabs>
          <w:tab w:val="num" w:pos="2880"/>
        </w:tabs>
        <w:ind w:left="2880" w:hanging="360"/>
      </w:pPr>
    </w:lvl>
    <w:lvl w:ilvl="5">
      <w:start w:val="1"/>
      <w:numFmt w:val="lowerRoman"/>
      <w:lvlText w:val="%6."/>
      <w:lvlJc w:val="right"/>
      <w:pPr>
        <w:tabs>
          <w:tab w:val="num" w:pos="3600"/>
        </w:tabs>
        <w:ind w:left="3600" w:hanging="180"/>
      </w:pPr>
    </w:lvl>
    <w:lvl w:ilvl="6">
      <w:start w:val="1"/>
      <w:numFmt w:val="decimal"/>
      <w:lvlText w:val="%7."/>
      <w:lvlJc w:val="left"/>
      <w:pPr>
        <w:tabs>
          <w:tab w:val="num" w:pos="4320"/>
        </w:tabs>
        <w:ind w:left="4320" w:hanging="360"/>
      </w:pPr>
    </w:lvl>
    <w:lvl w:ilvl="7">
      <w:start w:val="1"/>
      <w:numFmt w:val="lowerLetter"/>
      <w:lvlText w:val="%8."/>
      <w:lvlJc w:val="left"/>
      <w:pPr>
        <w:tabs>
          <w:tab w:val="num" w:pos="5040"/>
        </w:tabs>
        <w:ind w:left="5040" w:hanging="360"/>
      </w:pPr>
    </w:lvl>
    <w:lvl w:ilvl="8">
      <w:start w:val="1"/>
      <w:numFmt w:val="lowerRoman"/>
      <w:lvlText w:val="%9."/>
      <w:lvlJc w:val="right"/>
      <w:pPr>
        <w:tabs>
          <w:tab w:val="num" w:pos="5760"/>
        </w:tabs>
        <w:ind w:left="5760" w:hanging="180"/>
      </w:pPr>
    </w:lvl>
  </w:abstractNum>
  <w:abstractNum w:abstractNumId="3" w15:restartNumberingAfterBreak="0">
    <w:nsid w:val="00000004"/>
    <w:multiLevelType w:val="multilevel"/>
    <w:tmpl w:val="00000004"/>
    <w:lvl w:ilvl="0">
      <w:start w:val="3"/>
      <w:numFmt w:val="decimal"/>
      <w:lvlText w:val="%1."/>
      <w:lvlJc w:val="left"/>
      <w:pPr>
        <w:ind w:left="-1440" w:hanging="360"/>
      </w:pPr>
    </w:lvl>
    <w:lvl w:ilvl="1">
      <w:start w:val="1"/>
      <w:numFmt w:val="lowerLetter"/>
      <w:lvlText w:val="%2."/>
      <w:lvlJc w:val="left"/>
      <w:pPr>
        <w:tabs>
          <w:tab w:val="num" w:pos="-720"/>
        </w:tabs>
        <w:ind w:left="-720" w:hanging="360"/>
      </w:pPr>
    </w:lvl>
    <w:lvl w:ilvl="2">
      <w:start w:val="1"/>
      <w:numFmt w:val="lowerRoman"/>
      <w:lvlText w:val="%3."/>
      <w:lvlJc w:val="right"/>
      <w:pPr>
        <w:tabs>
          <w:tab w:val="num" w:pos="0"/>
        </w:tabs>
        <w:ind w:left="0" w:hanging="180"/>
      </w:pPr>
    </w:lvl>
    <w:lvl w:ilvl="3">
      <w:start w:val="1"/>
      <w:numFmt w:val="decimal"/>
      <w:lvlText w:val="%4."/>
      <w:lvlJc w:val="left"/>
      <w:pPr>
        <w:tabs>
          <w:tab w:val="num" w:pos="720"/>
        </w:tabs>
        <w:ind w:left="720" w:hanging="360"/>
      </w:pPr>
    </w:lvl>
    <w:lvl w:ilvl="4">
      <w:start w:val="1"/>
      <w:numFmt w:val="lowerLetter"/>
      <w:lvlText w:val="%5."/>
      <w:lvlJc w:val="left"/>
      <w:pPr>
        <w:tabs>
          <w:tab w:val="num" w:pos="1440"/>
        </w:tabs>
        <w:ind w:left="1440" w:hanging="360"/>
      </w:pPr>
    </w:lvl>
    <w:lvl w:ilvl="5">
      <w:start w:val="1"/>
      <w:numFmt w:val="lowerRoman"/>
      <w:lvlText w:val="%6."/>
      <w:lvlJc w:val="right"/>
      <w:pPr>
        <w:tabs>
          <w:tab w:val="num" w:pos="2160"/>
        </w:tabs>
        <w:ind w:left="2160" w:hanging="180"/>
      </w:pPr>
    </w:lvl>
    <w:lvl w:ilvl="6">
      <w:start w:val="1"/>
      <w:numFmt w:val="decimal"/>
      <w:lvlText w:val="%7."/>
      <w:lvlJc w:val="left"/>
      <w:pPr>
        <w:tabs>
          <w:tab w:val="num" w:pos="2880"/>
        </w:tabs>
        <w:ind w:left="2880" w:hanging="360"/>
      </w:pPr>
    </w:lvl>
    <w:lvl w:ilvl="7">
      <w:start w:val="1"/>
      <w:numFmt w:val="lowerLetter"/>
      <w:lvlText w:val="%8."/>
      <w:lvlJc w:val="left"/>
      <w:pPr>
        <w:tabs>
          <w:tab w:val="num" w:pos="3600"/>
        </w:tabs>
        <w:ind w:left="3600" w:hanging="360"/>
      </w:pPr>
    </w:lvl>
    <w:lvl w:ilvl="8">
      <w:start w:val="1"/>
      <w:numFmt w:val="lowerRoman"/>
      <w:lvlText w:val="%9."/>
      <w:lvlJc w:val="right"/>
      <w:pPr>
        <w:tabs>
          <w:tab w:val="num" w:pos="4320"/>
        </w:tabs>
        <w:ind w:left="4320" w:hanging="180"/>
      </w:pPr>
    </w:lvl>
  </w:abstractNum>
  <w:abstractNum w:abstractNumId="4" w15:restartNumberingAfterBreak="0">
    <w:nsid w:val="00000005"/>
    <w:multiLevelType w:val="multilevel"/>
    <w:tmpl w:val="00000005"/>
    <w:lvl w:ilvl="0">
      <w:start w:val="4"/>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00000006"/>
    <w:multiLevelType w:val="multilevel"/>
    <w:tmpl w:val="00000006"/>
    <w:lvl w:ilvl="0">
      <w:start w:val="1"/>
      <w:numFmt w:val="decimal"/>
      <w:lvlText w:val="%1."/>
      <w:lvlJc w:val="left"/>
      <w:pPr>
        <w:ind w:left="3600" w:hanging="360"/>
      </w:pPr>
    </w:lvl>
    <w:lvl w:ilvl="1">
      <w:start w:val="1"/>
      <w:numFmt w:val="lowerLetter"/>
      <w:lvlText w:val="%2."/>
      <w:lvlJc w:val="left"/>
      <w:pPr>
        <w:tabs>
          <w:tab w:val="num" w:pos="4320"/>
        </w:tabs>
        <w:ind w:left="4320" w:hanging="360"/>
      </w:pPr>
    </w:lvl>
    <w:lvl w:ilvl="2">
      <w:start w:val="1"/>
      <w:numFmt w:val="lowerRoman"/>
      <w:lvlText w:val="%3."/>
      <w:lvlJc w:val="right"/>
      <w:pPr>
        <w:tabs>
          <w:tab w:val="num" w:pos="5040"/>
        </w:tabs>
        <w:ind w:left="5040" w:hanging="180"/>
      </w:pPr>
    </w:lvl>
    <w:lvl w:ilvl="3">
      <w:start w:val="1"/>
      <w:numFmt w:val="decimal"/>
      <w:lvlText w:val="%4."/>
      <w:lvlJc w:val="left"/>
      <w:pPr>
        <w:tabs>
          <w:tab w:val="num" w:pos="5760"/>
        </w:tabs>
        <w:ind w:left="5760" w:hanging="360"/>
      </w:pPr>
    </w:lvl>
    <w:lvl w:ilvl="4">
      <w:start w:val="1"/>
      <w:numFmt w:val="lowerLetter"/>
      <w:lvlText w:val="%5."/>
      <w:lvlJc w:val="left"/>
      <w:pPr>
        <w:tabs>
          <w:tab w:val="num" w:pos="6480"/>
        </w:tabs>
        <w:ind w:left="6480" w:hanging="360"/>
      </w:pPr>
    </w:lvl>
    <w:lvl w:ilvl="5">
      <w:start w:val="1"/>
      <w:numFmt w:val="lowerRoman"/>
      <w:lvlText w:val="%6."/>
      <w:lvlJc w:val="right"/>
      <w:pPr>
        <w:tabs>
          <w:tab w:val="num" w:pos="7200"/>
        </w:tabs>
        <w:ind w:left="7200" w:hanging="180"/>
      </w:pPr>
    </w:lvl>
    <w:lvl w:ilvl="6">
      <w:start w:val="1"/>
      <w:numFmt w:val="decimal"/>
      <w:lvlText w:val="%7."/>
      <w:lvlJc w:val="left"/>
      <w:pPr>
        <w:tabs>
          <w:tab w:val="num" w:pos="7920"/>
        </w:tabs>
        <w:ind w:left="7920" w:hanging="360"/>
      </w:pPr>
    </w:lvl>
    <w:lvl w:ilvl="7">
      <w:start w:val="1"/>
      <w:numFmt w:val="lowerLetter"/>
      <w:lvlText w:val="%8."/>
      <w:lvlJc w:val="left"/>
      <w:pPr>
        <w:tabs>
          <w:tab w:val="num" w:pos="8640"/>
        </w:tabs>
        <w:ind w:left="8640" w:hanging="360"/>
      </w:pPr>
    </w:lvl>
    <w:lvl w:ilvl="8">
      <w:start w:val="1"/>
      <w:numFmt w:val="lowerRoman"/>
      <w:lvlText w:val="%9."/>
      <w:lvlJc w:val="right"/>
      <w:pPr>
        <w:tabs>
          <w:tab w:val="num" w:pos="9360"/>
        </w:tabs>
        <w:ind w:left="9360" w:hanging="180"/>
      </w:pPr>
    </w:lvl>
  </w:abstractNum>
  <w:abstractNum w:abstractNumId="6" w15:restartNumberingAfterBreak="0">
    <w:nsid w:val="00000007"/>
    <w:multiLevelType w:val="multilevel"/>
    <w:tmpl w:val="00000007"/>
    <w:lvl w:ilvl="0">
      <w:start w:val="5"/>
      <w:numFmt w:val="decimal"/>
      <w:lvlText w:val="%1."/>
      <w:lvlJc w:val="left"/>
      <w:pPr>
        <w:ind w:left="0" w:hanging="360"/>
      </w:pPr>
    </w:lvl>
    <w:lvl w:ilvl="1">
      <w:start w:val="1"/>
      <w:numFmt w:val="lowerLetter"/>
      <w:lvlText w:val="%2."/>
      <w:lvlJc w:val="left"/>
      <w:pPr>
        <w:tabs>
          <w:tab w:val="num" w:pos="720"/>
        </w:tabs>
        <w:ind w:left="720" w:hanging="360"/>
      </w:pPr>
    </w:lvl>
    <w:lvl w:ilvl="2">
      <w:start w:val="1"/>
      <w:numFmt w:val="lowerRoman"/>
      <w:lvlText w:val="%3."/>
      <w:lvlJc w:val="right"/>
      <w:pPr>
        <w:tabs>
          <w:tab w:val="num" w:pos="1440"/>
        </w:tabs>
        <w:ind w:left="1440" w:hanging="180"/>
      </w:pPr>
    </w:lvl>
    <w:lvl w:ilvl="3">
      <w:start w:val="1"/>
      <w:numFmt w:val="decimal"/>
      <w:lvlText w:val="%4."/>
      <w:lvlJc w:val="left"/>
      <w:pPr>
        <w:tabs>
          <w:tab w:val="num" w:pos="2160"/>
        </w:tabs>
        <w:ind w:left="2160" w:hanging="360"/>
      </w:pPr>
    </w:lvl>
    <w:lvl w:ilvl="4">
      <w:start w:val="1"/>
      <w:numFmt w:val="lowerLetter"/>
      <w:lvlText w:val="%5."/>
      <w:lvlJc w:val="left"/>
      <w:pPr>
        <w:tabs>
          <w:tab w:val="num" w:pos="2880"/>
        </w:tabs>
        <w:ind w:left="2880" w:hanging="360"/>
      </w:pPr>
    </w:lvl>
    <w:lvl w:ilvl="5">
      <w:start w:val="1"/>
      <w:numFmt w:val="lowerRoman"/>
      <w:lvlText w:val="%6."/>
      <w:lvlJc w:val="right"/>
      <w:pPr>
        <w:tabs>
          <w:tab w:val="num" w:pos="3600"/>
        </w:tabs>
        <w:ind w:left="3600" w:hanging="180"/>
      </w:pPr>
    </w:lvl>
    <w:lvl w:ilvl="6">
      <w:start w:val="1"/>
      <w:numFmt w:val="decimal"/>
      <w:lvlText w:val="%7."/>
      <w:lvlJc w:val="left"/>
      <w:pPr>
        <w:tabs>
          <w:tab w:val="num" w:pos="4320"/>
        </w:tabs>
        <w:ind w:left="4320" w:hanging="360"/>
      </w:pPr>
    </w:lvl>
    <w:lvl w:ilvl="7">
      <w:start w:val="1"/>
      <w:numFmt w:val="lowerLetter"/>
      <w:lvlText w:val="%8."/>
      <w:lvlJc w:val="left"/>
      <w:pPr>
        <w:tabs>
          <w:tab w:val="num" w:pos="5040"/>
        </w:tabs>
        <w:ind w:left="5040" w:hanging="360"/>
      </w:pPr>
    </w:lvl>
    <w:lvl w:ilvl="8">
      <w:start w:val="1"/>
      <w:numFmt w:val="lowerRoman"/>
      <w:lvlText w:val="%9."/>
      <w:lvlJc w:val="right"/>
      <w:pPr>
        <w:tabs>
          <w:tab w:val="num" w:pos="5760"/>
        </w:tabs>
        <w:ind w:left="5760" w:hanging="180"/>
      </w:pPr>
    </w:lvl>
  </w:abstractNum>
  <w:abstractNum w:abstractNumId="7" w15:restartNumberingAfterBreak="0">
    <w:nsid w:val="0ADB2EED"/>
    <w:multiLevelType w:val="hybridMultilevel"/>
    <w:tmpl w:val="F01A9B9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DB1BBA"/>
    <w:multiLevelType w:val="hybridMultilevel"/>
    <w:tmpl w:val="EE6A18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507F6F7F"/>
    <w:multiLevelType w:val="hybridMultilevel"/>
    <w:tmpl w:val="7D4E9A7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D313BC"/>
    <w:multiLevelType w:val="hybridMultilevel"/>
    <w:tmpl w:val="BD8AF470"/>
    <w:lvl w:ilvl="0" w:tplc="F7807728">
      <w:start w:val="1"/>
      <w:numFmt w:val="decimal"/>
      <w:lvlText w:val="%1."/>
      <w:lvlJc w:val="left"/>
      <w:pPr>
        <w:ind w:left="360" w:hanging="360"/>
      </w:pPr>
      <w:rPr>
        <w:rFonts w:ascii="Times-Roman" w:hAnsi="Times-Roman" w:cs="Times-Roman"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740D58AB"/>
    <w:multiLevelType w:val="hybridMultilevel"/>
    <w:tmpl w:val="C3AAC9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7145010">
    <w:abstractNumId w:val="0"/>
  </w:num>
  <w:num w:numId="2" w16cid:durableId="975525450">
    <w:abstractNumId w:val="1"/>
  </w:num>
  <w:num w:numId="3" w16cid:durableId="855266329">
    <w:abstractNumId w:val="2"/>
  </w:num>
  <w:num w:numId="4" w16cid:durableId="1143083897">
    <w:abstractNumId w:val="3"/>
  </w:num>
  <w:num w:numId="5" w16cid:durableId="1221361552">
    <w:abstractNumId w:val="4"/>
  </w:num>
  <w:num w:numId="6" w16cid:durableId="1314487246">
    <w:abstractNumId w:val="5"/>
  </w:num>
  <w:num w:numId="7" w16cid:durableId="1463380452">
    <w:abstractNumId w:val="6"/>
  </w:num>
  <w:num w:numId="8" w16cid:durableId="1477452412">
    <w:abstractNumId w:val="8"/>
  </w:num>
  <w:num w:numId="9" w16cid:durableId="1834567956">
    <w:abstractNumId w:val="9"/>
  </w:num>
  <w:num w:numId="10" w16cid:durableId="579020157">
    <w:abstractNumId w:val="7"/>
  </w:num>
  <w:num w:numId="11" w16cid:durableId="610206299">
    <w:abstractNumId w:val="10"/>
  </w:num>
  <w:num w:numId="12" w16cid:durableId="19175503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noPunctuationKerning/>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E2D"/>
    <w:rsid w:val="00050524"/>
    <w:rsid w:val="0006282F"/>
    <w:rsid w:val="00073DAA"/>
    <w:rsid w:val="000B4273"/>
    <w:rsid w:val="000B708A"/>
    <w:rsid w:val="000D6068"/>
    <w:rsid w:val="00113069"/>
    <w:rsid w:val="00117CEB"/>
    <w:rsid w:val="00124EB2"/>
    <w:rsid w:val="00191535"/>
    <w:rsid w:val="001F7D9B"/>
    <w:rsid w:val="002126DD"/>
    <w:rsid w:val="0022152C"/>
    <w:rsid w:val="00276CE3"/>
    <w:rsid w:val="0028029D"/>
    <w:rsid w:val="002A290E"/>
    <w:rsid w:val="002A7E15"/>
    <w:rsid w:val="002E60A0"/>
    <w:rsid w:val="002F3D7B"/>
    <w:rsid w:val="00333704"/>
    <w:rsid w:val="00354E75"/>
    <w:rsid w:val="0038262E"/>
    <w:rsid w:val="003826A3"/>
    <w:rsid w:val="003A3B2E"/>
    <w:rsid w:val="003B44D2"/>
    <w:rsid w:val="00427037"/>
    <w:rsid w:val="005319C2"/>
    <w:rsid w:val="0055656F"/>
    <w:rsid w:val="00560A7F"/>
    <w:rsid w:val="005A25C4"/>
    <w:rsid w:val="005B19AC"/>
    <w:rsid w:val="005B4B45"/>
    <w:rsid w:val="005E301C"/>
    <w:rsid w:val="005F44D1"/>
    <w:rsid w:val="00647657"/>
    <w:rsid w:val="006A684D"/>
    <w:rsid w:val="006C2C4D"/>
    <w:rsid w:val="00731BAC"/>
    <w:rsid w:val="007B1A88"/>
    <w:rsid w:val="007B441D"/>
    <w:rsid w:val="007D408B"/>
    <w:rsid w:val="0086388B"/>
    <w:rsid w:val="008801AA"/>
    <w:rsid w:val="008A4322"/>
    <w:rsid w:val="008C2B13"/>
    <w:rsid w:val="008D286A"/>
    <w:rsid w:val="008E0032"/>
    <w:rsid w:val="008E1E6C"/>
    <w:rsid w:val="009676A3"/>
    <w:rsid w:val="009871AD"/>
    <w:rsid w:val="00A011E8"/>
    <w:rsid w:val="00A02839"/>
    <w:rsid w:val="00A1009C"/>
    <w:rsid w:val="00A13E60"/>
    <w:rsid w:val="00A763FC"/>
    <w:rsid w:val="00AB79D2"/>
    <w:rsid w:val="00AE4D30"/>
    <w:rsid w:val="00B2055E"/>
    <w:rsid w:val="00B57159"/>
    <w:rsid w:val="00B671AF"/>
    <w:rsid w:val="00B84074"/>
    <w:rsid w:val="00BF2AD9"/>
    <w:rsid w:val="00C84DD6"/>
    <w:rsid w:val="00CB6463"/>
    <w:rsid w:val="00CD3B4A"/>
    <w:rsid w:val="00D24B3E"/>
    <w:rsid w:val="00D26B48"/>
    <w:rsid w:val="00D31413"/>
    <w:rsid w:val="00D612B2"/>
    <w:rsid w:val="00D74258"/>
    <w:rsid w:val="00D81885"/>
    <w:rsid w:val="00DE3FE5"/>
    <w:rsid w:val="00E11020"/>
    <w:rsid w:val="00E54653"/>
    <w:rsid w:val="00E926DC"/>
    <w:rsid w:val="00EA48C6"/>
    <w:rsid w:val="00F02E2D"/>
    <w:rsid w:val="00F34EC6"/>
    <w:rsid w:val="00F614B4"/>
    <w:rsid w:val="00F84A1E"/>
    <w:rsid w:val="00F86EB4"/>
    <w:rsid w:val="00F954AC"/>
    <w:rsid w:val="00FA3B2D"/>
    <w:rsid w:val="00FE5713"/>
    <w:rsid w:val="00FE6CCB"/>
    <w:rsid w:val="00FF442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011B34"/>
  <w15:docId w15:val="{83E3C5AD-35BB-274A-8A3F-F50C88625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01C"/>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link w:val="Heading3Char"/>
    <w:uiPriority w:val="9"/>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 w:type="paragraph" w:styleId="Footer">
    <w:name w:val="footer"/>
    <w:basedOn w:val="Normal"/>
    <w:link w:val="FooterChar"/>
    <w:uiPriority w:val="99"/>
    <w:unhideWhenUsed/>
    <w:rsid w:val="00FE6CCB"/>
    <w:pPr>
      <w:tabs>
        <w:tab w:val="center" w:pos="4680"/>
        <w:tab w:val="right" w:pos="9360"/>
      </w:tabs>
    </w:pPr>
  </w:style>
  <w:style w:type="character" w:customStyle="1" w:styleId="FooterChar">
    <w:name w:val="Footer Char"/>
    <w:basedOn w:val="DefaultParagraphFont"/>
    <w:link w:val="Footer"/>
    <w:uiPriority w:val="99"/>
    <w:rsid w:val="00FE6CCB"/>
    <w:rPr>
      <w:sz w:val="24"/>
      <w:szCs w:val="24"/>
    </w:rPr>
  </w:style>
  <w:style w:type="character" w:styleId="PageNumber">
    <w:name w:val="page number"/>
    <w:basedOn w:val="DefaultParagraphFont"/>
    <w:uiPriority w:val="99"/>
    <w:semiHidden/>
    <w:unhideWhenUsed/>
    <w:rsid w:val="00FE6CCB"/>
  </w:style>
  <w:style w:type="paragraph" w:styleId="Header">
    <w:name w:val="header"/>
    <w:basedOn w:val="Normal"/>
    <w:link w:val="HeaderChar"/>
    <w:uiPriority w:val="99"/>
    <w:unhideWhenUsed/>
    <w:rsid w:val="00FE6CCB"/>
    <w:pPr>
      <w:tabs>
        <w:tab w:val="center" w:pos="4680"/>
        <w:tab w:val="right" w:pos="9360"/>
      </w:tabs>
    </w:pPr>
  </w:style>
  <w:style w:type="character" w:customStyle="1" w:styleId="HeaderChar">
    <w:name w:val="Header Char"/>
    <w:basedOn w:val="DefaultParagraphFont"/>
    <w:link w:val="Header"/>
    <w:uiPriority w:val="99"/>
    <w:rsid w:val="00FE6CCB"/>
    <w:rPr>
      <w:sz w:val="24"/>
      <w:szCs w:val="24"/>
    </w:rPr>
  </w:style>
  <w:style w:type="paragraph" w:styleId="ListParagraph">
    <w:name w:val="List Paragraph"/>
    <w:basedOn w:val="Normal"/>
    <w:uiPriority w:val="34"/>
    <w:qFormat/>
    <w:rsid w:val="003826A3"/>
    <w:pPr>
      <w:ind w:left="720"/>
      <w:contextualSpacing/>
    </w:pPr>
  </w:style>
  <w:style w:type="character" w:customStyle="1" w:styleId="Heading3Char">
    <w:name w:val="Heading 3 Char"/>
    <w:basedOn w:val="DefaultParagraphFont"/>
    <w:link w:val="Heading3"/>
    <w:uiPriority w:val="9"/>
    <w:rsid w:val="000B708A"/>
    <w:rPr>
      <w:b/>
      <w:bCs/>
      <w:sz w:val="28"/>
      <w:szCs w:val="28"/>
    </w:rPr>
  </w:style>
  <w:style w:type="character" w:styleId="Strong">
    <w:name w:val="Strong"/>
    <w:basedOn w:val="DefaultParagraphFont"/>
    <w:uiPriority w:val="22"/>
    <w:qFormat/>
    <w:rsid w:val="000B708A"/>
    <w:rPr>
      <w:b/>
      <w:bCs/>
    </w:rPr>
  </w:style>
  <w:style w:type="paragraph" w:styleId="NormalWeb">
    <w:name w:val="Normal (Web)"/>
    <w:basedOn w:val="Normal"/>
    <w:uiPriority w:val="99"/>
    <w:unhideWhenUsed/>
    <w:rsid w:val="000B708A"/>
    <w:pPr>
      <w:spacing w:before="100" w:beforeAutospacing="1" w:after="100" w:afterAutospacing="1"/>
    </w:pPr>
  </w:style>
  <w:style w:type="character" w:customStyle="1" w:styleId="apple-converted-space">
    <w:name w:val="apple-converted-space"/>
    <w:basedOn w:val="DefaultParagraphFont"/>
    <w:rsid w:val="000B708A"/>
  </w:style>
  <w:style w:type="paragraph" w:styleId="FootnoteText">
    <w:name w:val="footnote text"/>
    <w:basedOn w:val="Normal"/>
    <w:link w:val="FootnoteTextChar"/>
    <w:uiPriority w:val="99"/>
    <w:semiHidden/>
    <w:unhideWhenUsed/>
    <w:rsid w:val="00A011E8"/>
    <w:rPr>
      <w:sz w:val="20"/>
      <w:szCs w:val="20"/>
    </w:rPr>
  </w:style>
  <w:style w:type="character" w:customStyle="1" w:styleId="FootnoteTextChar">
    <w:name w:val="Footnote Text Char"/>
    <w:basedOn w:val="DefaultParagraphFont"/>
    <w:link w:val="FootnoteText"/>
    <w:uiPriority w:val="99"/>
    <w:semiHidden/>
    <w:rsid w:val="00A011E8"/>
  </w:style>
  <w:style w:type="character" w:styleId="FootnoteReference">
    <w:name w:val="footnote reference"/>
    <w:basedOn w:val="DefaultParagraphFont"/>
    <w:uiPriority w:val="99"/>
    <w:semiHidden/>
    <w:unhideWhenUsed/>
    <w:rsid w:val="00A011E8"/>
    <w:rPr>
      <w:vertAlign w:val="superscript"/>
    </w:rPr>
  </w:style>
  <w:style w:type="character" w:styleId="Emphasis">
    <w:name w:val="Emphasis"/>
    <w:basedOn w:val="DefaultParagraphFont"/>
    <w:uiPriority w:val="20"/>
    <w:qFormat/>
    <w:rsid w:val="00560A7F"/>
    <w:rPr>
      <w:i/>
      <w:iCs/>
    </w:rPr>
  </w:style>
  <w:style w:type="character" w:styleId="Hyperlink">
    <w:name w:val="Hyperlink"/>
    <w:basedOn w:val="DefaultParagraphFont"/>
    <w:uiPriority w:val="99"/>
    <w:unhideWhenUsed/>
    <w:rsid w:val="00560A7F"/>
    <w:rPr>
      <w:color w:val="467886" w:themeColor="hyperlink"/>
      <w:u w:val="single"/>
    </w:rPr>
  </w:style>
  <w:style w:type="character" w:styleId="UnresolvedMention">
    <w:name w:val="Unresolved Mention"/>
    <w:basedOn w:val="DefaultParagraphFont"/>
    <w:uiPriority w:val="99"/>
    <w:semiHidden/>
    <w:unhideWhenUsed/>
    <w:rsid w:val="00560A7F"/>
    <w:rPr>
      <w:color w:val="605E5C"/>
      <w:shd w:val="clear" w:color="auto" w:fill="E1DFDD"/>
    </w:rPr>
  </w:style>
  <w:style w:type="paragraph" w:styleId="TOCHeading">
    <w:name w:val="TOC Heading"/>
    <w:basedOn w:val="Heading1"/>
    <w:next w:val="Normal"/>
    <w:uiPriority w:val="39"/>
    <w:unhideWhenUsed/>
    <w:qFormat/>
    <w:rsid w:val="00E54653"/>
    <w:pPr>
      <w:keepLines/>
      <w:spacing w:before="480" w:after="0" w:line="276" w:lineRule="auto"/>
      <w:outlineLvl w:val="9"/>
    </w:pPr>
    <w:rPr>
      <w:rFonts w:asciiTheme="majorHAnsi" w:eastAsiaTheme="majorEastAsia" w:hAnsiTheme="majorHAnsi" w:cstheme="majorBidi"/>
      <w:color w:val="0F4761" w:themeColor="accent1" w:themeShade="BF"/>
      <w:kern w:val="0"/>
      <w:sz w:val="28"/>
      <w:szCs w:val="28"/>
      <w:lang w:eastAsia="en-US"/>
    </w:rPr>
  </w:style>
  <w:style w:type="paragraph" w:styleId="TOC2">
    <w:name w:val="toc 2"/>
    <w:basedOn w:val="Normal"/>
    <w:next w:val="Normal"/>
    <w:autoRedefine/>
    <w:uiPriority w:val="39"/>
    <w:unhideWhenUsed/>
    <w:rsid w:val="00E54653"/>
    <w:rPr>
      <w:rFonts w:asciiTheme="minorHAnsi" w:hAnsiTheme="minorHAnsi"/>
      <w:b/>
      <w:bCs/>
      <w:smallCaps/>
      <w:sz w:val="22"/>
      <w:szCs w:val="22"/>
    </w:rPr>
  </w:style>
  <w:style w:type="paragraph" w:styleId="TOC1">
    <w:name w:val="toc 1"/>
    <w:basedOn w:val="Normal"/>
    <w:next w:val="Normal"/>
    <w:autoRedefine/>
    <w:uiPriority w:val="39"/>
    <w:unhideWhenUsed/>
    <w:rsid w:val="00D24B3E"/>
    <w:pPr>
      <w:spacing w:before="360" w:after="360"/>
    </w:pPr>
    <w:rPr>
      <w:rFonts w:asciiTheme="minorHAnsi" w:hAnsiTheme="minorHAnsi"/>
      <w:b/>
      <w:bCs/>
      <w:caps/>
      <w:sz w:val="22"/>
      <w:szCs w:val="22"/>
      <w:u w:val="single"/>
    </w:rPr>
  </w:style>
  <w:style w:type="paragraph" w:styleId="TOC3">
    <w:name w:val="toc 3"/>
    <w:basedOn w:val="Normal"/>
    <w:next w:val="Normal"/>
    <w:autoRedefine/>
    <w:uiPriority w:val="39"/>
    <w:semiHidden/>
    <w:unhideWhenUsed/>
    <w:rsid w:val="00E54653"/>
    <w:rPr>
      <w:rFonts w:asciiTheme="minorHAnsi" w:hAnsiTheme="minorHAnsi"/>
      <w:smallCaps/>
      <w:sz w:val="22"/>
      <w:szCs w:val="22"/>
    </w:rPr>
  </w:style>
  <w:style w:type="paragraph" w:styleId="TOC4">
    <w:name w:val="toc 4"/>
    <w:basedOn w:val="Normal"/>
    <w:next w:val="Normal"/>
    <w:autoRedefine/>
    <w:uiPriority w:val="39"/>
    <w:semiHidden/>
    <w:unhideWhenUsed/>
    <w:rsid w:val="00E54653"/>
    <w:rPr>
      <w:rFonts w:asciiTheme="minorHAnsi" w:hAnsiTheme="minorHAnsi"/>
      <w:sz w:val="22"/>
      <w:szCs w:val="22"/>
    </w:rPr>
  </w:style>
  <w:style w:type="paragraph" w:styleId="TOC5">
    <w:name w:val="toc 5"/>
    <w:basedOn w:val="Normal"/>
    <w:next w:val="Normal"/>
    <w:autoRedefine/>
    <w:uiPriority w:val="39"/>
    <w:semiHidden/>
    <w:unhideWhenUsed/>
    <w:rsid w:val="00E54653"/>
    <w:rPr>
      <w:rFonts w:asciiTheme="minorHAnsi" w:hAnsiTheme="minorHAnsi"/>
      <w:sz w:val="22"/>
      <w:szCs w:val="22"/>
    </w:rPr>
  </w:style>
  <w:style w:type="paragraph" w:styleId="TOC6">
    <w:name w:val="toc 6"/>
    <w:basedOn w:val="Normal"/>
    <w:next w:val="Normal"/>
    <w:autoRedefine/>
    <w:uiPriority w:val="39"/>
    <w:semiHidden/>
    <w:unhideWhenUsed/>
    <w:rsid w:val="00E54653"/>
    <w:rPr>
      <w:rFonts w:asciiTheme="minorHAnsi" w:hAnsiTheme="minorHAnsi"/>
      <w:sz w:val="22"/>
      <w:szCs w:val="22"/>
    </w:rPr>
  </w:style>
  <w:style w:type="paragraph" w:styleId="TOC7">
    <w:name w:val="toc 7"/>
    <w:basedOn w:val="Normal"/>
    <w:next w:val="Normal"/>
    <w:autoRedefine/>
    <w:uiPriority w:val="39"/>
    <w:semiHidden/>
    <w:unhideWhenUsed/>
    <w:rsid w:val="00E54653"/>
    <w:rPr>
      <w:rFonts w:asciiTheme="minorHAnsi" w:hAnsiTheme="minorHAnsi"/>
      <w:sz w:val="22"/>
      <w:szCs w:val="22"/>
    </w:rPr>
  </w:style>
  <w:style w:type="paragraph" w:styleId="TOC8">
    <w:name w:val="toc 8"/>
    <w:basedOn w:val="Normal"/>
    <w:next w:val="Normal"/>
    <w:autoRedefine/>
    <w:uiPriority w:val="39"/>
    <w:semiHidden/>
    <w:unhideWhenUsed/>
    <w:rsid w:val="00E54653"/>
    <w:rPr>
      <w:rFonts w:asciiTheme="minorHAnsi" w:hAnsiTheme="minorHAnsi"/>
      <w:sz w:val="22"/>
      <w:szCs w:val="22"/>
    </w:rPr>
  </w:style>
  <w:style w:type="paragraph" w:styleId="TOC9">
    <w:name w:val="toc 9"/>
    <w:basedOn w:val="Normal"/>
    <w:next w:val="Normal"/>
    <w:autoRedefine/>
    <w:uiPriority w:val="39"/>
    <w:semiHidden/>
    <w:unhideWhenUsed/>
    <w:rsid w:val="00E54653"/>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780413">
      <w:bodyDiv w:val="1"/>
      <w:marLeft w:val="0"/>
      <w:marRight w:val="0"/>
      <w:marTop w:val="0"/>
      <w:marBottom w:val="0"/>
      <w:divBdr>
        <w:top w:val="none" w:sz="0" w:space="0" w:color="auto"/>
        <w:left w:val="none" w:sz="0" w:space="0" w:color="auto"/>
        <w:bottom w:val="none" w:sz="0" w:space="0" w:color="auto"/>
        <w:right w:val="none" w:sz="0" w:space="0" w:color="auto"/>
      </w:divBdr>
    </w:div>
    <w:div w:id="507604075">
      <w:bodyDiv w:val="1"/>
      <w:marLeft w:val="0"/>
      <w:marRight w:val="0"/>
      <w:marTop w:val="0"/>
      <w:marBottom w:val="0"/>
      <w:divBdr>
        <w:top w:val="none" w:sz="0" w:space="0" w:color="auto"/>
        <w:left w:val="none" w:sz="0" w:space="0" w:color="auto"/>
        <w:bottom w:val="none" w:sz="0" w:space="0" w:color="auto"/>
        <w:right w:val="none" w:sz="0" w:space="0" w:color="auto"/>
      </w:divBdr>
    </w:div>
    <w:div w:id="723915223">
      <w:bodyDiv w:val="1"/>
      <w:marLeft w:val="0"/>
      <w:marRight w:val="0"/>
      <w:marTop w:val="0"/>
      <w:marBottom w:val="0"/>
      <w:divBdr>
        <w:top w:val="none" w:sz="0" w:space="0" w:color="auto"/>
        <w:left w:val="none" w:sz="0" w:space="0" w:color="auto"/>
        <w:bottom w:val="none" w:sz="0" w:space="0" w:color="auto"/>
        <w:right w:val="none" w:sz="0" w:space="0" w:color="auto"/>
      </w:divBdr>
    </w:div>
    <w:div w:id="1108499640">
      <w:bodyDiv w:val="1"/>
      <w:marLeft w:val="0"/>
      <w:marRight w:val="0"/>
      <w:marTop w:val="0"/>
      <w:marBottom w:val="0"/>
      <w:divBdr>
        <w:top w:val="none" w:sz="0" w:space="0" w:color="auto"/>
        <w:left w:val="none" w:sz="0" w:space="0" w:color="auto"/>
        <w:bottom w:val="none" w:sz="0" w:space="0" w:color="auto"/>
        <w:right w:val="none" w:sz="0" w:space="0" w:color="auto"/>
      </w:divBdr>
    </w:div>
    <w:div w:id="1365012879">
      <w:bodyDiv w:val="1"/>
      <w:marLeft w:val="0"/>
      <w:marRight w:val="0"/>
      <w:marTop w:val="0"/>
      <w:marBottom w:val="0"/>
      <w:divBdr>
        <w:top w:val="none" w:sz="0" w:space="0" w:color="auto"/>
        <w:left w:val="none" w:sz="0" w:space="0" w:color="auto"/>
        <w:bottom w:val="none" w:sz="0" w:space="0" w:color="auto"/>
        <w:right w:val="none" w:sz="0" w:space="0" w:color="auto"/>
      </w:divBdr>
    </w:div>
    <w:div w:id="1743719638">
      <w:bodyDiv w:val="1"/>
      <w:marLeft w:val="0"/>
      <w:marRight w:val="0"/>
      <w:marTop w:val="0"/>
      <w:marBottom w:val="0"/>
      <w:divBdr>
        <w:top w:val="none" w:sz="0" w:space="0" w:color="auto"/>
        <w:left w:val="none" w:sz="0" w:space="0" w:color="auto"/>
        <w:bottom w:val="none" w:sz="0" w:space="0" w:color="auto"/>
        <w:right w:val="none" w:sz="0" w:space="0" w:color="auto"/>
      </w:divBdr>
    </w:div>
    <w:div w:id="18985888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emf"/><Relationship Id="rId18" Type="http://schemas.openxmlformats.org/officeDocument/2006/relationships/hyperlink" Target="https://josephmahoney.web.illinois.edu/BA545_Fall%202022/Barney%20(1991).pdf" TargetMode="External"/><Relationship Id="rId26" Type="http://schemas.openxmlformats.org/officeDocument/2006/relationships/hyperlink" Target="https://www.researchgate.net/publication/336457789_Measuring_the_Effect_of_Digitalization_Efforts_on_Bank_Performance" TargetMode="External"/><Relationship Id="rId3" Type="http://schemas.openxmlformats.org/officeDocument/2006/relationships/styles" Target="styles.xml"/><Relationship Id="rId21" Type="http://schemas.openxmlformats.org/officeDocument/2006/relationships/hyperlink" Target="https://ijmres.pk/index.php/IJMRES/article/view/404"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2.xml"/><Relationship Id="rId25" Type="http://schemas.openxmlformats.org/officeDocument/2006/relationships/hyperlink" Target="https://www.sci-hub.se/downloads/2020-07-26/5333/ismail2020.pdf"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s://www.researchgate.net/publication/392107393_Does_digital_inclusive_finance_enhance_the_profitability_of_commercial_banks_-_Evidence_from_China" TargetMode="External"/><Relationship Id="rId29" Type="http://schemas.openxmlformats.org/officeDocument/2006/relationships/hyperlink" Target="https://www.researchgate.net/publication/291824703_Technological_Innovation_as_a_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hyperlink" Target="https://www.emerald.com/insight/content/doi/10.1108/cfri-10-2024-0615/full/html?skipTracking=tru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ublication/393290473_Digital_Transformation_and_Profitability_in_Rural_Commercial_Banks" TargetMode="External"/><Relationship Id="rId28" Type="http://schemas.openxmlformats.org/officeDocument/2006/relationships/hyperlink" Target="https://papers.ssrn.com/sol3/papers.cfm?abstract_id=4149109" TargetMode="External"/><Relationship Id="rId10" Type="http://schemas.openxmlformats.org/officeDocument/2006/relationships/image" Target="media/image3.png"/><Relationship Id="rId19" Type="http://schemas.openxmlformats.org/officeDocument/2006/relationships/hyperlink" Target="https://www.researchgate.net/publication/340864701_Asian_Development_Bank_Asia-Pacific_Trade_Facilitation_Report_2019_Bridging_Trade_Finance_Gaps_Through_Technology_Asian_Development_Bank_ADB"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hyperlink" Target="https://www.researchgate.net/publication/390281260_How_supply_chain_and_digitalization_are_significant_contributors_to_international_trade_The_role_of_renewable_and_energy_intensity_in_global_trade_powerhouses'_economies" TargetMode="External"/><Relationship Id="rId27" Type="http://schemas.openxmlformats.org/officeDocument/2006/relationships/hyperlink" Target="https://papers.ssrn.com/sol3/papers.cfm?abstract_id=5161366"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D3461-50FE-8D43-8FAD-6E605E8AD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10116</Words>
  <Characters>57664</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CHAU Ricky</dc:creator>
  <cp:lastModifiedBy>Maureen Chan</cp:lastModifiedBy>
  <cp:revision>4</cp:revision>
  <cp:lastPrinted>2025-07-26T17:19:00Z</cp:lastPrinted>
  <dcterms:created xsi:type="dcterms:W3CDTF">2025-07-26T17:19:00Z</dcterms:created>
  <dcterms:modified xsi:type="dcterms:W3CDTF">2025-07-26T17:41:00Z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5096954f-0b65-4f40-ba12-b5ad6800c968</vt:lpwstr>
  </property>
</Properties>
</file>