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6823B906" w:rsidR="0058112D" w:rsidRDefault="0014183C" w:rsidP="00185A87">
      <w:pPr>
        <w:spacing w:line="360" w:lineRule="auto"/>
        <w:jc w:val="center"/>
        <w:rPr>
          <w:rFonts w:ascii="Times New Roman" w:eastAsia="Times New Roman" w:hAnsi="Times New Roman" w:cs="Times New Roman"/>
          <w:color w:val="313131"/>
          <w:sz w:val="32"/>
          <w:szCs w:val="32"/>
          <w:highlight w:val="white"/>
        </w:rPr>
      </w:pPr>
      <w:r>
        <w:rPr>
          <w:noProof/>
        </w:rPr>
        <w:drawing>
          <wp:inline distT="0" distB="0" distL="0" distR="0" wp14:anchorId="3D7E0E7F" wp14:editId="27FEE685">
            <wp:extent cx="4131724" cy="1570998"/>
            <wp:effectExtent l="0" t="0" r="2540" b="0"/>
            <wp:docPr id="4" name="Picture 3">
              <a:extLst xmlns:a="http://schemas.openxmlformats.org/drawingml/2006/main">
                <a:ext uri="{FF2B5EF4-FFF2-40B4-BE49-F238E27FC236}">
                  <a16:creationId xmlns:a16="http://schemas.microsoft.com/office/drawing/2014/main" id="{2A837D6A-E248-0954-4483-8E76E44B928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2A837D6A-E248-0954-4483-8E76E44B928B}"/>
                        </a:ext>
                      </a:extLst>
                    </pic:cNvPr>
                    <pic:cNvPicPr>
                      <a:picLocks noChangeAspect="1"/>
                    </pic:cNvPicPr>
                  </pic:nvPicPr>
                  <pic:blipFill>
                    <a:blip r:embed="rId7"/>
                    <a:stretch>
                      <a:fillRect/>
                    </a:stretch>
                  </pic:blipFill>
                  <pic:spPr>
                    <a:xfrm>
                      <a:off x="0" y="0"/>
                      <a:ext cx="4131724" cy="1570998"/>
                    </a:xfrm>
                    <a:prstGeom prst="rect">
                      <a:avLst/>
                    </a:prstGeom>
                  </pic:spPr>
                </pic:pic>
              </a:graphicData>
            </a:graphic>
          </wp:inline>
        </w:drawing>
      </w:r>
    </w:p>
    <w:p w14:paraId="01D0EF6D" w14:textId="1D84628C" w:rsidR="007E4C28" w:rsidRDefault="007E4C28" w:rsidP="00185A87">
      <w:pPr>
        <w:spacing w:line="360" w:lineRule="auto"/>
        <w:jc w:val="center"/>
        <w:rPr>
          <w:rFonts w:ascii="Times New Roman" w:eastAsia="Times New Roman" w:hAnsi="Times New Roman" w:cs="Times New Roman"/>
          <w:color w:val="313131"/>
          <w:sz w:val="32"/>
          <w:szCs w:val="32"/>
          <w:highlight w:val="white"/>
        </w:rPr>
      </w:pPr>
    </w:p>
    <w:p w14:paraId="43EC1C80" w14:textId="540E42A6" w:rsidR="007E4C28" w:rsidRDefault="007E4C28" w:rsidP="00185A87">
      <w:pPr>
        <w:spacing w:line="360" w:lineRule="auto"/>
        <w:jc w:val="center"/>
        <w:rPr>
          <w:rFonts w:ascii="Times New Roman" w:eastAsia="Times New Roman" w:hAnsi="Times New Roman" w:cs="Times New Roman"/>
          <w:color w:val="313131"/>
          <w:sz w:val="32"/>
          <w:szCs w:val="32"/>
          <w:highlight w:val="white"/>
        </w:rPr>
      </w:pPr>
    </w:p>
    <w:p w14:paraId="421FC694" w14:textId="5811E14C" w:rsidR="007E4C28" w:rsidRDefault="007E4C28" w:rsidP="00185A87">
      <w:pPr>
        <w:spacing w:line="360" w:lineRule="auto"/>
        <w:jc w:val="center"/>
        <w:rPr>
          <w:rFonts w:ascii="Times New Roman" w:eastAsia="Times New Roman" w:hAnsi="Times New Roman" w:cs="Times New Roman"/>
          <w:color w:val="313131"/>
          <w:sz w:val="32"/>
          <w:szCs w:val="32"/>
          <w:highlight w:val="white"/>
        </w:rPr>
      </w:pPr>
    </w:p>
    <w:p w14:paraId="40FD1007" w14:textId="475CBA34" w:rsidR="007E4C28" w:rsidRDefault="007E4C28" w:rsidP="00185A87">
      <w:pPr>
        <w:spacing w:line="360" w:lineRule="auto"/>
        <w:jc w:val="center"/>
        <w:rPr>
          <w:rFonts w:ascii="Times New Roman" w:eastAsia="Times New Roman" w:hAnsi="Times New Roman" w:cs="Times New Roman"/>
          <w:color w:val="313131"/>
          <w:sz w:val="32"/>
          <w:szCs w:val="32"/>
          <w:highlight w:val="white"/>
        </w:rPr>
      </w:pPr>
    </w:p>
    <w:p w14:paraId="4B6038AD" w14:textId="77777777" w:rsidR="007E4C28" w:rsidRPr="00680657" w:rsidRDefault="007E4C28" w:rsidP="00185A87">
      <w:pPr>
        <w:spacing w:line="360" w:lineRule="auto"/>
        <w:jc w:val="center"/>
        <w:rPr>
          <w:rFonts w:eastAsia="Times New Roman"/>
          <w:color w:val="313131"/>
          <w:sz w:val="32"/>
          <w:szCs w:val="32"/>
          <w:highlight w:val="white"/>
        </w:rPr>
      </w:pPr>
    </w:p>
    <w:p w14:paraId="585802FF" w14:textId="77777777" w:rsidR="00680657" w:rsidRPr="00680657" w:rsidRDefault="007E4C28" w:rsidP="00680657">
      <w:pPr>
        <w:spacing w:line="360" w:lineRule="auto"/>
        <w:jc w:val="center"/>
        <w:rPr>
          <w:rFonts w:eastAsia="Times New Roman"/>
          <w:color w:val="313131"/>
          <w:sz w:val="32"/>
          <w:szCs w:val="32"/>
          <w:highlight w:val="white"/>
        </w:rPr>
      </w:pPr>
      <w:r w:rsidRPr="00680657">
        <w:rPr>
          <w:rFonts w:eastAsia="Times New Roman"/>
          <w:color w:val="313131"/>
          <w:sz w:val="32"/>
          <w:szCs w:val="32"/>
          <w:highlight w:val="white"/>
        </w:rPr>
        <w:t>"</w:t>
      </w:r>
      <w:r w:rsidRPr="00680657">
        <w:rPr>
          <w:rFonts w:eastAsia="Times New Roman"/>
          <w:b/>
          <w:color w:val="313131"/>
          <w:sz w:val="32"/>
          <w:szCs w:val="32"/>
          <w:highlight w:val="white"/>
        </w:rPr>
        <w:t xml:space="preserve">DOES POPULATION AGEING POSE A CHALLENGE FOR </w:t>
      </w:r>
    </w:p>
    <w:p w14:paraId="2FDE5DBB" w14:textId="77777777" w:rsidR="00005D8E" w:rsidRDefault="007E4C28" w:rsidP="00005D8E">
      <w:pPr>
        <w:spacing w:line="360" w:lineRule="auto"/>
        <w:jc w:val="center"/>
        <w:rPr>
          <w:rFonts w:eastAsia="Times New Roman"/>
          <w:color w:val="313131"/>
          <w:sz w:val="28"/>
          <w:szCs w:val="28"/>
        </w:rPr>
      </w:pPr>
      <w:r w:rsidRPr="00680657">
        <w:rPr>
          <w:rFonts w:eastAsia="Times New Roman"/>
          <w:b/>
          <w:color w:val="313131"/>
          <w:sz w:val="32"/>
          <w:szCs w:val="32"/>
          <w:highlight w:val="white"/>
        </w:rPr>
        <w:t>HEALTH AND SOCIAL</w:t>
      </w:r>
      <w:r w:rsidR="00005D8E">
        <w:rPr>
          <w:rFonts w:eastAsia="Times New Roman"/>
          <w:b/>
          <w:color w:val="313131"/>
          <w:sz w:val="32"/>
          <w:szCs w:val="32"/>
        </w:rPr>
        <w:t xml:space="preserve"> CARE</w:t>
      </w:r>
      <w:r w:rsidR="00005D8E">
        <w:rPr>
          <w:rFonts w:eastAsia="Times New Roman"/>
          <w:color w:val="313131"/>
          <w:sz w:val="28"/>
          <w:szCs w:val="28"/>
        </w:rPr>
        <w:t xml:space="preserve">   </w:t>
      </w:r>
    </w:p>
    <w:p w14:paraId="2BD0D773" w14:textId="77777777" w:rsidR="00005D8E" w:rsidRDefault="00005D8E" w:rsidP="00005D8E">
      <w:pPr>
        <w:spacing w:line="360" w:lineRule="auto"/>
        <w:jc w:val="center"/>
        <w:rPr>
          <w:rFonts w:eastAsia="Times New Roman"/>
          <w:color w:val="313131"/>
          <w:sz w:val="28"/>
          <w:szCs w:val="28"/>
        </w:rPr>
      </w:pPr>
    </w:p>
    <w:p w14:paraId="267C097A" w14:textId="77777777" w:rsidR="00005D8E" w:rsidRDefault="00005D8E" w:rsidP="00005D8E">
      <w:pPr>
        <w:spacing w:line="360" w:lineRule="auto"/>
        <w:jc w:val="center"/>
        <w:rPr>
          <w:rFonts w:eastAsia="Times New Roman"/>
          <w:color w:val="313131"/>
          <w:sz w:val="28"/>
          <w:szCs w:val="28"/>
        </w:rPr>
      </w:pPr>
      <w:r>
        <w:rPr>
          <w:rFonts w:eastAsia="Times New Roman"/>
          <w:color w:val="313131"/>
          <w:sz w:val="28"/>
          <w:szCs w:val="28"/>
        </w:rPr>
        <w:t xml:space="preserve">  </w:t>
      </w:r>
    </w:p>
    <w:p w14:paraId="12D00017" w14:textId="77777777" w:rsidR="00005D8E" w:rsidRDefault="00005D8E" w:rsidP="00005D8E">
      <w:pPr>
        <w:spacing w:line="360" w:lineRule="auto"/>
        <w:jc w:val="center"/>
        <w:rPr>
          <w:rFonts w:eastAsia="Times New Roman"/>
          <w:color w:val="313131"/>
          <w:sz w:val="28"/>
          <w:szCs w:val="28"/>
        </w:rPr>
      </w:pPr>
    </w:p>
    <w:p w14:paraId="12D44EDF" w14:textId="77777777" w:rsidR="00005D8E" w:rsidRDefault="00005D8E" w:rsidP="006C5657">
      <w:pPr>
        <w:spacing w:line="360" w:lineRule="auto"/>
        <w:jc w:val="both"/>
        <w:rPr>
          <w:rFonts w:eastAsia="Times New Roman"/>
          <w:color w:val="313131"/>
          <w:sz w:val="28"/>
          <w:szCs w:val="28"/>
        </w:rPr>
      </w:pPr>
      <w:r>
        <w:rPr>
          <w:rFonts w:eastAsia="Times New Roman"/>
          <w:color w:val="313131"/>
          <w:sz w:val="28"/>
          <w:szCs w:val="28"/>
        </w:rPr>
        <w:t xml:space="preserve"> </w:t>
      </w:r>
    </w:p>
    <w:p w14:paraId="39036BE0" w14:textId="77777777" w:rsidR="00005D8E" w:rsidRDefault="00005D8E" w:rsidP="006C5657">
      <w:pPr>
        <w:spacing w:line="360" w:lineRule="auto"/>
        <w:jc w:val="both"/>
        <w:rPr>
          <w:rFonts w:eastAsia="Times New Roman"/>
          <w:color w:val="313131"/>
          <w:sz w:val="28"/>
          <w:szCs w:val="28"/>
        </w:rPr>
      </w:pPr>
      <w:r>
        <w:rPr>
          <w:rFonts w:eastAsia="Times New Roman"/>
          <w:color w:val="313131"/>
          <w:sz w:val="28"/>
          <w:szCs w:val="28"/>
        </w:rPr>
        <w:t xml:space="preserve"> Module name: BMHP6009-LON </w:t>
      </w:r>
    </w:p>
    <w:p w14:paraId="3E46DD34" w14:textId="77777777" w:rsidR="00005D8E" w:rsidRDefault="00005D8E" w:rsidP="006C5657">
      <w:pPr>
        <w:spacing w:line="360" w:lineRule="auto"/>
        <w:jc w:val="both"/>
        <w:rPr>
          <w:rFonts w:eastAsia="Times New Roman"/>
          <w:color w:val="313131"/>
          <w:sz w:val="28"/>
          <w:szCs w:val="28"/>
        </w:rPr>
      </w:pPr>
      <w:r>
        <w:rPr>
          <w:rFonts w:eastAsia="Times New Roman"/>
          <w:color w:val="313131"/>
          <w:sz w:val="28"/>
          <w:szCs w:val="28"/>
        </w:rPr>
        <w:t xml:space="preserve"> Student name: Ramona Marza </w:t>
      </w:r>
    </w:p>
    <w:p w14:paraId="19AD27AF" w14:textId="370521C5" w:rsidR="00005D8E" w:rsidRDefault="006C5657" w:rsidP="006C5657">
      <w:pPr>
        <w:spacing w:line="360" w:lineRule="auto"/>
        <w:jc w:val="both"/>
        <w:rPr>
          <w:rFonts w:eastAsia="Times New Roman"/>
          <w:color w:val="313131"/>
          <w:sz w:val="28"/>
          <w:szCs w:val="28"/>
        </w:rPr>
      </w:pPr>
      <w:r>
        <w:rPr>
          <w:rFonts w:eastAsia="Times New Roman"/>
          <w:color w:val="313131"/>
          <w:sz w:val="28"/>
          <w:szCs w:val="28"/>
        </w:rPr>
        <w:t xml:space="preserve"> </w:t>
      </w:r>
      <w:r w:rsidR="00005D8E">
        <w:rPr>
          <w:rFonts w:eastAsia="Times New Roman"/>
          <w:color w:val="313131"/>
          <w:sz w:val="28"/>
          <w:szCs w:val="28"/>
        </w:rPr>
        <w:t>Student ID:1919636</w:t>
      </w:r>
    </w:p>
    <w:p w14:paraId="00000005" w14:textId="4FF933A5" w:rsidR="0058112D" w:rsidRPr="00005D8E" w:rsidRDefault="00005D8E" w:rsidP="006C5657">
      <w:pPr>
        <w:spacing w:line="360" w:lineRule="auto"/>
        <w:jc w:val="both"/>
        <w:rPr>
          <w:rFonts w:eastAsia="Times New Roman"/>
          <w:color w:val="313131"/>
          <w:sz w:val="32"/>
          <w:szCs w:val="32"/>
        </w:rPr>
      </w:pPr>
      <w:r>
        <w:rPr>
          <w:rFonts w:eastAsia="Times New Roman"/>
          <w:color w:val="313131"/>
          <w:sz w:val="28"/>
          <w:szCs w:val="28"/>
        </w:rPr>
        <w:t xml:space="preserve"> Lecturer name: Dio</w:t>
      </w:r>
      <w:r w:rsidR="00F57F1A">
        <w:rPr>
          <w:rFonts w:eastAsia="Times New Roman"/>
          <w:color w:val="313131"/>
          <w:sz w:val="28"/>
          <w:szCs w:val="28"/>
        </w:rPr>
        <w:t>la Bijhout</w:t>
      </w:r>
      <w:r w:rsidR="007E4C28">
        <w:br w:type="page"/>
      </w:r>
    </w:p>
    <w:p w14:paraId="3A46034E" w14:textId="77777777" w:rsidR="007E4C28" w:rsidRPr="006547F9" w:rsidRDefault="00000000" w:rsidP="00185A87">
      <w:pPr>
        <w:spacing w:line="360" w:lineRule="auto"/>
        <w:jc w:val="center"/>
        <w:rPr>
          <w:rFonts w:eastAsia="Times New Roman"/>
          <w:b/>
          <w:color w:val="000000" w:themeColor="text1"/>
          <w:sz w:val="24"/>
          <w:szCs w:val="24"/>
        </w:rPr>
      </w:pPr>
      <w:r w:rsidRPr="006547F9">
        <w:rPr>
          <w:rFonts w:eastAsia="Times New Roman"/>
          <w:b/>
          <w:color w:val="000000" w:themeColor="text1"/>
          <w:sz w:val="24"/>
          <w:szCs w:val="24"/>
          <w:highlight w:val="white"/>
        </w:rPr>
        <w:lastRenderedPageBreak/>
        <w:t>Table of Contents</w:t>
      </w:r>
    </w:p>
    <w:p w14:paraId="1F6CD79C" w14:textId="6CAF3D5F" w:rsidR="007E4C28" w:rsidRPr="006547F9" w:rsidRDefault="007E4C28" w:rsidP="00185A87">
      <w:pPr>
        <w:pStyle w:val="TableofFigures"/>
        <w:tabs>
          <w:tab w:val="right" w:leader="dot" w:pos="9350"/>
        </w:tabs>
        <w:spacing w:line="360" w:lineRule="auto"/>
        <w:rPr>
          <w:rFonts w:eastAsiaTheme="minorEastAsia"/>
          <w:noProof/>
          <w:color w:val="000000" w:themeColor="text1"/>
          <w:sz w:val="24"/>
          <w:szCs w:val="24"/>
          <w:lang w:val="en-IN"/>
        </w:rPr>
      </w:pPr>
      <w:r w:rsidRPr="006547F9">
        <w:rPr>
          <w:rFonts w:eastAsia="Times New Roman"/>
          <w:b/>
          <w:color w:val="000000" w:themeColor="text1"/>
          <w:sz w:val="24"/>
          <w:szCs w:val="24"/>
          <w:highlight w:val="white"/>
        </w:rPr>
        <w:fldChar w:fldCharType="begin"/>
      </w:r>
      <w:r w:rsidRPr="006547F9">
        <w:rPr>
          <w:rFonts w:eastAsia="Times New Roman"/>
          <w:b/>
          <w:color w:val="000000" w:themeColor="text1"/>
          <w:sz w:val="24"/>
          <w:szCs w:val="24"/>
          <w:highlight w:val="white"/>
        </w:rPr>
        <w:instrText xml:space="preserve"> TOC \h \z \t "Heading 1" \c </w:instrText>
      </w:r>
      <w:r w:rsidRPr="006547F9">
        <w:rPr>
          <w:rFonts w:eastAsia="Times New Roman"/>
          <w:b/>
          <w:color w:val="000000" w:themeColor="text1"/>
          <w:sz w:val="24"/>
          <w:szCs w:val="24"/>
          <w:highlight w:val="white"/>
        </w:rPr>
        <w:fldChar w:fldCharType="separate"/>
      </w:r>
      <w:hyperlink w:anchor="_Toc119440411" w:history="1">
        <w:r w:rsidRPr="006547F9">
          <w:rPr>
            <w:rStyle w:val="Hyperlink"/>
            <w:noProof/>
            <w:color w:val="000000" w:themeColor="text1"/>
            <w:sz w:val="24"/>
            <w:szCs w:val="24"/>
            <w:highlight w:val="white"/>
          </w:rPr>
          <w:t>Introduction</w:t>
        </w:r>
        <w:r w:rsidRPr="006547F9">
          <w:rPr>
            <w:noProof/>
            <w:webHidden/>
            <w:color w:val="000000" w:themeColor="text1"/>
            <w:sz w:val="24"/>
            <w:szCs w:val="24"/>
          </w:rPr>
          <w:tab/>
        </w:r>
        <w:r w:rsidRPr="006547F9">
          <w:rPr>
            <w:noProof/>
            <w:webHidden/>
            <w:color w:val="000000" w:themeColor="text1"/>
            <w:sz w:val="24"/>
            <w:szCs w:val="24"/>
          </w:rPr>
          <w:fldChar w:fldCharType="begin"/>
        </w:r>
        <w:r w:rsidRPr="006547F9">
          <w:rPr>
            <w:noProof/>
            <w:webHidden/>
            <w:color w:val="000000" w:themeColor="text1"/>
            <w:sz w:val="24"/>
            <w:szCs w:val="24"/>
          </w:rPr>
          <w:instrText xml:space="preserve"> PAGEREF _Toc119440411 \h </w:instrText>
        </w:r>
        <w:r w:rsidRPr="006547F9">
          <w:rPr>
            <w:noProof/>
            <w:webHidden/>
            <w:color w:val="000000" w:themeColor="text1"/>
            <w:sz w:val="24"/>
            <w:szCs w:val="24"/>
          </w:rPr>
        </w:r>
        <w:r w:rsidRPr="006547F9">
          <w:rPr>
            <w:noProof/>
            <w:webHidden/>
            <w:color w:val="000000" w:themeColor="text1"/>
            <w:sz w:val="24"/>
            <w:szCs w:val="24"/>
          </w:rPr>
          <w:fldChar w:fldCharType="separate"/>
        </w:r>
        <w:r w:rsidRPr="006547F9">
          <w:rPr>
            <w:noProof/>
            <w:webHidden/>
            <w:color w:val="000000" w:themeColor="text1"/>
            <w:sz w:val="24"/>
            <w:szCs w:val="24"/>
          </w:rPr>
          <w:t>2</w:t>
        </w:r>
        <w:r w:rsidRPr="006547F9">
          <w:rPr>
            <w:noProof/>
            <w:webHidden/>
            <w:color w:val="000000" w:themeColor="text1"/>
            <w:sz w:val="24"/>
            <w:szCs w:val="24"/>
          </w:rPr>
          <w:fldChar w:fldCharType="end"/>
        </w:r>
      </w:hyperlink>
    </w:p>
    <w:p w14:paraId="2D98372B" w14:textId="6BD2A401" w:rsidR="007E4C28" w:rsidRPr="006547F9" w:rsidRDefault="00000000" w:rsidP="00185A87">
      <w:pPr>
        <w:pStyle w:val="TableofFigures"/>
        <w:tabs>
          <w:tab w:val="right" w:leader="dot" w:pos="9350"/>
        </w:tabs>
        <w:spacing w:line="360" w:lineRule="auto"/>
        <w:rPr>
          <w:rFonts w:eastAsiaTheme="minorEastAsia"/>
          <w:noProof/>
          <w:color w:val="000000" w:themeColor="text1"/>
          <w:sz w:val="24"/>
          <w:szCs w:val="24"/>
          <w:lang w:val="en-IN"/>
        </w:rPr>
      </w:pPr>
      <w:hyperlink w:anchor="_Toc119440412" w:history="1">
        <w:r w:rsidR="007E4C28" w:rsidRPr="006547F9">
          <w:rPr>
            <w:rStyle w:val="Hyperlink"/>
            <w:noProof/>
            <w:color w:val="000000" w:themeColor="text1"/>
            <w:sz w:val="24"/>
            <w:szCs w:val="24"/>
            <w:highlight w:val="white"/>
          </w:rPr>
          <w:t>Ageing population does not pose any kind of challenge for the health and social care system</w:t>
        </w:r>
        <w:r w:rsidR="007E4C28" w:rsidRPr="006547F9">
          <w:rPr>
            <w:noProof/>
            <w:webHidden/>
            <w:color w:val="000000" w:themeColor="text1"/>
            <w:sz w:val="24"/>
            <w:szCs w:val="24"/>
          </w:rPr>
          <w:tab/>
        </w:r>
        <w:r w:rsidR="007E4C28" w:rsidRPr="006547F9">
          <w:rPr>
            <w:noProof/>
            <w:webHidden/>
            <w:color w:val="000000" w:themeColor="text1"/>
            <w:sz w:val="24"/>
            <w:szCs w:val="24"/>
          </w:rPr>
          <w:fldChar w:fldCharType="begin"/>
        </w:r>
        <w:r w:rsidR="007E4C28" w:rsidRPr="006547F9">
          <w:rPr>
            <w:noProof/>
            <w:webHidden/>
            <w:color w:val="000000" w:themeColor="text1"/>
            <w:sz w:val="24"/>
            <w:szCs w:val="24"/>
          </w:rPr>
          <w:instrText xml:space="preserve"> PAGEREF _Toc119440412 \h </w:instrText>
        </w:r>
        <w:r w:rsidR="007E4C28" w:rsidRPr="006547F9">
          <w:rPr>
            <w:noProof/>
            <w:webHidden/>
            <w:color w:val="000000" w:themeColor="text1"/>
            <w:sz w:val="24"/>
            <w:szCs w:val="24"/>
          </w:rPr>
        </w:r>
        <w:r w:rsidR="007E4C28" w:rsidRPr="006547F9">
          <w:rPr>
            <w:noProof/>
            <w:webHidden/>
            <w:color w:val="000000" w:themeColor="text1"/>
            <w:sz w:val="24"/>
            <w:szCs w:val="24"/>
          </w:rPr>
          <w:fldChar w:fldCharType="separate"/>
        </w:r>
        <w:r w:rsidR="007E4C28" w:rsidRPr="006547F9">
          <w:rPr>
            <w:noProof/>
            <w:webHidden/>
            <w:color w:val="000000" w:themeColor="text1"/>
            <w:sz w:val="24"/>
            <w:szCs w:val="24"/>
          </w:rPr>
          <w:t>2</w:t>
        </w:r>
        <w:r w:rsidR="007E4C28" w:rsidRPr="006547F9">
          <w:rPr>
            <w:noProof/>
            <w:webHidden/>
            <w:color w:val="000000" w:themeColor="text1"/>
            <w:sz w:val="24"/>
            <w:szCs w:val="24"/>
          </w:rPr>
          <w:fldChar w:fldCharType="end"/>
        </w:r>
      </w:hyperlink>
    </w:p>
    <w:p w14:paraId="438928A4" w14:textId="18193DCE" w:rsidR="007E4C28" w:rsidRPr="006547F9" w:rsidRDefault="00000000" w:rsidP="00185A87">
      <w:pPr>
        <w:pStyle w:val="TableofFigures"/>
        <w:tabs>
          <w:tab w:val="right" w:leader="dot" w:pos="9350"/>
        </w:tabs>
        <w:spacing w:line="360" w:lineRule="auto"/>
        <w:rPr>
          <w:rFonts w:eastAsiaTheme="minorEastAsia"/>
          <w:noProof/>
          <w:color w:val="000000" w:themeColor="text1"/>
          <w:sz w:val="24"/>
          <w:szCs w:val="24"/>
          <w:lang w:val="en-IN"/>
        </w:rPr>
      </w:pPr>
      <w:hyperlink w:anchor="_Toc119440413" w:history="1">
        <w:r w:rsidR="007E4C28" w:rsidRPr="006547F9">
          <w:rPr>
            <w:rStyle w:val="Hyperlink"/>
            <w:noProof/>
            <w:color w:val="000000" w:themeColor="text1"/>
            <w:sz w:val="24"/>
            <w:szCs w:val="24"/>
            <w:highlight w:val="white"/>
          </w:rPr>
          <w:t>Conclusion</w:t>
        </w:r>
        <w:r w:rsidR="007E4C28" w:rsidRPr="006547F9">
          <w:rPr>
            <w:noProof/>
            <w:webHidden/>
            <w:color w:val="000000" w:themeColor="text1"/>
            <w:sz w:val="24"/>
            <w:szCs w:val="24"/>
          </w:rPr>
          <w:tab/>
        </w:r>
        <w:r w:rsidR="007E4C28" w:rsidRPr="006547F9">
          <w:rPr>
            <w:noProof/>
            <w:webHidden/>
            <w:color w:val="000000" w:themeColor="text1"/>
            <w:sz w:val="24"/>
            <w:szCs w:val="24"/>
          </w:rPr>
          <w:fldChar w:fldCharType="begin"/>
        </w:r>
        <w:r w:rsidR="007E4C28" w:rsidRPr="006547F9">
          <w:rPr>
            <w:noProof/>
            <w:webHidden/>
            <w:color w:val="000000" w:themeColor="text1"/>
            <w:sz w:val="24"/>
            <w:szCs w:val="24"/>
          </w:rPr>
          <w:instrText xml:space="preserve"> PAGEREF _Toc119440413 \h </w:instrText>
        </w:r>
        <w:r w:rsidR="007E4C28" w:rsidRPr="006547F9">
          <w:rPr>
            <w:noProof/>
            <w:webHidden/>
            <w:color w:val="000000" w:themeColor="text1"/>
            <w:sz w:val="24"/>
            <w:szCs w:val="24"/>
          </w:rPr>
        </w:r>
        <w:r w:rsidR="007E4C28" w:rsidRPr="006547F9">
          <w:rPr>
            <w:noProof/>
            <w:webHidden/>
            <w:color w:val="000000" w:themeColor="text1"/>
            <w:sz w:val="24"/>
            <w:szCs w:val="24"/>
          </w:rPr>
          <w:fldChar w:fldCharType="separate"/>
        </w:r>
        <w:r w:rsidR="007E4C28" w:rsidRPr="006547F9">
          <w:rPr>
            <w:noProof/>
            <w:webHidden/>
            <w:color w:val="000000" w:themeColor="text1"/>
            <w:sz w:val="24"/>
            <w:szCs w:val="24"/>
          </w:rPr>
          <w:t>4</w:t>
        </w:r>
        <w:r w:rsidR="007E4C28" w:rsidRPr="006547F9">
          <w:rPr>
            <w:noProof/>
            <w:webHidden/>
            <w:color w:val="000000" w:themeColor="text1"/>
            <w:sz w:val="24"/>
            <w:szCs w:val="24"/>
          </w:rPr>
          <w:fldChar w:fldCharType="end"/>
        </w:r>
      </w:hyperlink>
    </w:p>
    <w:p w14:paraId="7FE8E202" w14:textId="08CC92C1" w:rsidR="007E4C28" w:rsidRPr="006547F9" w:rsidRDefault="00000000" w:rsidP="00185A87">
      <w:pPr>
        <w:pStyle w:val="TableofFigures"/>
        <w:tabs>
          <w:tab w:val="right" w:leader="dot" w:pos="9350"/>
        </w:tabs>
        <w:spacing w:line="360" w:lineRule="auto"/>
        <w:rPr>
          <w:rFonts w:eastAsiaTheme="minorEastAsia"/>
          <w:noProof/>
          <w:color w:val="000000" w:themeColor="text1"/>
          <w:sz w:val="24"/>
          <w:szCs w:val="24"/>
          <w:lang w:val="en-IN"/>
        </w:rPr>
      </w:pPr>
      <w:hyperlink w:anchor="_Toc119440414" w:history="1">
        <w:r w:rsidR="007E4C28" w:rsidRPr="006547F9">
          <w:rPr>
            <w:rStyle w:val="Hyperlink"/>
            <w:noProof/>
            <w:color w:val="000000" w:themeColor="text1"/>
            <w:sz w:val="24"/>
            <w:szCs w:val="24"/>
            <w:highlight w:val="white"/>
          </w:rPr>
          <w:t>References</w:t>
        </w:r>
        <w:r w:rsidR="007E4C28" w:rsidRPr="006547F9">
          <w:rPr>
            <w:noProof/>
            <w:webHidden/>
            <w:color w:val="000000" w:themeColor="text1"/>
            <w:sz w:val="24"/>
            <w:szCs w:val="24"/>
          </w:rPr>
          <w:tab/>
        </w:r>
        <w:r w:rsidR="007E4C28" w:rsidRPr="006547F9">
          <w:rPr>
            <w:noProof/>
            <w:webHidden/>
            <w:color w:val="000000" w:themeColor="text1"/>
            <w:sz w:val="24"/>
            <w:szCs w:val="24"/>
          </w:rPr>
          <w:fldChar w:fldCharType="begin"/>
        </w:r>
        <w:r w:rsidR="007E4C28" w:rsidRPr="006547F9">
          <w:rPr>
            <w:noProof/>
            <w:webHidden/>
            <w:color w:val="000000" w:themeColor="text1"/>
            <w:sz w:val="24"/>
            <w:szCs w:val="24"/>
          </w:rPr>
          <w:instrText xml:space="preserve"> PAGEREF _Toc119440414 \h </w:instrText>
        </w:r>
        <w:r w:rsidR="007E4C28" w:rsidRPr="006547F9">
          <w:rPr>
            <w:noProof/>
            <w:webHidden/>
            <w:color w:val="000000" w:themeColor="text1"/>
            <w:sz w:val="24"/>
            <w:szCs w:val="24"/>
          </w:rPr>
        </w:r>
        <w:r w:rsidR="007E4C28" w:rsidRPr="006547F9">
          <w:rPr>
            <w:noProof/>
            <w:webHidden/>
            <w:color w:val="000000" w:themeColor="text1"/>
            <w:sz w:val="24"/>
            <w:szCs w:val="24"/>
          </w:rPr>
          <w:fldChar w:fldCharType="separate"/>
        </w:r>
        <w:r w:rsidR="007E4C28" w:rsidRPr="006547F9">
          <w:rPr>
            <w:noProof/>
            <w:webHidden/>
            <w:color w:val="000000" w:themeColor="text1"/>
            <w:sz w:val="24"/>
            <w:szCs w:val="24"/>
          </w:rPr>
          <w:t>5</w:t>
        </w:r>
        <w:r w:rsidR="007E4C28" w:rsidRPr="006547F9">
          <w:rPr>
            <w:noProof/>
            <w:webHidden/>
            <w:color w:val="000000" w:themeColor="text1"/>
            <w:sz w:val="24"/>
            <w:szCs w:val="24"/>
          </w:rPr>
          <w:fldChar w:fldCharType="end"/>
        </w:r>
      </w:hyperlink>
    </w:p>
    <w:p w14:paraId="00000006" w14:textId="24335D0A" w:rsidR="0058112D" w:rsidRPr="006547F9" w:rsidRDefault="007E4C28" w:rsidP="00185A87">
      <w:pPr>
        <w:spacing w:line="360" w:lineRule="auto"/>
        <w:jc w:val="center"/>
        <w:rPr>
          <w:rFonts w:eastAsia="Times New Roman"/>
          <w:b/>
          <w:color w:val="000000" w:themeColor="text1"/>
          <w:sz w:val="24"/>
          <w:szCs w:val="24"/>
          <w:highlight w:val="white"/>
        </w:rPr>
      </w:pPr>
      <w:r w:rsidRPr="006547F9">
        <w:rPr>
          <w:rFonts w:eastAsia="Times New Roman"/>
          <w:b/>
          <w:color w:val="000000" w:themeColor="text1"/>
          <w:sz w:val="24"/>
          <w:szCs w:val="24"/>
          <w:highlight w:val="white"/>
        </w:rPr>
        <w:fldChar w:fldCharType="end"/>
      </w:r>
      <w:r w:rsidRPr="006547F9">
        <w:rPr>
          <w:color w:val="000000" w:themeColor="text1"/>
        </w:rPr>
        <w:br w:type="page"/>
      </w:r>
    </w:p>
    <w:p w14:paraId="00000007" w14:textId="29CFEFBF" w:rsidR="0058112D" w:rsidRPr="006547F9" w:rsidRDefault="00000000" w:rsidP="00185A87">
      <w:pPr>
        <w:pStyle w:val="Heading1"/>
        <w:rPr>
          <w:rFonts w:ascii="Arial" w:hAnsi="Arial"/>
          <w:highlight w:val="white"/>
        </w:rPr>
      </w:pPr>
      <w:bookmarkStart w:id="0" w:name="_Toc119440411"/>
      <w:r w:rsidRPr="006547F9">
        <w:rPr>
          <w:rFonts w:ascii="Arial" w:hAnsi="Arial"/>
          <w:highlight w:val="white"/>
        </w:rPr>
        <w:lastRenderedPageBreak/>
        <w:t>Introduction</w:t>
      </w:r>
      <w:bookmarkEnd w:id="0"/>
      <w:r w:rsidRPr="006547F9">
        <w:rPr>
          <w:rFonts w:ascii="Arial" w:hAnsi="Arial"/>
          <w:highlight w:val="white"/>
        </w:rPr>
        <w:t xml:space="preserve"> </w:t>
      </w:r>
    </w:p>
    <w:p w14:paraId="00000008" w14:textId="7E585024" w:rsidR="0058112D" w:rsidRPr="006547F9" w:rsidRDefault="00000000" w:rsidP="00185A87">
      <w:pPr>
        <w:spacing w:line="360" w:lineRule="auto"/>
        <w:jc w:val="both"/>
        <w:rPr>
          <w:rFonts w:eastAsia="Times New Roman"/>
          <w:b/>
          <w:bCs/>
          <w:color w:val="000000" w:themeColor="text1"/>
          <w:sz w:val="32"/>
          <w:szCs w:val="32"/>
          <w:highlight w:val="white"/>
        </w:rPr>
      </w:pPr>
      <w:r w:rsidRPr="006547F9">
        <w:rPr>
          <w:rFonts w:eastAsia="Times New Roman"/>
          <w:color w:val="000000" w:themeColor="text1"/>
          <w:sz w:val="24"/>
          <w:szCs w:val="24"/>
          <w:highlight w:val="white"/>
        </w:rPr>
        <w:t xml:space="preserve">Population ageing along with the public health expenditure is primarily dedicated in terms of the older dependent individuals presenting certain challenges for the </w:t>
      </w:r>
      <w:r w:rsidR="006A38EE" w:rsidRPr="006547F9">
        <w:rPr>
          <w:rFonts w:eastAsia="Times New Roman"/>
          <w:color w:val="000000" w:themeColor="text1"/>
          <w:sz w:val="24"/>
          <w:szCs w:val="24"/>
          <w:highlight w:val="white"/>
        </w:rPr>
        <w:t xml:space="preserve">United Kingdom </w:t>
      </w:r>
      <w:r w:rsidRPr="006547F9">
        <w:rPr>
          <w:rFonts w:eastAsia="Times New Roman"/>
          <w:color w:val="000000" w:themeColor="text1"/>
          <w:sz w:val="24"/>
          <w:szCs w:val="24"/>
          <w:highlight w:val="white"/>
        </w:rPr>
        <w:t xml:space="preserve">with certain profound implications in terms of economies along with labour markets. Sustainable economic development certainly relies upon the </w:t>
      </w:r>
      <w:r w:rsidR="006547F9" w:rsidRPr="006547F9">
        <w:rPr>
          <w:rFonts w:eastAsia="Times New Roman"/>
          <w:color w:val="000000" w:themeColor="text1"/>
          <w:sz w:val="24"/>
          <w:szCs w:val="24"/>
          <w:highlight w:val="white"/>
        </w:rPr>
        <w:t>well-balanced</w:t>
      </w:r>
      <w:r w:rsidRPr="006547F9">
        <w:rPr>
          <w:rFonts w:eastAsia="Times New Roman"/>
          <w:color w:val="000000" w:themeColor="text1"/>
          <w:sz w:val="24"/>
          <w:szCs w:val="24"/>
          <w:highlight w:val="white"/>
        </w:rPr>
        <w:t xml:space="preserve"> workforce in terms of the young as well as older individuals. However, offering better education to the older </w:t>
      </w:r>
      <w:r w:rsidR="007E4C28" w:rsidRPr="006547F9">
        <w:rPr>
          <w:rFonts w:eastAsia="Times New Roman"/>
          <w:color w:val="000000" w:themeColor="text1"/>
          <w:sz w:val="24"/>
          <w:szCs w:val="24"/>
          <w:highlight w:val="white"/>
        </w:rPr>
        <w:t>adults’</w:t>
      </w:r>
      <w:r w:rsidRPr="006547F9">
        <w:rPr>
          <w:rFonts w:eastAsia="Times New Roman"/>
          <w:color w:val="000000" w:themeColor="text1"/>
          <w:sz w:val="24"/>
          <w:szCs w:val="24"/>
          <w:highlight w:val="white"/>
        </w:rPr>
        <w:t xml:space="preserve"> aids in contributing towards prominent access to details and various </w:t>
      </w:r>
      <w:r w:rsidR="00857277" w:rsidRPr="006547F9">
        <w:rPr>
          <w:rFonts w:eastAsia="Times New Roman"/>
          <w:color w:val="000000" w:themeColor="text1"/>
          <w:sz w:val="24"/>
          <w:szCs w:val="24"/>
          <w:highlight w:val="white"/>
        </w:rPr>
        <w:t>socio-economic</w:t>
      </w:r>
      <w:r w:rsidRPr="006547F9">
        <w:rPr>
          <w:rFonts w:eastAsia="Times New Roman"/>
          <w:color w:val="000000" w:themeColor="text1"/>
          <w:sz w:val="24"/>
          <w:szCs w:val="24"/>
          <w:highlight w:val="white"/>
        </w:rPr>
        <w:t xml:space="preserve"> resources. The purpose of this study is to shed light on the fact that an increase in the ageing population does not aid in posing any kind of challenge for the health as well as social care system. </w:t>
      </w:r>
    </w:p>
    <w:p w14:paraId="00000009" w14:textId="7DAE8203" w:rsidR="0058112D" w:rsidRPr="006547F9" w:rsidRDefault="00000000" w:rsidP="00185A87">
      <w:pPr>
        <w:pStyle w:val="Heading1"/>
        <w:rPr>
          <w:rFonts w:ascii="Arial" w:hAnsi="Arial"/>
          <w:highlight w:val="white"/>
        </w:rPr>
      </w:pPr>
      <w:bookmarkStart w:id="1" w:name="_Toc119440412"/>
      <w:r w:rsidRPr="006547F9">
        <w:rPr>
          <w:rFonts w:ascii="Arial" w:hAnsi="Arial"/>
          <w:highlight w:val="white"/>
        </w:rPr>
        <w:t>Ageing population does not pose any kind of challenge for the health and social care system</w:t>
      </w:r>
      <w:bookmarkEnd w:id="1"/>
    </w:p>
    <w:p w14:paraId="6D16E9EE" w14:textId="72E72072" w:rsidR="007E4C28" w:rsidRPr="006547F9" w:rsidRDefault="00000000" w:rsidP="00185A87">
      <w:pPr>
        <w:spacing w:before="100" w:beforeAutospacing="1" w:after="120" w:line="360" w:lineRule="auto"/>
        <w:jc w:val="both"/>
        <w:rPr>
          <w:rFonts w:eastAsia="Times New Roman"/>
          <w:color w:val="000000" w:themeColor="text1"/>
          <w:sz w:val="24"/>
          <w:szCs w:val="24"/>
          <w:lang w:val="en-IN"/>
        </w:rPr>
      </w:pPr>
      <w:r w:rsidRPr="006547F9">
        <w:rPr>
          <w:rFonts w:eastAsia="Times New Roman"/>
          <w:color w:val="000000" w:themeColor="text1"/>
          <w:sz w:val="24"/>
          <w:szCs w:val="24"/>
          <w:highlight w:val="white"/>
        </w:rPr>
        <w:t xml:space="preserve">Older individuals are considered as having the ability of adapting to the change in circumstances and desire in contributing to the society they tend to live in for as long as they possibly can. Other than this, from across developing countries, there is certain evidence in terms of the productivities, creativities, </w:t>
      </w:r>
      <w:r w:rsidR="007C1655" w:rsidRPr="006547F9">
        <w:rPr>
          <w:rFonts w:eastAsia="Times New Roman"/>
          <w:color w:val="000000" w:themeColor="text1"/>
          <w:sz w:val="24"/>
          <w:szCs w:val="24"/>
          <w:highlight w:val="white"/>
        </w:rPr>
        <w:t>vitalities,</w:t>
      </w:r>
      <w:r w:rsidRPr="006547F9">
        <w:rPr>
          <w:rFonts w:eastAsia="Times New Roman"/>
          <w:color w:val="000000" w:themeColor="text1"/>
          <w:sz w:val="24"/>
          <w:szCs w:val="24"/>
          <w:highlight w:val="white"/>
        </w:rPr>
        <w:t xml:space="preserve"> and participation of the older adults within the workplaces, communities, families as well as the respective households (Abdi </w:t>
      </w:r>
      <w:r w:rsidRPr="006547F9">
        <w:rPr>
          <w:rFonts w:eastAsia="Times New Roman"/>
          <w:i/>
          <w:color w:val="000000" w:themeColor="text1"/>
          <w:sz w:val="24"/>
          <w:szCs w:val="24"/>
          <w:highlight w:val="white"/>
        </w:rPr>
        <w:t xml:space="preserve">et al. </w:t>
      </w:r>
      <w:r w:rsidRPr="006547F9">
        <w:rPr>
          <w:rFonts w:eastAsia="Times New Roman"/>
          <w:color w:val="000000" w:themeColor="text1"/>
          <w:sz w:val="24"/>
          <w:szCs w:val="24"/>
          <w:highlight w:val="white"/>
        </w:rPr>
        <w:t xml:space="preserve">2018). </w:t>
      </w:r>
      <w:r w:rsidR="006A38EE" w:rsidRPr="006547F9">
        <w:rPr>
          <w:rFonts w:eastAsia="Times New Roman"/>
          <w:color w:val="000000" w:themeColor="text1"/>
          <w:sz w:val="24"/>
          <w:szCs w:val="24"/>
          <w:highlight w:val="white"/>
        </w:rPr>
        <w:t xml:space="preserve">The number of individuals aged to about 65 years of age and over is anticipated to increase by 1.6% over 2021-2022 to total 12.7 million. This accounts for around 18.9% of the overall population of UK which is the highest proportion (AGEING BETTER, 2021). </w:t>
      </w:r>
      <w:r w:rsidR="009E379A" w:rsidRPr="006547F9">
        <w:rPr>
          <w:rFonts w:eastAsia="Times New Roman"/>
          <w:color w:val="000000" w:themeColor="text1"/>
          <w:sz w:val="24"/>
          <w:szCs w:val="24"/>
          <w:highlight w:val="white"/>
        </w:rPr>
        <w:t xml:space="preserve">In addition to this, average life expectancy has been estimated at 30 years of age across the prominent regions of the world. In this respect, through the help of intervention of public health initiative along with infection control, the average life expectancy is 72 years of age. </w:t>
      </w:r>
      <w:r w:rsidR="009E379A" w:rsidRPr="006547F9">
        <w:rPr>
          <w:color w:val="000000" w:themeColor="text1"/>
          <w:sz w:val="24"/>
          <w:szCs w:val="24"/>
          <w:shd w:val="clear" w:color="auto" w:fill="FFFFFF"/>
        </w:rPr>
        <w:t>"The number of individuals aged 65 or older is anticipated to climb from an average of 524 million in 2010 to an estimated 1.5 billion in 2050, with the majority of the growth occurring in developing nations.</w:t>
      </w:r>
      <w:r w:rsidR="00EC30C3" w:rsidRPr="006547F9">
        <w:rPr>
          <w:color w:val="000000" w:themeColor="text1"/>
          <w:sz w:val="24"/>
          <w:szCs w:val="24"/>
          <w:shd w:val="clear" w:color="auto" w:fill="FFFFFF"/>
        </w:rPr>
        <w:t>”</w:t>
      </w:r>
      <w:r w:rsidR="001F038C" w:rsidRPr="006547F9">
        <w:rPr>
          <w:color w:val="000000" w:themeColor="text1"/>
          <w:sz w:val="24"/>
          <w:szCs w:val="24"/>
          <w:shd w:val="clear" w:color="auto" w:fill="FFFFFF"/>
        </w:rPr>
        <w:t xml:space="preserve"> Ageing population is found to determine proper experience as well as knowledgeable insights</w:t>
      </w:r>
      <w:r w:rsidR="00185A87" w:rsidRPr="006547F9">
        <w:rPr>
          <w:color w:val="000000" w:themeColor="text1"/>
          <w:sz w:val="24"/>
          <w:szCs w:val="24"/>
          <w:shd w:val="clear" w:color="auto" w:fill="FFFFFF"/>
        </w:rPr>
        <w:t xml:space="preserve">. </w:t>
      </w:r>
      <w:r w:rsidR="00185A87" w:rsidRPr="006547F9">
        <w:rPr>
          <w:rFonts w:eastAsia="Times New Roman"/>
          <w:color w:val="000000" w:themeColor="text1"/>
          <w:sz w:val="24"/>
          <w:szCs w:val="24"/>
          <w:lang w:val="en-IN"/>
        </w:rPr>
        <w:t xml:space="preserve">The country could adopt a pro-natalist policy, encouraging people to have more children by offering them benefits, such as better access to childcare, better conditions for maternity leave and maintaining </w:t>
      </w:r>
      <w:r w:rsidR="00185A87" w:rsidRPr="006547F9">
        <w:rPr>
          <w:rFonts w:eastAsia="Times New Roman"/>
          <w:color w:val="000000" w:themeColor="text1"/>
          <w:sz w:val="24"/>
          <w:szCs w:val="24"/>
          <w:lang w:val="en-IN"/>
        </w:rPr>
        <w:lastRenderedPageBreak/>
        <w:t>child benefits.</w:t>
      </w:r>
      <w:r w:rsidR="00EC30C3" w:rsidRPr="006547F9">
        <w:rPr>
          <w:color w:val="000000" w:themeColor="text1"/>
          <w:sz w:val="24"/>
          <w:szCs w:val="24"/>
          <w:shd w:val="clear" w:color="auto" w:fill="FFFFFF"/>
        </w:rPr>
        <w:t xml:space="preserve"> </w:t>
      </w:r>
      <w:r w:rsidRPr="006547F9">
        <w:rPr>
          <w:rFonts w:eastAsia="Times New Roman"/>
          <w:color w:val="000000" w:themeColor="text1"/>
          <w:sz w:val="24"/>
          <w:szCs w:val="24"/>
          <w:highlight w:val="white"/>
        </w:rPr>
        <w:t xml:space="preserve">In addition to this, an ageing population aids in contributing to economic activity in all parts of the world. </w:t>
      </w:r>
      <w:r w:rsidR="00EC30C3" w:rsidRPr="006547F9">
        <w:rPr>
          <w:rFonts w:eastAsia="Times New Roman"/>
          <w:color w:val="000000" w:themeColor="text1"/>
          <w:sz w:val="24"/>
          <w:szCs w:val="24"/>
          <w:highlight w:val="white"/>
        </w:rPr>
        <w:t>I</w:t>
      </w:r>
      <w:r w:rsidRPr="006547F9">
        <w:rPr>
          <w:rFonts w:eastAsia="Times New Roman"/>
          <w:color w:val="000000" w:themeColor="text1"/>
          <w:sz w:val="24"/>
          <w:szCs w:val="24"/>
          <w:highlight w:val="white"/>
        </w:rPr>
        <w:t>n this respect, prominent proportion of the global food comes from the small holdings which are being managed by the older individuals.</w:t>
      </w:r>
      <w:r w:rsidR="007E4C28" w:rsidRPr="006547F9">
        <w:rPr>
          <w:rFonts w:eastAsia="Times New Roman"/>
          <w:color w:val="000000" w:themeColor="text1"/>
          <w:sz w:val="24"/>
          <w:szCs w:val="24"/>
          <w:highlight w:val="white"/>
        </w:rPr>
        <w:t xml:space="preserve"> </w:t>
      </w:r>
      <w:r w:rsidRPr="006547F9">
        <w:rPr>
          <w:rFonts w:eastAsia="Times New Roman"/>
          <w:color w:val="000000" w:themeColor="text1"/>
          <w:sz w:val="24"/>
          <w:szCs w:val="24"/>
          <w:highlight w:val="white"/>
        </w:rPr>
        <w:t xml:space="preserve">According to the viewpoint of Ghosh </w:t>
      </w:r>
      <w:r w:rsidRPr="006547F9">
        <w:rPr>
          <w:rFonts w:eastAsia="Times New Roman"/>
          <w:i/>
          <w:color w:val="000000" w:themeColor="text1"/>
          <w:sz w:val="24"/>
          <w:szCs w:val="24"/>
          <w:highlight w:val="white"/>
        </w:rPr>
        <w:t xml:space="preserve">et al. </w:t>
      </w:r>
      <w:r w:rsidRPr="006547F9">
        <w:rPr>
          <w:rFonts w:eastAsia="Times New Roman"/>
          <w:color w:val="000000" w:themeColor="text1"/>
          <w:sz w:val="24"/>
          <w:szCs w:val="24"/>
          <w:highlight w:val="white"/>
        </w:rPr>
        <w:t xml:space="preserve">(2020), the ageing population aims to mark a critical milestone in terms of the demographic shift thereby simultaneously catching up with the demand for quality senior care. In terms of the workplace as well as homes, having more seniors can often lead to increase in the respect for the unique backgrounds seeking a balanced as well as diverse techniques in terms of the society needed to be </w:t>
      </w:r>
      <w:r w:rsidR="00FB00CF" w:rsidRPr="006547F9">
        <w:rPr>
          <w:rFonts w:eastAsia="Times New Roman"/>
          <w:color w:val="000000" w:themeColor="text1"/>
          <w:sz w:val="24"/>
          <w:szCs w:val="24"/>
          <w:highlight w:val="white"/>
        </w:rPr>
        <w:t>considered</w:t>
      </w:r>
      <w:r w:rsidRPr="006547F9">
        <w:rPr>
          <w:rFonts w:eastAsia="Times New Roman"/>
          <w:color w:val="000000" w:themeColor="text1"/>
          <w:sz w:val="24"/>
          <w:szCs w:val="24"/>
          <w:highlight w:val="white"/>
        </w:rPr>
        <w:t xml:space="preserve">. As per the views of Daoust (2020), from shortage of staffing at the nursing homes to the age discrimination with respect to workplaces, it often becomes challenging for the seniors on having a quality of life they tend to deserve. As the voting citizens aid in turning 65, it turns out to likely state that the additional legislation would be passed for the purpose of protecting the rights and improve the quality of life in a prominent manner. </w:t>
      </w:r>
      <w:r w:rsidR="009E379A" w:rsidRPr="006547F9">
        <w:rPr>
          <w:rFonts w:eastAsia="Times New Roman"/>
          <w:color w:val="000000" w:themeColor="text1"/>
          <w:sz w:val="24"/>
          <w:szCs w:val="24"/>
          <w:highlight w:val="white"/>
        </w:rPr>
        <w:t xml:space="preserve">Through the help of proper medical intervention, around 60% of this generation would be able ensure management of more </w:t>
      </w:r>
      <w:r w:rsidR="00185A87" w:rsidRPr="006547F9">
        <w:rPr>
          <w:rFonts w:eastAsia="Times New Roman"/>
          <w:color w:val="000000" w:themeColor="text1"/>
          <w:sz w:val="24"/>
          <w:szCs w:val="24"/>
          <w:highlight w:val="white"/>
        </w:rPr>
        <w:t>than</w:t>
      </w:r>
      <w:r w:rsidR="009E379A" w:rsidRPr="006547F9">
        <w:rPr>
          <w:rFonts w:eastAsia="Times New Roman"/>
          <w:color w:val="000000" w:themeColor="text1"/>
          <w:sz w:val="24"/>
          <w:szCs w:val="24"/>
          <w:highlight w:val="white"/>
        </w:rPr>
        <w:t xml:space="preserve"> 1 chronic condition. Management of the chronic conditions as well as the level of disabilities would certainly enhance the financial demands of the healthcare system. </w:t>
      </w:r>
    </w:p>
    <w:p w14:paraId="4BB59185" w14:textId="1B2F2D08" w:rsidR="007E4C28" w:rsidRPr="006547F9" w:rsidRDefault="000E77FC" w:rsidP="00185A87">
      <w:pPr>
        <w:spacing w:line="360" w:lineRule="auto"/>
        <w:jc w:val="both"/>
        <w:rPr>
          <w:rFonts w:eastAsia="Times New Roman"/>
          <w:color w:val="000000" w:themeColor="text1"/>
          <w:sz w:val="24"/>
          <w:szCs w:val="24"/>
          <w:highlight w:val="white"/>
        </w:rPr>
      </w:pPr>
      <w:r w:rsidRPr="006547F9">
        <w:rPr>
          <w:rFonts w:eastAsia="Times New Roman"/>
          <w:color w:val="000000" w:themeColor="text1"/>
          <w:sz w:val="24"/>
          <w:szCs w:val="24"/>
          <w:highlight w:val="white"/>
        </w:rPr>
        <w:t xml:space="preserve">Despite several challenges, it has been found that the ageing individuals tend to consume less and are found to be sedentary as compared to the younger ones. This can be assumed where an older as well as smaller population would emit prominently less amount of CO2 into the atmosphere (Howdon and Rice, 2018). It also aids in entailing a positive impact on global warming. Here, the older individuals are found to transfer certain cultural as well as social wealth to the new generations which turns out to be essential in terms of projecting the future of the society. In addition to this, the ageing population is not being driven by increasing the expectancy of life. </w:t>
      </w:r>
    </w:p>
    <w:p w14:paraId="00F0E994" w14:textId="1EA947BE" w:rsidR="007E4C28" w:rsidRPr="006547F9" w:rsidRDefault="00000000" w:rsidP="00185A87">
      <w:pPr>
        <w:spacing w:line="360" w:lineRule="auto"/>
        <w:jc w:val="both"/>
        <w:rPr>
          <w:rFonts w:eastAsia="Times New Roman"/>
          <w:color w:val="000000" w:themeColor="text1"/>
          <w:sz w:val="24"/>
          <w:szCs w:val="24"/>
          <w:highlight w:val="white"/>
        </w:rPr>
      </w:pPr>
      <w:r w:rsidRPr="006547F9">
        <w:rPr>
          <w:rFonts w:eastAsia="Times New Roman"/>
          <w:color w:val="000000" w:themeColor="text1"/>
          <w:sz w:val="24"/>
          <w:szCs w:val="24"/>
          <w:highlight w:val="white"/>
        </w:rPr>
        <w:t xml:space="preserve">Post the 21st century, the countries are found to experience a prominent fall in the significant number of children. In this respect, it is significant to ensure acknowledgement of the role of the older adults which plays an integral role in the current as well as future societies and economies. It also determines the institutions as well as structure enabling full contribution to the families and communities (Hopwood </w:t>
      </w:r>
      <w:r w:rsidRPr="006547F9">
        <w:rPr>
          <w:rFonts w:eastAsia="Times New Roman"/>
          <w:i/>
          <w:color w:val="000000" w:themeColor="text1"/>
          <w:sz w:val="24"/>
          <w:szCs w:val="24"/>
          <w:highlight w:val="white"/>
        </w:rPr>
        <w:t xml:space="preserve">et al. </w:t>
      </w:r>
      <w:r w:rsidRPr="006547F9">
        <w:rPr>
          <w:rFonts w:eastAsia="Times New Roman"/>
          <w:color w:val="000000" w:themeColor="text1"/>
          <w:sz w:val="24"/>
          <w:szCs w:val="24"/>
          <w:highlight w:val="white"/>
        </w:rPr>
        <w:t xml:space="preserve">2018). </w:t>
      </w:r>
      <w:r w:rsidR="00D607F0" w:rsidRPr="006547F9">
        <w:rPr>
          <w:rFonts w:eastAsia="Times New Roman"/>
          <w:color w:val="000000" w:themeColor="text1"/>
          <w:sz w:val="24"/>
          <w:szCs w:val="24"/>
          <w:highlight w:val="white"/>
        </w:rPr>
        <w:t xml:space="preserve">Evolution of the Covid-19 pandemic has initiated broad spread impact of the virus and certain preventive </w:t>
      </w:r>
      <w:r w:rsidR="00D607F0" w:rsidRPr="006547F9">
        <w:rPr>
          <w:rFonts w:eastAsia="Times New Roman"/>
          <w:color w:val="000000" w:themeColor="text1"/>
          <w:sz w:val="24"/>
          <w:szCs w:val="24"/>
          <w:highlight w:val="white"/>
        </w:rPr>
        <w:lastRenderedPageBreak/>
        <w:t xml:space="preserve">measures being taken for protecting the population. According to the initial reports, around 80% of the deaths have occurred over the age of 65. Raising awareness of the prominent resources can be accessed and make them available to the less technologically savvy older individuals initiating prominent advantage. </w:t>
      </w:r>
      <w:r w:rsidRPr="006547F9">
        <w:rPr>
          <w:rFonts w:eastAsia="Times New Roman"/>
          <w:color w:val="000000" w:themeColor="text1"/>
          <w:sz w:val="24"/>
          <w:szCs w:val="24"/>
          <w:highlight w:val="white"/>
        </w:rPr>
        <w:t xml:space="preserve">In this respect, the society is needed to ensure initiation of preventive healthcare measures for the reduction of certain future expenses. In addition to this, the increase in terms of proportion of the elderly individuals in the population has led to emerge as a growing aspect for the volunteers in the economy in a prominent manner. It has been recognised as a prominent global advantage where the elderly individuals aid in contributing to free labour in terms of communities along with government projects in terms of the retirement. </w:t>
      </w:r>
    </w:p>
    <w:p w14:paraId="0000000A" w14:textId="0F9C7994" w:rsidR="0058112D" w:rsidRPr="006547F9" w:rsidRDefault="00000000" w:rsidP="00185A87">
      <w:pPr>
        <w:spacing w:line="360" w:lineRule="auto"/>
        <w:jc w:val="both"/>
        <w:rPr>
          <w:color w:val="000000" w:themeColor="text1"/>
        </w:rPr>
      </w:pPr>
      <w:r w:rsidRPr="006547F9">
        <w:rPr>
          <w:rFonts w:eastAsia="Times New Roman"/>
          <w:color w:val="000000" w:themeColor="text1"/>
          <w:sz w:val="24"/>
          <w:szCs w:val="24"/>
          <w:highlight w:val="white"/>
        </w:rPr>
        <w:t xml:space="preserve">Older individuals have lived longer and are turned out to be experienced as compared to the younger people. They also turn out to be more familiar with the culture and the ways of life of a prominent group of individuals than their younger counterparts. It is also significant in helping instil prominent tradition and ways of life which turns out to be conducive in terms of longevity. Cost saving is further associated in terms of having to cater to few children as well as the young individuals in the economies (Enssle and Kabisch, 2020). This also resulted in the lowering of public education cost, lowering of health care cost and various other social programmes which are provided. Careful “long term strategic planning” is needed in addressing the challenges that are being associated with respect to the ageing population. Stronger welfare systems and social safety net programmes are required for helping the cushion in terms of elderly post retirement. </w:t>
      </w:r>
    </w:p>
    <w:p w14:paraId="0000000B" w14:textId="77777777" w:rsidR="0058112D" w:rsidRPr="006547F9" w:rsidRDefault="00000000" w:rsidP="00185A87">
      <w:pPr>
        <w:pStyle w:val="Heading1"/>
        <w:rPr>
          <w:rFonts w:ascii="Arial" w:hAnsi="Arial"/>
          <w:highlight w:val="white"/>
        </w:rPr>
      </w:pPr>
      <w:bookmarkStart w:id="2" w:name="_Toc119440413"/>
      <w:r w:rsidRPr="006547F9">
        <w:rPr>
          <w:rFonts w:ascii="Arial" w:hAnsi="Arial"/>
          <w:highlight w:val="white"/>
        </w:rPr>
        <w:t>Conclusion</w:t>
      </w:r>
      <w:bookmarkEnd w:id="2"/>
      <w:r w:rsidRPr="006547F9">
        <w:rPr>
          <w:rFonts w:ascii="Arial" w:hAnsi="Arial"/>
          <w:highlight w:val="white"/>
        </w:rPr>
        <w:t xml:space="preserve"> </w:t>
      </w:r>
    </w:p>
    <w:p w14:paraId="0000000C" w14:textId="77777777" w:rsidR="0058112D" w:rsidRPr="006547F9" w:rsidRDefault="00000000" w:rsidP="00185A87">
      <w:pPr>
        <w:spacing w:line="360" w:lineRule="auto"/>
        <w:jc w:val="both"/>
        <w:rPr>
          <w:rFonts w:eastAsia="Times New Roman"/>
          <w:color w:val="000000" w:themeColor="text1"/>
          <w:sz w:val="24"/>
          <w:szCs w:val="24"/>
          <w:highlight w:val="white"/>
        </w:rPr>
      </w:pPr>
      <w:r w:rsidRPr="006547F9">
        <w:rPr>
          <w:rFonts w:eastAsia="Times New Roman"/>
          <w:color w:val="000000" w:themeColor="text1"/>
          <w:sz w:val="24"/>
          <w:szCs w:val="24"/>
          <w:highlight w:val="white"/>
        </w:rPr>
        <w:t xml:space="preserve"> Broad ranging population ageing is certainly associated with the consequences in the form of increase in cost for households, strains on the public finances as well as decrease in economic growth. By thorough analysis of the above study, age comes with certain experience and in this respect, the seniors are found to bring wealth in terms of the complex as well as interesting life lessons to any kind of social groups they tend to participate in. Apart from this, it also helps in creating a prominent sustainable society and the cost which is associated with the ageing population turns out to be quite manageable in a proper and significant manner. </w:t>
      </w:r>
      <w:r w:rsidRPr="006547F9">
        <w:rPr>
          <w:color w:val="000000" w:themeColor="text1"/>
        </w:rPr>
        <w:br w:type="page"/>
      </w:r>
    </w:p>
    <w:p w14:paraId="0000000D" w14:textId="77777777" w:rsidR="0058112D" w:rsidRPr="006547F9" w:rsidRDefault="00000000" w:rsidP="00185A87">
      <w:pPr>
        <w:pStyle w:val="Heading1"/>
        <w:rPr>
          <w:rFonts w:ascii="Arial" w:hAnsi="Arial"/>
          <w:highlight w:val="white"/>
        </w:rPr>
      </w:pPr>
      <w:bookmarkStart w:id="3" w:name="_Toc119440414"/>
      <w:r w:rsidRPr="006547F9">
        <w:rPr>
          <w:rFonts w:ascii="Arial" w:hAnsi="Arial"/>
          <w:highlight w:val="white"/>
        </w:rPr>
        <w:lastRenderedPageBreak/>
        <w:t>References</w:t>
      </w:r>
      <w:bookmarkEnd w:id="3"/>
    </w:p>
    <w:p w14:paraId="5FDAA925" w14:textId="77777777" w:rsidR="007E4C28" w:rsidRPr="006547F9" w:rsidRDefault="007E4C28" w:rsidP="00185A87">
      <w:pPr>
        <w:spacing w:after="200" w:line="360" w:lineRule="auto"/>
        <w:jc w:val="both"/>
        <w:rPr>
          <w:rFonts w:eastAsia="Times New Roman"/>
          <w:color w:val="000000" w:themeColor="text1"/>
          <w:sz w:val="24"/>
          <w:szCs w:val="24"/>
          <w:highlight w:val="white"/>
        </w:rPr>
      </w:pPr>
      <w:r w:rsidRPr="006547F9">
        <w:rPr>
          <w:rFonts w:eastAsia="Times New Roman"/>
          <w:color w:val="000000" w:themeColor="text1"/>
          <w:sz w:val="24"/>
          <w:szCs w:val="24"/>
          <w:highlight w:val="white"/>
        </w:rPr>
        <w:t xml:space="preserve">Abdi, J., Al-Hindawi, A., Ng, T. and Vizcaychipi, M.P., (2018). Scoping review on the use of socially assistive robot technology in elderly care. </w:t>
      </w:r>
      <w:r w:rsidRPr="006547F9">
        <w:rPr>
          <w:rFonts w:eastAsia="Times New Roman"/>
          <w:i/>
          <w:color w:val="000000" w:themeColor="text1"/>
          <w:sz w:val="24"/>
          <w:szCs w:val="24"/>
          <w:highlight w:val="white"/>
        </w:rPr>
        <w:t>BMJ open</w:t>
      </w:r>
      <w:r w:rsidRPr="006547F9">
        <w:rPr>
          <w:rFonts w:eastAsia="Times New Roman"/>
          <w:color w:val="000000" w:themeColor="text1"/>
          <w:sz w:val="24"/>
          <w:szCs w:val="24"/>
          <w:highlight w:val="white"/>
        </w:rPr>
        <w:t xml:space="preserve">, </w:t>
      </w:r>
      <w:r w:rsidRPr="006547F9">
        <w:rPr>
          <w:rFonts w:eastAsia="Times New Roman"/>
          <w:i/>
          <w:color w:val="000000" w:themeColor="text1"/>
          <w:sz w:val="24"/>
          <w:szCs w:val="24"/>
          <w:highlight w:val="white"/>
        </w:rPr>
        <w:t>8</w:t>
      </w:r>
      <w:r w:rsidRPr="006547F9">
        <w:rPr>
          <w:rFonts w:eastAsia="Times New Roman"/>
          <w:color w:val="000000" w:themeColor="text1"/>
          <w:sz w:val="24"/>
          <w:szCs w:val="24"/>
          <w:highlight w:val="white"/>
        </w:rPr>
        <w:t>(2), p.e018815.</w:t>
      </w:r>
    </w:p>
    <w:p w14:paraId="6297DC09" w14:textId="77777777" w:rsidR="007E4C28" w:rsidRPr="006547F9" w:rsidRDefault="007E4C28" w:rsidP="00185A87">
      <w:pPr>
        <w:spacing w:after="200" w:line="360" w:lineRule="auto"/>
        <w:jc w:val="both"/>
        <w:rPr>
          <w:rFonts w:eastAsia="Times New Roman"/>
          <w:color w:val="000000" w:themeColor="text1"/>
          <w:sz w:val="24"/>
          <w:szCs w:val="24"/>
          <w:highlight w:val="white"/>
        </w:rPr>
      </w:pPr>
      <w:r w:rsidRPr="006547F9">
        <w:rPr>
          <w:rFonts w:eastAsia="Times New Roman"/>
          <w:color w:val="000000" w:themeColor="text1"/>
          <w:sz w:val="24"/>
          <w:szCs w:val="24"/>
          <w:highlight w:val="white"/>
        </w:rPr>
        <w:t xml:space="preserve">Daoust, J.F., (2020). Elderly people and responses to COVID-19 in 27 Countries. </w:t>
      </w:r>
      <w:r w:rsidRPr="006547F9">
        <w:rPr>
          <w:rFonts w:eastAsia="Times New Roman"/>
          <w:i/>
          <w:color w:val="000000" w:themeColor="text1"/>
          <w:sz w:val="24"/>
          <w:szCs w:val="24"/>
          <w:highlight w:val="white"/>
        </w:rPr>
        <w:t>PloS one</w:t>
      </w:r>
      <w:r w:rsidRPr="006547F9">
        <w:rPr>
          <w:rFonts w:eastAsia="Times New Roman"/>
          <w:color w:val="000000" w:themeColor="text1"/>
          <w:sz w:val="24"/>
          <w:szCs w:val="24"/>
          <w:highlight w:val="white"/>
        </w:rPr>
        <w:t xml:space="preserve">, </w:t>
      </w:r>
      <w:r w:rsidRPr="006547F9">
        <w:rPr>
          <w:rFonts w:eastAsia="Times New Roman"/>
          <w:i/>
          <w:color w:val="000000" w:themeColor="text1"/>
          <w:sz w:val="24"/>
          <w:szCs w:val="24"/>
          <w:highlight w:val="white"/>
        </w:rPr>
        <w:t>15</w:t>
      </w:r>
      <w:r w:rsidRPr="006547F9">
        <w:rPr>
          <w:rFonts w:eastAsia="Times New Roman"/>
          <w:color w:val="000000" w:themeColor="text1"/>
          <w:sz w:val="24"/>
          <w:szCs w:val="24"/>
          <w:highlight w:val="white"/>
        </w:rPr>
        <w:t>(7), p.e0235590.</w:t>
      </w:r>
    </w:p>
    <w:p w14:paraId="76E13F2D" w14:textId="77777777" w:rsidR="007E4C28" w:rsidRPr="006547F9" w:rsidRDefault="007E4C28" w:rsidP="00185A87">
      <w:pPr>
        <w:spacing w:after="200" w:line="360" w:lineRule="auto"/>
        <w:jc w:val="both"/>
        <w:rPr>
          <w:rFonts w:eastAsia="Times New Roman"/>
          <w:color w:val="000000" w:themeColor="text1"/>
          <w:sz w:val="24"/>
          <w:szCs w:val="24"/>
          <w:highlight w:val="white"/>
        </w:rPr>
      </w:pPr>
      <w:r w:rsidRPr="006547F9">
        <w:rPr>
          <w:rFonts w:eastAsia="Times New Roman"/>
          <w:color w:val="000000" w:themeColor="text1"/>
          <w:sz w:val="24"/>
          <w:szCs w:val="24"/>
          <w:highlight w:val="white"/>
        </w:rPr>
        <w:t xml:space="preserve">Enssle, F. and Kabisch, N., (2020). Urban green spaces for the social interaction, health and well-being of older people—An integrated view of urban ecosystem services and socio-environmental justice. </w:t>
      </w:r>
      <w:r w:rsidRPr="006547F9">
        <w:rPr>
          <w:rFonts w:eastAsia="Times New Roman"/>
          <w:i/>
          <w:color w:val="000000" w:themeColor="text1"/>
          <w:sz w:val="24"/>
          <w:szCs w:val="24"/>
          <w:highlight w:val="white"/>
        </w:rPr>
        <w:t>Environmental science &amp; policy</w:t>
      </w:r>
      <w:r w:rsidRPr="006547F9">
        <w:rPr>
          <w:rFonts w:eastAsia="Times New Roman"/>
          <w:color w:val="000000" w:themeColor="text1"/>
          <w:sz w:val="24"/>
          <w:szCs w:val="24"/>
          <w:highlight w:val="white"/>
        </w:rPr>
        <w:t xml:space="preserve">, </w:t>
      </w:r>
      <w:r w:rsidRPr="006547F9">
        <w:rPr>
          <w:rFonts w:eastAsia="Times New Roman"/>
          <w:i/>
          <w:color w:val="000000" w:themeColor="text1"/>
          <w:sz w:val="24"/>
          <w:szCs w:val="24"/>
          <w:highlight w:val="white"/>
        </w:rPr>
        <w:t>109</w:t>
      </w:r>
      <w:r w:rsidRPr="006547F9">
        <w:rPr>
          <w:rFonts w:eastAsia="Times New Roman"/>
          <w:color w:val="000000" w:themeColor="text1"/>
          <w:sz w:val="24"/>
          <w:szCs w:val="24"/>
          <w:highlight w:val="white"/>
        </w:rPr>
        <w:t>, pp.36-44.</w:t>
      </w:r>
    </w:p>
    <w:p w14:paraId="3A418F7E" w14:textId="77777777" w:rsidR="007E4C28" w:rsidRPr="006547F9" w:rsidRDefault="007E4C28" w:rsidP="00185A87">
      <w:pPr>
        <w:spacing w:after="200" w:line="360" w:lineRule="auto"/>
        <w:jc w:val="both"/>
        <w:rPr>
          <w:rFonts w:eastAsia="Times New Roman"/>
          <w:color w:val="000000" w:themeColor="text1"/>
          <w:sz w:val="24"/>
          <w:szCs w:val="24"/>
          <w:highlight w:val="white"/>
        </w:rPr>
      </w:pPr>
      <w:r w:rsidRPr="006547F9">
        <w:rPr>
          <w:rFonts w:eastAsia="Times New Roman"/>
          <w:color w:val="000000" w:themeColor="text1"/>
          <w:sz w:val="24"/>
          <w:szCs w:val="24"/>
          <w:highlight w:val="white"/>
        </w:rPr>
        <w:t xml:space="preserve">Ghosh, T.S., Rampelli, S., Jeffery, I.B., Santoro, A., Neto, M., Capri, M., Giampieri, E., Jennings, A., Candela, M., Turroni, S. and Zoetendal, E.G., (2020). Mediterranean diet intervention alters the gut microbiome in older people reducing frailty and improving health status: the NU-AGE 1-year dietary intervention across five European countries. </w:t>
      </w:r>
      <w:r w:rsidRPr="006547F9">
        <w:rPr>
          <w:rFonts w:eastAsia="Times New Roman"/>
          <w:i/>
          <w:color w:val="000000" w:themeColor="text1"/>
          <w:sz w:val="24"/>
          <w:szCs w:val="24"/>
          <w:highlight w:val="white"/>
        </w:rPr>
        <w:t>Gut</w:t>
      </w:r>
      <w:r w:rsidRPr="006547F9">
        <w:rPr>
          <w:rFonts w:eastAsia="Times New Roman"/>
          <w:color w:val="000000" w:themeColor="text1"/>
          <w:sz w:val="24"/>
          <w:szCs w:val="24"/>
          <w:highlight w:val="white"/>
        </w:rPr>
        <w:t xml:space="preserve">, </w:t>
      </w:r>
      <w:r w:rsidRPr="006547F9">
        <w:rPr>
          <w:rFonts w:eastAsia="Times New Roman"/>
          <w:i/>
          <w:color w:val="000000" w:themeColor="text1"/>
          <w:sz w:val="24"/>
          <w:szCs w:val="24"/>
          <w:highlight w:val="white"/>
        </w:rPr>
        <w:t>69</w:t>
      </w:r>
      <w:r w:rsidRPr="006547F9">
        <w:rPr>
          <w:rFonts w:eastAsia="Times New Roman"/>
          <w:color w:val="000000" w:themeColor="text1"/>
          <w:sz w:val="24"/>
          <w:szCs w:val="24"/>
          <w:highlight w:val="white"/>
        </w:rPr>
        <w:t>(7), pp.1218-1228.</w:t>
      </w:r>
    </w:p>
    <w:p w14:paraId="002AAF37" w14:textId="77777777" w:rsidR="007E4C28" w:rsidRPr="006547F9" w:rsidRDefault="007E4C28" w:rsidP="00185A87">
      <w:pPr>
        <w:spacing w:after="200" w:line="360" w:lineRule="auto"/>
        <w:jc w:val="both"/>
        <w:rPr>
          <w:rFonts w:eastAsia="Times New Roman"/>
          <w:color w:val="000000" w:themeColor="text1"/>
          <w:sz w:val="24"/>
          <w:szCs w:val="24"/>
          <w:highlight w:val="white"/>
        </w:rPr>
      </w:pPr>
      <w:r w:rsidRPr="006547F9">
        <w:rPr>
          <w:rFonts w:eastAsia="Times New Roman"/>
          <w:color w:val="000000" w:themeColor="text1"/>
          <w:sz w:val="24"/>
          <w:szCs w:val="24"/>
          <w:highlight w:val="white"/>
        </w:rPr>
        <w:t xml:space="preserve">Hopwood, J., Walker, N., McDonagh, L., Rait, G., Walters, K., Iliffe, S., Ross, J. and Davies, N., (2018). Internet-based interventions aimed at supporting family caregivers of people with dementia: systematic review. </w:t>
      </w:r>
      <w:r w:rsidRPr="006547F9">
        <w:rPr>
          <w:rFonts w:eastAsia="Times New Roman"/>
          <w:i/>
          <w:color w:val="000000" w:themeColor="text1"/>
          <w:sz w:val="24"/>
          <w:szCs w:val="24"/>
          <w:highlight w:val="white"/>
        </w:rPr>
        <w:t>Journal of medical Internet research</w:t>
      </w:r>
      <w:r w:rsidRPr="006547F9">
        <w:rPr>
          <w:rFonts w:eastAsia="Times New Roman"/>
          <w:color w:val="000000" w:themeColor="text1"/>
          <w:sz w:val="24"/>
          <w:szCs w:val="24"/>
          <w:highlight w:val="white"/>
        </w:rPr>
        <w:t xml:space="preserve">, </w:t>
      </w:r>
      <w:r w:rsidRPr="006547F9">
        <w:rPr>
          <w:rFonts w:eastAsia="Times New Roman"/>
          <w:i/>
          <w:color w:val="000000" w:themeColor="text1"/>
          <w:sz w:val="24"/>
          <w:szCs w:val="24"/>
          <w:highlight w:val="white"/>
        </w:rPr>
        <w:t>20</w:t>
      </w:r>
      <w:r w:rsidRPr="006547F9">
        <w:rPr>
          <w:rFonts w:eastAsia="Times New Roman"/>
          <w:color w:val="000000" w:themeColor="text1"/>
          <w:sz w:val="24"/>
          <w:szCs w:val="24"/>
          <w:highlight w:val="white"/>
        </w:rPr>
        <w:t>(6), p.e9548.</w:t>
      </w:r>
    </w:p>
    <w:p w14:paraId="00908DAD" w14:textId="77777777" w:rsidR="007E4C28" w:rsidRPr="006547F9" w:rsidRDefault="007E4C28" w:rsidP="00185A87">
      <w:pPr>
        <w:spacing w:after="200" w:line="360" w:lineRule="auto"/>
        <w:jc w:val="both"/>
        <w:rPr>
          <w:rFonts w:eastAsia="Times New Roman"/>
          <w:color w:val="000000" w:themeColor="text1"/>
          <w:sz w:val="24"/>
          <w:szCs w:val="24"/>
          <w:highlight w:val="white"/>
        </w:rPr>
      </w:pPr>
      <w:r w:rsidRPr="006547F9">
        <w:rPr>
          <w:rFonts w:eastAsia="Times New Roman"/>
          <w:color w:val="000000" w:themeColor="text1"/>
          <w:sz w:val="24"/>
          <w:szCs w:val="24"/>
          <w:highlight w:val="white"/>
        </w:rPr>
        <w:t xml:space="preserve">Howdon, D. and Rice, N., (2018). Health care expenditures, age, proximity to death and morbidity: Implications for an ageing population. </w:t>
      </w:r>
      <w:r w:rsidRPr="006547F9">
        <w:rPr>
          <w:rFonts w:eastAsia="Times New Roman"/>
          <w:i/>
          <w:color w:val="000000" w:themeColor="text1"/>
          <w:sz w:val="24"/>
          <w:szCs w:val="24"/>
          <w:highlight w:val="white"/>
        </w:rPr>
        <w:t>Journal of health economics</w:t>
      </w:r>
      <w:r w:rsidRPr="006547F9">
        <w:rPr>
          <w:rFonts w:eastAsia="Times New Roman"/>
          <w:color w:val="000000" w:themeColor="text1"/>
          <w:sz w:val="24"/>
          <w:szCs w:val="24"/>
          <w:highlight w:val="white"/>
        </w:rPr>
        <w:t xml:space="preserve">, </w:t>
      </w:r>
      <w:r w:rsidRPr="006547F9">
        <w:rPr>
          <w:rFonts w:eastAsia="Times New Roman"/>
          <w:i/>
          <w:color w:val="000000" w:themeColor="text1"/>
          <w:sz w:val="24"/>
          <w:szCs w:val="24"/>
          <w:highlight w:val="white"/>
        </w:rPr>
        <w:t>57</w:t>
      </w:r>
      <w:r w:rsidRPr="006547F9">
        <w:rPr>
          <w:rFonts w:eastAsia="Times New Roman"/>
          <w:color w:val="000000" w:themeColor="text1"/>
          <w:sz w:val="24"/>
          <w:szCs w:val="24"/>
          <w:highlight w:val="white"/>
        </w:rPr>
        <w:t>, pp.60-74.</w:t>
      </w:r>
    </w:p>
    <w:p w14:paraId="00000014" w14:textId="77777777" w:rsidR="0058112D" w:rsidRPr="006547F9" w:rsidRDefault="0058112D" w:rsidP="00185A87">
      <w:pPr>
        <w:spacing w:line="360" w:lineRule="auto"/>
        <w:jc w:val="both"/>
        <w:rPr>
          <w:rFonts w:eastAsia="Times New Roman"/>
          <w:color w:val="000000" w:themeColor="text1"/>
          <w:sz w:val="24"/>
          <w:szCs w:val="24"/>
          <w:highlight w:val="white"/>
        </w:rPr>
      </w:pPr>
    </w:p>
    <w:sectPr w:rsidR="0058112D" w:rsidRPr="006547F9" w:rsidSect="007E4C28">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DBB66D" w14:textId="77777777" w:rsidR="00626470" w:rsidRDefault="00626470" w:rsidP="007E4C28">
      <w:pPr>
        <w:spacing w:line="240" w:lineRule="auto"/>
      </w:pPr>
      <w:r>
        <w:separator/>
      </w:r>
    </w:p>
  </w:endnote>
  <w:endnote w:type="continuationSeparator" w:id="0">
    <w:p w14:paraId="58222671" w14:textId="77777777" w:rsidR="00626470" w:rsidRDefault="00626470" w:rsidP="007E4C2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E95991" w14:textId="536E2893" w:rsidR="007E4C28" w:rsidRPr="007E4C28" w:rsidRDefault="007E4C28">
    <w:pPr>
      <w:pStyle w:val="Footer"/>
      <w:jc w:val="right"/>
      <w:rPr>
        <w:rFonts w:ascii="Times New Roman" w:hAnsi="Times New Roman" w:cs="Times New Roman"/>
      </w:rPr>
    </w:pPr>
    <w:r w:rsidRPr="007E4C28">
      <w:rPr>
        <w:rFonts w:ascii="Times New Roman" w:hAnsi="Times New Roman" w:cs="Times New Roman"/>
      </w:rPr>
      <w:fldChar w:fldCharType="begin"/>
    </w:r>
    <w:r w:rsidRPr="007E4C28">
      <w:rPr>
        <w:rFonts w:ascii="Times New Roman" w:hAnsi="Times New Roman" w:cs="Times New Roman"/>
      </w:rPr>
      <w:instrText xml:space="preserve"> PAGE   \* MERGEFORMAT </w:instrText>
    </w:r>
    <w:r w:rsidRPr="007E4C28">
      <w:rPr>
        <w:rFonts w:ascii="Times New Roman" w:hAnsi="Times New Roman" w:cs="Times New Roman"/>
      </w:rPr>
      <w:fldChar w:fldCharType="separate"/>
    </w:r>
    <w:r w:rsidRPr="007E4C28">
      <w:rPr>
        <w:rFonts w:ascii="Times New Roman" w:hAnsi="Times New Roman" w:cs="Times New Roman"/>
        <w:noProof/>
      </w:rPr>
      <w:t>2</w:t>
    </w:r>
    <w:r w:rsidRPr="007E4C28">
      <w:rPr>
        <w:rFonts w:ascii="Times New Roman" w:hAnsi="Times New Roman" w:cs="Times New Roman"/>
        <w:noProof/>
      </w:rPr>
      <w:fldChar w:fldCharType="end"/>
    </w:r>
  </w:p>
  <w:p w14:paraId="22EA5F8A" w14:textId="77777777" w:rsidR="007E4C28" w:rsidRDefault="007E4C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2C766E" w14:textId="77777777" w:rsidR="00626470" w:rsidRDefault="00626470" w:rsidP="007E4C28">
      <w:pPr>
        <w:spacing w:line="240" w:lineRule="auto"/>
      </w:pPr>
      <w:r>
        <w:separator/>
      </w:r>
    </w:p>
  </w:footnote>
  <w:footnote w:type="continuationSeparator" w:id="0">
    <w:p w14:paraId="1DAE00CD" w14:textId="77777777" w:rsidR="00626470" w:rsidRDefault="00626470" w:rsidP="007E4C2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B97AD8"/>
    <w:multiLevelType w:val="multilevel"/>
    <w:tmpl w:val="1270A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844147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112D"/>
    <w:rsid w:val="00005D8E"/>
    <w:rsid w:val="000B7A2D"/>
    <w:rsid w:val="000E77FC"/>
    <w:rsid w:val="0014183C"/>
    <w:rsid w:val="00141F27"/>
    <w:rsid w:val="00185A87"/>
    <w:rsid w:val="001F038C"/>
    <w:rsid w:val="0035001C"/>
    <w:rsid w:val="0058112D"/>
    <w:rsid w:val="00626470"/>
    <w:rsid w:val="006547F9"/>
    <w:rsid w:val="00680657"/>
    <w:rsid w:val="00697424"/>
    <w:rsid w:val="006A38EE"/>
    <w:rsid w:val="006C5657"/>
    <w:rsid w:val="006F79F6"/>
    <w:rsid w:val="007C1655"/>
    <w:rsid w:val="007E4C28"/>
    <w:rsid w:val="008408F7"/>
    <w:rsid w:val="00857277"/>
    <w:rsid w:val="008D09CE"/>
    <w:rsid w:val="009E379A"/>
    <w:rsid w:val="00A37385"/>
    <w:rsid w:val="00A727FC"/>
    <w:rsid w:val="00AD34F9"/>
    <w:rsid w:val="00B779B6"/>
    <w:rsid w:val="00BF3753"/>
    <w:rsid w:val="00D16C17"/>
    <w:rsid w:val="00D607F0"/>
    <w:rsid w:val="00EC30C3"/>
    <w:rsid w:val="00F57F1A"/>
    <w:rsid w:val="00FB00C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3BF2B"/>
  <w15:docId w15:val="{FEB489D6-7C50-4A02-9B05-224184C466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E4C28"/>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7E4C28"/>
    <w:pPr>
      <w:tabs>
        <w:tab w:val="center" w:pos="4513"/>
        <w:tab w:val="right" w:pos="9026"/>
      </w:tabs>
      <w:spacing w:line="240" w:lineRule="auto"/>
    </w:pPr>
  </w:style>
  <w:style w:type="character" w:customStyle="1" w:styleId="HeaderChar">
    <w:name w:val="Header Char"/>
    <w:basedOn w:val="DefaultParagraphFont"/>
    <w:link w:val="Header"/>
    <w:uiPriority w:val="99"/>
    <w:rsid w:val="007E4C28"/>
  </w:style>
  <w:style w:type="paragraph" w:styleId="Footer">
    <w:name w:val="footer"/>
    <w:basedOn w:val="Normal"/>
    <w:link w:val="FooterChar"/>
    <w:uiPriority w:val="99"/>
    <w:unhideWhenUsed/>
    <w:rsid w:val="007E4C28"/>
    <w:pPr>
      <w:tabs>
        <w:tab w:val="center" w:pos="4513"/>
        <w:tab w:val="right" w:pos="9026"/>
      </w:tabs>
      <w:spacing w:line="240" w:lineRule="auto"/>
    </w:pPr>
  </w:style>
  <w:style w:type="character" w:customStyle="1" w:styleId="FooterChar">
    <w:name w:val="Footer Char"/>
    <w:basedOn w:val="DefaultParagraphFont"/>
    <w:link w:val="Footer"/>
    <w:uiPriority w:val="99"/>
    <w:rsid w:val="007E4C28"/>
  </w:style>
  <w:style w:type="paragraph" w:styleId="TableofFigures">
    <w:name w:val="table of figures"/>
    <w:basedOn w:val="Normal"/>
    <w:next w:val="Normal"/>
    <w:uiPriority w:val="99"/>
    <w:unhideWhenUsed/>
    <w:rsid w:val="007E4C28"/>
  </w:style>
  <w:style w:type="character" w:styleId="Hyperlink">
    <w:name w:val="Hyperlink"/>
    <w:basedOn w:val="DefaultParagraphFont"/>
    <w:uiPriority w:val="99"/>
    <w:unhideWhenUsed/>
    <w:rsid w:val="007E4C2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61244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6</Pages>
  <Words>1419</Words>
  <Characters>8091</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Ramona Marza</cp:lastModifiedBy>
  <cp:revision>15</cp:revision>
  <dcterms:created xsi:type="dcterms:W3CDTF">2022-12-01T13:49:00Z</dcterms:created>
  <dcterms:modified xsi:type="dcterms:W3CDTF">2022-12-05T08:35:00Z</dcterms:modified>
</cp:coreProperties>
</file>