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D2308" w:rsidRDefault="004D2308" w:rsidP="00032C5D">
      <w:pPr>
        <w:spacing w:line="360" w:lineRule="auto"/>
        <w:jc w:val="both"/>
        <w:rPr>
          <w:rFonts w:ascii="Arial" w:hAnsi="Arial" w:cs="Arial"/>
          <w:b/>
          <w:bCs/>
          <w:sz w:val="24"/>
          <w:szCs w:val="24"/>
        </w:rPr>
      </w:pPr>
    </w:p>
    <w:p w:rsidR="004D2308" w:rsidRDefault="004D2308" w:rsidP="004D2308">
      <w:pPr>
        <w:spacing w:line="360" w:lineRule="auto"/>
        <w:rPr>
          <w:rFonts w:ascii="Times New Roman" w:hAnsi="Times New Roman" w:cs="Times New Roman"/>
          <w:sz w:val="28"/>
          <w:szCs w:val="28"/>
        </w:rPr>
      </w:pPr>
    </w:p>
    <w:p w:rsidR="004D2308" w:rsidRDefault="004D2308" w:rsidP="004D2308">
      <w:pPr>
        <w:spacing w:line="360" w:lineRule="auto"/>
        <w:rPr>
          <w:rFonts w:ascii="Times New Roman" w:hAnsi="Times New Roman" w:cs="Times New Roman"/>
          <w:sz w:val="28"/>
          <w:szCs w:val="28"/>
        </w:rPr>
      </w:pPr>
    </w:p>
    <w:p w:rsidR="004D2308" w:rsidRDefault="004D2308" w:rsidP="004D2308">
      <w:pPr>
        <w:spacing w:line="360" w:lineRule="auto"/>
        <w:rPr>
          <w:rFonts w:ascii="Times New Roman" w:hAnsi="Times New Roman" w:cs="Times New Roman"/>
          <w:sz w:val="28"/>
          <w:szCs w:val="28"/>
        </w:rPr>
      </w:pPr>
    </w:p>
    <w:p w:rsidR="004D2308" w:rsidRPr="00AC331C" w:rsidRDefault="004D2308" w:rsidP="00AC331C">
      <w:pPr>
        <w:spacing w:line="360" w:lineRule="auto"/>
        <w:jc w:val="both"/>
        <w:rPr>
          <w:rFonts w:ascii="Arial" w:hAnsi="Arial" w:cs="Arial"/>
          <w:sz w:val="28"/>
          <w:szCs w:val="28"/>
        </w:rPr>
      </w:pPr>
      <w:r w:rsidRPr="00AC331C">
        <w:rPr>
          <w:rFonts w:ascii="Arial" w:hAnsi="Arial" w:cs="Arial"/>
          <w:sz w:val="28"/>
          <w:szCs w:val="28"/>
        </w:rPr>
        <w:t xml:space="preserve">Name: </w:t>
      </w:r>
      <w:proofErr w:type="spellStart"/>
      <w:r w:rsidRPr="00AC331C">
        <w:rPr>
          <w:rFonts w:ascii="Arial" w:hAnsi="Arial" w:cs="Arial"/>
          <w:b/>
          <w:bCs/>
          <w:sz w:val="28"/>
          <w:szCs w:val="28"/>
        </w:rPr>
        <w:t>Alexandru</w:t>
      </w:r>
      <w:proofErr w:type="spellEnd"/>
      <w:r w:rsidRPr="00AC331C">
        <w:rPr>
          <w:rFonts w:ascii="Arial" w:hAnsi="Arial" w:cs="Arial"/>
          <w:b/>
          <w:bCs/>
          <w:sz w:val="28"/>
          <w:szCs w:val="28"/>
        </w:rPr>
        <w:t xml:space="preserve"> </w:t>
      </w:r>
      <w:proofErr w:type="spellStart"/>
      <w:r w:rsidRPr="00AC331C">
        <w:rPr>
          <w:rFonts w:ascii="Arial" w:hAnsi="Arial" w:cs="Arial"/>
          <w:b/>
          <w:bCs/>
          <w:sz w:val="28"/>
          <w:szCs w:val="28"/>
        </w:rPr>
        <w:t>Ionut</w:t>
      </w:r>
      <w:proofErr w:type="spellEnd"/>
      <w:r w:rsidRPr="00AC331C">
        <w:rPr>
          <w:rFonts w:ascii="Arial" w:hAnsi="Arial" w:cs="Arial"/>
          <w:b/>
          <w:bCs/>
          <w:sz w:val="28"/>
          <w:szCs w:val="28"/>
        </w:rPr>
        <w:t xml:space="preserve"> Stefaroi</w:t>
      </w:r>
    </w:p>
    <w:p w:rsidR="004D2308" w:rsidRPr="00AC331C" w:rsidRDefault="004D2308" w:rsidP="00AC331C">
      <w:pPr>
        <w:spacing w:line="360" w:lineRule="auto"/>
        <w:jc w:val="both"/>
        <w:rPr>
          <w:rFonts w:ascii="Arial" w:hAnsi="Arial" w:cs="Arial"/>
          <w:sz w:val="28"/>
          <w:szCs w:val="28"/>
        </w:rPr>
      </w:pPr>
      <w:r w:rsidRPr="00AC331C">
        <w:rPr>
          <w:rFonts w:ascii="Arial" w:hAnsi="Arial" w:cs="Arial"/>
          <w:sz w:val="28"/>
          <w:szCs w:val="28"/>
        </w:rPr>
        <w:t>Student Number:</w:t>
      </w:r>
      <w:r w:rsidRPr="00AC331C">
        <w:rPr>
          <w:rFonts w:ascii="Arial" w:hAnsi="Arial" w:cs="Arial"/>
          <w:b/>
          <w:bCs/>
          <w:sz w:val="28"/>
          <w:szCs w:val="28"/>
        </w:rPr>
        <w:t>1914985</w:t>
      </w:r>
    </w:p>
    <w:p w:rsidR="004D2308" w:rsidRPr="00AC331C" w:rsidRDefault="004D2308" w:rsidP="00AC331C">
      <w:pPr>
        <w:spacing w:line="360" w:lineRule="auto"/>
        <w:jc w:val="both"/>
        <w:rPr>
          <w:rFonts w:ascii="Arial" w:hAnsi="Arial" w:cs="Arial"/>
          <w:b/>
          <w:bCs/>
          <w:sz w:val="28"/>
          <w:szCs w:val="28"/>
        </w:rPr>
      </w:pPr>
      <w:r w:rsidRPr="00AC331C">
        <w:rPr>
          <w:rFonts w:ascii="Arial" w:hAnsi="Arial" w:cs="Arial"/>
          <w:sz w:val="28"/>
          <w:szCs w:val="28"/>
        </w:rPr>
        <w:t xml:space="preserve">Module Title: </w:t>
      </w:r>
      <w:r w:rsidRPr="00AC331C">
        <w:rPr>
          <w:rFonts w:ascii="Arial" w:hAnsi="Arial" w:cs="Arial"/>
          <w:b/>
          <w:bCs/>
          <w:sz w:val="28"/>
          <w:szCs w:val="28"/>
        </w:rPr>
        <w:t xml:space="preserve">Accounting Fundamentals </w:t>
      </w:r>
    </w:p>
    <w:p w:rsidR="004D2308" w:rsidRPr="00AC331C" w:rsidRDefault="004D2308" w:rsidP="00AC331C">
      <w:pPr>
        <w:spacing w:line="360" w:lineRule="auto"/>
        <w:jc w:val="both"/>
        <w:rPr>
          <w:rFonts w:ascii="Arial" w:hAnsi="Arial" w:cs="Arial"/>
          <w:b/>
          <w:bCs/>
          <w:sz w:val="28"/>
          <w:szCs w:val="28"/>
        </w:rPr>
      </w:pPr>
      <w:r w:rsidRPr="00AC331C">
        <w:rPr>
          <w:rFonts w:ascii="Arial" w:hAnsi="Arial" w:cs="Arial"/>
          <w:sz w:val="28"/>
          <w:szCs w:val="28"/>
        </w:rPr>
        <w:t xml:space="preserve">Assignment Title: </w:t>
      </w:r>
      <w:r w:rsidRPr="00AC331C">
        <w:rPr>
          <w:rFonts w:ascii="Arial" w:hAnsi="Arial" w:cs="Arial"/>
          <w:b/>
          <w:bCs/>
          <w:sz w:val="28"/>
          <w:szCs w:val="28"/>
        </w:rPr>
        <w:t>Assessment 1</w:t>
      </w:r>
    </w:p>
    <w:p w:rsidR="004D2308" w:rsidRPr="00AC331C" w:rsidRDefault="004D2308" w:rsidP="00AC331C">
      <w:pPr>
        <w:spacing w:line="360" w:lineRule="auto"/>
        <w:jc w:val="both"/>
        <w:rPr>
          <w:rFonts w:ascii="Arial" w:hAnsi="Arial" w:cs="Arial"/>
          <w:sz w:val="28"/>
          <w:szCs w:val="28"/>
        </w:rPr>
      </w:pPr>
      <w:r w:rsidRPr="00AC331C">
        <w:rPr>
          <w:rFonts w:ascii="Arial" w:hAnsi="Arial" w:cs="Arial"/>
          <w:sz w:val="28"/>
          <w:szCs w:val="28"/>
        </w:rPr>
        <w:t xml:space="preserve">Lecturer’s name: </w:t>
      </w:r>
      <w:r w:rsidR="00303E8F" w:rsidRPr="00303E8F">
        <w:rPr>
          <w:rFonts w:ascii="Arial" w:hAnsi="Arial" w:cs="Arial"/>
          <w:b/>
          <w:bCs/>
          <w:sz w:val="28"/>
          <w:szCs w:val="28"/>
        </w:rPr>
        <w:t xml:space="preserve">Emad </w:t>
      </w:r>
      <w:proofErr w:type="spellStart"/>
      <w:r w:rsidR="00303E8F" w:rsidRPr="00303E8F">
        <w:rPr>
          <w:rFonts w:ascii="Arial" w:hAnsi="Arial" w:cs="Arial"/>
          <w:b/>
          <w:bCs/>
          <w:sz w:val="28"/>
          <w:szCs w:val="28"/>
        </w:rPr>
        <w:t>Elkhashen</w:t>
      </w:r>
      <w:bookmarkStart w:id="0" w:name="_GoBack"/>
      <w:bookmarkEnd w:id="0"/>
      <w:proofErr w:type="spellEnd"/>
    </w:p>
    <w:p w:rsidR="004D2308" w:rsidRDefault="004D2308">
      <w:pPr>
        <w:rPr>
          <w:rFonts w:ascii="Arial" w:hAnsi="Arial" w:cs="Arial"/>
          <w:b/>
          <w:bCs/>
          <w:sz w:val="24"/>
          <w:szCs w:val="24"/>
        </w:rPr>
      </w:pPr>
      <w:r>
        <w:rPr>
          <w:rFonts w:ascii="Arial" w:hAnsi="Arial" w:cs="Arial"/>
          <w:b/>
          <w:bCs/>
          <w:sz w:val="24"/>
          <w:szCs w:val="24"/>
        </w:rPr>
        <w:br w:type="page"/>
      </w:r>
    </w:p>
    <w:p w:rsidR="004D2308" w:rsidRPr="001E261F" w:rsidRDefault="00CF6D37" w:rsidP="00032C5D">
      <w:pPr>
        <w:spacing w:line="360" w:lineRule="auto"/>
        <w:jc w:val="both"/>
        <w:rPr>
          <w:rFonts w:ascii="Arial" w:hAnsi="Arial" w:cs="Arial"/>
          <w:b/>
          <w:bCs/>
          <w:sz w:val="24"/>
          <w:szCs w:val="24"/>
          <w:u w:val="single"/>
        </w:rPr>
      </w:pPr>
      <w:r w:rsidRPr="001E261F">
        <w:rPr>
          <w:rFonts w:ascii="Arial" w:hAnsi="Arial" w:cs="Arial"/>
          <w:b/>
          <w:bCs/>
          <w:sz w:val="24"/>
          <w:szCs w:val="24"/>
          <w:u w:val="single"/>
        </w:rPr>
        <w:lastRenderedPageBreak/>
        <w:t>Question 1</w:t>
      </w:r>
    </w:p>
    <w:p w:rsidR="00CF6D37" w:rsidRDefault="00682429" w:rsidP="00032C5D">
      <w:pPr>
        <w:spacing w:line="360" w:lineRule="auto"/>
        <w:jc w:val="both"/>
        <w:rPr>
          <w:rFonts w:ascii="Arial" w:hAnsi="Arial" w:cs="Arial"/>
          <w:b/>
          <w:bCs/>
          <w:sz w:val="24"/>
          <w:szCs w:val="24"/>
        </w:rPr>
      </w:pPr>
      <w:r>
        <w:rPr>
          <w:noProof/>
        </w:rPr>
        <w:drawing>
          <wp:inline distT="0" distB="0" distL="0" distR="0" wp14:anchorId="06E67897" wp14:editId="52ACE570">
            <wp:extent cx="2724150" cy="3632200"/>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2759030" cy="3678707"/>
                    </a:xfrm>
                    <a:prstGeom prst="rect">
                      <a:avLst/>
                    </a:prstGeom>
                  </pic:spPr>
                </pic:pic>
              </a:graphicData>
            </a:graphic>
          </wp:inline>
        </w:drawing>
      </w:r>
      <w:r>
        <w:rPr>
          <w:noProof/>
        </w:rPr>
        <w:drawing>
          <wp:inline distT="0" distB="0" distL="0" distR="0" wp14:anchorId="24609120" wp14:editId="27AC3911">
            <wp:extent cx="2329446" cy="3670935"/>
            <wp:effectExtent l="0" t="0" r="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2361451" cy="3721371"/>
                    </a:xfrm>
                    <a:prstGeom prst="rect">
                      <a:avLst/>
                    </a:prstGeom>
                  </pic:spPr>
                </pic:pic>
              </a:graphicData>
            </a:graphic>
          </wp:inline>
        </w:drawing>
      </w:r>
    </w:p>
    <w:p w:rsidR="00CF6D37" w:rsidRDefault="00682429" w:rsidP="00032C5D">
      <w:pPr>
        <w:spacing w:line="360" w:lineRule="auto"/>
        <w:jc w:val="both"/>
        <w:rPr>
          <w:rFonts w:ascii="Arial" w:hAnsi="Arial" w:cs="Arial"/>
          <w:b/>
          <w:bCs/>
          <w:sz w:val="24"/>
          <w:szCs w:val="24"/>
        </w:rPr>
      </w:pPr>
      <w:r>
        <w:rPr>
          <w:noProof/>
        </w:rPr>
        <w:drawing>
          <wp:inline distT="0" distB="0" distL="0" distR="0" wp14:anchorId="3D361899" wp14:editId="685EC0D9">
            <wp:extent cx="2486025" cy="3985032"/>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515398" cy="4032116"/>
                    </a:xfrm>
                    <a:prstGeom prst="rect">
                      <a:avLst/>
                    </a:prstGeom>
                  </pic:spPr>
                </pic:pic>
              </a:graphicData>
            </a:graphic>
          </wp:inline>
        </w:drawing>
      </w:r>
    </w:p>
    <w:p w:rsidR="00CF6D37" w:rsidRDefault="00CF6D37" w:rsidP="00032C5D">
      <w:pPr>
        <w:spacing w:line="360" w:lineRule="auto"/>
        <w:jc w:val="both"/>
        <w:rPr>
          <w:rFonts w:ascii="Arial" w:hAnsi="Arial" w:cs="Arial"/>
          <w:b/>
          <w:bCs/>
          <w:sz w:val="24"/>
          <w:szCs w:val="24"/>
        </w:rPr>
      </w:pPr>
    </w:p>
    <w:p w:rsidR="00CF6D37" w:rsidRDefault="00682429" w:rsidP="00032C5D">
      <w:pPr>
        <w:spacing w:line="360" w:lineRule="auto"/>
        <w:jc w:val="both"/>
        <w:rPr>
          <w:rFonts w:ascii="Arial" w:hAnsi="Arial" w:cs="Arial"/>
          <w:b/>
          <w:bCs/>
          <w:sz w:val="24"/>
          <w:szCs w:val="24"/>
        </w:rPr>
      </w:pPr>
      <w:r>
        <w:rPr>
          <w:noProof/>
        </w:rPr>
        <w:lastRenderedPageBreak/>
        <w:drawing>
          <wp:inline distT="0" distB="0" distL="0" distR="0" wp14:anchorId="398CF05E" wp14:editId="3AC3A6EA">
            <wp:extent cx="1833003" cy="30289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1840760" cy="3041768"/>
                    </a:xfrm>
                    <a:prstGeom prst="rect">
                      <a:avLst/>
                    </a:prstGeom>
                  </pic:spPr>
                </pic:pic>
              </a:graphicData>
            </a:graphic>
          </wp:inline>
        </w:drawing>
      </w:r>
      <w:r>
        <w:rPr>
          <w:rFonts w:ascii="Arial" w:hAnsi="Arial" w:cs="Arial"/>
          <w:b/>
          <w:bCs/>
          <w:sz w:val="24"/>
          <w:szCs w:val="24"/>
        </w:rPr>
        <w:t xml:space="preserve">      </w:t>
      </w:r>
      <w:r>
        <w:rPr>
          <w:noProof/>
        </w:rPr>
        <w:drawing>
          <wp:inline distT="0" distB="0" distL="0" distR="0" wp14:anchorId="24832B61" wp14:editId="18572EA2">
            <wp:extent cx="3510000" cy="19050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528134" cy="1914842"/>
                    </a:xfrm>
                    <a:prstGeom prst="rect">
                      <a:avLst/>
                    </a:prstGeom>
                  </pic:spPr>
                </pic:pic>
              </a:graphicData>
            </a:graphic>
          </wp:inline>
        </w:drawing>
      </w:r>
    </w:p>
    <w:p w:rsidR="00682429" w:rsidRDefault="00682429" w:rsidP="00032C5D">
      <w:pPr>
        <w:spacing w:line="360" w:lineRule="auto"/>
        <w:jc w:val="both"/>
        <w:rPr>
          <w:rFonts w:ascii="Arial" w:hAnsi="Arial" w:cs="Arial"/>
          <w:b/>
          <w:bCs/>
          <w:sz w:val="24"/>
          <w:szCs w:val="24"/>
        </w:rPr>
      </w:pPr>
    </w:p>
    <w:p w:rsidR="00682429" w:rsidRPr="001E261F" w:rsidRDefault="00682429" w:rsidP="00032C5D">
      <w:pPr>
        <w:spacing w:line="360" w:lineRule="auto"/>
        <w:jc w:val="both"/>
        <w:rPr>
          <w:rFonts w:ascii="Arial" w:hAnsi="Arial" w:cs="Arial"/>
          <w:b/>
          <w:bCs/>
          <w:sz w:val="24"/>
          <w:szCs w:val="24"/>
          <w:u w:val="single"/>
        </w:rPr>
      </w:pPr>
      <w:r w:rsidRPr="001E261F">
        <w:rPr>
          <w:rFonts w:ascii="Arial" w:hAnsi="Arial" w:cs="Arial"/>
          <w:b/>
          <w:bCs/>
          <w:sz w:val="24"/>
          <w:szCs w:val="24"/>
          <w:u w:val="single"/>
        </w:rPr>
        <w:t xml:space="preserve">Question 2 </w:t>
      </w:r>
    </w:p>
    <w:p w:rsidR="00682429" w:rsidRDefault="00682429" w:rsidP="00032C5D">
      <w:pPr>
        <w:spacing w:line="360" w:lineRule="auto"/>
        <w:jc w:val="both"/>
        <w:rPr>
          <w:rFonts w:ascii="Arial" w:hAnsi="Arial" w:cs="Arial"/>
          <w:b/>
          <w:bCs/>
          <w:sz w:val="24"/>
          <w:szCs w:val="24"/>
        </w:rPr>
      </w:pPr>
      <w:r>
        <w:rPr>
          <w:rFonts w:ascii="Arial" w:hAnsi="Arial" w:cs="Arial"/>
          <w:b/>
          <w:bCs/>
          <w:sz w:val="24"/>
          <w:szCs w:val="24"/>
        </w:rPr>
        <w:t xml:space="preserve">Return on Capital Employed </w:t>
      </w:r>
    </w:p>
    <w:p w:rsidR="00682429" w:rsidRDefault="00682429" w:rsidP="00032C5D">
      <w:pPr>
        <w:spacing w:line="360" w:lineRule="auto"/>
        <w:jc w:val="both"/>
        <w:rPr>
          <w:rFonts w:ascii="Arial" w:hAnsi="Arial" w:cs="Arial"/>
          <w:b/>
          <w:bCs/>
          <w:sz w:val="24"/>
          <w:szCs w:val="24"/>
        </w:rPr>
      </w:pPr>
      <w:r>
        <w:rPr>
          <w:noProof/>
        </w:rPr>
        <w:drawing>
          <wp:inline distT="0" distB="0" distL="0" distR="0" wp14:anchorId="3518C180" wp14:editId="2BE21767">
            <wp:extent cx="2933700" cy="1865833"/>
            <wp:effectExtent l="0" t="0" r="0" b="127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963879" cy="1885027"/>
                    </a:xfrm>
                    <a:prstGeom prst="rect">
                      <a:avLst/>
                    </a:prstGeom>
                  </pic:spPr>
                </pic:pic>
              </a:graphicData>
            </a:graphic>
          </wp:inline>
        </w:drawing>
      </w:r>
    </w:p>
    <w:p w:rsidR="00682429" w:rsidRDefault="00682429" w:rsidP="00032C5D">
      <w:pPr>
        <w:spacing w:line="360" w:lineRule="auto"/>
        <w:jc w:val="both"/>
        <w:rPr>
          <w:rFonts w:ascii="Arial" w:hAnsi="Arial" w:cs="Arial"/>
          <w:b/>
          <w:bCs/>
          <w:sz w:val="24"/>
          <w:szCs w:val="24"/>
        </w:rPr>
      </w:pPr>
    </w:p>
    <w:p w:rsidR="00682429" w:rsidRPr="00032C5D" w:rsidRDefault="00682429" w:rsidP="00682429">
      <w:pPr>
        <w:spacing w:line="360" w:lineRule="auto"/>
        <w:jc w:val="both"/>
        <w:rPr>
          <w:rFonts w:ascii="Arial" w:hAnsi="Arial" w:cs="Arial"/>
          <w:b/>
          <w:bCs/>
          <w:sz w:val="24"/>
          <w:szCs w:val="24"/>
        </w:rPr>
      </w:pPr>
      <w:r w:rsidRPr="00032C5D">
        <w:rPr>
          <w:rFonts w:ascii="Arial" w:hAnsi="Arial" w:cs="Arial"/>
          <w:b/>
          <w:bCs/>
          <w:sz w:val="24"/>
          <w:szCs w:val="24"/>
        </w:rPr>
        <w:t>Return on Capital Employ</w:t>
      </w:r>
      <w:r>
        <w:rPr>
          <w:rFonts w:ascii="Arial" w:hAnsi="Arial" w:cs="Arial"/>
          <w:b/>
          <w:bCs/>
          <w:sz w:val="24"/>
          <w:szCs w:val="24"/>
        </w:rPr>
        <w:t>ed</w:t>
      </w:r>
      <w:r w:rsidRPr="00032C5D">
        <w:rPr>
          <w:rFonts w:ascii="Arial" w:hAnsi="Arial" w:cs="Arial"/>
          <w:b/>
          <w:bCs/>
          <w:sz w:val="24"/>
          <w:szCs w:val="24"/>
        </w:rPr>
        <w:t xml:space="preserve"> of </w:t>
      </w:r>
      <w:r w:rsidR="00303E8F">
        <w:rPr>
          <w:rFonts w:ascii="Arial" w:hAnsi="Arial" w:cs="Arial"/>
          <w:b/>
          <w:bCs/>
          <w:sz w:val="24"/>
          <w:szCs w:val="24"/>
        </w:rPr>
        <w:t>Jerry</w:t>
      </w:r>
      <w:r w:rsidRPr="00032C5D">
        <w:rPr>
          <w:rFonts w:ascii="Arial" w:hAnsi="Arial" w:cs="Arial"/>
          <w:b/>
          <w:bCs/>
          <w:sz w:val="24"/>
          <w:szCs w:val="24"/>
        </w:rPr>
        <w:t xml:space="preserve"> plc for the year 2018 and 2019</w:t>
      </w:r>
    </w:p>
    <w:p w:rsidR="00682429" w:rsidRPr="00032C5D" w:rsidRDefault="00682429" w:rsidP="00682429">
      <w:pPr>
        <w:spacing w:line="360" w:lineRule="auto"/>
        <w:jc w:val="both"/>
        <w:rPr>
          <w:rFonts w:ascii="Arial" w:hAnsi="Arial" w:cs="Arial"/>
          <w:bCs/>
          <w:sz w:val="24"/>
          <w:szCs w:val="24"/>
        </w:rPr>
      </w:pPr>
      <w:r w:rsidRPr="00032C5D">
        <w:rPr>
          <w:rFonts w:ascii="Arial" w:hAnsi="Arial" w:cs="Arial"/>
          <w:bCs/>
          <w:sz w:val="24"/>
          <w:szCs w:val="24"/>
        </w:rPr>
        <w:t xml:space="preserve"> It indicates the amount of money that a company generates from its owned capital through investment. ROCE for the selected 2019 and 2018 amounted to 17% and 20% respectively. It can be noted that the ratio has decreased for the year 2019 which suggests that the ability of the company to take effective and profitable investment decisions has declined or that the economy is going through depression due to which the business is unable to improve return from investment. However, for proper and accurate assessment, ROCE should always be double that the interest rate of the </w:t>
      </w:r>
      <w:r w:rsidRPr="00032C5D">
        <w:rPr>
          <w:rFonts w:ascii="Arial" w:hAnsi="Arial" w:cs="Arial"/>
          <w:bCs/>
          <w:sz w:val="24"/>
          <w:szCs w:val="24"/>
        </w:rPr>
        <w:lastRenderedPageBreak/>
        <w:t>business and lower return indicates that the firm is making poor use of its capital resources (</w:t>
      </w:r>
      <w:proofErr w:type="spellStart"/>
      <w:r w:rsidRPr="00032C5D">
        <w:rPr>
          <w:rFonts w:ascii="Arial" w:hAnsi="Arial" w:cs="Arial"/>
          <w:bCs/>
          <w:sz w:val="24"/>
          <w:szCs w:val="24"/>
        </w:rPr>
        <w:t>Svynarenko</w:t>
      </w:r>
      <w:proofErr w:type="spellEnd"/>
      <w:r w:rsidRPr="00032C5D">
        <w:rPr>
          <w:rFonts w:ascii="Arial" w:hAnsi="Arial" w:cs="Arial"/>
          <w:bCs/>
          <w:sz w:val="24"/>
          <w:szCs w:val="24"/>
        </w:rPr>
        <w:t>, Zhang and Kim, 2019)</w:t>
      </w:r>
    </w:p>
    <w:p w:rsidR="00CF6D37" w:rsidRDefault="00CF6D37" w:rsidP="00032C5D">
      <w:pPr>
        <w:spacing w:line="360" w:lineRule="auto"/>
        <w:jc w:val="both"/>
        <w:rPr>
          <w:rFonts w:ascii="Arial" w:hAnsi="Arial" w:cs="Arial"/>
          <w:b/>
          <w:bCs/>
          <w:sz w:val="24"/>
          <w:szCs w:val="24"/>
        </w:rPr>
      </w:pPr>
    </w:p>
    <w:p w:rsidR="0047747A" w:rsidRDefault="0047747A" w:rsidP="0047747A">
      <w:pPr>
        <w:spacing w:line="360" w:lineRule="auto"/>
        <w:jc w:val="both"/>
        <w:rPr>
          <w:rFonts w:ascii="Arial" w:hAnsi="Arial" w:cs="Arial"/>
          <w:b/>
          <w:bCs/>
          <w:sz w:val="24"/>
          <w:szCs w:val="24"/>
        </w:rPr>
      </w:pPr>
      <w:r w:rsidRPr="00032C5D">
        <w:rPr>
          <w:rFonts w:ascii="Arial" w:hAnsi="Arial" w:cs="Arial"/>
          <w:b/>
          <w:bCs/>
          <w:sz w:val="24"/>
          <w:szCs w:val="24"/>
        </w:rPr>
        <w:t xml:space="preserve">Return on Equity of </w:t>
      </w:r>
      <w:r w:rsidR="00303E8F">
        <w:rPr>
          <w:rFonts w:ascii="Arial" w:hAnsi="Arial" w:cs="Arial"/>
          <w:b/>
          <w:bCs/>
          <w:sz w:val="24"/>
          <w:szCs w:val="24"/>
        </w:rPr>
        <w:t>Jerry</w:t>
      </w:r>
      <w:r w:rsidRPr="00032C5D">
        <w:rPr>
          <w:rFonts w:ascii="Arial" w:hAnsi="Arial" w:cs="Arial"/>
          <w:b/>
          <w:bCs/>
          <w:sz w:val="24"/>
          <w:szCs w:val="24"/>
        </w:rPr>
        <w:t xml:space="preserve"> plc for the year 2018 and 2019</w:t>
      </w:r>
    </w:p>
    <w:p w:rsidR="0047747A" w:rsidRPr="00032C5D" w:rsidRDefault="0047747A" w:rsidP="0047747A">
      <w:pPr>
        <w:spacing w:line="360" w:lineRule="auto"/>
        <w:jc w:val="both"/>
        <w:rPr>
          <w:rFonts w:ascii="Arial" w:hAnsi="Arial" w:cs="Arial"/>
          <w:b/>
          <w:bCs/>
          <w:sz w:val="24"/>
          <w:szCs w:val="24"/>
        </w:rPr>
      </w:pPr>
      <w:r>
        <w:rPr>
          <w:noProof/>
        </w:rPr>
        <w:drawing>
          <wp:inline distT="0" distB="0" distL="0" distR="0" wp14:anchorId="3691E809" wp14:editId="3369356E">
            <wp:extent cx="3533775" cy="2245910"/>
            <wp:effectExtent l="0" t="0" r="0" b="254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557083" cy="2260724"/>
                    </a:xfrm>
                    <a:prstGeom prst="rect">
                      <a:avLst/>
                    </a:prstGeom>
                  </pic:spPr>
                </pic:pic>
              </a:graphicData>
            </a:graphic>
          </wp:inline>
        </w:drawing>
      </w:r>
    </w:p>
    <w:p w:rsidR="0047747A" w:rsidRPr="00032C5D" w:rsidRDefault="0047747A" w:rsidP="0047747A">
      <w:pPr>
        <w:spacing w:line="360" w:lineRule="auto"/>
        <w:jc w:val="both"/>
        <w:rPr>
          <w:rFonts w:ascii="Arial" w:hAnsi="Arial" w:cs="Arial"/>
          <w:bCs/>
          <w:sz w:val="24"/>
          <w:szCs w:val="24"/>
        </w:rPr>
      </w:pPr>
      <w:r w:rsidRPr="00032C5D">
        <w:rPr>
          <w:rFonts w:ascii="Arial" w:hAnsi="Arial" w:cs="Arial"/>
          <w:bCs/>
          <w:sz w:val="24"/>
          <w:szCs w:val="24"/>
        </w:rPr>
        <w:t xml:space="preserve"> It is the measure of profitability of a business in relation to its equity. ROE for the business for 2019 and 2018 amounted to 0.14 and 0.23 respectively. Although the rate of ROE depends on the industry or sector within which the company is operating, a declining ROE is an indication of poor investment decision and less efficient management in creating profit and increasing shareholder value. Further, if a company aggressively borrows money, it can also cause the money ROE to decline to a significant extent (Haskins, 2017)</w:t>
      </w:r>
    </w:p>
    <w:p w:rsidR="0047747A" w:rsidRDefault="0047747A" w:rsidP="0047747A">
      <w:pPr>
        <w:spacing w:line="360" w:lineRule="auto"/>
        <w:jc w:val="both"/>
        <w:rPr>
          <w:rFonts w:ascii="Arial" w:hAnsi="Arial" w:cs="Arial"/>
          <w:b/>
          <w:bCs/>
          <w:sz w:val="24"/>
          <w:szCs w:val="24"/>
          <w:lang w:val="ro-RO"/>
        </w:rPr>
      </w:pPr>
      <w:r w:rsidRPr="00032C5D">
        <w:rPr>
          <w:rFonts w:ascii="Arial" w:hAnsi="Arial" w:cs="Arial"/>
          <w:b/>
          <w:bCs/>
          <w:sz w:val="24"/>
          <w:szCs w:val="24"/>
          <w:lang w:val="ro-RO"/>
        </w:rPr>
        <w:t xml:space="preserve">Earnings per share of </w:t>
      </w:r>
      <w:r w:rsidR="00303E8F">
        <w:rPr>
          <w:rFonts w:ascii="Arial" w:hAnsi="Arial" w:cs="Arial"/>
          <w:b/>
          <w:bCs/>
          <w:sz w:val="24"/>
          <w:szCs w:val="24"/>
          <w:lang w:val="ro-RO"/>
        </w:rPr>
        <w:t>Jerry</w:t>
      </w:r>
      <w:r w:rsidRPr="00032C5D">
        <w:rPr>
          <w:rFonts w:ascii="Arial" w:hAnsi="Arial" w:cs="Arial"/>
          <w:b/>
          <w:bCs/>
          <w:sz w:val="24"/>
          <w:szCs w:val="24"/>
          <w:lang w:val="ro-RO"/>
        </w:rPr>
        <w:t xml:space="preserve"> plc for the year 2018 and 2019</w:t>
      </w:r>
    </w:p>
    <w:p w:rsidR="0047747A" w:rsidRDefault="0047747A" w:rsidP="0047747A">
      <w:pPr>
        <w:spacing w:line="360" w:lineRule="auto"/>
        <w:jc w:val="both"/>
        <w:rPr>
          <w:rFonts w:ascii="Arial" w:hAnsi="Arial" w:cs="Arial"/>
          <w:b/>
          <w:bCs/>
          <w:sz w:val="24"/>
          <w:szCs w:val="24"/>
          <w:lang w:val="ro-RO"/>
        </w:rPr>
      </w:pPr>
      <w:r>
        <w:rPr>
          <w:noProof/>
        </w:rPr>
        <w:drawing>
          <wp:inline distT="0" distB="0" distL="0" distR="0" wp14:anchorId="36296851" wp14:editId="28B1B97A">
            <wp:extent cx="2238375" cy="1432559"/>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271849" cy="1453982"/>
                    </a:xfrm>
                    <a:prstGeom prst="rect">
                      <a:avLst/>
                    </a:prstGeom>
                  </pic:spPr>
                </pic:pic>
              </a:graphicData>
            </a:graphic>
          </wp:inline>
        </w:drawing>
      </w:r>
    </w:p>
    <w:p w:rsidR="0047747A" w:rsidRDefault="0047747A" w:rsidP="0047747A">
      <w:pPr>
        <w:spacing w:line="360" w:lineRule="auto"/>
        <w:jc w:val="both"/>
        <w:rPr>
          <w:rFonts w:ascii="Arial" w:hAnsi="Arial" w:cs="Arial"/>
          <w:bCs/>
          <w:sz w:val="24"/>
          <w:szCs w:val="24"/>
          <w:lang w:val="ro-RO"/>
        </w:rPr>
      </w:pPr>
      <w:r w:rsidRPr="00032C5D">
        <w:rPr>
          <w:rFonts w:ascii="Arial" w:hAnsi="Arial" w:cs="Arial"/>
          <w:bCs/>
          <w:sz w:val="24"/>
          <w:szCs w:val="24"/>
          <w:lang w:val="ro-RO"/>
        </w:rPr>
        <w:t xml:space="preserve">   It describes the profit per outstanding share of stock which is usually calculated on a annual basis. The EPS of the business for the year 2019 and 2018 amounted to 0.72 and 1.03 respectively. Most of the time EPS is use to compare with the performance of its competitors or with industry standard. However, a low amount of EPS or decline </w:t>
      </w:r>
      <w:r w:rsidRPr="00032C5D">
        <w:rPr>
          <w:rFonts w:ascii="Arial" w:hAnsi="Arial" w:cs="Arial"/>
          <w:bCs/>
          <w:sz w:val="24"/>
          <w:szCs w:val="24"/>
          <w:lang w:val="ro-RO"/>
        </w:rPr>
        <w:lastRenderedPageBreak/>
        <w:t>EPS suggests that the profit per outstanding share of the business is considerably low or declining due to increased competition or on set of inflation within the country. However, low EPS also means that company might have spent a lot of money in the past year (Wu and Lin, 2018)</w:t>
      </w:r>
    </w:p>
    <w:p w:rsidR="0047747A" w:rsidRPr="00032C5D" w:rsidRDefault="0047747A" w:rsidP="0047747A">
      <w:pPr>
        <w:spacing w:line="360" w:lineRule="auto"/>
        <w:jc w:val="both"/>
        <w:rPr>
          <w:rFonts w:ascii="Arial" w:hAnsi="Arial" w:cs="Arial"/>
          <w:b/>
          <w:bCs/>
          <w:sz w:val="24"/>
          <w:szCs w:val="24"/>
          <w:lang w:val="ro-RO"/>
        </w:rPr>
      </w:pPr>
      <w:r w:rsidRPr="00032C5D">
        <w:rPr>
          <w:rFonts w:ascii="Arial" w:hAnsi="Arial" w:cs="Arial"/>
          <w:b/>
          <w:bCs/>
          <w:sz w:val="24"/>
          <w:szCs w:val="24"/>
          <w:lang w:val="ro-RO"/>
        </w:rPr>
        <w:t xml:space="preserve">Gross Profit Margin of </w:t>
      </w:r>
      <w:r w:rsidR="00303E8F">
        <w:rPr>
          <w:rFonts w:ascii="Arial" w:hAnsi="Arial" w:cs="Arial"/>
          <w:b/>
          <w:bCs/>
          <w:sz w:val="24"/>
          <w:szCs w:val="24"/>
          <w:lang w:val="ro-RO"/>
        </w:rPr>
        <w:t>Jerry</w:t>
      </w:r>
      <w:r w:rsidRPr="00032C5D">
        <w:rPr>
          <w:rFonts w:ascii="Arial" w:hAnsi="Arial" w:cs="Arial"/>
          <w:b/>
          <w:bCs/>
          <w:sz w:val="24"/>
          <w:szCs w:val="24"/>
          <w:lang w:val="ro-RO"/>
        </w:rPr>
        <w:t xml:space="preserve"> plc for the year 2018 and 2019</w:t>
      </w:r>
    </w:p>
    <w:p w:rsidR="0047747A" w:rsidRPr="00032C5D" w:rsidRDefault="0047747A" w:rsidP="0047747A">
      <w:pPr>
        <w:spacing w:line="360" w:lineRule="auto"/>
        <w:jc w:val="both"/>
        <w:rPr>
          <w:rFonts w:ascii="Arial" w:hAnsi="Arial" w:cs="Arial"/>
          <w:b/>
          <w:bCs/>
          <w:sz w:val="24"/>
          <w:szCs w:val="24"/>
          <w:lang w:val="ro-RO"/>
        </w:rPr>
      </w:pPr>
      <w:r>
        <w:rPr>
          <w:rFonts w:ascii="Arial" w:hAnsi="Arial" w:cs="Arial"/>
          <w:b/>
          <w:bCs/>
          <w:sz w:val="24"/>
          <w:szCs w:val="24"/>
          <w:lang w:val="ro-RO"/>
        </w:rPr>
        <w:t xml:space="preserve">                </w:t>
      </w:r>
      <w:r>
        <w:rPr>
          <w:noProof/>
        </w:rPr>
        <w:drawing>
          <wp:inline distT="0" distB="0" distL="0" distR="0" wp14:anchorId="49C76EFC" wp14:editId="5705EA85">
            <wp:extent cx="3362325" cy="2049040"/>
            <wp:effectExtent l="0" t="0" r="0" b="889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379192" cy="2059319"/>
                    </a:xfrm>
                    <a:prstGeom prst="rect">
                      <a:avLst/>
                    </a:prstGeom>
                  </pic:spPr>
                </pic:pic>
              </a:graphicData>
            </a:graphic>
          </wp:inline>
        </w:drawing>
      </w:r>
    </w:p>
    <w:p w:rsidR="0047747A" w:rsidRDefault="0047747A" w:rsidP="0047747A">
      <w:pPr>
        <w:spacing w:line="360" w:lineRule="auto"/>
        <w:jc w:val="both"/>
        <w:rPr>
          <w:rFonts w:ascii="Arial" w:hAnsi="Arial" w:cs="Arial"/>
          <w:bCs/>
          <w:sz w:val="24"/>
          <w:szCs w:val="24"/>
          <w:lang w:val="ro-RO"/>
        </w:rPr>
      </w:pPr>
      <w:r w:rsidRPr="00032C5D">
        <w:rPr>
          <w:rFonts w:ascii="Arial" w:hAnsi="Arial" w:cs="Arial"/>
          <w:bCs/>
          <w:sz w:val="24"/>
          <w:szCs w:val="24"/>
          <w:lang w:val="ro-RO"/>
        </w:rPr>
        <w:t xml:space="preserve">  Gross profit denotes the amount of money that a business generates from after covering for cost of goods sold. High gross profit suggests that the company’s sales is significantly high compared to its COSG which is making the company capable of retaining profit. The gross profit for both the years were consistent at 38% indicating that the company making strong and consistent profit which have not been affected by increasing competition. Also,the rate of profit is significantly higher which denotes that the sales stream of the business is strong. Strong sales indicate that the demand for the services and products of the company is higher than the usual (Farfan et al.,2017)</w:t>
      </w:r>
    </w:p>
    <w:p w:rsidR="0047747A" w:rsidRDefault="0047747A" w:rsidP="0047747A">
      <w:pPr>
        <w:spacing w:line="360" w:lineRule="auto"/>
        <w:jc w:val="both"/>
        <w:rPr>
          <w:rFonts w:ascii="Arial" w:hAnsi="Arial" w:cs="Arial"/>
          <w:b/>
          <w:bCs/>
          <w:sz w:val="24"/>
          <w:szCs w:val="24"/>
          <w:lang w:val="ro-RO"/>
        </w:rPr>
      </w:pPr>
    </w:p>
    <w:p w:rsidR="0047747A" w:rsidRDefault="0047747A" w:rsidP="0047747A">
      <w:pPr>
        <w:spacing w:line="360" w:lineRule="auto"/>
        <w:jc w:val="both"/>
        <w:rPr>
          <w:rFonts w:ascii="Arial" w:hAnsi="Arial" w:cs="Arial"/>
          <w:b/>
          <w:bCs/>
          <w:sz w:val="24"/>
          <w:szCs w:val="24"/>
          <w:lang w:val="ro-RO"/>
        </w:rPr>
      </w:pPr>
    </w:p>
    <w:p w:rsidR="0047747A" w:rsidRDefault="0047747A" w:rsidP="0047747A">
      <w:pPr>
        <w:spacing w:line="360" w:lineRule="auto"/>
        <w:jc w:val="both"/>
        <w:rPr>
          <w:rFonts w:ascii="Arial" w:hAnsi="Arial" w:cs="Arial"/>
          <w:b/>
          <w:bCs/>
          <w:sz w:val="24"/>
          <w:szCs w:val="24"/>
          <w:lang w:val="ro-RO"/>
        </w:rPr>
      </w:pPr>
    </w:p>
    <w:p w:rsidR="0047747A" w:rsidRDefault="0047747A" w:rsidP="0047747A">
      <w:pPr>
        <w:spacing w:line="360" w:lineRule="auto"/>
        <w:jc w:val="both"/>
        <w:rPr>
          <w:rFonts w:ascii="Arial" w:hAnsi="Arial" w:cs="Arial"/>
          <w:b/>
          <w:bCs/>
          <w:sz w:val="24"/>
          <w:szCs w:val="24"/>
          <w:lang w:val="ro-RO"/>
        </w:rPr>
      </w:pPr>
    </w:p>
    <w:p w:rsidR="0047747A" w:rsidRDefault="0047747A" w:rsidP="0047747A">
      <w:pPr>
        <w:spacing w:line="360" w:lineRule="auto"/>
        <w:jc w:val="both"/>
        <w:rPr>
          <w:rFonts w:ascii="Arial" w:hAnsi="Arial" w:cs="Arial"/>
          <w:b/>
          <w:bCs/>
          <w:sz w:val="24"/>
          <w:szCs w:val="24"/>
          <w:lang w:val="ro-RO"/>
        </w:rPr>
      </w:pPr>
    </w:p>
    <w:p w:rsidR="0047747A" w:rsidRDefault="0047747A" w:rsidP="0047747A">
      <w:pPr>
        <w:spacing w:line="360" w:lineRule="auto"/>
        <w:jc w:val="both"/>
        <w:rPr>
          <w:rFonts w:ascii="Arial" w:hAnsi="Arial" w:cs="Arial"/>
          <w:b/>
          <w:bCs/>
          <w:sz w:val="24"/>
          <w:szCs w:val="24"/>
          <w:lang w:val="ro-RO"/>
        </w:rPr>
      </w:pPr>
    </w:p>
    <w:p w:rsidR="0047747A" w:rsidRDefault="0047747A" w:rsidP="0047747A">
      <w:pPr>
        <w:spacing w:line="360" w:lineRule="auto"/>
        <w:jc w:val="both"/>
        <w:rPr>
          <w:rFonts w:ascii="Arial" w:hAnsi="Arial" w:cs="Arial"/>
          <w:b/>
          <w:bCs/>
          <w:sz w:val="24"/>
          <w:szCs w:val="24"/>
          <w:lang w:val="ro-RO"/>
        </w:rPr>
      </w:pPr>
    </w:p>
    <w:p w:rsidR="0047747A" w:rsidRDefault="0047747A" w:rsidP="0047747A">
      <w:pPr>
        <w:spacing w:line="360" w:lineRule="auto"/>
        <w:jc w:val="both"/>
        <w:rPr>
          <w:rFonts w:ascii="Arial" w:hAnsi="Arial" w:cs="Arial"/>
          <w:b/>
          <w:bCs/>
          <w:sz w:val="24"/>
          <w:szCs w:val="24"/>
          <w:lang w:val="ro-RO"/>
        </w:rPr>
      </w:pPr>
      <w:r w:rsidRPr="00032C5D">
        <w:rPr>
          <w:rFonts w:ascii="Arial" w:hAnsi="Arial" w:cs="Arial"/>
          <w:b/>
          <w:bCs/>
          <w:sz w:val="24"/>
          <w:szCs w:val="24"/>
          <w:lang w:val="ro-RO"/>
        </w:rPr>
        <w:lastRenderedPageBreak/>
        <w:t xml:space="preserve">Asset Turnover ratio of </w:t>
      </w:r>
      <w:r w:rsidR="00303E8F">
        <w:rPr>
          <w:rFonts w:ascii="Arial" w:hAnsi="Arial" w:cs="Arial"/>
          <w:b/>
          <w:bCs/>
          <w:sz w:val="24"/>
          <w:szCs w:val="24"/>
          <w:lang w:val="ro-RO"/>
        </w:rPr>
        <w:t>Jerry</w:t>
      </w:r>
      <w:r w:rsidRPr="00032C5D">
        <w:rPr>
          <w:rFonts w:ascii="Arial" w:hAnsi="Arial" w:cs="Arial"/>
          <w:b/>
          <w:bCs/>
          <w:sz w:val="24"/>
          <w:szCs w:val="24"/>
          <w:lang w:val="ro-RO"/>
        </w:rPr>
        <w:t xml:space="preserve"> plc for the year 2018 and 2019</w:t>
      </w:r>
    </w:p>
    <w:p w:rsidR="0047747A" w:rsidRPr="00D97545" w:rsidRDefault="0047747A" w:rsidP="0047747A">
      <w:pPr>
        <w:spacing w:line="360" w:lineRule="auto"/>
        <w:jc w:val="both"/>
        <w:rPr>
          <w:rFonts w:ascii="Arial" w:hAnsi="Arial" w:cs="Arial"/>
          <w:b/>
          <w:bCs/>
          <w:sz w:val="24"/>
          <w:szCs w:val="24"/>
          <w:lang w:val="ro-RO"/>
        </w:rPr>
      </w:pPr>
      <w:r>
        <w:rPr>
          <w:rFonts w:ascii="Arial" w:hAnsi="Arial" w:cs="Arial"/>
          <w:b/>
          <w:bCs/>
          <w:sz w:val="24"/>
          <w:szCs w:val="24"/>
          <w:lang w:val="ro-RO"/>
        </w:rPr>
        <w:t xml:space="preserve">                             </w:t>
      </w:r>
      <w:r>
        <w:rPr>
          <w:noProof/>
        </w:rPr>
        <w:drawing>
          <wp:inline distT="0" distB="0" distL="0" distR="0" wp14:anchorId="27B68D20" wp14:editId="36005214">
            <wp:extent cx="2657475" cy="1993106"/>
            <wp:effectExtent l="0" t="0" r="0" b="762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659218" cy="1994413"/>
                    </a:xfrm>
                    <a:prstGeom prst="rect">
                      <a:avLst/>
                    </a:prstGeom>
                  </pic:spPr>
                </pic:pic>
              </a:graphicData>
            </a:graphic>
          </wp:inline>
        </w:drawing>
      </w:r>
    </w:p>
    <w:p w:rsidR="0047747A" w:rsidRDefault="0047747A" w:rsidP="0047747A">
      <w:pPr>
        <w:spacing w:line="360" w:lineRule="auto"/>
        <w:jc w:val="both"/>
        <w:rPr>
          <w:rFonts w:ascii="Arial" w:hAnsi="Arial" w:cs="Arial"/>
          <w:bCs/>
          <w:sz w:val="24"/>
          <w:szCs w:val="24"/>
          <w:lang w:val="ro-RO"/>
        </w:rPr>
      </w:pPr>
      <w:r w:rsidRPr="00032C5D">
        <w:rPr>
          <w:rFonts w:ascii="Arial" w:hAnsi="Arial" w:cs="Arial"/>
          <w:bCs/>
          <w:sz w:val="24"/>
          <w:szCs w:val="24"/>
        </w:rPr>
        <w:t xml:space="preserve">   It described the profit the total assets of the business generate through is effective and efficient utilisation. As can be seen from the calculation, assets turnover of the company for 2019 and 2018 amounted to 1.73 and 1.68. It is evident that the turnover has marginally increased from 2019 which can be due to the improvement is the utilisation of assets or updating the fixed assets of the company that have improved the productivity of the business to considerable extent. It also suggests that the company can effectively generate sales for its owned assets </w:t>
      </w:r>
      <w:r w:rsidRPr="00032C5D">
        <w:rPr>
          <w:rFonts w:ascii="Arial" w:hAnsi="Arial" w:cs="Arial"/>
          <w:bCs/>
          <w:sz w:val="24"/>
          <w:szCs w:val="24"/>
          <w:lang w:val="ro-RO"/>
        </w:rPr>
        <w:t>despite facing competition and that the business would be able to sustain itself for longer time span (Lee and Lee, 2018)</w:t>
      </w:r>
    </w:p>
    <w:p w:rsidR="0047747A" w:rsidRDefault="0047747A" w:rsidP="0047747A">
      <w:pPr>
        <w:spacing w:line="360" w:lineRule="auto"/>
        <w:jc w:val="both"/>
        <w:rPr>
          <w:rFonts w:ascii="Arial" w:hAnsi="Arial" w:cs="Arial"/>
          <w:b/>
          <w:bCs/>
          <w:sz w:val="24"/>
          <w:szCs w:val="24"/>
          <w:lang w:val="ro-RO"/>
        </w:rPr>
      </w:pPr>
      <w:r w:rsidRPr="00032C5D">
        <w:rPr>
          <w:rFonts w:ascii="Arial" w:hAnsi="Arial" w:cs="Arial"/>
          <w:b/>
          <w:bCs/>
          <w:sz w:val="24"/>
          <w:szCs w:val="24"/>
          <w:lang w:val="ro-RO"/>
        </w:rPr>
        <w:t>Stock Holding Pe</w:t>
      </w:r>
      <w:r w:rsidR="001E261F">
        <w:rPr>
          <w:rFonts w:ascii="Arial" w:hAnsi="Arial" w:cs="Arial"/>
          <w:b/>
          <w:bCs/>
          <w:sz w:val="24"/>
          <w:szCs w:val="24"/>
          <w:lang w:val="ro-RO"/>
        </w:rPr>
        <w:t>r</w:t>
      </w:r>
      <w:r w:rsidRPr="00032C5D">
        <w:rPr>
          <w:rFonts w:ascii="Arial" w:hAnsi="Arial" w:cs="Arial"/>
          <w:b/>
          <w:bCs/>
          <w:sz w:val="24"/>
          <w:szCs w:val="24"/>
          <w:lang w:val="ro-RO"/>
        </w:rPr>
        <w:t xml:space="preserve">iod of </w:t>
      </w:r>
      <w:r w:rsidR="00303E8F">
        <w:rPr>
          <w:rFonts w:ascii="Arial" w:hAnsi="Arial" w:cs="Arial"/>
          <w:b/>
          <w:bCs/>
          <w:sz w:val="24"/>
          <w:szCs w:val="24"/>
          <w:lang w:val="ro-RO"/>
        </w:rPr>
        <w:t>Jerry</w:t>
      </w:r>
      <w:r w:rsidRPr="00032C5D">
        <w:rPr>
          <w:rFonts w:ascii="Arial" w:hAnsi="Arial" w:cs="Arial"/>
          <w:b/>
          <w:bCs/>
          <w:sz w:val="24"/>
          <w:szCs w:val="24"/>
          <w:lang w:val="ro-RO"/>
        </w:rPr>
        <w:t xml:space="preserve"> plc for the year 2018 and 2019</w:t>
      </w:r>
    </w:p>
    <w:p w:rsidR="0047747A" w:rsidRPr="00032C5D" w:rsidRDefault="0047747A" w:rsidP="0047747A">
      <w:pPr>
        <w:spacing w:line="360" w:lineRule="auto"/>
        <w:jc w:val="both"/>
        <w:rPr>
          <w:rFonts w:ascii="Arial" w:hAnsi="Arial" w:cs="Arial"/>
          <w:b/>
          <w:bCs/>
          <w:sz w:val="24"/>
          <w:szCs w:val="24"/>
          <w:lang w:val="ro-RO"/>
        </w:rPr>
      </w:pPr>
      <w:r>
        <w:rPr>
          <w:rFonts w:ascii="Arial" w:hAnsi="Arial" w:cs="Arial"/>
          <w:b/>
          <w:bCs/>
          <w:sz w:val="24"/>
          <w:szCs w:val="24"/>
          <w:lang w:val="ro-RO"/>
        </w:rPr>
        <w:t xml:space="preserve">                         </w:t>
      </w:r>
      <w:r>
        <w:rPr>
          <w:noProof/>
        </w:rPr>
        <w:drawing>
          <wp:inline distT="0" distB="0" distL="0" distR="0" wp14:anchorId="1A46213F" wp14:editId="519B9666">
            <wp:extent cx="2790825" cy="1900136"/>
            <wp:effectExtent l="0" t="0" r="0" b="508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815777" cy="1917125"/>
                    </a:xfrm>
                    <a:prstGeom prst="rect">
                      <a:avLst/>
                    </a:prstGeom>
                  </pic:spPr>
                </pic:pic>
              </a:graphicData>
            </a:graphic>
          </wp:inline>
        </w:drawing>
      </w:r>
    </w:p>
    <w:p w:rsidR="0047747A" w:rsidRDefault="0047747A" w:rsidP="0047747A">
      <w:pPr>
        <w:spacing w:line="360" w:lineRule="auto"/>
        <w:jc w:val="both"/>
        <w:rPr>
          <w:rFonts w:ascii="Arial" w:hAnsi="Arial" w:cs="Arial"/>
          <w:bCs/>
          <w:sz w:val="24"/>
          <w:szCs w:val="24"/>
        </w:rPr>
      </w:pPr>
      <w:r w:rsidRPr="00032C5D">
        <w:rPr>
          <w:rFonts w:ascii="Arial" w:hAnsi="Arial" w:cs="Arial"/>
          <w:bCs/>
          <w:sz w:val="24"/>
          <w:szCs w:val="24"/>
          <w:lang w:val="ro-RO"/>
        </w:rPr>
        <w:t xml:space="preserve">   It shows the number of days on average that a business holds its inventory before selling it into the market and replacing it with a new ones. A decreasing period is a good information and suggests that the stock is being sold much faster and hence the holding period of inventory has been reduced and vice versa. For the business, the holding period for 2019 and 2018  amounted to 47.11 and 48.62, respectively. It </w:t>
      </w:r>
      <w:r w:rsidRPr="00032C5D">
        <w:rPr>
          <w:rFonts w:ascii="Arial" w:hAnsi="Arial" w:cs="Arial"/>
          <w:bCs/>
          <w:sz w:val="24"/>
          <w:szCs w:val="24"/>
          <w:lang w:val="ro-RO"/>
        </w:rPr>
        <w:lastRenderedPageBreak/>
        <w:t xml:space="preserve">denotes that the holding period has marginally declined and hence it can be interpreted that </w:t>
      </w:r>
      <w:r w:rsidRPr="00032C5D">
        <w:rPr>
          <w:rFonts w:ascii="Arial" w:hAnsi="Arial" w:cs="Arial"/>
          <w:bCs/>
          <w:sz w:val="24"/>
          <w:szCs w:val="24"/>
        </w:rPr>
        <w:t>the products of the business were sold at a faster pace in 2019 which can be due to increase in demand and increase in production level or both (</w:t>
      </w:r>
      <w:proofErr w:type="spellStart"/>
      <w:r w:rsidRPr="00032C5D">
        <w:rPr>
          <w:rFonts w:ascii="Arial" w:hAnsi="Arial" w:cs="Arial"/>
          <w:bCs/>
          <w:sz w:val="24"/>
          <w:szCs w:val="24"/>
        </w:rPr>
        <w:t>Nurfadilah</w:t>
      </w:r>
      <w:proofErr w:type="spellEnd"/>
      <w:r w:rsidRPr="00032C5D">
        <w:rPr>
          <w:rFonts w:ascii="Arial" w:hAnsi="Arial" w:cs="Arial"/>
          <w:bCs/>
          <w:sz w:val="24"/>
          <w:szCs w:val="24"/>
        </w:rPr>
        <w:t xml:space="preserve"> and </w:t>
      </w:r>
      <w:proofErr w:type="spellStart"/>
      <w:r w:rsidRPr="00032C5D">
        <w:rPr>
          <w:rFonts w:ascii="Arial" w:hAnsi="Arial" w:cs="Arial"/>
          <w:bCs/>
          <w:sz w:val="24"/>
          <w:szCs w:val="24"/>
        </w:rPr>
        <w:t>Daryanto</w:t>
      </w:r>
      <w:proofErr w:type="spellEnd"/>
      <w:r w:rsidRPr="00032C5D">
        <w:rPr>
          <w:rFonts w:ascii="Arial" w:hAnsi="Arial" w:cs="Arial"/>
          <w:bCs/>
          <w:sz w:val="24"/>
          <w:szCs w:val="24"/>
        </w:rPr>
        <w:t>, 2018).</w:t>
      </w:r>
    </w:p>
    <w:p w:rsidR="0047747A" w:rsidRDefault="0047747A" w:rsidP="0047747A">
      <w:pPr>
        <w:spacing w:line="360" w:lineRule="auto"/>
        <w:jc w:val="both"/>
        <w:rPr>
          <w:rFonts w:ascii="Arial" w:hAnsi="Arial" w:cs="Arial"/>
          <w:bCs/>
          <w:sz w:val="24"/>
          <w:szCs w:val="24"/>
        </w:rPr>
      </w:pPr>
    </w:p>
    <w:p w:rsidR="0047747A" w:rsidRDefault="0047747A" w:rsidP="0047747A">
      <w:pPr>
        <w:spacing w:line="360" w:lineRule="auto"/>
        <w:jc w:val="both"/>
        <w:rPr>
          <w:rFonts w:ascii="Arial" w:hAnsi="Arial" w:cs="Arial"/>
          <w:b/>
          <w:bCs/>
          <w:sz w:val="24"/>
          <w:szCs w:val="24"/>
        </w:rPr>
      </w:pPr>
      <w:r w:rsidRPr="00032C5D">
        <w:rPr>
          <w:rFonts w:ascii="Arial" w:hAnsi="Arial" w:cs="Arial"/>
          <w:b/>
          <w:bCs/>
          <w:sz w:val="24"/>
          <w:szCs w:val="24"/>
        </w:rPr>
        <w:t xml:space="preserve">Debtors Collection Period of </w:t>
      </w:r>
      <w:r w:rsidR="00303E8F">
        <w:rPr>
          <w:rFonts w:ascii="Arial" w:hAnsi="Arial" w:cs="Arial"/>
          <w:b/>
          <w:bCs/>
          <w:sz w:val="24"/>
          <w:szCs w:val="24"/>
        </w:rPr>
        <w:t>Jerry</w:t>
      </w:r>
      <w:r w:rsidRPr="00032C5D">
        <w:rPr>
          <w:rFonts w:ascii="Arial" w:hAnsi="Arial" w:cs="Arial"/>
          <w:b/>
          <w:bCs/>
          <w:sz w:val="24"/>
          <w:szCs w:val="24"/>
        </w:rPr>
        <w:t xml:space="preserve"> plc for the year 2018 and 2019</w:t>
      </w:r>
    </w:p>
    <w:p w:rsidR="0047747A" w:rsidRPr="00D97545" w:rsidRDefault="0047747A" w:rsidP="0047747A">
      <w:pPr>
        <w:spacing w:line="360" w:lineRule="auto"/>
        <w:jc w:val="both"/>
        <w:rPr>
          <w:rFonts w:ascii="Arial" w:hAnsi="Arial" w:cs="Arial"/>
          <w:b/>
          <w:bCs/>
          <w:sz w:val="24"/>
          <w:szCs w:val="24"/>
        </w:rPr>
      </w:pPr>
      <w:r>
        <w:rPr>
          <w:rFonts w:ascii="Arial" w:hAnsi="Arial" w:cs="Arial"/>
          <w:b/>
          <w:bCs/>
          <w:sz w:val="24"/>
          <w:szCs w:val="24"/>
        </w:rPr>
        <w:t xml:space="preserve">                           </w:t>
      </w:r>
      <w:r>
        <w:rPr>
          <w:noProof/>
        </w:rPr>
        <w:drawing>
          <wp:inline distT="0" distB="0" distL="0" distR="0" wp14:anchorId="46708B38" wp14:editId="309FE0E8">
            <wp:extent cx="2543175" cy="1639203"/>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2560010" cy="1650054"/>
                    </a:xfrm>
                    <a:prstGeom prst="rect">
                      <a:avLst/>
                    </a:prstGeom>
                  </pic:spPr>
                </pic:pic>
              </a:graphicData>
            </a:graphic>
          </wp:inline>
        </w:drawing>
      </w:r>
    </w:p>
    <w:p w:rsidR="0047747A" w:rsidRDefault="0047747A" w:rsidP="0047747A">
      <w:pPr>
        <w:spacing w:line="360" w:lineRule="auto"/>
        <w:jc w:val="both"/>
        <w:rPr>
          <w:rFonts w:ascii="Arial" w:hAnsi="Arial" w:cs="Arial"/>
          <w:bCs/>
          <w:sz w:val="24"/>
          <w:szCs w:val="24"/>
        </w:rPr>
      </w:pPr>
      <w:r w:rsidRPr="00032C5D">
        <w:rPr>
          <w:rFonts w:ascii="Arial" w:hAnsi="Arial" w:cs="Arial"/>
          <w:bCs/>
          <w:sz w:val="24"/>
          <w:szCs w:val="24"/>
        </w:rPr>
        <w:t>It represents the average time a company takes to collect all its outstanding debts and liabilities. Usually, all receivables are collected within 20 days of facilitating credit sales. For the company, the collection period for 2019 and 2018 were 83.59 and 86.08 which is considerably higher than the industry sector. It means that the business is extending its credit policy to attract more customers to its business and to increase the sales and demand of its products. However, the risk of bad debts is also higher in longer credit facility and the customer can become bankrupt and the amount of credit sales won’t be able to be recovered.</w:t>
      </w:r>
    </w:p>
    <w:p w:rsidR="0047747A" w:rsidRDefault="0047747A" w:rsidP="0047747A">
      <w:pPr>
        <w:spacing w:line="360" w:lineRule="auto"/>
        <w:jc w:val="both"/>
        <w:rPr>
          <w:rFonts w:ascii="Arial" w:hAnsi="Arial" w:cs="Arial"/>
          <w:b/>
          <w:bCs/>
          <w:sz w:val="24"/>
          <w:szCs w:val="24"/>
        </w:rPr>
      </w:pPr>
      <w:r w:rsidRPr="00032C5D">
        <w:rPr>
          <w:rFonts w:ascii="Arial" w:hAnsi="Arial" w:cs="Arial"/>
          <w:b/>
          <w:bCs/>
          <w:sz w:val="24"/>
          <w:szCs w:val="24"/>
        </w:rPr>
        <w:t xml:space="preserve">Current Ratio of </w:t>
      </w:r>
      <w:r w:rsidR="00303E8F">
        <w:rPr>
          <w:rFonts w:ascii="Arial" w:hAnsi="Arial" w:cs="Arial"/>
          <w:b/>
          <w:bCs/>
          <w:sz w:val="24"/>
          <w:szCs w:val="24"/>
        </w:rPr>
        <w:t>Jerry</w:t>
      </w:r>
      <w:r w:rsidRPr="00032C5D">
        <w:rPr>
          <w:rFonts w:ascii="Arial" w:hAnsi="Arial" w:cs="Arial"/>
          <w:b/>
          <w:bCs/>
          <w:sz w:val="24"/>
          <w:szCs w:val="24"/>
        </w:rPr>
        <w:t xml:space="preserve"> plc for the year 2018 and 2019</w:t>
      </w:r>
    </w:p>
    <w:p w:rsidR="0047747A" w:rsidRPr="00D97545" w:rsidRDefault="0047747A" w:rsidP="0047747A">
      <w:pPr>
        <w:spacing w:line="360" w:lineRule="auto"/>
        <w:jc w:val="both"/>
        <w:rPr>
          <w:rFonts w:ascii="Arial" w:hAnsi="Arial" w:cs="Arial"/>
          <w:b/>
          <w:bCs/>
          <w:sz w:val="24"/>
          <w:szCs w:val="24"/>
        </w:rPr>
      </w:pPr>
      <w:r>
        <w:rPr>
          <w:rFonts w:ascii="Arial" w:hAnsi="Arial" w:cs="Arial"/>
          <w:b/>
          <w:bCs/>
          <w:sz w:val="24"/>
          <w:szCs w:val="24"/>
        </w:rPr>
        <w:t xml:space="preserve">                                </w:t>
      </w:r>
      <w:r>
        <w:rPr>
          <w:noProof/>
        </w:rPr>
        <w:drawing>
          <wp:inline distT="0" distB="0" distL="0" distR="0" wp14:anchorId="29AA828E" wp14:editId="70CD50E0">
            <wp:extent cx="3066806" cy="1657350"/>
            <wp:effectExtent l="0" t="0" r="63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079338" cy="1664122"/>
                    </a:xfrm>
                    <a:prstGeom prst="rect">
                      <a:avLst/>
                    </a:prstGeom>
                  </pic:spPr>
                </pic:pic>
              </a:graphicData>
            </a:graphic>
          </wp:inline>
        </w:drawing>
      </w:r>
    </w:p>
    <w:p w:rsidR="0047747A" w:rsidRDefault="0047747A" w:rsidP="0047747A">
      <w:pPr>
        <w:spacing w:line="360" w:lineRule="auto"/>
        <w:jc w:val="both"/>
        <w:rPr>
          <w:rFonts w:ascii="Arial" w:hAnsi="Arial" w:cs="Arial"/>
          <w:bCs/>
          <w:sz w:val="24"/>
          <w:szCs w:val="24"/>
        </w:rPr>
      </w:pPr>
      <w:r w:rsidRPr="00032C5D">
        <w:rPr>
          <w:rFonts w:ascii="Arial" w:hAnsi="Arial" w:cs="Arial"/>
          <w:bCs/>
          <w:sz w:val="24"/>
          <w:szCs w:val="24"/>
        </w:rPr>
        <w:t xml:space="preserve">   It described the ability of business to pay all its short-term debts using its current assets. Usually, ratio higher than the one is preferred by investors as it denotes that the marketable assets of the business are higher than all its short-term debts. Current </w:t>
      </w:r>
      <w:r w:rsidRPr="00032C5D">
        <w:rPr>
          <w:rFonts w:ascii="Arial" w:hAnsi="Arial" w:cs="Arial"/>
          <w:bCs/>
          <w:sz w:val="24"/>
          <w:szCs w:val="24"/>
        </w:rPr>
        <w:lastRenderedPageBreak/>
        <w:t>ratio of the company for 2019 and 2018 stood out at 1.02 and 1.05, respectively. It indicates that the company is capable for covering its short-term obligations without raising external source of funding (Goud and Kumar, 2019)</w:t>
      </w:r>
    </w:p>
    <w:p w:rsidR="0047747A" w:rsidRDefault="0047747A" w:rsidP="0047747A">
      <w:pPr>
        <w:spacing w:line="360" w:lineRule="auto"/>
        <w:jc w:val="both"/>
        <w:rPr>
          <w:rFonts w:ascii="Arial" w:hAnsi="Arial" w:cs="Arial"/>
          <w:b/>
          <w:bCs/>
          <w:sz w:val="24"/>
          <w:szCs w:val="24"/>
        </w:rPr>
      </w:pPr>
      <w:r w:rsidRPr="00032C5D">
        <w:rPr>
          <w:rFonts w:ascii="Arial" w:hAnsi="Arial" w:cs="Arial"/>
          <w:b/>
          <w:bCs/>
          <w:sz w:val="24"/>
          <w:szCs w:val="24"/>
        </w:rPr>
        <w:t xml:space="preserve">Gearing Ratio of </w:t>
      </w:r>
      <w:r w:rsidR="00303E8F">
        <w:rPr>
          <w:rFonts w:ascii="Arial" w:hAnsi="Arial" w:cs="Arial"/>
          <w:b/>
          <w:bCs/>
          <w:sz w:val="24"/>
          <w:szCs w:val="24"/>
        </w:rPr>
        <w:t>Jerry</w:t>
      </w:r>
      <w:r w:rsidRPr="00032C5D">
        <w:rPr>
          <w:rFonts w:ascii="Arial" w:hAnsi="Arial" w:cs="Arial"/>
          <w:b/>
          <w:bCs/>
          <w:sz w:val="24"/>
          <w:szCs w:val="24"/>
        </w:rPr>
        <w:t xml:space="preserve"> plc for the year 2018 and 2019</w:t>
      </w:r>
    </w:p>
    <w:p w:rsidR="0047747A" w:rsidRPr="00032C5D" w:rsidRDefault="0047747A" w:rsidP="0047747A">
      <w:pPr>
        <w:spacing w:line="360" w:lineRule="auto"/>
        <w:jc w:val="both"/>
        <w:rPr>
          <w:rFonts w:ascii="Arial" w:hAnsi="Arial" w:cs="Arial"/>
          <w:b/>
          <w:bCs/>
          <w:sz w:val="24"/>
          <w:szCs w:val="24"/>
        </w:rPr>
      </w:pPr>
      <w:r>
        <w:rPr>
          <w:rFonts w:ascii="Arial" w:hAnsi="Arial" w:cs="Arial"/>
          <w:b/>
          <w:bCs/>
          <w:sz w:val="24"/>
          <w:szCs w:val="24"/>
        </w:rPr>
        <w:t xml:space="preserve">                   </w:t>
      </w:r>
      <w:r>
        <w:rPr>
          <w:noProof/>
        </w:rPr>
        <w:drawing>
          <wp:inline distT="0" distB="0" distL="0" distR="0" wp14:anchorId="5B3FF26B" wp14:editId="4C4F1201">
            <wp:extent cx="2895600" cy="1669228"/>
            <wp:effectExtent l="0" t="0" r="0" b="762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2906047" cy="1675251"/>
                    </a:xfrm>
                    <a:prstGeom prst="rect">
                      <a:avLst/>
                    </a:prstGeom>
                  </pic:spPr>
                </pic:pic>
              </a:graphicData>
            </a:graphic>
          </wp:inline>
        </w:drawing>
      </w:r>
    </w:p>
    <w:p w:rsidR="0047747A" w:rsidRDefault="0047747A" w:rsidP="0047747A">
      <w:pPr>
        <w:spacing w:line="360" w:lineRule="auto"/>
        <w:jc w:val="both"/>
        <w:rPr>
          <w:rFonts w:ascii="Arial" w:hAnsi="Arial" w:cs="Arial"/>
          <w:bCs/>
          <w:sz w:val="24"/>
          <w:szCs w:val="24"/>
        </w:rPr>
      </w:pPr>
      <w:r w:rsidRPr="00032C5D">
        <w:rPr>
          <w:rFonts w:ascii="Arial" w:hAnsi="Arial" w:cs="Arial"/>
          <w:bCs/>
          <w:sz w:val="24"/>
          <w:szCs w:val="24"/>
        </w:rPr>
        <w:t>It compares some of owners’ equity to debts or borrowed by a firm. The gearing ratio of the company for 2019 and 2018 were 0.32 and 0.45. It suggests that the debts of the company are lower the capital employed by the business, and hence the company is more inclined towards internal source of funding (</w:t>
      </w:r>
      <w:proofErr w:type="spellStart"/>
      <w:r w:rsidRPr="00032C5D">
        <w:rPr>
          <w:rFonts w:ascii="Arial" w:hAnsi="Arial" w:cs="Arial"/>
          <w:bCs/>
          <w:sz w:val="24"/>
          <w:szCs w:val="24"/>
        </w:rPr>
        <w:t>Ernawati</w:t>
      </w:r>
      <w:proofErr w:type="spellEnd"/>
      <w:r w:rsidRPr="00032C5D">
        <w:rPr>
          <w:rFonts w:ascii="Arial" w:hAnsi="Arial" w:cs="Arial"/>
          <w:bCs/>
          <w:sz w:val="24"/>
          <w:szCs w:val="24"/>
        </w:rPr>
        <w:t xml:space="preserve">, </w:t>
      </w:r>
      <w:proofErr w:type="spellStart"/>
      <w:r w:rsidRPr="00032C5D">
        <w:rPr>
          <w:rFonts w:ascii="Arial" w:hAnsi="Arial" w:cs="Arial"/>
          <w:bCs/>
          <w:sz w:val="24"/>
          <w:szCs w:val="24"/>
        </w:rPr>
        <w:t>Handojo</w:t>
      </w:r>
      <w:proofErr w:type="spellEnd"/>
      <w:r w:rsidRPr="00032C5D">
        <w:rPr>
          <w:rFonts w:ascii="Arial" w:hAnsi="Arial" w:cs="Arial"/>
          <w:bCs/>
          <w:sz w:val="24"/>
          <w:szCs w:val="24"/>
        </w:rPr>
        <w:t xml:space="preserve"> and </w:t>
      </w:r>
      <w:proofErr w:type="spellStart"/>
      <w:r w:rsidRPr="00032C5D">
        <w:rPr>
          <w:rFonts w:ascii="Arial" w:hAnsi="Arial" w:cs="Arial"/>
          <w:bCs/>
          <w:sz w:val="24"/>
          <w:szCs w:val="24"/>
        </w:rPr>
        <w:t>Murhadi</w:t>
      </w:r>
      <w:proofErr w:type="spellEnd"/>
      <w:r w:rsidRPr="00032C5D">
        <w:rPr>
          <w:rFonts w:ascii="Arial" w:hAnsi="Arial" w:cs="Arial"/>
          <w:bCs/>
          <w:sz w:val="24"/>
          <w:szCs w:val="24"/>
        </w:rPr>
        <w:t>, 2018)</w:t>
      </w:r>
    </w:p>
    <w:p w:rsidR="0047747A" w:rsidRDefault="0047747A" w:rsidP="0047747A">
      <w:pPr>
        <w:spacing w:line="360" w:lineRule="auto"/>
        <w:jc w:val="both"/>
        <w:rPr>
          <w:rFonts w:ascii="Arial" w:hAnsi="Arial" w:cs="Arial"/>
          <w:b/>
          <w:bCs/>
          <w:sz w:val="24"/>
          <w:szCs w:val="24"/>
        </w:rPr>
      </w:pPr>
      <w:r w:rsidRPr="00032C5D">
        <w:rPr>
          <w:rFonts w:ascii="Arial" w:hAnsi="Arial" w:cs="Arial"/>
          <w:b/>
          <w:bCs/>
          <w:sz w:val="24"/>
          <w:szCs w:val="24"/>
        </w:rPr>
        <w:t xml:space="preserve">Interest Coverage Ratio of </w:t>
      </w:r>
      <w:proofErr w:type="gramStart"/>
      <w:r w:rsidR="00303E8F">
        <w:rPr>
          <w:rFonts w:ascii="Arial" w:hAnsi="Arial" w:cs="Arial"/>
          <w:b/>
          <w:bCs/>
          <w:sz w:val="24"/>
          <w:szCs w:val="24"/>
        </w:rPr>
        <w:t xml:space="preserve">Jerry </w:t>
      </w:r>
      <w:r w:rsidRPr="00032C5D">
        <w:rPr>
          <w:rFonts w:ascii="Arial" w:hAnsi="Arial" w:cs="Arial"/>
          <w:b/>
          <w:bCs/>
          <w:sz w:val="24"/>
          <w:szCs w:val="24"/>
        </w:rPr>
        <w:t xml:space="preserve"> plc</w:t>
      </w:r>
      <w:proofErr w:type="gramEnd"/>
      <w:r w:rsidRPr="00032C5D">
        <w:rPr>
          <w:rFonts w:ascii="Arial" w:hAnsi="Arial" w:cs="Arial"/>
          <w:b/>
          <w:bCs/>
          <w:sz w:val="24"/>
          <w:szCs w:val="24"/>
        </w:rPr>
        <w:t xml:space="preserve"> for the year 2018 and 2019</w:t>
      </w:r>
    </w:p>
    <w:p w:rsidR="0047747A" w:rsidRPr="00032C5D" w:rsidRDefault="0047747A" w:rsidP="0047747A">
      <w:pPr>
        <w:spacing w:line="360" w:lineRule="auto"/>
        <w:jc w:val="both"/>
        <w:rPr>
          <w:rFonts w:ascii="Arial" w:hAnsi="Arial" w:cs="Arial"/>
          <w:b/>
          <w:bCs/>
          <w:sz w:val="24"/>
          <w:szCs w:val="24"/>
        </w:rPr>
      </w:pPr>
      <w:r>
        <w:rPr>
          <w:rFonts w:ascii="Arial" w:hAnsi="Arial" w:cs="Arial"/>
          <w:b/>
          <w:bCs/>
          <w:sz w:val="24"/>
          <w:szCs w:val="24"/>
        </w:rPr>
        <w:t xml:space="preserve">                                </w:t>
      </w:r>
      <w:r>
        <w:rPr>
          <w:noProof/>
        </w:rPr>
        <w:drawing>
          <wp:inline distT="0" distB="0" distL="0" distR="0" wp14:anchorId="3226D272" wp14:editId="7928324B">
            <wp:extent cx="2667000" cy="1423427"/>
            <wp:effectExtent l="0" t="0" r="0" b="571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2695935" cy="1438870"/>
                    </a:xfrm>
                    <a:prstGeom prst="rect">
                      <a:avLst/>
                    </a:prstGeom>
                  </pic:spPr>
                </pic:pic>
              </a:graphicData>
            </a:graphic>
          </wp:inline>
        </w:drawing>
      </w:r>
    </w:p>
    <w:p w:rsidR="0047747A" w:rsidRDefault="0047747A" w:rsidP="00032C5D">
      <w:pPr>
        <w:spacing w:line="360" w:lineRule="auto"/>
        <w:jc w:val="both"/>
        <w:rPr>
          <w:rFonts w:ascii="Arial" w:hAnsi="Arial" w:cs="Arial"/>
          <w:bCs/>
          <w:sz w:val="24"/>
          <w:szCs w:val="24"/>
        </w:rPr>
      </w:pPr>
      <w:r w:rsidRPr="00032C5D">
        <w:rPr>
          <w:rFonts w:ascii="Arial" w:hAnsi="Arial" w:cs="Arial"/>
          <w:b/>
          <w:bCs/>
          <w:sz w:val="24"/>
          <w:szCs w:val="24"/>
        </w:rPr>
        <w:t xml:space="preserve"> </w:t>
      </w:r>
      <w:r w:rsidRPr="00032C5D">
        <w:rPr>
          <w:rFonts w:ascii="Arial" w:hAnsi="Arial" w:cs="Arial"/>
          <w:bCs/>
          <w:sz w:val="24"/>
          <w:szCs w:val="24"/>
        </w:rPr>
        <w:t xml:space="preserve">It highlights the ability of the business to pay for its interest costs using the operating income of the company. For the company is question, the interest coverage for 2019 and 2018 where 115 and 8.49 respectively. The company coverage ratio has increased to a significant extent. It is since the interest cost of the business </w:t>
      </w:r>
      <w:proofErr w:type="gramStart"/>
      <w:r w:rsidRPr="00032C5D">
        <w:rPr>
          <w:rFonts w:ascii="Arial" w:hAnsi="Arial" w:cs="Arial"/>
          <w:bCs/>
          <w:sz w:val="24"/>
          <w:szCs w:val="24"/>
        </w:rPr>
        <w:t>fell down</w:t>
      </w:r>
      <w:proofErr w:type="gramEnd"/>
      <w:r w:rsidRPr="00032C5D">
        <w:rPr>
          <w:rFonts w:ascii="Arial" w:hAnsi="Arial" w:cs="Arial"/>
          <w:bCs/>
          <w:sz w:val="24"/>
          <w:szCs w:val="24"/>
        </w:rPr>
        <w:t xml:space="preserve"> to 0.20 from 3.50 of 2017 which enabled the company to improve its ability to cover its interest expenses (Wu and Lin, 2018)</w:t>
      </w:r>
    </w:p>
    <w:p w:rsidR="0047747A" w:rsidRDefault="0047747A" w:rsidP="00032C5D">
      <w:pPr>
        <w:spacing w:line="360" w:lineRule="auto"/>
        <w:jc w:val="both"/>
        <w:rPr>
          <w:rFonts w:ascii="Arial" w:hAnsi="Arial" w:cs="Arial"/>
          <w:b/>
          <w:bCs/>
          <w:sz w:val="24"/>
          <w:szCs w:val="24"/>
        </w:rPr>
      </w:pPr>
    </w:p>
    <w:p w:rsidR="0047747A" w:rsidRDefault="0047747A" w:rsidP="00032C5D">
      <w:pPr>
        <w:spacing w:line="360" w:lineRule="auto"/>
        <w:jc w:val="both"/>
        <w:rPr>
          <w:rFonts w:ascii="Arial" w:hAnsi="Arial" w:cs="Arial"/>
          <w:b/>
          <w:bCs/>
          <w:sz w:val="24"/>
          <w:szCs w:val="24"/>
        </w:rPr>
      </w:pPr>
    </w:p>
    <w:p w:rsidR="0047747A" w:rsidRDefault="00032C5D" w:rsidP="00032C5D">
      <w:pPr>
        <w:spacing w:line="360" w:lineRule="auto"/>
        <w:jc w:val="both"/>
        <w:rPr>
          <w:rFonts w:ascii="Arial" w:hAnsi="Arial" w:cs="Arial"/>
          <w:bCs/>
          <w:sz w:val="24"/>
          <w:szCs w:val="24"/>
        </w:rPr>
      </w:pPr>
      <w:r w:rsidRPr="00032C5D">
        <w:rPr>
          <w:rFonts w:ascii="Arial" w:hAnsi="Arial" w:cs="Arial"/>
          <w:b/>
          <w:bCs/>
          <w:sz w:val="24"/>
          <w:szCs w:val="24"/>
        </w:rPr>
        <w:lastRenderedPageBreak/>
        <w:t>Question 3</w:t>
      </w:r>
    </w:p>
    <w:p w:rsidR="00032C5D" w:rsidRPr="001E261F" w:rsidRDefault="00032C5D" w:rsidP="00032C5D">
      <w:pPr>
        <w:spacing w:line="360" w:lineRule="auto"/>
        <w:jc w:val="both"/>
        <w:rPr>
          <w:rFonts w:ascii="Arial" w:hAnsi="Arial" w:cs="Arial"/>
          <w:bCs/>
          <w:sz w:val="24"/>
          <w:szCs w:val="24"/>
        </w:rPr>
      </w:pPr>
      <w:r w:rsidRPr="00032C5D">
        <w:rPr>
          <w:rFonts w:ascii="Arial" w:hAnsi="Arial" w:cs="Arial"/>
          <w:bCs/>
          <w:sz w:val="24"/>
          <w:szCs w:val="24"/>
        </w:rPr>
        <w:t>The different types of user groups of the company accounts are the owners of the company, the management of the company, and the government.</w:t>
      </w:r>
    </w:p>
    <w:p w:rsidR="00032C5D" w:rsidRPr="00032C5D" w:rsidRDefault="00032C5D" w:rsidP="00032C5D">
      <w:pPr>
        <w:spacing w:line="360" w:lineRule="auto"/>
        <w:jc w:val="both"/>
        <w:rPr>
          <w:rFonts w:ascii="Arial" w:hAnsi="Arial" w:cs="Arial"/>
          <w:b/>
          <w:bCs/>
          <w:sz w:val="24"/>
          <w:szCs w:val="24"/>
        </w:rPr>
      </w:pPr>
      <w:r w:rsidRPr="00032C5D">
        <w:rPr>
          <w:rFonts w:ascii="Arial" w:hAnsi="Arial" w:cs="Arial"/>
          <w:b/>
          <w:bCs/>
          <w:sz w:val="24"/>
          <w:szCs w:val="24"/>
        </w:rPr>
        <w:t xml:space="preserve">Owners </w:t>
      </w:r>
    </w:p>
    <w:p w:rsidR="00032C5D" w:rsidRPr="00D97545" w:rsidRDefault="00032C5D" w:rsidP="00032C5D">
      <w:pPr>
        <w:spacing w:line="360" w:lineRule="auto"/>
        <w:jc w:val="both"/>
        <w:rPr>
          <w:rFonts w:ascii="Arial" w:hAnsi="Arial" w:cs="Arial"/>
          <w:bCs/>
          <w:sz w:val="24"/>
          <w:szCs w:val="24"/>
        </w:rPr>
      </w:pPr>
      <w:r w:rsidRPr="00032C5D">
        <w:rPr>
          <w:rFonts w:ascii="Arial" w:hAnsi="Arial" w:cs="Arial"/>
          <w:bCs/>
          <w:sz w:val="24"/>
          <w:szCs w:val="24"/>
        </w:rPr>
        <w:t xml:space="preserve">        Owners within the company serve the purpose of providing financial information to the company in the context of the stock. This information is especially important for the company for preparing the financial statements. It also helps in progressing with the process of stock holding. If the company is facing adverse situations, then they can decide to sell their stock. This decision can further be modified by selling more stocks or reducing the selling of stocks. This will help the company in gaining financial stability (</w:t>
      </w:r>
      <w:proofErr w:type="spellStart"/>
      <w:r w:rsidRPr="00032C5D">
        <w:rPr>
          <w:rFonts w:ascii="Arial" w:hAnsi="Arial" w:cs="Arial"/>
          <w:bCs/>
          <w:sz w:val="24"/>
          <w:szCs w:val="24"/>
        </w:rPr>
        <w:t>Timbate</w:t>
      </w:r>
      <w:proofErr w:type="spellEnd"/>
      <w:r w:rsidRPr="00032C5D">
        <w:rPr>
          <w:rFonts w:ascii="Arial" w:hAnsi="Arial" w:cs="Arial"/>
          <w:bCs/>
          <w:sz w:val="24"/>
          <w:szCs w:val="24"/>
        </w:rPr>
        <w:t xml:space="preserve"> and Park, 2018). This is also indicative of the performance of the company which is also associated with the owners and the investors. This financial information help in enhancing the investment aspects of the company.</w:t>
      </w:r>
    </w:p>
    <w:p w:rsidR="00D97545" w:rsidRDefault="00032C5D" w:rsidP="00032C5D">
      <w:pPr>
        <w:spacing w:line="360" w:lineRule="auto"/>
        <w:jc w:val="both"/>
        <w:rPr>
          <w:rFonts w:ascii="Arial" w:hAnsi="Arial" w:cs="Arial"/>
          <w:b/>
          <w:bCs/>
          <w:sz w:val="24"/>
          <w:szCs w:val="24"/>
        </w:rPr>
      </w:pPr>
      <w:r w:rsidRPr="00032C5D">
        <w:rPr>
          <w:rFonts w:ascii="Arial" w:hAnsi="Arial" w:cs="Arial"/>
          <w:b/>
          <w:bCs/>
          <w:sz w:val="24"/>
          <w:szCs w:val="24"/>
        </w:rPr>
        <w:t xml:space="preserve">Management </w:t>
      </w:r>
    </w:p>
    <w:p w:rsidR="00032C5D" w:rsidRPr="00032C5D" w:rsidRDefault="00032C5D" w:rsidP="00032C5D">
      <w:pPr>
        <w:spacing w:line="360" w:lineRule="auto"/>
        <w:jc w:val="both"/>
        <w:rPr>
          <w:rFonts w:ascii="Arial" w:hAnsi="Arial" w:cs="Arial"/>
          <w:b/>
          <w:bCs/>
          <w:sz w:val="24"/>
          <w:szCs w:val="24"/>
        </w:rPr>
      </w:pPr>
      <w:r w:rsidRPr="00032C5D">
        <w:rPr>
          <w:rFonts w:ascii="Arial" w:hAnsi="Arial" w:cs="Arial"/>
          <w:bCs/>
          <w:sz w:val="24"/>
          <w:szCs w:val="24"/>
        </w:rPr>
        <w:t xml:space="preserve">   Management of the company helps in running the daily business activities of the company. It plays an important role in creating a strong relationship with the owners and the investors of the company. The financial decisions of the company are made more sound with the enhancement in its efficiency (Abdullahi and Abubakar, 2017). These decisions are also related to the use of raw materials, the balance sheet, earnings, and performance. It also relates to the evaluation of the targets which are said by the organisational departments for accomplishing the set goals and the objectives. This information is indicative of the analysis which helps in analysing the financial statements.</w:t>
      </w:r>
    </w:p>
    <w:p w:rsidR="00032C5D" w:rsidRPr="00D97545" w:rsidRDefault="00032C5D" w:rsidP="00032C5D">
      <w:pPr>
        <w:spacing w:line="360" w:lineRule="auto"/>
        <w:jc w:val="both"/>
        <w:rPr>
          <w:rFonts w:ascii="Arial" w:hAnsi="Arial" w:cs="Arial"/>
          <w:b/>
          <w:bCs/>
          <w:sz w:val="24"/>
          <w:szCs w:val="24"/>
        </w:rPr>
      </w:pPr>
      <w:r w:rsidRPr="00032C5D">
        <w:rPr>
          <w:rFonts w:ascii="Arial" w:hAnsi="Arial" w:cs="Arial"/>
          <w:b/>
          <w:bCs/>
          <w:sz w:val="24"/>
          <w:szCs w:val="24"/>
        </w:rPr>
        <w:t xml:space="preserve">Government </w:t>
      </w:r>
    </w:p>
    <w:p w:rsidR="00032C5D" w:rsidRPr="001E261F" w:rsidRDefault="00032C5D" w:rsidP="00032C5D">
      <w:pPr>
        <w:spacing w:line="360" w:lineRule="auto"/>
        <w:jc w:val="both"/>
        <w:rPr>
          <w:rFonts w:ascii="Arial" w:hAnsi="Arial" w:cs="Arial"/>
          <w:bCs/>
          <w:sz w:val="24"/>
          <w:szCs w:val="24"/>
        </w:rPr>
      </w:pPr>
      <w:r w:rsidRPr="00032C5D">
        <w:rPr>
          <w:rFonts w:ascii="Arial" w:hAnsi="Arial" w:cs="Arial"/>
          <w:bCs/>
          <w:sz w:val="24"/>
          <w:szCs w:val="24"/>
        </w:rPr>
        <w:t xml:space="preserve">      The government also show interest in the company’s business activities. Different rationales lead to the development of an interest in the financial aspects of the company. The earnings of the company represent its financial status and ensure that it can gain a strong position in the operating marketing economy (</w:t>
      </w:r>
      <w:proofErr w:type="spellStart"/>
      <w:r w:rsidRPr="00032C5D">
        <w:rPr>
          <w:rFonts w:ascii="Arial" w:hAnsi="Arial" w:cs="Arial"/>
          <w:bCs/>
          <w:sz w:val="24"/>
          <w:szCs w:val="24"/>
        </w:rPr>
        <w:t>Minnis</w:t>
      </w:r>
      <w:proofErr w:type="spellEnd"/>
      <w:r w:rsidRPr="00032C5D">
        <w:rPr>
          <w:rFonts w:ascii="Arial" w:hAnsi="Arial" w:cs="Arial"/>
          <w:bCs/>
          <w:sz w:val="24"/>
          <w:szCs w:val="24"/>
        </w:rPr>
        <w:t xml:space="preserve"> and Shroff, 2017). Moreover, it is the responsibility of the company to avoid changes in inaccurate documents and comply with the policies and regulations. It is also important to comply with these regulations because it ensures that the company and its business activities </w:t>
      </w:r>
      <w:r w:rsidRPr="00032C5D">
        <w:rPr>
          <w:rFonts w:ascii="Arial" w:hAnsi="Arial" w:cs="Arial"/>
          <w:bCs/>
          <w:sz w:val="24"/>
          <w:szCs w:val="24"/>
        </w:rPr>
        <w:lastRenderedPageBreak/>
        <w:t>are being performed accordingly decreasing the scope of conflicts and interruption in the future.</w:t>
      </w:r>
    </w:p>
    <w:p w:rsidR="00032C5D" w:rsidRPr="001E261F" w:rsidRDefault="00032C5D" w:rsidP="00032C5D">
      <w:pPr>
        <w:spacing w:line="360" w:lineRule="auto"/>
        <w:jc w:val="both"/>
        <w:rPr>
          <w:rFonts w:ascii="Arial" w:hAnsi="Arial" w:cs="Arial"/>
          <w:b/>
          <w:bCs/>
          <w:sz w:val="24"/>
          <w:szCs w:val="24"/>
        </w:rPr>
      </w:pPr>
      <w:r w:rsidRPr="00032C5D">
        <w:rPr>
          <w:rFonts w:ascii="Arial" w:hAnsi="Arial" w:cs="Arial"/>
          <w:b/>
          <w:bCs/>
          <w:sz w:val="24"/>
          <w:szCs w:val="24"/>
        </w:rPr>
        <w:t>Advantages and Disadvantages of Financial Reporting Regulatory Regime:</w:t>
      </w:r>
    </w:p>
    <w:p w:rsidR="00032C5D" w:rsidRPr="001E261F" w:rsidRDefault="00032C5D" w:rsidP="00032C5D">
      <w:pPr>
        <w:spacing w:line="360" w:lineRule="auto"/>
        <w:jc w:val="both"/>
        <w:rPr>
          <w:rFonts w:ascii="Arial" w:hAnsi="Arial" w:cs="Arial"/>
          <w:bCs/>
          <w:sz w:val="24"/>
          <w:szCs w:val="24"/>
        </w:rPr>
      </w:pPr>
      <w:r w:rsidRPr="00032C5D">
        <w:rPr>
          <w:rFonts w:ascii="Arial" w:hAnsi="Arial" w:cs="Arial"/>
          <w:bCs/>
          <w:sz w:val="24"/>
          <w:szCs w:val="24"/>
        </w:rPr>
        <w:t xml:space="preserve">A regulatory financial reporting regime is especially important for the company. It has one of the significant impacts on the principles and the business activities of the organisation. There are certain accounting standards which are also included in the financial reporting regime. There are certain benefits and the drawbacks related to the same advantages </w:t>
      </w:r>
    </w:p>
    <w:p w:rsidR="006607F0" w:rsidRPr="00032C5D" w:rsidRDefault="006607F0" w:rsidP="00032C5D">
      <w:pPr>
        <w:spacing w:line="360" w:lineRule="auto"/>
        <w:jc w:val="both"/>
        <w:rPr>
          <w:rFonts w:ascii="Arial" w:hAnsi="Arial" w:cs="Arial"/>
          <w:b/>
          <w:sz w:val="24"/>
          <w:szCs w:val="24"/>
        </w:rPr>
      </w:pPr>
      <w:r w:rsidRPr="00032C5D">
        <w:rPr>
          <w:rFonts w:ascii="Arial" w:hAnsi="Arial" w:cs="Arial"/>
          <w:b/>
          <w:sz w:val="24"/>
          <w:szCs w:val="24"/>
        </w:rPr>
        <w:t>Advantages</w:t>
      </w:r>
    </w:p>
    <w:p w:rsidR="00426030" w:rsidRPr="00032C5D" w:rsidRDefault="006607F0" w:rsidP="00032C5D">
      <w:pPr>
        <w:spacing w:line="360" w:lineRule="auto"/>
        <w:jc w:val="both"/>
        <w:rPr>
          <w:rFonts w:ascii="Arial" w:hAnsi="Arial" w:cs="Arial"/>
          <w:sz w:val="24"/>
          <w:szCs w:val="24"/>
        </w:rPr>
      </w:pPr>
      <w:r w:rsidRPr="00032C5D">
        <w:rPr>
          <w:rFonts w:ascii="Arial" w:hAnsi="Arial" w:cs="Arial"/>
          <w:sz w:val="24"/>
          <w:szCs w:val="24"/>
        </w:rPr>
        <w:t>The regulated financial reporting regime helps in enhancing the transparency with the organisation. It ensures that accounting is conducted uniformly. The companies comply with the policies and the regulations and ensure the maximum accessibility of their products and services. It also supports the organisation in dealing with adverse situations like those of the decreasing market share or degrading cash position in the operating economy. (Stubs and Higgins, 2018) This is especially important to ensure that the company has not fallen into the trap of fraudulent activities and practices. These regimes help in avoiding such situations and protecting the interests of inventors and other shareholders.</w:t>
      </w:r>
    </w:p>
    <w:p w:rsidR="006607F0" w:rsidRPr="00032C5D" w:rsidRDefault="006607F0" w:rsidP="00032C5D">
      <w:pPr>
        <w:spacing w:line="360" w:lineRule="auto"/>
        <w:jc w:val="both"/>
        <w:rPr>
          <w:rFonts w:ascii="Arial" w:hAnsi="Arial" w:cs="Arial"/>
          <w:b/>
          <w:sz w:val="24"/>
          <w:szCs w:val="24"/>
        </w:rPr>
      </w:pPr>
      <w:r w:rsidRPr="00032C5D">
        <w:rPr>
          <w:rFonts w:ascii="Arial" w:hAnsi="Arial" w:cs="Arial"/>
          <w:b/>
          <w:sz w:val="24"/>
          <w:szCs w:val="24"/>
        </w:rPr>
        <w:t>Disadvantages</w:t>
      </w:r>
    </w:p>
    <w:p w:rsidR="00760419" w:rsidRPr="00032C5D" w:rsidRDefault="006607F0" w:rsidP="00032C5D">
      <w:pPr>
        <w:spacing w:line="360" w:lineRule="auto"/>
        <w:jc w:val="both"/>
        <w:rPr>
          <w:rFonts w:ascii="Arial" w:hAnsi="Arial" w:cs="Arial"/>
          <w:sz w:val="24"/>
          <w:szCs w:val="24"/>
        </w:rPr>
      </w:pPr>
      <w:r w:rsidRPr="00032C5D">
        <w:rPr>
          <w:rFonts w:ascii="Arial" w:hAnsi="Arial" w:cs="Arial"/>
          <w:sz w:val="24"/>
          <w:szCs w:val="24"/>
        </w:rPr>
        <w:t xml:space="preserve">It is inclusive of the maximum wastage of time and effort. These regimes are complex in understanding and thus require effort to analyse them and then take decisions accordingly. It requires the strength of the workforce as they must monitor and review the financial compliance with similar polices and </w:t>
      </w:r>
      <w:r w:rsidR="00760419" w:rsidRPr="00032C5D">
        <w:rPr>
          <w:rFonts w:ascii="Arial" w:hAnsi="Arial" w:cs="Arial"/>
          <w:sz w:val="24"/>
          <w:szCs w:val="24"/>
        </w:rPr>
        <w:t>regimes. Thus, the overall compliance cost of the company is enhanced creating the pressure on the financial resources of the organisation. The level of flexibility is also declined because the organisations are required to comply strictly with the norms and thus any interruptions can lead to serious conflicts in the future. (Sunder, 2016). The uniqueness of the business model and the practice are required to be linked according to the norms set in the financial reporting regimes. It also adds to the burden of ensuring that the organisation and the employees have the right accounting information for developing the business with the minimum challenges and risks.</w:t>
      </w:r>
    </w:p>
    <w:p w:rsidR="00760419" w:rsidRPr="00032C5D" w:rsidRDefault="00760419" w:rsidP="00032C5D">
      <w:pPr>
        <w:spacing w:line="360" w:lineRule="auto"/>
        <w:jc w:val="both"/>
        <w:rPr>
          <w:rFonts w:ascii="Arial" w:hAnsi="Arial" w:cs="Arial"/>
          <w:b/>
          <w:sz w:val="24"/>
          <w:szCs w:val="24"/>
        </w:rPr>
      </w:pPr>
      <w:r w:rsidRPr="00032C5D">
        <w:rPr>
          <w:rFonts w:ascii="Arial" w:hAnsi="Arial" w:cs="Arial"/>
          <w:b/>
          <w:sz w:val="24"/>
          <w:szCs w:val="24"/>
        </w:rPr>
        <w:lastRenderedPageBreak/>
        <w:t>Limitations of Financial Statements</w:t>
      </w:r>
    </w:p>
    <w:p w:rsidR="001E261F" w:rsidRDefault="00760419" w:rsidP="006607F0">
      <w:pPr>
        <w:spacing w:line="360" w:lineRule="auto"/>
        <w:jc w:val="both"/>
        <w:rPr>
          <w:rFonts w:ascii="Arial" w:hAnsi="Arial" w:cs="Arial"/>
          <w:sz w:val="24"/>
          <w:szCs w:val="24"/>
        </w:rPr>
      </w:pPr>
      <w:r w:rsidRPr="00032C5D">
        <w:rPr>
          <w:rFonts w:ascii="Arial" w:hAnsi="Arial" w:cs="Arial"/>
          <w:sz w:val="24"/>
          <w:szCs w:val="24"/>
        </w:rPr>
        <w:t xml:space="preserve">The financial statements are especially important to understand the cash position of the company. However, there are certain limitations associated with the same. Firstly, there are changes that are personal judgements regards financial statements. The value of the assets and the liabilities are not represented correctly that is following the accounting standards. There are methods of depreciation, amortization and others that are not presented in the financial statements and thus acts as an imitation. Another major limitation is the specific period reporting. (Jurgens and </w:t>
      </w:r>
      <w:proofErr w:type="spellStart"/>
      <w:r w:rsidRPr="00032C5D">
        <w:rPr>
          <w:rFonts w:ascii="Arial" w:hAnsi="Arial" w:cs="Arial"/>
          <w:sz w:val="24"/>
          <w:szCs w:val="24"/>
        </w:rPr>
        <w:t>Erdmam</w:t>
      </w:r>
      <w:proofErr w:type="spellEnd"/>
      <w:r w:rsidRPr="00032C5D">
        <w:rPr>
          <w:rFonts w:ascii="Arial" w:hAnsi="Arial" w:cs="Arial"/>
          <w:sz w:val="24"/>
          <w:szCs w:val="24"/>
        </w:rPr>
        <w:t xml:space="preserve">, 2020) The financial statements are prepared in the context of the specific time and thus sets the parameters that cannot be evaluated beyond it. </w:t>
      </w:r>
      <w:r w:rsidR="001F6608" w:rsidRPr="00032C5D">
        <w:rPr>
          <w:rFonts w:ascii="Arial" w:hAnsi="Arial" w:cs="Arial"/>
          <w:sz w:val="24"/>
          <w:szCs w:val="24"/>
        </w:rPr>
        <w:t>This also</w:t>
      </w:r>
      <w:r w:rsidRPr="00032C5D">
        <w:rPr>
          <w:rFonts w:ascii="Arial" w:hAnsi="Arial" w:cs="Arial"/>
          <w:sz w:val="24"/>
          <w:szCs w:val="24"/>
        </w:rPr>
        <w:t xml:space="preserve"> has a significant impact on the performance of the company and curbs the process of actual analysis of the products. </w:t>
      </w:r>
      <w:r w:rsidR="001F6608" w:rsidRPr="00032C5D">
        <w:rPr>
          <w:rFonts w:ascii="Arial" w:hAnsi="Arial" w:cs="Arial"/>
          <w:sz w:val="24"/>
          <w:szCs w:val="24"/>
        </w:rPr>
        <w:t xml:space="preserve">Moreover, the value of the intangible assets is represented in the statements. These intangible assets help in creating more sales but not included in the financial statement. Comparability is another limitation of the financial statements. This is one of the common practice s that the financial statements of one company is compared to another. But due to certain factors, this process is not done properly and </w:t>
      </w:r>
      <w:r w:rsidR="00032C5D" w:rsidRPr="00032C5D">
        <w:rPr>
          <w:rFonts w:ascii="Arial" w:hAnsi="Arial" w:cs="Arial"/>
          <w:sz w:val="24"/>
          <w:szCs w:val="24"/>
        </w:rPr>
        <w:t>t</w:t>
      </w:r>
      <w:r w:rsidR="001F6608" w:rsidRPr="00032C5D">
        <w:rPr>
          <w:rFonts w:ascii="Arial" w:hAnsi="Arial" w:cs="Arial"/>
          <w:sz w:val="24"/>
          <w:szCs w:val="24"/>
        </w:rPr>
        <w:t>he analysis of the same makes it difficult to find the re</w:t>
      </w:r>
      <w:r w:rsidR="00032C5D" w:rsidRPr="00032C5D">
        <w:rPr>
          <w:rFonts w:ascii="Arial" w:hAnsi="Arial" w:cs="Arial"/>
          <w:sz w:val="24"/>
          <w:szCs w:val="24"/>
        </w:rPr>
        <w:t>sults. (</w:t>
      </w:r>
      <w:proofErr w:type="spellStart"/>
      <w:r w:rsidR="00032C5D" w:rsidRPr="00032C5D">
        <w:rPr>
          <w:rFonts w:ascii="Arial" w:hAnsi="Arial" w:cs="Arial"/>
          <w:sz w:val="24"/>
          <w:szCs w:val="24"/>
        </w:rPr>
        <w:t>Gamayuni</w:t>
      </w:r>
      <w:proofErr w:type="spellEnd"/>
      <w:r w:rsidR="00032C5D" w:rsidRPr="00032C5D">
        <w:rPr>
          <w:rFonts w:ascii="Arial" w:hAnsi="Arial" w:cs="Arial"/>
          <w:sz w:val="24"/>
          <w:szCs w:val="24"/>
        </w:rPr>
        <w:t>, 2019)  The financial statements do not discuss the non-financial issues which are also important for the growth and the development of the company like social and governmental concerns. The financial statements lack of information. (Sunder, 2016) The financial statements have the capability of only predicting the success of the organisation to a certain period. It does not give the right results in the context of future predictions. There are assumptions made but they are not right in the actual sense. Thus, the financial statements and broaden its approach so that it can deliver more useful information in the context of the company. It is therefore important to consider the importance of these financial statements in the context of the limitations.</w:t>
      </w:r>
    </w:p>
    <w:p w:rsidR="001E261F" w:rsidRDefault="001E261F" w:rsidP="006607F0">
      <w:pPr>
        <w:spacing w:line="360" w:lineRule="auto"/>
        <w:jc w:val="both"/>
        <w:rPr>
          <w:rFonts w:ascii="Arial" w:hAnsi="Arial" w:cs="Arial"/>
          <w:sz w:val="24"/>
          <w:szCs w:val="24"/>
          <w:u w:val="single"/>
        </w:rPr>
      </w:pPr>
    </w:p>
    <w:p w:rsidR="001E261F" w:rsidRDefault="001E261F" w:rsidP="006607F0">
      <w:pPr>
        <w:spacing w:line="360" w:lineRule="auto"/>
        <w:jc w:val="both"/>
        <w:rPr>
          <w:rFonts w:ascii="Arial" w:hAnsi="Arial" w:cs="Arial"/>
          <w:sz w:val="24"/>
          <w:szCs w:val="24"/>
          <w:u w:val="single"/>
        </w:rPr>
      </w:pPr>
    </w:p>
    <w:p w:rsidR="001E261F" w:rsidRDefault="001E261F" w:rsidP="006607F0">
      <w:pPr>
        <w:spacing w:line="360" w:lineRule="auto"/>
        <w:jc w:val="both"/>
        <w:rPr>
          <w:rFonts w:ascii="Arial" w:hAnsi="Arial" w:cs="Arial"/>
          <w:sz w:val="24"/>
          <w:szCs w:val="24"/>
          <w:u w:val="single"/>
        </w:rPr>
      </w:pPr>
    </w:p>
    <w:p w:rsidR="001E261F" w:rsidRDefault="001E261F" w:rsidP="006607F0">
      <w:pPr>
        <w:spacing w:line="360" w:lineRule="auto"/>
        <w:jc w:val="both"/>
        <w:rPr>
          <w:rFonts w:ascii="Arial" w:hAnsi="Arial" w:cs="Arial"/>
          <w:sz w:val="24"/>
          <w:szCs w:val="24"/>
          <w:u w:val="single"/>
        </w:rPr>
      </w:pPr>
    </w:p>
    <w:p w:rsidR="001E261F" w:rsidRDefault="001E261F" w:rsidP="006607F0">
      <w:pPr>
        <w:spacing w:line="360" w:lineRule="auto"/>
        <w:jc w:val="both"/>
        <w:rPr>
          <w:rFonts w:ascii="Arial" w:hAnsi="Arial" w:cs="Arial"/>
          <w:sz w:val="24"/>
          <w:szCs w:val="24"/>
          <w:u w:val="single"/>
        </w:rPr>
      </w:pPr>
    </w:p>
    <w:p w:rsidR="00760419" w:rsidRPr="001E261F" w:rsidRDefault="00E62B49" w:rsidP="006607F0">
      <w:pPr>
        <w:spacing w:line="360" w:lineRule="auto"/>
        <w:jc w:val="both"/>
        <w:rPr>
          <w:rFonts w:ascii="Arial" w:hAnsi="Arial" w:cs="Arial"/>
          <w:sz w:val="24"/>
          <w:szCs w:val="24"/>
        </w:rPr>
      </w:pPr>
      <w:r w:rsidRPr="00AC331C">
        <w:rPr>
          <w:rFonts w:ascii="Arial" w:hAnsi="Arial" w:cs="Arial"/>
          <w:sz w:val="24"/>
          <w:szCs w:val="24"/>
          <w:u w:val="single"/>
        </w:rPr>
        <w:lastRenderedPageBreak/>
        <w:t>Reference list</w:t>
      </w:r>
    </w:p>
    <w:p w:rsidR="00E62B49" w:rsidRDefault="00E62B49" w:rsidP="006607F0">
      <w:pPr>
        <w:spacing w:line="360" w:lineRule="auto"/>
        <w:jc w:val="both"/>
        <w:rPr>
          <w:rFonts w:ascii="Arial" w:hAnsi="Arial" w:cs="Arial"/>
          <w:sz w:val="24"/>
          <w:szCs w:val="24"/>
        </w:rPr>
      </w:pPr>
      <w:proofErr w:type="spellStart"/>
      <w:r>
        <w:rPr>
          <w:rFonts w:ascii="Arial" w:hAnsi="Arial" w:cs="Arial"/>
          <w:sz w:val="24"/>
          <w:szCs w:val="24"/>
        </w:rPr>
        <w:t>Abdulhali</w:t>
      </w:r>
      <w:proofErr w:type="spellEnd"/>
      <w:r>
        <w:rPr>
          <w:rFonts w:ascii="Arial" w:hAnsi="Arial" w:cs="Arial"/>
          <w:sz w:val="24"/>
          <w:szCs w:val="24"/>
        </w:rPr>
        <w:t xml:space="preserve">, A, and Abubakar, M. (2017) ‘Adoption of International Financial Reporting Standards (IFRS) and Measuring of Report Quality: A Review of Methodologies.’ </w:t>
      </w:r>
      <w:r>
        <w:rPr>
          <w:rFonts w:ascii="Arial" w:hAnsi="Arial" w:cs="Arial"/>
          <w:i/>
          <w:iCs/>
          <w:sz w:val="24"/>
          <w:szCs w:val="24"/>
        </w:rPr>
        <w:t xml:space="preserve">International Business and Accounting Journal, </w:t>
      </w:r>
      <w:r>
        <w:rPr>
          <w:rFonts w:ascii="Arial" w:hAnsi="Arial" w:cs="Arial"/>
          <w:sz w:val="24"/>
          <w:szCs w:val="24"/>
        </w:rPr>
        <w:t>1(2), pp. 103-108.</w:t>
      </w:r>
    </w:p>
    <w:p w:rsidR="00E62B49" w:rsidRDefault="00E62B49" w:rsidP="006607F0">
      <w:pPr>
        <w:spacing w:line="360" w:lineRule="auto"/>
        <w:jc w:val="both"/>
        <w:rPr>
          <w:rFonts w:ascii="Arial" w:hAnsi="Arial" w:cs="Arial"/>
          <w:sz w:val="24"/>
          <w:szCs w:val="24"/>
        </w:rPr>
      </w:pPr>
      <w:r>
        <w:rPr>
          <w:rFonts w:ascii="Arial" w:hAnsi="Arial" w:cs="Arial"/>
          <w:sz w:val="24"/>
          <w:szCs w:val="24"/>
        </w:rPr>
        <w:t xml:space="preserve">As, T. and Ga, A (2019) ‘The Effect of Standards of Ethical Conduction for Management Accountants on Financial Reporting Quality.’ </w:t>
      </w:r>
      <w:r>
        <w:rPr>
          <w:rFonts w:ascii="Arial" w:hAnsi="Arial" w:cs="Arial"/>
          <w:i/>
          <w:iCs/>
          <w:sz w:val="24"/>
          <w:szCs w:val="24"/>
        </w:rPr>
        <w:t xml:space="preserve">Journal of Internet Banking and Commerce, </w:t>
      </w:r>
      <w:r>
        <w:rPr>
          <w:rFonts w:ascii="Arial" w:hAnsi="Arial" w:cs="Arial"/>
          <w:sz w:val="24"/>
          <w:szCs w:val="24"/>
        </w:rPr>
        <w:t>24(2), pp 1-20.</w:t>
      </w:r>
    </w:p>
    <w:p w:rsidR="00E62B49" w:rsidRDefault="00E62B49" w:rsidP="006607F0">
      <w:pPr>
        <w:spacing w:line="360" w:lineRule="auto"/>
        <w:jc w:val="both"/>
        <w:rPr>
          <w:rFonts w:ascii="Arial" w:hAnsi="Arial" w:cs="Arial"/>
          <w:sz w:val="24"/>
          <w:szCs w:val="24"/>
        </w:rPr>
      </w:pPr>
      <w:proofErr w:type="spellStart"/>
      <w:r>
        <w:rPr>
          <w:rFonts w:ascii="Arial" w:hAnsi="Arial" w:cs="Arial"/>
          <w:sz w:val="24"/>
          <w:szCs w:val="24"/>
        </w:rPr>
        <w:t>Ernawati</w:t>
      </w:r>
      <w:proofErr w:type="spellEnd"/>
      <w:r>
        <w:rPr>
          <w:rFonts w:ascii="Arial" w:hAnsi="Arial" w:cs="Arial"/>
          <w:sz w:val="24"/>
          <w:szCs w:val="24"/>
        </w:rPr>
        <w:t xml:space="preserve">, E., </w:t>
      </w:r>
      <w:proofErr w:type="spellStart"/>
      <w:r>
        <w:rPr>
          <w:rFonts w:ascii="Arial" w:hAnsi="Arial" w:cs="Arial"/>
          <w:sz w:val="24"/>
          <w:szCs w:val="24"/>
        </w:rPr>
        <w:t>Handojo</w:t>
      </w:r>
      <w:proofErr w:type="spellEnd"/>
      <w:r>
        <w:rPr>
          <w:rFonts w:ascii="Arial" w:hAnsi="Arial" w:cs="Arial"/>
          <w:sz w:val="24"/>
          <w:szCs w:val="24"/>
        </w:rPr>
        <w:t xml:space="preserve">, S. and </w:t>
      </w:r>
      <w:proofErr w:type="spellStart"/>
      <w:r>
        <w:rPr>
          <w:rFonts w:ascii="Arial" w:hAnsi="Arial" w:cs="Arial"/>
          <w:sz w:val="24"/>
          <w:szCs w:val="24"/>
        </w:rPr>
        <w:t>Murhadi</w:t>
      </w:r>
      <w:proofErr w:type="spellEnd"/>
      <w:r>
        <w:rPr>
          <w:rFonts w:ascii="Arial" w:hAnsi="Arial" w:cs="Arial"/>
          <w:sz w:val="24"/>
          <w:szCs w:val="24"/>
        </w:rPr>
        <w:t>, W. (201</w:t>
      </w:r>
      <w:r w:rsidR="005675FB">
        <w:rPr>
          <w:rFonts w:ascii="Arial" w:hAnsi="Arial" w:cs="Arial"/>
          <w:sz w:val="24"/>
          <w:szCs w:val="24"/>
        </w:rPr>
        <w:t>8)</w:t>
      </w:r>
      <w:r>
        <w:rPr>
          <w:rFonts w:ascii="Arial" w:hAnsi="Arial" w:cs="Arial"/>
          <w:sz w:val="24"/>
          <w:szCs w:val="24"/>
        </w:rPr>
        <w:t xml:space="preserve"> F</w:t>
      </w:r>
      <w:r w:rsidR="005675FB">
        <w:rPr>
          <w:rFonts w:ascii="Arial" w:hAnsi="Arial" w:cs="Arial"/>
          <w:sz w:val="24"/>
          <w:szCs w:val="24"/>
        </w:rPr>
        <w:t>inancial performance, corporate, governance and financial distress.</w:t>
      </w:r>
    </w:p>
    <w:p w:rsidR="005675FB" w:rsidRDefault="005675FB" w:rsidP="006607F0">
      <w:pPr>
        <w:spacing w:line="360" w:lineRule="auto"/>
        <w:jc w:val="both"/>
        <w:rPr>
          <w:rFonts w:ascii="Arial" w:hAnsi="Arial" w:cs="Arial"/>
          <w:sz w:val="24"/>
          <w:szCs w:val="24"/>
        </w:rPr>
      </w:pPr>
      <w:proofErr w:type="spellStart"/>
      <w:r>
        <w:rPr>
          <w:rFonts w:ascii="Arial" w:hAnsi="Arial" w:cs="Arial"/>
          <w:sz w:val="24"/>
          <w:szCs w:val="24"/>
        </w:rPr>
        <w:t>Farfan</w:t>
      </w:r>
      <w:proofErr w:type="spellEnd"/>
      <w:r>
        <w:rPr>
          <w:rFonts w:ascii="Arial" w:hAnsi="Arial" w:cs="Arial"/>
          <w:sz w:val="24"/>
          <w:szCs w:val="24"/>
        </w:rPr>
        <w:t xml:space="preserve">, K., </w:t>
      </w:r>
      <w:proofErr w:type="spellStart"/>
      <w:r>
        <w:rPr>
          <w:rFonts w:ascii="Arial" w:hAnsi="Arial" w:cs="Arial"/>
          <w:sz w:val="24"/>
          <w:szCs w:val="24"/>
        </w:rPr>
        <w:t>Barriga</w:t>
      </w:r>
      <w:proofErr w:type="spellEnd"/>
      <w:r>
        <w:rPr>
          <w:rFonts w:ascii="Arial" w:hAnsi="Arial" w:cs="Arial"/>
          <w:sz w:val="24"/>
          <w:szCs w:val="24"/>
        </w:rPr>
        <w:t xml:space="preserve">, G., </w:t>
      </w:r>
      <w:proofErr w:type="spellStart"/>
      <w:r>
        <w:rPr>
          <w:rFonts w:ascii="Arial" w:hAnsi="Arial" w:cs="Arial"/>
          <w:sz w:val="24"/>
          <w:szCs w:val="24"/>
        </w:rPr>
        <w:t>Lizarzaburu</w:t>
      </w:r>
      <w:proofErr w:type="spellEnd"/>
      <w:r>
        <w:rPr>
          <w:rFonts w:ascii="Arial" w:hAnsi="Arial" w:cs="Arial"/>
          <w:sz w:val="24"/>
          <w:szCs w:val="24"/>
        </w:rPr>
        <w:t xml:space="preserve">, E. and Noriega </w:t>
      </w:r>
      <w:proofErr w:type="spellStart"/>
      <w:r>
        <w:rPr>
          <w:rFonts w:ascii="Arial" w:hAnsi="Arial" w:cs="Arial"/>
          <w:sz w:val="24"/>
          <w:szCs w:val="24"/>
        </w:rPr>
        <w:t>Febres</w:t>
      </w:r>
      <w:proofErr w:type="spellEnd"/>
      <w:r>
        <w:rPr>
          <w:rFonts w:ascii="Arial" w:hAnsi="Arial" w:cs="Arial"/>
          <w:sz w:val="24"/>
          <w:szCs w:val="24"/>
        </w:rPr>
        <w:t xml:space="preserve">, L. (2017) Financial ration method </w:t>
      </w:r>
      <w:proofErr w:type="spellStart"/>
      <w:r>
        <w:rPr>
          <w:rFonts w:ascii="Arial" w:hAnsi="Arial" w:cs="Arial"/>
          <w:sz w:val="24"/>
          <w:szCs w:val="24"/>
        </w:rPr>
        <w:t>peruvian</w:t>
      </w:r>
      <w:proofErr w:type="spellEnd"/>
      <w:r>
        <w:rPr>
          <w:rFonts w:ascii="Arial" w:hAnsi="Arial" w:cs="Arial"/>
          <w:sz w:val="24"/>
          <w:szCs w:val="24"/>
        </w:rPr>
        <w:t xml:space="preserve"> listed companies.</w:t>
      </w:r>
    </w:p>
    <w:p w:rsidR="005675FB" w:rsidRDefault="005675FB" w:rsidP="006607F0">
      <w:pPr>
        <w:spacing w:line="360" w:lineRule="auto"/>
        <w:jc w:val="both"/>
        <w:rPr>
          <w:rFonts w:ascii="Arial" w:hAnsi="Arial" w:cs="Arial"/>
          <w:sz w:val="24"/>
          <w:szCs w:val="24"/>
        </w:rPr>
      </w:pPr>
      <w:proofErr w:type="spellStart"/>
      <w:r>
        <w:rPr>
          <w:rFonts w:ascii="Arial" w:hAnsi="Arial" w:cs="Arial"/>
          <w:sz w:val="24"/>
          <w:szCs w:val="24"/>
        </w:rPr>
        <w:t>Gamayuni</w:t>
      </w:r>
      <w:proofErr w:type="spellEnd"/>
      <w:r>
        <w:rPr>
          <w:rFonts w:ascii="Arial" w:hAnsi="Arial" w:cs="Arial"/>
          <w:sz w:val="24"/>
          <w:szCs w:val="24"/>
        </w:rPr>
        <w:t xml:space="preserve">, r. (2019) ‘The Initial Implementation of Accrual Based Accounting, the Effect on Performance and Financial Reporting Quality at Local Governments in Indonesia’, </w:t>
      </w:r>
      <w:proofErr w:type="spellStart"/>
      <w:r>
        <w:rPr>
          <w:rFonts w:ascii="Arial" w:hAnsi="Arial" w:cs="Arial"/>
          <w:i/>
          <w:iCs/>
          <w:sz w:val="24"/>
          <w:szCs w:val="24"/>
        </w:rPr>
        <w:t>Ekspansi</w:t>
      </w:r>
      <w:proofErr w:type="spellEnd"/>
      <w:r>
        <w:rPr>
          <w:rFonts w:ascii="Arial" w:hAnsi="Arial" w:cs="Arial"/>
          <w:i/>
          <w:iCs/>
          <w:sz w:val="24"/>
          <w:szCs w:val="24"/>
        </w:rPr>
        <w:t xml:space="preserve">: Journal Economy, </w:t>
      </w:r>
      <w:proofErr w:type="spellStart"/>
      <w:r>
        <w:rPr>
          <w:rFonts w:ascii="Arial" w:hAnsi="Arial" w:cs="Arial"/>
          <w:i/>
          <w:iCs/>
          <w:sz w:val="24"/>
          <w:szCs w:val="24"/>
        </w:rPr>
        <w:t>Keuangan</w:t>
      </w:r>
      <w:proofErr w:type="spellEnd"/>
      <w:r>
        <w:rPr>
          <w:rFonts w:ascii="Arial" w:hAnsi="Arial" w:cs="Arial"/>
          <w:i/>
          <w:iCs/>
          <w:sz w:val="24"/>
          <w:szCs w:val="24"/>
        </w:rPr>
        <w:t xml:space="preserve"> dan </w:t>
      </w:r>
      <w:proofErr w:type="spellStart"/>
      <w:r>
        <w:rPr>
          <w:rFonts w:ascii="Arial" w:hAnsi="Arial" w:cs="Arial"/>
          <w:i/>
          <w:iCs/>
          <w:sz w:val="24"/>
          <w:szCs w:val="24"/>
        </w:rPr>
        <w:t>Akuntansi</w:t>
      </w:r>
      <w:proofErr w:type="spellEnd"/>
      <w:r>
        <w:rPr>
          <w:rFonts w:ascii="Arial" w:hAnsi="Arial" w:cs="Arial"/>
          <w:i/>
          <w:iCs/>
          <w:sz w:val="24"/>
          <w:szCs w:val="24"/>
        </w:rPr>
        <w:t xml:space="preserve">, </w:t>
      </w:r>
      <w:r>
        <w:rPr>
          <w:rFonts w:ascii="Arial" w:hAnsi="Arial" w:cs="Arial"/>
          <w:sz w:val="24"/>
          <w:szCs w:val="24"/>
        </w:rPr>
        <w:t>11(1), pp 13-22</w:t>
      </w:r>
    </w:p>
    <w:p w:rsidR="005675FB" w:rsidRDefault="005675FB" w:rsidP="006607F0">
      <w:pPr>
        <w:spacing w:line="360" w:lineRule="auto"/>
        <w:jc w:val="both"/>
        <w:rPr>
          <w:rFonts w:ascii="Arial" w:hAnsi="Arial" w:cs="Arial"/>
          <w:sz w:val="24"/>
          <w:szCs w:val="24"/>
        </w:rPr>
      </w:pPr>
      <w:r>
        <w:rPr>
          <w:rFonts w:ascii="Arial" w:hAnsi="Arial" w:cs="Arial"/>
          <w:sz w:val="24"/>
          <w:szCs w:val="24"/>
        </w:rPr>
        <w:t xml:space="preserve">Goud, M. and Kumar M. (2019) ‘A Study on Financial Statement Analysis of Selected Manufacturing Company’, </w:t>
      </w:r>
      <w:r>
        <w:rPr>
          <w:rFonts w:ascii="Arial" w:hAnsi="Arial" w:cs="Arial"/>
          <w:i/>
          <w:iCs/>
          <w:sz w:val="24"/>
          <w:szCs w:val="24"/>
        </w:rPr>
        <w:t>Ratio 2017(2018)</w:t>
      </w:r>
      <w:r>
        <w:rPr>
          <w:rFonts w:ascii="Arial" w:hAnsi="Arial" w:cs="Arial"/>
          <w:sz w:val="24"/>
          <w:szCs w:val="24"/>
        </w:rPr>
        <w:t>, pp 206.</w:t>
      </w:r>
    </w:p>
    <w:p w:rsidR="005675FB" w:rsidRDefault="005675FB" w:rsidP="006607F0">
      <w:pPr>
        <w:spacing w:line="360" w:lineRule="auto"/>
        <w:jc w:val="both"/>
        <w:rPr>
          <w:rFonts w:ascii="Arial" w:hAnsi="Arial" w:cs="Arial"/>
          <w:sz w:val="24"/>
          <w:szCs w:val="24"/>
        </w:rPr>
      </w:pPr>
      <w:r>
        <w:rPr>
          <w:rFonts w:ascii="Arial" w:hAnsi="Arial" w:cs="Arial"/>
          <w:sz w:val="24"/>
          <w:szCs w:val="24"/>
        </w:rPr>
        <w:t xml:space="preserve">Haskins, M. (2017) </w:t>
      </w:r>
      <w:r>
        <w:rPr>
          <w:rFonts w:ascii="Arial" w:hAnsi="Arial" w:cs="Arial"/>
          <w:i/>
          <w:iCs/>
          <w:sz w:val="24"/>
          <w:szCs w:val="24"/>
        </w:rPr>
        <w:t xml:space="preserve">Remington, Inc: Instant Insights for Financial </w:t>
      </w:r>
      <w:r w:rsidR="00DC36C9">
        <w:rPr>
          <w:rFonts w:ascii="Arial" w:hAnsi="Arial" w:cs="Arial"/>
          <w:i/>
          <w:iCs/>
          <w:sz w:val="24"/>
          <w:szCs w:val="24"/>
        </w:rPr>
        <w:t xml:space="preserve">Ratios </w:t>
      </w:r>
      <w:r w:rsidR="00DC36C9">
        <w:rPr>
          <w:rFonts w:ascii="Arial" w:hAnsi="Arial" w:cs="Arial"/>
          <w:sz w:val="24"/>
          <w:szCs w:val="24"/>
        </w:rPr>
        <w:t>Darden</w:t>
      </w:r>
      <w:r>
        <w:rPr>
          <w:rFonts w:ascii="Arial" w:hAnsi="Arial" w:cs="Arial"/>
          <w:sz w:val="24"/>
          <w:szCs w:val="24"/>
        </w:rPr>
        <w:t xml:space="preserve"> Business: Publishing Cases.</w:t>
      </w:r>
    </w:p>
    <w:p w:rsidR="005675FB" w:rsidRDefault="005675FB" w:rsidP="006607F0">
      <w:pPr>
        <w:spacing w:line="360" w:lineRule="auto"/>
        <w:jc w:val="both"/>
        <w:rPr>
          <w:rFonts w:ascii="Arial" w:hAnsi="Arial" w:cs="Arial"/>
          <w:sz w:val="24"/>
          <w:szCs w:val="24"/>
        </w:rPr>
      </w:pPr>
      <w:r>
        <w:rPr>
          <w:rFonts w:ascii="Arial" w:hAnsi="Arial" w:cs="Arial"/>
          <w:sz w:val="24"/>
          <w:szCs w:val="24"/>
        </w:rPr>
        <w:t xml:space="preserve">Jurgens, I., and </w:t>
      </w:r>
      <w:r w:rsidR="00DC36C9">
        <w:rPr>
          <w:rFonts w:ascii="Arial" w:hAnsi="Arial" w:cs="Arial"/>
          <w:sz w:val="24"/>
          <w:szCs w:val="24"/>
        </w:rPr>
        <w:t xml:space="preserve">Erdmann, K. (2020) A short qualitative exploration of the reporting and use of non-financial date in the context of the fitness check of the EU frameworks for public reporting by companies (No. 1470 DIW Berlin: </w:t>
      </w:r>
      <w:proofErr w:type="spellStart"/>
      <w:r w:rsidR="00DC36C9">
        <w:rPr>
          <w:rFonts w:ascii="Arial" w:hAnsi="Arial" w:cs="Arial"/>
          <w:sz w:val="24"/>
          <w:szCs w:val="24"/>
        </w:rPr>
        <w:t>Politikberatung</w:t>
      </w:r>
      <w:proofErr w:type="spellEnd"/>
      <w:r w:rsidR="00DC36C9">
        <w:rPr>
          <w:rFonts w:ascii="Arial" w:hAnsi="Arial" w:cs="Arial"/>
          <w:sz w:val="24"/>
          <w:szCs w:val="24"/>
        </w:rPr>
        <w:t xml:space="preserve"> </w:t>
      </w:r>
      <w:proofErr w:type="spellStart"/>
      <w:r w:rsidR="00DC36C9">
        <w:rPr>
          <w:rFonts w:ascii="Arial" w:hAnsi="Arial" w:cs="Arial"/>
          <w:sz w:val="24"/>
          <w:szCs w:val="24"/>
        </w:rPr>
        <w:t>kompakt</w:t>
      </w:r>
      <w:proofErr w:type="spellEnd"/>
      <w:r w:rsidR="00DC36C9">
        <w:rPr>
          <w:rFonts w:ascii="Arial" w:hAnsi="Arial" w:cs="Arial"/>
          <w:sz w:val="24"/>
          <w:szCs w:val="24"/>
        </w:rPr>
        <w:t>.</w:t>
      </w:r>
    </w:p>
    <w:p w:rsidR="00DC36C9" w:rsidRDefault="00DC36C9" w:rsidP="006607F0">
      <w:pPr>
        <w:spacing w:line="360" w:lineRule="auto"/>
        <w:jc w:val="both"/>
        <w:rPr>
          <w:rFonts w:ascii="Arial" w:hAnsi="Arial" w:cs="Arial"/>
          <w:sz w:val="24"/>
          <w:szCs w:val="24"/>
        </w:rPr>
      </w:pPr>
      <w:r>
        <w:rPr>
          <w:rFonts w:ascii="Arial" w:hAnsi="Arial" w:cs="Arial"/>
          <w:sz w:val="24"/>
          <w:szCs w:val="24"/>
        </w:rPr>
        <w:t xml:space="preserve">Lee, B. and Lee, S. (2018) ‘A study on financial ratio and prediction of the financial distress in the financial markets’, </w:t>
      </w:r>
      <w:r>
        <w:rPr>
          <w:rFonts w:ascii="Arial" w:hAnsi="Arial" w:cs="Arial"/>
          <w:i/>
          <w:iCs/>
          <w:sz w:val="24"/>
          <w:szCs w:val="24"/>
        </w:rPr>
        <w:t xml:space="preserve">The Journal of Distribution Science, </w:t>
      </w:r>
      <w:r>
        <w:rPr>
          <w:rFonts w:ascii="Arial" w:hAnsi="Arial" w:cs="Arial"/>
          <w:sz w:val="24"/>
          <w:szCs w:val="24"/>
        </w:rPr>
        <w:t>16(11), pp 21-27.</w:t>
      </w:r>
    </w:p>
    <w:p w:rsidR="00DC36C9" w:rsidRDefault="00DC36C9" w:rsidP="006607F0">
      <w:pPr>
        <w:spacing w:line="360" w:lineRule="auto"/>
        <w:jc w:val="both"/>
        <w:rPr>
          <w:rFonts w:ascii="Arial" w:hAnsi="Arial" w:cs="Arial"/>
          <w:sz w:val="24"/>
          <w:szCs w:val="24"/>
        </w:rPr>
      </w:pPr>
      <w:proofErr w:type="spellStart"/>
      <w:r>
        <w:rPr>
          <w:rFonts w:ascii="Arial" w:hAnsi="Arial" w:cs="Arial"/>
          <w:sz w:val="24"/>
          <w:szCs w:val="24"/>
        </w:rPr>
        <w:t>Minnis</w:t>
      </w:r>
      <w:proofErr w:type="spellEnd"/>
      <w:r>
        <w:rPr>
          <w:rFonts w:ascii="Arial" w:hAnsi="Arial" w:cs="Arial"/>
          <w:sz w:val="24"/>
          <w:szCs w:val="24"/>
        </w:rPr>
        <w:t xml:space="preserve">, M., and Shroff, N. (20170 ‘Why regulate private firm disclosure and auditing?’, </w:t>
      </w:r>
      <w:r>
        <w:rPr>
          <w:rFonts w:ascii="Arial" w:hAnsi="Arial" w:cs="Arial"/>
          <w:i/>
          <w:iCs/>
          <w:sz w:val="24"/>
          <w:szCs w:val="24"/>
        </w:rPr>
        <w:t xml:space="preserve">Accounting and Business Research, </w:t>
      </w:r>
      <w:r>
        <w:rPr>
          <w:rFonts w:ascii="Arial" w:hAnsi="Arial" w:cs="Arial"/>
          <w:sz w:val="24"/>
          <w:szCs w:val="24"/>
        </w:rPr>
        <w:t>47(5), pp. 473-502.</w:t>
      </w:r>
    </w:p>
    <w:p w:rsidR="00DC36C9" w:rsidRDefault="00DC36C9" w:rsidP="00DC36C9">
      <w:pPr>
        <w:spacing w:line="360" w:lineRule="auto"/>
        <w:jc w:val="both"/>
        <w:rPr>
          <w:rFonts w:ascii="Arial" w:hAnsi="Arial" w:cs="Arial"/>
          <w:sz w:val="24"/>
          <w:szCs w:val="24"/>
        </w:rPr>
      </w:pPr>
      <w:proofErr w:type="spellStart"/>
      <w:r>
        <w:rPr>
          <w:rFonts w:ascii="Arial" w:hAnsi="Arial" w:cs="Arial"/>
          <w:sz w:val="24"/>
          <w:szCs w:val="24"/>
        </w:rPr>
        <w:t>Nurfadilah</w:t>
      </w:r>
      <w:proofErr w:type="spellEnd"/>
      <w:r>
        <w:rPr>
          <w:rFonts w:ascii="Arial" w:hAnsi="Arial" w:cs="Arial"/>
          <w:sz w:val="24"/>
          <w:szCs w:val="24"/>
        </w:rPr>
        <w:t xml:space="preserve">, D. and </w:t>
      </w:r>
      <w:proofErr w:type="spellStart"/>
      <w:r>
        <w:rPr>
          <w:rFonts w:ascii="Arial" w:hAnsi="Arial" w:cs="Arial"/>
          <w:sz w:val="24"/>
          <w:szCs w:val="24"/>
        </w:rPr>
        <w:t>Daryanto</w:t>
      </w:r>
      <w:proofErr w:type="spellEnd"/>
      <w:r>
        <w:rPr>
          <w:rFonts w:ascii="Arial" w:hAnsi="Arial" w:cs="Arial"/>
          <w:sz w:val="24"/>
          <w:szCs w:val="24"/>
        </w:rPr>
        <w:t xml:space="preserve">, W. (2018) ‘Financial performance analysis before and after the decline in oil production: Case study in Indonesian oil and gas industry’, </w:t>
      </w:r>
      <w:r>
        <w:rPr>
          <w:rFonts w:ascii="Arial" w:hAnsi="Arial" w:cs="Arial"/>
          <w:i/>
          <w:iCs/>
          <w:sz w:val="24"/>
          <w:szCs w:val="24"/>
        </w:rPr>
        <w:t xml:space="preserve">International Journal of engineering &amp; Technology, </w:t>
      </w:r>
      <w:r>
        <w:rPr>
          <w:rFonts w:ascii="Arial" w:hAnsi="Arial" w:cs="Arial"/>
          <w:sz w:val="24"/>
          <w:szCs w:val="24"/>
        </w:rPr>
        <w:t>7(3.21), pp. 10-15.</w:t>
      </w:r>
    </w:p>
    <w:p w:rsidR="004D2308" w:rsidRDefault="00DC36C9" w:rsidP="00DC36C9">
      <w:pPr>
        <w:spacing w:line="360" w:lineRule="auto"/>
        <w:jc w:val="both"/>
        <w:rPr>
          <w:rFonts w:ascii="Arial" w:hAnsi="Arial" w:cs="Arial"/>
          <w:sz w:val="24"/>
          <w:szCs w:val="24"/>
        </w:rPr>
      </w:pPr>
      <w:r>
        <w:rPr>
          <w:rFonts w:ascii="Arial" w:hAnsi="Arial" w:cs="Arial"/>
          <w:sz w:val="24"/>
          <w:szCs w:val="24"/>
        </w:rPr>
        <w:lastRenderedPageBreak/>
        <w:t xml:space="preserve">Stubbs, W. and Higgins, C. (2018) </w:t>
      </w:r>
      <w:r w:rsidR="004D2308">
        <w:rPr>
          <w:rFonts w:ascii="Arial" w:hAnsi="Arial" w:cs="Arial"/>
          <w:sz w:val="24"/>
          <w:szCs w:val="24"/>
        </w:rPr>
        <w:t xml:space="preserve">‘Stakeholders’ perspectives on the role of regulatory reform in integrated reporting’, </w:t>
      </w:r>
      <w:r w:rsidR="004D2308">
        <w:rPr>
          <w:rFonts w:ascii="Arial" w:hAnsi="Arial" w:cs="Arial"/>
          <w:i/>
          <w:iCs/>
          <w:sz w:val="24"/>
          <w:szCs w:val="24"/>
        </w:rPr>
        <w:t>Journal of Business Ethics’</w:t>
      </w:r>
      <w:r w:rsidR="004D2308">
        <w:rPr>
          <w:rFonts w:ascii="Arial" w:hAnsi="Arial" w:cs="Arial"/>
          <w:sz w:val="24"/>
          <w:szCs w:val="24"/>
        </w:rPr>
        <w:t xml:space="preserve"> 147(3), pp. 489-508.</w:t>
      </w:r>
    </w:p>
    <w:p w:rsidR="004D2308" w:rsidRDefault="004D2308" w:rsidP="00DC36C9">
      <w:pPr>
        <w:spacing w:line="360" w:lineRule="auto"/>
        <w:jc w:val="both"/>
        <w:rPr>
          <w:rFonts w:ascii="Arial" w:hAnsi="Arial" w:cs="Arial"/>
          <w:sz w:val="24"/>
          <w:szCs w:val="24"/>
        </w:rPr>
      </w:pPr>
      <w:r>
        <w:rPr>
          <w:rFonts w:ascii="Arial" w:hAnsi="Arial" w:cs="Arial"/>
          <w:sz w:val="24"/>
          <w:szCs w:val="24"/>
        </w:rPr>
        <w:t xml:space="preserve">Sunder, S. (2016) ‘Rethinking financial reporting: Standards, norms and institutions’, </w:t>
      </w:r>
      <w:r>
        <w:rPr>
          <w:rFonts w:ascii="Arial" w:hAnsi="Arial" w:cs="Arial"/>
          <w:i/>
          <w:iCs/>
          <w:sz w:val="24"/>
          <w:szCs w:val="24"/>
        </w:rPr>
        <w:t xml:space="preserve">Foundations and Trends in Accounting, </w:t>
      </w:r>
      <w:r>
        <w:rPr>
          <w:rFonts w:ascii="Arial" w:hAnsi="Arial" w:cs="Arial"/>
          <w:sz w:val="24"/>
          <w:szCs w:val="24"/>
        </w:rPr>
        <w:t>11(1-2), pp. 1-113.</w:t>
      </w:r>
    </w:p>
    <w:p w:rsidR="004D2308" w:rsidRDefault="004D2308" w:rsidP="00DC36C9">
      <w:pPr>
        <w:spacing w:line="360" w:lineRule="auto"/>
        <w:jc w:val="both"/>
        <w:rPr>
          <w:rFonts w:ascii="Arial" w:hAnsi="Arial" w:cs="Arial"/>
          <w:sz w:val="24"/>
          <w:szCs w:val="24"/>
        </w:rPr>
      </w:pPr>
      <w:proofErr w:type="spellStart"/>
      <w:r>
        <w:rPr>
          <w:rFonts w:ascii="Arial" w:hAnsi="Arial" w:cs="Arial"/>
          <w:sz w:val="24"/>
          <w:szCs w:val="24"/>
        </w:rPr>
        <w:t>Svynarenko</w:t>
      </w:r>
      <w:proofErr w:type="spellEnd"/>
      <w:r>
        <w:rPr>
          <w:rFonts w:ascii="Arial" w:hAnsi="Arial" w:cs="Arial"/>
          <w:sz w:val="24"/>
          <w:szCs w:val="24"/>
        </w:rPr>
        <w:t xml:space="preserve">, R., Zhang, Q. and Kim, H. (2019) ‘The financial burden of cancer: financial ratio analysis’, </w:t>
      </w:r>
      <w:r>
        <w:rPr>
          <w:rFonts w:ascii="Arial" w:hAnsi="Arial" w:cs="Arial"/>
          <w:i/>
          <w:iCs/>
          <w:sz w:val="24"/>
          <w:szCs w:val="24"/>
        </w:rPr>
        <w:t xml:space="preserve">Journal of Family and Economic Issues, </w:t>
      </w:r>
      <w:r>
        <w:rPr>
          <w:rFonts w:ascii="Arial" w:hAnsi="Arial" w:cs="Arial"/>
          <w:sz w:val="24"/>
          <w:szCs w:val="24"/>
        </w:rPr>
        <w:t>40(2), pp. 165-179.</w:t>
      </w:r>
    </w:p>
    <w:p w:rsidR="004D2308" w:rsidRDefault="004D2308" w:rsidP="00DC36C9">
      <w:pPr>
        <w:spacing w:line="360" w:lineRule="auto"/>
        <w:jc w:val="both"/>
        <w:rPr>
          <w:rFonts w:ascii="Arial" w:hAnsi="Arial" w:cs="Arial"/>
          <w:sz w:val="24"/>
          <w:szCs w:val="24"/>
        </w:rPr>
      </w:pPr>
      <w:proofErr w:type="spellStart"/>
      <w:r>
        <w:rPr>
          <w:rFonts w:ascii="Arial" w:hAnsi="Arial" w:cs="Arial"/>
          <w:sz w:val="24"/>
          <w:szCs w:val="24"/>
        </w:rPr>
        <w:t>Timbate</w:t>
      </w:r>
      <w:proofErr w:type="spellEnd"/>
      <w:r>
        <w:rPr>
          <w:rFonts w:ascii="Arial" w:hAnsi="Arial" w:cs="Arial"/>
          <w:sz w:val="24"/>
          <w:szCs w:val="24"/>
        </w:rPr>
        <w:t xml:space="preserve">, L. and Park, C. (2018) ‘CSR performance, financial reporting and investors perception on financial reporting’, </w:t>
      </w:r>
      <w:r>
        <w:rPr>
          <w:rFonts w:ascii="Arial" w:hAnsi="Arial" w:cs="Arial"/>
          <w:i/>
          <w:iCs/>
          <w:sz w:val="24"/>
          <w:szCs w:val="24"/>
        </w:rPr>
        <w:t xml:space="preserve">Sustainability, </w:t>
      </w:r>
      <w:r>
        <w:rPr>
          <w:rFonts w:ascii="Arial" w:hAnsi="Arial" w:cs="Arial"/>
          <w:sz w:val="24"/>
          <w:szCs w:val="24"/>
        </w:rPr>
        <w:t>10(2), pp. 522.</w:t>
      </w:r>
    </w:p>
    <w:p w:rsidR="004D2308" w:rsidRPr="004D2308" w:rsidRDefault="004D2308" w:rsidP="00DC36C9">
      <w:pPr>
        <w:spacing w:line="360" w:lineRule="auto"/>
        <w:jc w:val="both"/>
        <w:rPr>
          <w:rFonts w:ascii="Arial" w:hAnsi="Arial" w:cs="Arial"/>
          <w:sz w:val="24"/>
          <w:szCs w:val="24"/>
        </w:rPr>
      </w:pPr>
      <w:r>
        <w:rPr>
          <w:rFonts w:ascii="Arial" w:hAnsi="Arial" w:cs="Arial"/>
          <w:sz w:val="24"/>
          <w:szCs w:val="24"/>
        </w:rPr>
        <w:t>Wu, H. and Lin, L. (2018) Design a financial Analysis System Using Ontology Engineering. In PACIS (P.183).</w:t>
      </w:r>
    </w:p>
    <w:p w:rsidR="00DC36C9" w:rsidRPr="00DC36C9" w:rsidRDefault="00DC36C9" w:rsidP="006607F0">
      <w:pPr>
        <w:spacing w:line="360" w:lineRule="auto"/>
        <w:jc w:val="both"/>
        <w:rPr>
          <w:rFonts w:ascii="Arial" w:hAnsi="Arial" w:cs="Arial"/>
          <w:sz w:val="24"/>
          <w:szCs w:val="24"/>
        </w:rPr>
      </w:pPr>
    </w:p>
    <w:p w:rsidR="00DC36C9" w:rsidRPr="00DC36C9" w:rsidRDefault="00DC36C9" w:rsidP="006607F0">
      <w:pPr>
        <w:spacing w:line="360" w:lineRule="auto"/>
        <w:jc w:val="both"/>
        <w:rPr>
          <w:rFonts w:ascii="Arial" w:hAnsi="Arial" w:cs="Arial"/>
          <w:sz w:val="24"/>
          <w:szCs w:val="24"/>
        </w:rPr>
      </w:pPr>
    </w:p>
    <w:p w:rsidR="00DC36C9" w:rsidRPr="005675FB" w:rsidRDefault="00DC36C9" w:rsidP="006607F0">
      <w:pPr>
        <w:spacing w:line="360" w:lineRule="auto"/>
        <w:jc w:val="both"/>
        <w:rPr>
          <w:rFonts w:ascii="Arial" w:hAnsi="Arial" w:cs="Arial"/>
          <w:sz w:val="24"/>
          <w:szCs w:val="24"/>
        </w:rPr>
      </w:pPr>
    </w:p>
    <w:p w:rsidR="00760419" w:rsidRPr="006607F0" w:rsidRDefault="00760419" w:rsidP="006607F0">
      <w:pPr>
        <w:spacing w:line="360" w:lineRule="auto"/>
        <w:jc w:val="both"/>
        <w:rPr>
          <w:rFonts w:ascii="Arial" w:hAnsi="Arial" w:cs="Arial"/>
        </w:rPr>
      </w:pPr>
    </w:p>
    <w:sectPr w:rsidR="00760419" w:rsidRPr="006607F0" w:rsidSect="0068242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1002AFF" w:usb1="4000ACFF" w:usb2="00000009" w:usb3="00000000" w:csb0="000001FF"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607F0"/>
    <w:rsid w:val="00032C5D"/>
    <w:rsid w:val="001E261F"/>
    <w:rsid w:val="001F6608"/>
    <w:rsid w:val="00303E8F"/>
    <w:rsid w:val="00426030"/>
    <w:rsid w:val="0047747A"/>
    <w:rsid w:val="004D2308"/>
    <w:rsid w:val="005675FB"/>
    <w:rsid w:val="006607F0"/>
    <w:rsid w:val="00682429"/>
    <w:rsid w:val="006C12B6"/>
    <w:rsid w:val="00760419"/>
    <w:rsid w:val="00AC331C"/>
    <w:rsid w:val="00CF6D37"/>
    <w:rsid w:val="00D97545"/>
    <w:rsid w:val="00DC36C9"/>
    <w:rsid w:val="00E62B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25331B"/>
  <w15:chartTrackingRefBased/>
  <w15:docId w15:val="{B6881899-8D04-403F-843B-B4BF6492FD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image" Target="media/image14.pn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image" Target="media/image11.png"/><Relationship Id="rId10" Type="http://schemas.openxmlformats.org/officeDocument/2006/relationships/image" Target="media/image6.png"/><Relationship Id="rId19" Type="http://schemas.openxmlformats.org/officeDocument/2006/relationships/image" Target="media/image15.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5A8FDF-AD2D-4D3C-BAD6-EA0FC6D8DD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13</Pages>
  <Words>2422</Words>
  <Characters>13810</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Repairs@MNM</dc:creator>
  <cp:keywords/>
  <dc:description/>
  <cp:lastModifiedBy>Diana Stefaroi</cp:lastModifiedBy>
  <cp:revision>3</cp:revision>
  <dcterms:created xsi:type="dcterms:W3CDTF">2021-01-05T21:44:00Z</dcterms:created>
  <dcterms:modified xsi:type="dcterms:W3CDTF">2021-01-05T22:10:00Z</dcterms:modified>
</cp:coreProperties>
</file>