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DB5C2" w14:textId="77777777" w:rsidR="006428BC" w:rsidRDefault="006428BC" w:rsidP="006428BC">
      <w:pPr>
        <w:jc w:val="center"/>
        <w:rPr>
          <w:sz w:val="56"/>
          <w:szCs w:val="56"/>
        </w:rPr>
      </w:pPr>
    </w:p>
    <w:p w14:paraId="27D6BE27" w14:textId="77777777" w:rsidR="00CF1434" w:rsidRDefault="00CF1434" w:rsidP="006428BC">
      <w:pPr>
        <w:jc w:val="center"/>
        <w:rPr>
          <w:sz w:val="56"/>
          <w:szCs w:val="56"/>
        </w:rPr>
      </w:pPr>
    </w:p>
    <w:p w14:paraId="01DBF9BA" w14:textId="77777777" w:rsidR="006428BC" w:rsidRDefault="006428BC" w:rsidP="006428BC">
      <w:pPr>
        <w:jc w:val="center"/>
        <w:rPr>
          <w:sz w:val="56"/>
          <w:szCs w:val="56"/>
        </w:rPr>
      </w:pPr>
    </w:p>
    <w:p w14:paraId="1F2FC84F" w14:textId="77777777" w:rsidR="006428BC" w:rsidRDefault="006428BC" w:rsidP="006428BC">
      <w:pPr>
        <w:jc w:val="center"/>
        <w:rPr>
          <w:sz w:val="56"/>
          <w:szCs w:val="56"/>
        </w:rPr>
      </w:pPr>
    </w:p>
    <w:p w14:paraId="2CB17A98" w14:textId="6F07F430" w:rsidR="00E41123" w:rsidRPr="006428BC" w:rsidRDefault="006428BC" w:rsidP="006428BC">
      <w:pPr>
        <w:jc w:val="center"/>
        <w:rPr>
          <w:b/>
          <w:bCs/>
          <w:sz w:val="56"/>
          <w:szCs w:val="56"/>
        </w:rPr>
      </w:pPr>
      <w:r w:rsidRPr="006428BC">
        <w:rPr>
          <w:b/>
          <w:bCs/>
          <w:sz w:val="56"/>
          <w:szCs w:val="56"/>
        </w:rPr>
        <w:t>Managing Food and Beverage Operations</w:t>
      </w:r>
    </w:p>
    <w:p w14:paraId="12F63667" w14:textId="77777777" w:rsidR="006428BC" w:rsidRPr="006428BC" w:rsidRDefault="006428BC" w:rsidP="006428BC">
      <w:pPr>
        <w:jc w:val="center"/>
        <w:rPr>
          <w:b/>
          <w:bCs/>
          <w:sz w:val="56"/>
          <w:szCs w:val="56"/>
        </w:rPr>
      </w:pPr>
    </w:p>
    <w:p w14:paraId="14852429" w14:textId="5A3973B9" w:rsidR="006428BC" w:rsidRPr="006428BC" w:rsidRDefault="006428BC" w:rsidP="006428BC">
      <w:pPr>
        <w:jc w:val="center"/>
        <w:rPr>
          <w:b/>
          <w:bCs/>
          <w:sz w:val="44"/>
          <w:szCs w:val="44"/>
        </w:rPr>
      </w:pPr>
      <w:r w:rsidRPr="006428BC">
        <w:rPr>
          <w:b/>
          <w:bCs/>
          <w:sz w:val="44"/>
          <w:szCs w:val="44"/>
        </w:rPr>
        <w:t>Student Journal</w:t>
      </w:r>
    </w:p>
    <w:p w14:paraId="0CEDEC8B" w14:textId="77777777" w:rsidR="006428BC" w:rsidRPr="006428BC" w:rsidRDefault="006428BC" w:rsidP="006428BC">
      <w:pPr>
        <w:jc w:val="center"/>
        <w:rPr>
          <w:b/>
          <w:bCs/>
          <w:sz w:val="44"/>
          <w:szCs w:val="44"/>
        </w:rPr>
      </w:pPr>
    </w:p>
    <w:p w14:paraId="52F5D34F" w14:textId="77777777" w:rsidR="006428BC" w:rsidRPr="006428BC" w:rsidRDefault="006428BC" w:rsidP="006428BC">
      <w:pPr>
        <w:jc w:val="center"/>
        <w:rPr>
          <w:b/>
          <w:bCs/>
          <w:sz w:val="44"/>
          <w:szCs w:val="44"/>
        </w:rPr>
      </w:pPr>
    </w:p>
    <w:p w14:paraId="2AE63097" w14:textId="2F9BF1F4" w:rsidR="006428BC" w:rsidRPr="006428BC" w:rsidRDefault="006428BC" w:rsidP="006428BC">
      <w:pPr>
        <w:jc w:val="center"/>
        <w:rPr>
          <w:b/>
          <w:bCs/>
          <w:sz w:val="36"/>
          <w:szCs w:val="36"/>
        </w:rPr>
      </w:pPr>
      <w:r w:rsidRPr="006428BC">
        <w:rPr>
          <w:b/>
          <w:bCs/>
          <w:sz w:val="36"/>
          <w:szCs w:val="36"/>
        </w:rPr>
        <w:t xml:space="preserve">Student name: Mariana </w:t>
      </w:r>
      <w:proofErr w:type="spellStart"/>
      <w:r w:rsidRPr="006428BC">
        <w:rPr>
          <w:b/>
          <w:bCs/>
          <w:sz w:val="36"/>
          <w:szCs w:val="36"/>
        </w:rPr>
        <w:t>Rodica</w:t>
      </w:r>
      <w:proofErr w:type="spellEnd"/>
      <w:r w:rsidRPr="006428BC">
        <w:rPr>
          <w:b/>
          <w:bCs/>
          <w:sz w:val="36"/>
          <w:szCs w:val="36"/>
        </w:rPr>
        <w:t xml:space="preserve"> Strateanu</w:t>
      </w:r>
    </w:p>
    <w:p w14:paraId="22266720" w14:textId="603CFD7F" w:rsidR="006428BC" w:rsidRDefault="006428BC" w:rsidP="006428BC">
      <w:pPr>
        <w:jc w:val="center"/>
        <w:rPr>
          <w:b/>
          <w:bCs/>
          <w:sz w:val="36"/>
          <w:szCs w:val="36"/>
        </w:rPr>
      </w:pPr>
      <w:r w:rsidRPr="006428BC">
        <w:rPr>
          <w:b/>
          <w:bCs/>
          <w:sz w:val="36"/>
          <w:szCs w:val="36"/>
        </w:rPr>
        <w:t>Student number: 2017055</w:t>
      </w:r>
    </w:p>
    <w:p w14:paraId="0C935694" w14:textId="77777777" w:rsidR="006428BC" w:rsidRDefault="006428BC" w:rsidP="006428BC">
      <w:pPr>
        <w:jc w:val="center"/>
        <w:rPr>
          <w:b/>
          <w:bCs/>
          <w:sz w:val="36"/>
          <w:szCs w:val="36"/>
        </w:rPr>
      </w:pPr>
    </w:p>
    <w:p w14:paraId="76E3C1B5" w14:textId="77777777" w:rsidR="006428BC" w:rsidRDefault="006428BC" w:rsidP="006428BC">
      <w:pPr>
        <w:jc w:val="center"/>
        <w:rPr>
          <w:b/>
          <w:bCs/>
          <w:sz w:val="36"/>
          <w:szCs w:val="36"/>
        </w:rPr>
      </w:pPr>
    </w:p>
    <w:p w14:paraId="67C8B61D" w14:textId="77777777" w:rsidR="006428BC" w:rsidRDefault="006428BC" w:rsidP="006428BC">
      <w:pPr>
        <w:jc w:val="center"/>
        <w:rPr>
          <w:b/>
          <w:bCs/>
          <w:sz w:val="36"/>
          <w:szCs w:val="36"/>
        </w:rPr>
      </w:pPr>
    </w:p>
    <w:p w14:paraId="77D169F6" w14:textId="77777777" w:rsidR="006428BC" w:rsidRDefault="006428BC" w:rsidP="006428BC">
      <w:pPr>
        <w:jc w:val="center"/>
        <w:rPr>
          <w:b/>
          <w:bCs/>
          <w:sz w:val="36"/>
          <w:szCs w:val="36"/>
        </w:rPr>
      </w:pPr>
    </w:p>
    <w:p w14:paraId="641EB97A" w14:textId="77777777" w:rsidR="006428BC" w:rsidRDefault="006428BC" w:rsidP="006428BC">
      <w:pPr>
        <w:jc w:val="center"/>
        <w:rPr>
          <w:b/>
          <w:bCs/>
          <w:sz w:val="36"/>
          <w:szCs w:val="36"/>
        </w:rPr>
      </w:pPr>
    </w:p>
    <w:p w14:paraId="68811647" w14:textId="77777777" w:rsidR="006428BC" w:rsidRDefault="006428BC" w:rsidP="006428BC">
      <w:pPr>
        <w:jc w:val="center"/>
        <w:rPr>
          <w:b/>
          <w:bCs/>
          <w:sz w:val="36"/>
          <w:szCs w:val="36"/>
        </w:rPr>
      </w:pPr>
    </w:p>
    <w:p w14:paraId="35AE1230" w14:textId="77777777" w:rsidR="006428BC" w:rsidRDefault="006428BC" w:rsidP="006428BC">
      <w:pPr>
        <w:jc w:val="center"/>
        <w:rPr>
          <w:b/>
          <w:bCs/>
          <w:sz w:val="36"/>
          <w:szCs w:val="36"/>
        </w:rPr>
      </w:pPr>
    </w:p>
    <w:sdt>
      <w:sdtPr>
        <w:id w:val="-746180134"/>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B2B82F9" w14:textId="75917F0C" w:rsidR="00CF1434" w:rsidRDefault="00CF1434">
          <w:pPr>
            <w:pStyle w:val="TOCHeading"/>
          </w:pPr>
          <w:r>
            <w:t>Contents</w:t>
          </w:r>
        </w:p>
        <w:p w14:paraId="48D62E84" w14:textId="77777777" w:rsidR="00CF1434" w:rsidRPr="00CF1434" w:rsidRDefault="00CF1434" w:rsidP="00CF1434">
          <w:pPr>
            <w:rPr>
              <w:lang w:val="en-US"/>
            </w:rPr>
          </w:pPr>
        </w:p>
        <w:p w14:paraId="500F9585" w14:textId="0CA9C514" w:rsidR="00D82D6C" w:rsidRDefault="00CF143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7070786" w:history="1">
            <w:r w:rsidR="00D82D6C" w:rsidRPr="002F200D">
              <w:rPr>
                <w:rStyle w:val="Hyperlink"/>
                <w:noProof/>
              </w:rPr>
              <w:t>Introduction</w:t>
            </w:r>
            <w:r w:rsidR="00D82D6C">
              <w:rPr>
                <w:noProof/>
                <w:webHidden/>
              </w:rPr>
              <w:tab/>
            </w:r>
            <w:r w:rsidR="00D82D6C">
              <w:rPr>
                <w:noProof/>
                <w:webHidden/>
              </w:rPr>
              <w:fldChar w:fldCharType="begin"/>
            </w:r>
            <w:r w:rsidR="00D82D6C">
              <w:rPr>
                <w:noProof/>
                <w:webHidden/>
              </w:rPr>
              <w:instrText xml:space="preserve"> PAGEREF _Toc137070786 \h </w:instrText>
            </w:r>
            <w:r w:rsidR="00D82D6C">
              <w:rPr>
                <w:noProof/>
                <w:webHidden/>
              </w:rPr>
            </w:r>
            <w:r w:rsidR="00D82D6C">
              <w:rPr>
                <w:noProof/>
                <w:webHidden/>
              </w:rPr>
              <w:fldChar w:fldCharType="separate"/>
            </w:r>
            <w:r w:rsidR="00D82D6C">
              <w:rPr>
                <w:noProof/>
                <w:webHidden/>
              </w:rPr>
              <w:t>3</w:t>
            </w:r>
            <w:r w:rsidR="00D82D6C">
              <w:rPr>
                <w:noProof/>
                <w:webHidden/>
              </w:rPr>
              <w:fldChar w:fldCharType="end"/>
            </w:r>
          </w:hyperlink>
        </w:p>
        <w:p w14:paraId="00E7FF1D" w14:textId="788373F7" w:rsidR="00D82D6C" w:rsidRDefault="00D82D6C">
          <w:pPr>
            <w:pStyle w:val="TOC1"/>
            <w:tabs>
              <w:tab w:val="right" w:leader="dot" w:pos="9016"/>
            </w:tabs>
            <w:rPr>
              <w:rFonts w:eastAsiaTheme="minorEastAsia"/>
              <w:noProof/>
              <w:lang w:eastAsia="en-GB"/>
            </w:rPr>
          </w:pPr>
          <w:hyperlink w:anchor="_Toc137070787" w:history="1">
            <w:r w:rsidRPr="002F200D">
              <w:rPr>
                <w:rStyle w:val="Hyperlink"/>
                <w:noProof/>
              </w:rPr>
              <w:t>Main body</w:t>
            </w:r>
            <w:r>
              <w:rPr>
                <w:noProof/>
                <w:webHidden/>
              </w:rPr>
              <w:tab/>
            </w:r>
            <w:r>
              <w:rPr>
                <w:noProof/>
                <w:webHidden/>
              </w:rPr>
              <w:fldChar w:fldCharType="begin"/>
            </w:r>
            <w:r>
              <w:rPr>
                <w:noProof/>
                <w:webHidden/>
              </w:rPr>
              <w:instrText xml:space="preserve"> PAGEREF _Toc137070787 \h </w:instrText>
            </w:r>
            <w:r>
              <w:rPr>
                <w:noProof/>
                <w:webHidden/>
              </w:rPr>
            </w:r>
            <w:r>
              <w:rPr>
                <w:noProof/>
                <w:webHidden/>
              </w:rPr>
              <w:fldChar w:fldCharType="separate"/>
            </w:r>
            <w:r>
              <w:rPr>
                <w:noProof/>
                <w:webHidden/>
              </w:rPr>
              <w:t>3</w:t>
            </w:r>
            <w:r>
              <w:rPr>
                <w:noProof/>
                <w:webHidden/>
              </w:rPr>
              <w:fldChar w:fldCharType="end"/>
            </w:r>
          </w:hyperlink>
        </w:p>
        <w:p w14:paraId="5F32AF4F" w14:textId="45D7DCF6" w:rsidR="00D82D6C" w:rsidRDefault="00D82D6C">
          <w:pPr>
            <w:pStyle w:val="TOC2"/>
            <w:tabs>
              <w:tab w:val="right" w:leader="dot" w:pos="9016"/>
            </w:tabs>
            <w:rPr>
              <w:rFonts w:eastAsiaTheme="minorEastAsia"/>
              <w:noProof/>
              <w:lang w:eastAsia="en-GB"/>
            </w:rPr>
          </w:pPr>
          <w:hyperlink w:anchor="_Toc137070788" w:history="1">
            <w:r w:rsidRPr="002F200D">
              <w:rPr>
                <w:rStyle w:val="Hyperlink"/>
                <w:noProof/>
              </w:rPr>
              <w:t>Characteristics of food production and Food and beverage service systems</w:t>
            </w:r>
            <w:r>
              <w:rPr>
                <w:noProof/>
                <w:webHidden/>
              </w:rPr>
              <w:tab/>
            </w:r>
            <w:r>
              <w:rPr>
                <w:noProof/>
                <w:webHidden/>
              </w:rPr>
              <w:fldChar w:fldCharType="begin"/>
            </w:r>
            <w:r>
              <w:rPr>
                <w:noProof/>
                <w:webHidden/>
              </w:rPr>
              <w:instrText xml:space="preserve"> PAGEREF _Toc137070788 \h </w:instrText>
            </w:r>
            <w:r>
              <w:rPr>
                <w:noProof/>
                <w:webHidden/>
              </w:rPr>
            </w:r>
            <w:r>
              <w:rPr>
                <w:noProof/>
                <w:webHidden/>
              </w:rPr>
              <w:fldChar w:fldCharType="separate"/>
            </w:r>
            <w:r>
              <w:rPr>
                <w:noProof/>
                <w:webHidden/>
              </w:rPr>
              <w:t>3</w:t>
            </w:r>
            <w:r>
              <w:rPr>
                <w:noProof/>
                <w:webHidden/>
              </w:rPr>
              <w:fldChar w:fldCharType="end"/>
            </w:r>
          </w:hyperlink>
        </w:p>
        <w:p w14:paraId="367C573F" w14:textId="1A7F3B44" w:rsidR="00D82D6C" w:rsidRDefault="00D82D6C">
          <w:pPr>
            <w:pStyle w:val="TOC2"/>
            <w:tabs>
              <w:tab w:val="right" w:leader="dot" w:pos="9016"/>
            </w:tabs>
            <w:rPr>
              <w:rFonts w:eastAsiaTheme="minorEastAsia"/>
              <w:noProof/>
              <w:lang w:eastAsia="en-GB"/>
            </w:rPr>
          </w:pPr>
          <w:hyperlink w:anchor="_Toc137070789" w:history="1">
            <w:r w:rsidRPr="002F200D">
              <w:rPr>
                <w:rStyle w:val="Hyperlink"/>
                <w:noProof/>
              </w:rPr>
              <w:t>Production of food</w:t>
            </w:r>
            <w:r>
              <w:rPr>
                <w:noProof/>
                <w:webHidden/>
              </w:rPr>
              <w:tab/>
            </w:r>
            <w:r>
              <w:rPr>
                <w:noProof/>
                <w:webHidden/>
              </w:rPr>
              <w:fldChar w:fldCharType="begin"/>
            </w:r>
            <w:r>
              <w:rPr>
                <w:noProof/>
                <w:webHidden/>
              </w:rPr>
              <w:instrText xml:space="preserve"> PAGEREF _Toc137070789 \h </w:instrText>
            </w:r>
            <w:r>
              <w:rPr>
                <w:noProof/>
                <w:webHidden/>
              </w:rPr>
            </w:r>
            <w:r>
              <w:rPr>
                <w:noProof/>
                <w:webHidden/>
              </w:rPr>
              <w:fldChar w:fldCharType="separate"/>
            </w:r>
            <w:r>
              <w:rPr>
                <w:noProof/>
                <w:webHidden/>
              </w:rPr>
              <w:t>3</w:t>
            </w:r>
            <w:r>
              <w:rPr>
                <w:noProof/>
                <w:webHidden/>
              </w:rPr>
              <w:fldChar w:fldCharType="end"/>
            </w:r>
          </w:hyperlink>
        </w:p>
        <w:p w14:paraId="5B2BE041" w14:textId="4CE250D9" w:rsidR="00D82D6C" w:rsidRDefault="00D82D6C">
          <w:pPr>
            <w:pStyle w:val="TOC2"/>
            <w:tabs>
              <w:tab w:val="right" w:leader="dot" w:pos="9016"/>
            </w:tabs>
            <w:rPr>
              <w:rFonts w:eastAsiaTheme="minorEastAsia"/>
              <w:noProof/>
              <w:lang w:eastAsia="en-GB"/>
            </w:rPr>
          </w:pPr>
          <w:hyperlink w:anchor="_Toc137070790" w:history="1">
            <w:r w:rsidRPr="002F200D">
              <w:rPr>
                <w:rStyle w:val="Hyperlink"/>
                <w:noProof/>
              </w:rPr>
              <w:t>System services</w:t>
            </w:r>
            <w:r>
              <w:rPr>
                <w:noProof/>
                <w:webHidden/>
              </w:rPr>
              <w:tab/>
            </w:r>
            <w:r>
              <w:rPr>
                <w:noProof/>
                <w:webHidden/>
              </w:rPr>
              <w:fldChar w:fldCharType="begin"/>
            </w:r>
            <w:r>
              <w:rPr>
                <w:noProof/>
                <w:webHidden/>
              </w:rPr>
              <w:instrText xml:space="preserve"> PAGEREF _Toc137070790 \h </w:instrText>
            </w:r>
            <w:r>
              <w:rPr>
                <w:noProof/>
                <w:webHidden/>
              </w:rPr>
            </w:r>
            <w:r>
              <w:rPr>
                <w:noProof/>
                <w:webHidden/>
              </w:rPr>
              <w:fldChar w:fldCharType="separate"/>
            </w:r>
            <w:r>
              <w:rPr>
                <w:noProof/>
                <w:webHidden/>
              </w:rPr>
              <w:t>4</w:t>
            </w:r>
            <w:r>
              <w:rPr>
                <w:noProof/>
                <w:webHidden/>
              </w:rPr>
              <w:fldChar w:fldCharType="end"/>
            </w:r>
          </w:hyperlink>
        </w:p>
        <w:p w14:paraId="3D470BAF" w14:textId="3B64932B" w:rsidR="00D82D6C" w:rsidRDefault="00D82D6C">
          <w:pPr>
            <w:pStyle w:val="TOC2"/>
            <w:tabs>
              <w:tab w:val="right" w:leader="dot" w:pos="9016"/>
            </w:tabs>
            <w:rPr>
              <w:rFonts w:eastAsiaTheme="minorEastAsia"/>
              <w:noProof/>
              <w:lang w:eastAsia="en-GB"/>
            </w:rPr>
          </w:pPr>
          <w:hyperlink w:anchor="_Toc137070791" w:history="1">
            <w:r w:rsidRPr="002F200D">
              <w:rPr>
                <w:rStyle w:val="Hyperlink"/>
                <w:noProof/>
              </w:rPr>
              <w:t>Suitability of systems for food and beverage outlets</w:t>
            </w:r>
            <w:r>
              <w:rPr>
                <w:noProof/>
                <w:webHidden/>
              </w:rPr>
              <w:tab/>
            </w:r>
            <w:r>
              <w:rPr>
                <w:noProof/>
                <w:webHidden/>
              </w:rPr>
              <w:fldChar w:fldCharType="begin"/>
            </w:r>
            <w:r>
              <w:rPr>
                <w:noProof/>
                <w:webHidden/>
              </w:rPr>
              <w:instrText xml:space="preserve"> PAGEREF _Toc137070791 \h </w:instrText>
            </w:r>
            <w:r>
              <w:rPr>
                <w:noProof/>
                <w:webHidden/>
              </w:rPr>
            </w:r>
            <w:r>
              <w:rPr>
                <w:noProof/>
                <w:webHidden/>
              </w:rPr>
              <w:fldChar w:fldCharType="separate"/>
            </w:r>
            <w:r>
              <w:rPr>
                <w:noProof/>
                <w:webHidden/>
              </w:rPr>
              <w:t>5</w:t>
            </w:r>
            <w:r>
              <w:rPr>
                <w:noProof/>
                <w:webHidden/>
              </w:rPr>
              <w:fldChar w:fldCharType="end"/>
            </w:r>
          </w:hyperlink>
        </w:p>
        <w:p w14:paraId="69980BE4" w14:textId="3CB82EBB" w:rsidR="00D82D6C" w:rsidRDefault="00D82D6C">
          <w:pPr>
            <w:pStyle w:val="TOC1"/>
            <w:tabs>
              <w:tab w:val="right" w:leader="dot" w:pos="9016"/>
            </w:tabs>
            <w:rPr>
              <w:rFonts w:eastAsiaTheme="minorEastAsia"/>
              <w:noProof/>
              <w:lang w:eastAsia="en-GB"/>
            </w:rPr>
          </w:pPr>
          <w:hyperlink w:anchor="_Toc137070792" w:history="1">
            <w:r w:rsidRPr="002F200D">
              <w:rPr>
                <w:rStyle w:val="Hyperlink"/>
                <w:noProof/>
              </w:rPr>
              <w:t>Conclusion</w:t>
            </w:r>
            <w:r>
              <w:rPr>
                <w:noProof/>
                <w:webHidden/>
              </w:rPr>
              <w:tab/>
            </w:r>
            <w:r>
              <w:rPr>
                <w:noProof/>
                <w:webHidden/>
              </w:rPr>
              <w:fldChar w:fldCharType="begin"/>
            </w:r>
            <w:r>
              <w:rPr>
                <w:noProof/>
                <w:webHidden/>
              </w:rPr>
              <w:instrText xml:space="preserve"> PAGEREF _Toc137070792 \h </w:instrText>
            </w:r>
            <w:r>
              <w:rPr>
                <w:noProof/>
                <w:webHidden/>
              </w:rPr>
            </w:r>
            <w:r>
              <w:rPr>
                <w:noProof/>
                <w:webHidden/>
              </w:rPr>
              <w:fldChar w:fldCharType="separate"/>
            </w:r>
            <w:r>
              <w:rPr>
                <w:noProof/>
                <w:webHidden/>
              </w:rPr>
              <w:t>6</w:t>
            </w:r>
            <w:r>
              <w:rPr>
                <w:noProof/>
                <w:webHidden/>
              </w:rPr>
              <w:fldChar w:fldCharType="end"/>
            </w:r>
          </w:hyperlink>
        </w:p>
        <w:p w14:paraId="090D296F" w14:textId="53D6684D" w:rsidR="00D82D6C" w:rsidRDefault="00D82D6C">
          <w:pPr>
            <w:pStyle w:val="TOC1"/>
            <w:tabs>
              <w:tab w:val="right" w:leader="dot" w:pos="9016"/>
            </w:tabs>
            <w:rPr>
              <w:rFonts w:eastAsiaTheme="minorEastAsia"/>
              <w:noProof/>
              <w:lang w:eastAsia="en-GB"/>
            </w:rPr>
          </w:pPr>
          <w:hyperlink w:anchor="_Toc137070793" w:history="1">
            <w:r w:rsidRPr="002F200D">
              <w:rPr>
                <w:rStyle w:val="Hyperlink"/>
                <w:noProof/>
              </w:rPr>
              <w:t>References</w:t>
            </w:r>
            <w:r>
              <w:rPr>
                <w:noProof/>
                <w:webHidden/>
              </w:rPr>
              <w:tab/>
            </w:r>
            <w:r>
              <w:rPr>
                <w:noProof/>
                <w:webHidden/>
              </w:rPr>
              <w:fldChar w:fldCharType="begin"/>
            </w:r>
            <w:r>
              <w:rPr>
                <w:noProof/>
                <w:webHidden/>
              </w:rPr>
              <w:instrText xml:space="preserve"> PAGEREF _Toc137070793 \h </w:instrText>
            </w:r>
            <w:r>
              <w:rPr>
                <w:noProof/>
                <w:webHidden/>
              </w:rPr>
            </w:r>
            <w:r>
              <w:rPr>
                <w:noProof/>
                <w:webHidden/>
              </w:rPr>
              <w:fldChar w:fldCharType="separate"/>
            </w:r>
            <w:r>
              <w:rPr>
                <w:noProof/>
                <w:webHidden/>
              </w:rPr>
              <w:t>7</w:t>
            </w:r>
            <w:r>
              <w:rPr>
                <w:noProof/>
                <w:webHidden/>
              </w:rPr>
              <w:fldChar w:fldCharType="end"/>
            </w:r>
          </w:hyperlink>
        </w:p>
        <w:p w14:paraId="0F4C669F" w14:textId="58FB479D" w:rsidR="00CF1434" w:rsidRDefault="00CF1434">
          <w:r>
            <w:rPr>
              <w:b/>
              <w:bCs/>
              <w:noProof/>
            </w:rPr>
            <w:fldChar w:fldCharType="end"/>
          </w:r>
        </w:p>
      </w:sdtContent>
    </w:sdt>
    <w:p w14:paraId="7DBBE738" w14:textId="77777777" w:rsidR="006428BC" w:rsidRDefault="006428BC" w:rsidP="006428BC">
      <w:pPr>
        <w:jc w:val="center"/>
        <w:rPr>
          <w:b/>
          <w:bCs/>
          <w:sz w:val="36"/>
          <w:szCs w:val="36"/>
        </w:rPr>
      </w:pPr>
    </w:p>
    <w:p w14:paraId="4A1F622B" w14:textId="77777777" w:rsidR="00CF1434" w:rsidRDefault="00CF1434" w:rsidP="006428BC">
      <w:pPr>
        <w:jc w:val="center"/>
        <w:rPr>
          <w:b/>
          <w:bCs/>
          <w:sz w:val="36"/>
          <w:szCs w:val="36"/>
        </w:rPr>
      </w:pPr>
    </w:p>
    <w:p w14:paraId="48E7C10F" w14:textId="77777777" w:rsidR="00CF1434" w:rsidRDefault="00CF1434" w:rsidP="006428BC">
      <w:pPr>
        <w:jc w:val="center"/>
        <w:rPr>
          <w:b/>
          <w:bCs/>
          <w:sz w:val="36"/>
          <w:szCs w:val="36"/>
        </w:rPr>
      </w:pPr>
    </w:p>
    <w:p w14:paraId="030B4E94" w14:textId="77777777" w:rsidR="00CF1434" w:rsidRDefault="00CF1434" w:rsidP="006428BC">
      <w:pPr>
        <w:jc w:val="center"/>
        <w:rPr>
          <w:b/>
          <w:bCs/>
          <w:sz w:val="36"/>
          <w:szCs w:val="36"/>
        </w:rPr>
      </w:pPr>
    </w:p>
    <w:p w14:paraId="1098AE7B" w14:textId="77777777" w:rsidR="00CF1434" w:rsidRDefault="00CF1434" w:rsidP="006428BC">
      <w:pPr>
        <w:jc w:val="center"/>
        <w:rPr>
          <w:b/>
          <w:bCs/>
          <w:sz w:val="36"/>
          <w:szCs w:val="36"/>
        </w:rPr>
      </w:pPr>
    </w:p>
    <w:p w14:paraId="2654D39D" w14:textId="77777777" w:rsidR="00CF1434" w:rsidRDefault="00CF1434" w:rsidP="006428BC">
      <w:pPr>
        <w:jc w:val="center"/>
        <w:rPr>
          <w:b/>
          <w:bCs/>
          <w:sz w:val="36"/>
          <w:szCs w:val="36"/>
        </w:rPr>
      </w:pPr>
    </w:p>
    <w:p w14:paraId="7E4BC47D" w14:textId="77777777" w:rsidR="00CF1434" w:rsidRDefault="00CF1434" w:rsidP="006428BC">
      <w:pPr>
        <w:jc w:val="center"/>
        <w:rPr>
          <w:b/>
          <w:bCs/>
          <w:sz w:val="36"/>
          <w:szCs w:val="36"/>
        </w:rPr>
      </w:pPr>
    </w:p>
    <w:p w14:paraId="01D77D9D" w14:textId="77777777" w:rsidR="00CF1434" w:rsidRDefault="00CF1434" w:rsidP="006428BC">
      <w:pPr>
        <w:jc w:val="center"/>
        <w:rPr>
          <w:b/>
          <w:bCs/>
          <w:sz w:val="36"/>
          <w:szCs w:val="36"/>
        </w:rPr>
      </w:pPr>
    </w:p>
    <w:p w14:paraId="25FAB7C6" w14:textId="77777777" w:rsidR="00CF1434" w:rsidRDefault="00CF1434" w:rsidP="006428BC">
      <w:pPr>
        <w:jc w:val="center"/>
        <w:rPr>
          <w:b/>
          <w:bCs/>
          <w:sz w:val="36"/>
          <w:szCs w:val="36"/>
        </w:rPr>
      </w:pPr>
    </w:p>
    <w:p w14:paraId="38DD0A74" w14:textId="77777777" w:rsidR="00CF1434" w:rsidRDefault="00CF1434" w:rsidP="006428BC">
      <w:pPr>
        <w:jc w:val="center"/>
        <w:rPr>
          <w:b/>
          <w:bCs/>
          <w:sz w:val="36"/>
          <w:szCs w:val="36"/>
        </w:rPr>
      </w:pPr>
    </w:p>
    <w:p w14:paraId="3B271727" w14:textId="77777777" w:rsidR="00CF1434" w:rsidRDefault="00CF1434" w:rsidP="006428BC">
      <w:pPr>
        <w:jc w:val="center"/>
        <w:rPr>
          <w:b/>
          <w:bCs/>
          <w:sz w:val="36"/>
          <w:szCs w:val="36"/>
        </w:rPr>
      </w:pPr>
    </w:p>
    <w:p w14:paraId="2DD8D86F" w14:textId="77777777" w:rsidR="00CF1434" w:rsidRDefault="00CF1434" w:rsidP="006428BC">
      <w:pPr>
        <w:jc w:val="center"/>
        <w:rPr>
          <w:b/>
          <w:bCs/>
          <w:sz w:val="36"/>
          <w:szCs w:val="36"/>
        </w:rPr>
      </w:pPr>
    </w:p>
    <w:p w14:paraId="130A8B05" w14:textId="77777777" w:rsidR="00CF1434" w:rsidRDefault="00CF1434" w:rsidP="006428BC">
      <w:pPr>
        <w:jc w:val="center"/>
        <w:rPr>
          <w:b/>
          <w:bCs/>
          <w:sz w:val="36"/>
          <w:szCs w:val="36"/>
        </w:rPr>
      </w:pPr>
    </w:p>
    <w:p w14:paraId="610F609A" w14:textId="77777777" w:rsidR="00CF1434" w:rsidRDefault="00CF1434" w:rsidP="006428BC">
      <w:pPr>
        <w:jc w:val="center"/>
        <w:rPr>
          <w:b/>
          <w:bCs/>
          <w:sz w:val="36"/>
          <w:szCs w:val="36"/>
        </w:rPr>
      </w:pPr>
    </w:p>
    <w:p w14:paraId="66E1617D" w14:textId="4F6087E1" w:rsidR="006428BC" w:rsidRDefault="006428BC" w:rsidP="006428BC">
      <w:pPr>
        <w:pStyle w:val="Heading1"/>
      </w:pPr>
      <w:bookmarkStart w:id="0" w:name="_Toc137070786"/>
      <w:r>
        <w:t>Introduction</w:t>
      </w:r>
      <w:bookmarkEnd w:id="0"/>
    </w:p>
    <w:p w14:paraId="5B339A70" w14:textId="77777777" w:rsidR="006428BC" w:rsidRPr="006428BC" w:rsidRDefault="006428BC" w:rsidP="006428BC">
      <w:pPr>
        <w:spacing w:line="360" w:lineRule="auto"/>
        <w:ind w:firstLine="720"/>
        <w:jc w:val="both"/>
        <w:rPr>
          <w:rFonts w:cstheme="minorHAnsi"/>
          <w:sz w:val="24"/>
          <w:szCs w:val="24"/>
        </w:rPr>
      </w:pPr>
      <w:r w:rsidRPr="006428BC">
        <w:rPr>
          <w:rFonts w:cstheme="minorHAnsi"/>
          <w:sz w:val="24"/>
          <w:szCs w:val="24"/>
        </w:rPr>
        <w:t>Managing the food and beverage operations industry is responsible for various tasks, including but not limited to menu development and execution, as well as managing related budgets and health concerns (Davis et al., 2013). The Food and Beverage Manager in today's competitive business climate must be able to increase earnings while minimizing expenses to succeed. Managers must have skills in Food and Beverage Operations to attain these objectives, particularly in policy and procedure creation and control execution.</w:t>
      </w:r>
    </w:p>
    <w:p w14:paraId="65B8B08C" w14:textId="323CA7C7" w:rsidR="006428BC" w:rsidRDefault="006428BC" w:rsidP="006428BC">
      <w:pPr>
        <w:spacing w:line="360" w:lineRule="auto"/>
        <w:ind w:firstLine="720"/>
        <w:jc w:val="both"/>
        <w:rPr>
          <w:rFonts w:cstheme="minorHAnsi"/>
          <w:sz w:val="24"/>
          <w:szCs w:val="24"/>
        </w:rPr>
      </w:pPr>
      <w:r w:rsidRPr="006428BC">
        <w:rPr>
          <w:rFonts w:cstheme="minorHAnsi"/>
          <w:sz w:val="24"/>
          <w:szCs w:val="24"/>
        </w:rPr>
        <w:t>Communication, leadership, Planning, organization, negotiation, and solving issues are essential skills a Food and Beverage Operations Manager must have. The efficient operation of the business depends on the competent management of all these skills (</w:t>
      </w:r>
      <w:proofErr w:type="spellStart"/>
      <w:r w:rsidRPr="006428BC">
        <w:rPr>
          <w:rFonts w:cstheme="minorHAnsi"/>
          <w:sz w:val="24"/>
          <w:szCs w:val="24"/>
        </w:rPr>
        <w:t>Daengs</w:t>
      </w:r>
      <w:proofErr w:type="spellEnd"/>
      <w:r w:rsidRPr="006428BC">
        <w:rPr>
          <w:rFonts w:cstheme="minorHAnsi"/>
          <w:sz w:val="24"/>
          <w:szCs w:val="24"/>
        </w:rPr>
        <w:t xml:space="preserve"> et al., 2020). The </w:t>
      </w:r>
      <w:r w:rsidR="000C3FB5">
        <w:rPr>
          <w:rFonts w:cstheme="minorHAnsi"/>
          <w:sz w:val="24"/>
          <w:szCs w:val="24"/>
        </w:rPr>
        <w:t>m</w:t>
      </w:r>
      <w:r w:rsidRPr="006428BC">
        <w:rPr>
          <w:rFonts w:cstheme="minorHAnsi"/>
          <w:sz w:val="24"/>
          <w:szCs w:val="24"/>
        </w:rPr>
        <w:t xml:space="preserve">anager </w:t>
      </w:r>
      <w:r w:rsidR="000C3FB5" w:rsidRPr="006428BC">
        <w:rPr>
          <w:rFonts w:cstheme="minorHAnsi"/>
          <w:sz w:val="24"/>
          <w:szCs w:val="24"/>
        </w:rPr>
        <w:t>oversees</w:t>
      </w:r>
      <w:r w:rsidRPr="006428BC">
        <w:rPr>
          <w:rFonts w:cstheme="minorHAnsi"/>
          <w:sz w:val="24"/>
          <w:szCs w:val="24"/>
        </w:rPr>
        <w:t xml:space="preserve"> ensuring that all customers get excellent service and delicious, high-quality meals. Food and beverage manager should be able to evaluate data and offer performance reports that can be used to enhance revenues and minimize expenditures. Managers should supervise the implementation of safety and health regulations and practices and manage employees, providing feedback on their work and keeping morale high.</w:t>
      </w:r>
    </w:p>
    <w:p w14:paraId="7D9A4C3E" w14:textId="19A4B8BD" w:rsidR="006428BC" w:rsidRPr="006428BC" w:rsidRDefault="006428BC" w:rsidP="006428BC">
      <w:pPr>
        <w:pStyle w:val="Heading1"/>
      </w:pPr>
      <w:bookmarkStart w:id="1" w:name="_Toc137070787"/>
      <w:r>
        <w:t>Main body</w:t>
      </w:r>
      <w:bookmarkEnd w:id="1"/>
    </w:p>
    <w:p w14:paraId="7959E058" w14:textId="77777777" w:rsidR="006428BC" w:rsidRPr="006428BC" w:rsidRDefault="006428BC" w:rsidP="006428BC">
      <w:pPr>
        <w:pStyle w:val="Heading2"/>
      </w:pPr>
      <w:bookmarkStart w:id="2" w:name="_Toc137070788"/>
      <w:r w:rsidRPr="006428BC">
        <w:t>Characteristics of food production and Food and beverage service systems</w:t>
      </w:r>
      <w:bookmarkEnd w:id="2"/>
    </w:p>
    <w:p w14:paraId="080088FB" w14:textId="70662B2E" w:rsidR="006428BC" w:rsidRPr="006428BC" w:rsidRDefault="006428BC" w:rsidP="006428BC">
      <w:pPr>
        <w:spacing w:line="360" w:lineRule="auto"/>
        <w:ind w:firstLine="720"/>
        <w:jc w:val="both"/>
        <w:rPr>
          <w:rFonts w:cstheme="minorHAnsi"/>
          <w:sz w:val="24"/>
          <w:szCs w:val="24"/>
        </w:rPr>
      </w:pPr>
      <w:r w:rsidRPr="006428BC">
        <w:rPr>
          <w:rFonts w:cstheme="minorHAnsi"/>
          <w:sz w:val="24"/>
          <w:szCs w:val="24"/>
        </w:rPr>
        <w:t xml:space="preserve">Most people think of the whole supply chain for food and drink as a single entity. </w:t>
      </w:r>
      <w:r w:rsidR="00CF1434" w:rsidRPr="006428BC">
        <w:rPr>
          <w:rFonts w:cstheme="minorHAnsi"/>
          <w:sz w:val="24"/>
          <w:szCs w:val="24"/>
        </w:rPr>
        <w:t>They’re</w:t>
      </w:r>
      <w:r w:rsidRPr="006428BC">
        <w:rPr>
          <w:rFonts w:cstheme="minorHAnsi"/>
          <w:sz w:val="24"/>
          <w:szCs w:val="24"/>
        </w:rPr>
        <w:t xml:space="preserve"> run as two independent systems in </w:t>
      </w:r>
      <w:r w:rsidRPr="006428BC">
        <w:rPr>
          <w:rFonts w:cstheme="minorHAnsi"/>
          <w:sz w:val="24"/>
          <w:szCs w:val="24"/>
        </w:rPr>
        <w:t>tandem products</w:t>
      </w:r>
      <w:r w:rsidRPr="006428BC">
        <w:rPr>
          <w:rFonts w:cstheme="minorHAnsi"/>
          <w:sz w:val="24"/>
          <w:szCs w:val="24"/>
        </w:rPr>
        <w:t xml:space="preserve"> in the food industry </w:t>
      </w:r>
      <w:r w:rsidR="00CF1434">
        <w:rPr>
          <w:rFonts w:cstheme="minorHAnsi"/>
          <w:sz w:val="24"/>
          <w:szCs w:val="24"/>
        </w:rPr>
        <w:t>ranging</w:t>
      </w:r>
      <w:r w:rsidRPr="006428BC">
        <w:rPr>
          <w:rFonts w:cstheme="minorHAnsi"/>
          <w:sz w:val="24"/>
          <w:szCs w:val="24"/>
        </w:rPr>
        <w:t xml:space="preserve"> from simple fruits and sandwiches to elaborate haute cuisine. Beverages are any drinks intended for consumption. They are equally at home eaten alone or heated up to go with a meal (</w:t>
      </w:r>
      <w:proofErr w:type="spellStart"/>
      <w:r w:rsidRPr="006428BC">
        <w:rPr>
          <w:rFonts w:cstheme="minorHAnsi"/>
          <w:sz w:val="24"/>
          <w:szCs w:val="24"/>
        </w:rPr>
        <w:t>Lussak</w:t>
      </w:r>
      <w:proofErr w:type="spellEnd"/>
      <w:r w:rsidRPr="006428BC">
        <w:rPr>
          <w:rFonts w:cstheme="minorHAnsi"/>
          <w:sz w:val="24"/>
          <w:szCs w:val="24"/>
        </w:rPr>
        <w:t xml:space="preserve"> et al., 2020). Cold beverages and hot beverages are the two main categories of beverages. </w:t>
      </w:r>
      <w:r w:rsidRPr="006428BC">
        <w:rPr>
          <w:rFonts w:cstheme="minorHAnsi"/>
          <w:sz w:val="24"/>
          <w:szCs w:val="24"/>
        </w:rPr>
        <w:lastRenderedPageBreak/>
        <w:t>Alcoholic and non-alcoholic hot beverages are also acceptable. Alcoholic beverages may include wines, spirits (gin, tequila, whiskey, vodka, sake, and cognac), liqueurs, beers, ciders, cocktails, and more. In contrast, non-alcoholic beverages include soft drinks, water, fruit and vegetable juices, smoothies, milk, shakes, cold tea, cold coffee, soy-based beverages, and more (Davis et al., 2013). Various teas, milk, hot chocolate, Irish coffee, bouillon, wassail, and other hot beverages are available.</w:t>
      </w:r>
    </w:p>
    <w:p w14:paraId="1793C626" w14:textId="77777777" w:rsidR="006428BC" w:rsidRPr="006428BC" w:rsidRDefault="006428BC" w:rsidP="006428BC">
      <w:pPr>
        <w:pStyle w:val="Heading2"/>
      </w:pPr>
      <w:bookmarkStart w:id="3" w:name="_Toc137070789"/>
      <w:r w:rsidRPr="006428BC">
        <w:t>Production of food</w:t>
      </w:r>
      <w:bookmarkEnd w:id="3"/>
    </w:p>
    <w:p w14:paraId="1B2565CA" w14:textId="77777777" w:rsidR="006428BC" w:rsidRPr="006428BC" w:rsidRDefault="006428BC" w:rsidP="006428BC">
      <w:pPr>
        <w:spacing w:line="360" w:lineRule="auto"/>
        <w:ind w:firstLine="720"/>
        <w:jc w:val="both"/>
        <w:rPr>
          <w:rFonts w:cstheme="minorHAnsi"/>
          <w:sz w:val="24"/>
          <w:szCs w:val="24"/>
        </w:rPr>
      </w:pPr>
      <w:r w:rsidRPr="006428BC">
        <w:rPr>
          <w:rFonts w:cstheme="minorHAnsi"/>
          <w:sz w:val="24"/>
          <w:szCs w:val="24"/>
        </w:rPr>
        <w:t>Procuring ingredients, Planning, processing, storing, and preparing food are components of food production. Here are a few primary categories of cooking techniques:</w:t>
      </w:r>
    </w:p>
    <w:p w14:paraId="04BEC2E3" w14:textId="77777777" w:rsidR="006428BC" w:rsidRPr="006428BC" w:rsidRDefault="006428BC" w:rsidP="006428BC">
      <w:pPr>
        <w:pStyle w:val="ListParagraph"/>
        <w:numPr>
          <w:ilvl w:val="0"/>
          <w:numId w:val="2"/>
        </w:numPr>
        <w:spacing w:line="360" w:lineRule="auto"/>
        <w:jc w:val="both"/>
        <w:rPr>
          <w:rFonts w:cstheme="minorHAnsi"/>
          <w:sz w:val="24"/>
          <w:szCs w:val="24"/>
        </w:rPr>
      </w:pPr>
      <w:r w:rsidRPr="006428BC">
        <w:rPr>
          <w:rFonts w:cstheme="minorHAnsi"/>
          <w:i/>
          <w:iCs/>
          <w:sz w:val="24"/>
          <w:szCs w:val="24"/>
        </w:rPr>
        <w:t>Conventional-</w:t>
      </w:r>
      <w:r w:rsidRPr="006428BC">
        <w:rPr>
          <w:rFonts w:cstheme="minorHAnsi"/>
          <w:sz w:val="24"/>
          <w:szCs w:val="24"/>
        </w:rPr>
        <w:t xml:space="preserve"> food preparation and cooking are done before the customer's eyes and served instantly. Restaurants of all sizes employ this method.</w:t>
      </w:r>
    </w:p>
    <w:p w14:paraId="25474367" w14:textId="77777777" w:rsidR="006428BC" w:rsidRPr="006428BC" w:rsidRDefault="006428BC" w:rsidP="006428BC">
      <w:pPr>
        <w:pStyle w:val="ListParagraph"/>
        <w:numPr>
          <w:ilvl w:val="0"/>
          <w:numId w:val="2"/>
        </w:numPr>
        <w:spacing w:line="360" w:lineRule="auto"/>
        <w:jc w:val="both"/>
        <w:rPr>
          <w:rFonts w:cstheme="minorHAnsi"/>
          <w:sz w:val="24"/>
          <w:szCs w:val="24"/>
        </w:rPr>
      </w:pPr>
      <w:r w:rsidRPr="006428BC">
        <w:rPr>
          <w:rFonts w:cstheme="minorHAnsi"/>
          <w:i/>
          <w:iCs/>
          <w:sz w:val="24"/>
          <w:szCs w:val="24"/>
        </w:rPr>
        <w:t>Convenience</w:t>
      </w:r>
      <w:r w:rsidRPr="006428BC">
        <w:rPr>
          <w:rFonts w:cstheme="minorHAnsi"/>
          <w:sz w:val="24"/>
          <w:szCs w:val="24"/>
        </w:rPr>
        <w:t>- foods that have already been prepared and packed for consumption. Found as both whole meals (such as canned or frozen) and snacks (such as sandwiches, wraps, and takeaway items), these foods need a quick reheat in the microwave before being enjoyed.</w:t>
      </w:r>
    </w:p>
    <w:p w14:paraId="39F17E17" w14:textId="77777777" w:rsidR="006428BC" w:rsidRPr="006428BC" w:rsidRDefault="006428BC" w:rsidP="006428BC">
      <w:pPr>
        <w:pStyle w:val="ListParagraph"/>
        <w:numPr>
          <w:ilvl w:val="0"/>
          <w:numId w:val="2"/>
        </w:numPr>
        <w:spacing w:line="360" w:lineRule="auto"/>
        <w:jc w:val="both"/>
        <w:rPr>
          <w:rFonts w:cstheme="minorHAnsi"/>
          <w:sz w:val="24"/>
          <w:szCs w:val="24"/>
        </w:rPr>
      </w:pPr>
      <w:r w:rsidRPr="006428BC">
        <w:rPr>
          <w:rFonts w:cstheme="minorHAnsi"/>
          <w:i/>
          <w:iCs/>
          <w:sz w:val="24"/>
          <w:szCs w:val="24"/>
        </w:rPr>
        <w:t>Centralized-</w:t>
      </w:r>
      <w:r w:rsidRPr="006428BC">
        <w:rPr>
          <w:rFonts w:cstheme="minorHAnsi"/>
          <w:sz w:val="24"/>
          <w:szCs w:val="24"/>
        </w:rPr>
        <w:t xml:space="preserve"> This food preparation is suitable for the mass production of goods that are then delivered to different outlets. Commonly seen in quick food restaurants and the catering industry serving places like schools, nursing homes, airports, and hospitals. Large-scale, centralized food processing may drastically reduce manufacturing costs (</w:t>
      </w:r>
      <w:proofErr w:type="spellStart"/>
      <w:r w:rsidRPr="006428BC">
        <w:rPr>
          <w:rFonts w:cstheme="minorHAnsi"/>
          <w:sz w:val="24"/>
          <w:szCs w:val="24"/>
        </w:rPr>
        <w:t>Lussak</w:t>
      </w:r>
      <w:proofErr w:type="spellEnd"/>
      <w:r w:rsidRPr="006428BC">
        <w:rPr>
          <w:rFonts w:cstheme="minorHAnsi"/>
          <w:sz w:val="24"/>
          <w:szCs w:val="24"/>
        </w:rPr>
        <w:t xml:space="preserve"> et al., 2020).</w:t>
      </w:r>
    </w:p>
    <w:p w14:paraId="007F10A0" w14:textId="77777777" w:rsidR="006428BC" w:rsidRPr="006428BC" w:rsidRDefault="006428BC" w:rsidP="006428BC">
      <w:pPr>
        <w:pStyle w:val="ListParagraph"/>
        <w:numPr>
          <w:ilvl w:val="0"/>
          <w:numId w:val="2"/>
        </w:numPr>
        <w:spacing w:line="360" w:lineRule="auto"/>
        <w:jc w:val="both"/>
        <w:rPr>
          <w:rFonts w:cstheme="minorHAnsi"/>
          <w:sz w:val="24"/>
          <w:szCs w:val="24"/>
        </w:rPr>
      </w:pPr>
      <w:r w:rsidRPr="006428BC">
        <w:rPr>
          <w:rFonts w:cstheme="minorHAnsi"/>
          <w:i/>
          <w:iCs/>
          <w:sz w:val="24"/>
          <w:szCs w:val="24"/>
        </w:rPr>
        <w:t>Cook-chill</w:t>
      </w:r>
      <w:r w:rsidRPr="006428BC">
        <w:rPr>
          <w:rFonts w:cstheme="minorHAnsi"/>
          <w:sz w:val="24"/>
          <w:szCs w:val="24"/>
        </w:rPr>
        <w:t xml:space="preserve"> is a versatile method that allows meals to be entirely prepared and then chilled to regulated low temperatures for up to 5 days. They are best served once reheated.</w:t>
      </w:r>
    </w:p>
    <w:p w14:paraId="25AD7C8E" w14:textId="77777777" w:rsidR="006428BC" w:rsidRPr="006428BC" w:rsidRDefault="006428BC" w:rsidP="006428BC">
      <w:pPr>
        <w:pStyle w:val="ListParagraph"/>
        <w:numPr>
          <w:ilvl w:val="0"/>
          <w:numId w:val="2"/>
        </w:numPr>
        <w:spacing w:line="360" w:lineRule="auto"/>
        <w:jc w:val="both"/>
        <w:rPr>
          <w:rFonts w:cstheme="minorHAnsi"/>
          <w:sz w:val="24"/>
          <w:szCs w:val="24"/>
        </w:rPr>
      </w:pPr>
      <w:r w:rsidRPr="006428BC">
        <w:rPr>
          <w:rFonts w:cstheme="minorHAnsi"/>
          <w:i/>
          <w:iCs/>
          <w:sz w:val="24"/>
          <w:szCs w:val="24"/>
        </w:rPr>
        <w:t>Cook-freeze</w:t>
      </w:r>
      <w:r w:rsidRPr="006428BC">
        <w:rPr>
          <w:rFonts w:cstheme="minorHAnsi"/>
          <w:sz w:val="24"/>
          <w:szCs w:val="24"/>
        </w:rPr>
        <w:t>- Method that, depending on the product, may extend the shelf life of cooked food by several months by freezing it at 20 degrees Celsius within 90 minutes after preparation. Maintaining a steady temperature throughout transit is crucial until reheating and serving the dish (</w:t>
      </w:r>
      <w:proofErr w:type="spellStart"/>
      <w:r w:rsidRPr="006428BC">
        <w:rPr>
          <w:rFonts w:cstheme="minorHAnsi"/>
          <w:sz w:val="24"/>
          <w:szCs w:val="24"/>
        </w:rPr>
        <w:t>Daengs</w:t>
      </w:r>
      <w:proofErr w:type="spellEnd"/>
      <w:r w:rsidRPr="006428BC">
        <w:rPr>
          <w:rFonts w:cstheme="minorHAnsi"/>
          <w:sz w:val="24"/>
          <w:szCs w:val="24"/>
        </w:rPr>
        <w:t xml:space="preserve"> et al., 2020).</w:t>
      </w:r>
    </w:p>
    <w:p w14:paraId="0B90106F" w14:textId="77777777" w:rsidR="006428BC" w:rsidRPr="006428BC" w:rsidRDefault="006428BC" w:rsidP="006428BC">
      <w:pPr>
        <w:pStyle w:val="ListParagraph"/>
        <w:numPr>
          <w:ilvl w:val="0"/>
          <w:numId w:val="2"/>
        </w:numPr>
        <w:spacing w:line="360" w:lineRule="auto"/>
        <w:jc w:val="both"/>
        <w:rPr>
          <w:rFonts w:cstheme="minorHAnsi"/>
          <w:sz w:val="24"/>
          <w:szCs w:val="24"/>
        </w:rPr>
      </w:pPr>
      <w:r w:rsidRPr="006428BC">
        <w:rPr>
          <w:rFonts w:cstheme="minorHAnsi"/>
          <w:i/>
          <w:iCs/>
          <w:sz w:val="24"/>
          <w:szCs w:val="24"/>
        </w:rPr>
        <w:t>Sous-vide</w:t>
      </w:r>
      <w:r w:rsidRPr="006428BC">
        <w:rPr>
          <w:rFonts w:cstheme="minorHAnsi"/>
          <w:sz w:val="24"/>
          <w:szCs w:val="24"/>
        </w:rPr>
        <w:t xml:space="preserve">- Using water bath machines, food is cooked in vacuum plastic bags at temperatures between 60 and 70 degrees Celsius for an extended period (several hours). </w:t>
      </w:r>
      <w:proofErr w:type="spellStart"/>
      <w:r w:rsidRPr="006428BC">
        <w:rPr>
          <w:rFonts w:cstheme="minorHAnsi"/>
          <w:sz w:val="24"/>
          <w:szCs w:val="24"/>
        </w:rPr>
        <w:t>Flavor</w:t>
      </w:r>
      <w:proofErr w:type="spellEnd"/>
      <w:r w:rsidRPr="006428BC">
        <w:rPr>
          <w:rFonts w:cstheme="minorHAnsi"/>
          <w:sz w:val="24"/>
          <w:szCs w:val="24"/>
        </w:rPr>
        <w:t xml:space="preserve">, texture, softness, and moisture levels in foods are maintained or even improved. Lower shrinking means a greater harvest. Foods last substantially longer </w:t>
      </w:r>
      <w:r w:rsidRPr="006428BC">
        <w:rPr>
          <w:rFonts w:cstheme="minorHAnsi"/>
          <w:sz w:val="24"/>
          <w:szCs w:val="24"/>
        </w:rPr>
        <w:lastRenderedPageBreak/>
        <w:t>without spoiling (</w:t>
      </w:r>
      <w:proofErr w:type="spellStart"/>
      <w:r w:rsidRPr="006428BC">
        <w:rPr>
          <w:rFonts w:cstheme="minorHAnsi"/>
          <w:sz w:val="24"/>
          <w:szCs w:val="24"/>
        </w:rPr>
        <w:t>Lussak</w:t>
      </w:r>
      <w:proofErr w:type="spellEnd"/>
      <w:r w:rsidRPr="006428BC">
        <w:rPr>
          <w:rFonts w:cstheme="minorHAnsi"/>
          <w:sz w:val="24"/>
          <w:szCs w:val="24"/>
        </w:rPr>
        <w:t xml:space="preserve"> et al., 2020). They also provide time savings when using them to decorate plates for service. Sous-Vide cooking aids in slowing the development of anaerobic bacteria, but care must be taken to prevent the danger of botulism poisoning from anaerobic bacteria.</w:t>
      </w:r>
    </w:p>
    <w:p w14:paraId="30D31DD2" w14:textId="77777777" w:rsidR="006428BC" w:rsidRPr="006428BC" w:rsidRDefault="006428BC" w:rsidP="006428BC">
      <w:pPr>
        <w:pStyle w:val="Heading2"/>
      </w:pPr>
      <w:bookmarkStart w:id="4" w:name="_Toc137070790"/>
      <w:r w:rsidRPr="006428BC">
        <w:t>System services</w:t>
      </w:r>
      <w:bookmarkEnd w:id="4"/>
    </w:p>
    <w:p w14:paraId="2E2BD8EB" w14:textId="51CD8C60" w:rsidR="006428BC" w:rsidRPr="006428BC" w:rsidRDefault="006428BC" w:rsidP="006428BC">
      <w:pPr>
        <w:spacing w:line="360" w:lineRule="auto"/>
        <w:ind w:firstLine="720"/>
        <w:jc w:val="both"/>
        <w:rPr>
          <w:rFonts w:cstheme="minorHAnsi"/>
          <w:sz w:val="24"/>
          <w:szCs w:val="24"/>
        </w:rPr>
      </w:pPr>
      <w:r w:rsidRPr="006428BC">
        <w:rPr>
          <w:rFonts w:cstheme="minorHAnsi"/>
          <w:sz w:val="24"/>
          <w:szCs w:val="24"/>
        </w:rPr>
        <w:t>Different ways can be used to serve food and beverages in social situations</w:t>
      </w:r>
      <w:r w:rsidR="000C3FB5">
        <w:rPr>
          <w:rFonts w:cstheme="minorHAnsi"/>
          <w:sz w:val="24"/>
          <w:szCs w:val="24"/>
        </w:rPr>
        <w:t>:</w:t>
      </w:r>
      <w:r w:rsidRPr="006428BC">
        <w:rPr>
          <w:rFonts w:cstheme="minorHAnsi"/>
          <w:sz w:val="24"/>
          <w:szCs w:val="24"/>
        </w:rPr>
        <w:t xml:space="preserve"> Schools, Public Institutions, Healthcare Facilities, The Military, and Other Similar Organizations. To the delight of their staff, some companies even provide. Businesses that are in it for the money: restaurants</w:t>
      </w:r>
      <w:r w:rsidR="000C3FB5">
        <w:rPr>
          <w:rFonts w:cstheme="minorHAnsi"/>
          <w:sz w:val="24"/>
          <w:szCs w:val="24"/>
        </w:rPr>
        <w:t xml:space="preserve">, </w:t>
      </w:r>
      <w:r w:rsidRPr="006428BC">
        <w:rPr>
          <w:rFonts w:cstheme="minorHAnsi"/>
          <w:sz w:val="24"/>
          <w:szCs w:val="24"/>
        </w:rPr>
        <w:t>bars</w:t>
      </w:r>
      <w:r w:rsidR="000C3FB5">
        <w:rPr>
          <w:rFonts w:cstheme="minorHAnsi"/>
          <w:sz w:val="24"/>
          <w:szCs w:val="24"/>
        </w:rPr>
        <w:t xml:space="preserve">, </w:t>
      </w:r>
      <w:r w:rsidRPr="006428BC">
        <w:rPr>
          <w:rFonts w:cstheme="minorHAnsi"/>
          <w:sz w:val="24"/>
          <w:szCs w:val="24"/>
        </w:rPr>
        <w:t>hotels</w:t>
      </w:r>
      <w:r w:rsidR="000C3FB5">
        <w:rPr>
          <w:rFonts w:cstheme="minorHAnsi"/>
          <w:sz w:val="24"/>
          <w:szCs w:val="24"/>
        </w:rPr>
        <w:t xml:space="preserve">, </w:t>
      </w:r>
      <w:r w:rsidRPr="006428BC">
        <w:rPr>
          <w:rFonts w:cstheme="minorHAnsi"/>
          <w:sz w:val="24"/>
          <w:szCs w:val="24"/>
        </w:rPr>
        <w:t>delis, self-service outlets,</w:t>
      </w:r>
      <w:r w:rsidR="000C3FB5">
        <w:rPr>
          <w:rFonts w:cstheme="minorHAnsi"/>
          <w:sz w:val="24"/>
          <w:szCs w:val="24"/>
        </w:rPr>
        <w:t xml:space="preserve"> and </w:t>
      </w:r>
      <w:r w:rsidRPr="006428BC">
        <w:rPr>
          <w:rFonts w:cstheme="minorHAnsi"/>
          <w:sz w:val="24"/>
          <w:szCs w:val="24"/>
        </w:rPr>
        <w:t>Transportation via Plane and Rail (</w:t>
      </w:r>
      <w:proofErr w:type="spellStart"/>
      <w:r w:rsidRPr="006428BC">
        <w:rPr>
          <w:rFonts w:cstheme="minorHAnsi"/>
          <w:sz w:val="24"/>
          <w:szCs w:val="24"/>
        </w:rPr>
        <w:t>Daengs</w:t>
      </w:r>
      <w:proofErr w:type="spellEnd"/>
      <w:r w:rsidRPr="006428BC">
        <w:rPr>
          <w:rFonts w:cstheme="minorHAnsi"/>
          <w:sz w:val="24"/>
          <w:szCs w:val="24"/>
        </w:rPr>
        <w:t xml:space="preserve"> et al., 2020). The following are examples of standard methods of serving food and drink:</w:t>
      </w:r>
    </w:p>
    <w:p w14:paraId="632D8679" w14:textId="77777777" w:rsidR="006428BC" w:rsidRPr="006428BC" w:rsidRDefault="006428BC" w:rsidP="006428BC">
      <w:pPr>
        <w:spacing w:line="360" w:lineRule="auto"/>
        <w:jc w:val="both"/>
        <w:rPr>
          <w:rFonts w:cstheme="minorHAnsi"/>
          <w:sz w:val="24"/>
          <w:szCs w:val="24"/>
        </w:rPr>
      </w:pPr>
      <w:r w:rsidRPr="006428BC">
        <w:rPr>
          <w:rFonts w:cstheme="minorHAnsi"/>
          <w:b/>
          <w:bCs/>
          <w:sz w:val="24"/>
          <w:szCs w:val="24"/>
        </w:rPr>
        <w:t>Table service</w:t>
      </w:r>
      <w:r w:rsidRPr="006428BC">
        <w:rPr>
          <w:rFonts w:cstheme="minorHAnsi"/>
          <w:sz w:val="24"/>
          <w:szCs w:val="24"/>
        </w:rPr>
        <w:t>- Typically, the waiter serves guests at their table with food and drink. The staff will reset the table when the diners have finished their dinner and departed. Styles of service are below the table.</w:t>
      </w:r>
    </w:p>
    <w:p w14:paraId="648CC302" w14:textId="77777777" w:rsidR="006428BC" w:rsidRPr="006428BC" w:rsidRDefault="006428BC" w:rsidP="006428BC">
      <w:pPr>
        <w:pStyle w:val="ListParagraph"/>
        <w:numPr>
          <w:ilvl w:val="0"/>
          <w:numId w:val="1"/>
        </w:numPr>
        <w:spacing w:line="360" w:lineRule="auto"/>
        <w:jc w:val="both"/>
        <w:rPr>
          <w:rFonts w:cstheme="minorHAnsi"/>
          <w:sz w:val="24"/>
          <w:szCs w:val="24"/>
        </w:rPr>
      </w:pPr>
      <w:r w:rsidRPr="006428BC">
        <w:rPr>
          <w:rFonts w:cstheme="minorHAnsi"/>
          <w:sz w:val="24"/>
          <w:szCs w:val="24"/>
        </w:rPr>
        <w:t>English- Bowls and platters of food are set before diners. The main course has been cut and served apart from the side dishes. In this setting, clients are free to serve themselves anything they choose. The serving style is informal and reminiscent of home-cooked meals; thus, the name "family system."</w:t>
      </w:r>
    </w:p>
    <w:p w14:paraId="07220D3B" w14:textId="77777777" w:rsidR="006428BC" w:rsidRPr="006428BC" w:rsidRDefault="006428BC" w:rsidP="006428BC">
      <w:pPr>
        <w:pStyle w:val="ListParagraph"/>
        <w:numPr>
          <w:ilvl w:val="0"/>
          <w:numId w:val="1"/>
        </w:numPr>
        <w:spacing w:line="360" w:lineRule="auto"/>
        <w:jc w:val="both"/>
        <w:rPr>
          <w:rFonts w:cstheme="minorHAnsi"/>
          <w:sz w:val="24"/>
          <w:szCs w:val="24"/>
        </w:rPr>
      </w:pPr>
      <w:r w:rsidRPr="006428BC">
        <w:rPr>
          <w:rFonts w:cstheme="minorHAnsi"/>
          <w:sz w:val="24"/>
          <w:szCs w:val="24"/>
        </w:rPr>
        <w:t>American- Taking orders from customers and delivering them to the cook. The finished meal is served on a separate dish to each person at the table.</w:t>
      </w:r>
    </w:p>
    <w:p w14:paraId="40623A52" w14:textId="77777777" w:rsidR="006428BC" w:rsidRPr="006428BC" w:rsidRDefault="006428BC" w:rsidP="006428BC">
      <w:pPr>
        <w:pStyle w:val="ListParagraph"/>
        <w:numPr>
          <w:ilvl w:val="0"/>
          <w:numId w:val="1"/>
        </w:numPr>
        <w:spacing w:line="360" w:lineRule="auto"/>
        <w:jc w:val="both"/>
        <w:rPr>
          <w:rFonts w:cstheme="minorHAnsi"/>
          <w:sz w:val="24"/>
          <w:szCs w:val="24"/>
        </w:rPr>
      </w:pPr>
      <w:r w:rsidRPr="006428BC">
        <w:rPr>
          <w:rFonts w:cstheme="minorHAnsi"/>
          <w:sz w:val="24"/>
          <w:szCs w:val="24"/>
        </w:rPr>
        <w:t>French- Crepes Suzette, Caesar salad, and meats like Steak Diane are made right in front of the guests on a cart.</w:t>
      </w:r>
    </w:p>
    <w:p w14:paraId="136423E0" w14:textId="77777777" w:rsidR="006428BC" w:rsidRPr="006428BC" w:rsidRDefault="006428BC" w:rsidP="006428BC">
      <w:pPr>
        <w:pStyle w:val="ListParagraph"/>
        <w:numPr>
          <w:ilvl w:val="0"/>
          <w:numId w:val="1"/>
        </w:numPr>
        <w:spacing w:line="360" w:lineRule="auto"/>
        <w:jc w:val="both"/>
        <w:rPr>
          <w:rFonts w:cstheme="minorHAnsi"/>
          <w:sz w:val="24"/>
          <w:szCs w:val="24"/>
        </w:rPr>
      </w:pPr>
      <w:r w:rsidRPr="006428BC">
        <w:rPr>
          <w:rFonts w:cstheme="minorHAnsi"/>
          <w:sz w:val="24"/>
          <w:szCs w:val="24"/>
        </w:rPr>
        <w:t>Russian- The culinary team prepares the food, the wait staff brings it to the table on platters, and the diners are served from the left side of their plates. A standard method of banquet service.</w:t>
      </w:r>
    </w:p>
    <w:p w14:paraId="1C097D33" w14:textId="77777777" w:rsidR="006428BC" w:rsidRPr="006428BC" w:rsidRDefault="006428BC" w:rsidP="006428BC">
      <w:pPr>
        <w:spacing w:line="360" w:lineRule="auto"/>
        <w:ind w:firstLine="360"/>
        <w:jc w:val="both"/>
        <w:rPr>
          <w:rFonts w:cstheme="minorHAnsi"/>
          <w:b/>
          <w:bCs/>
          <w:sz w:val="24"/>
          <w:szCs w:val="24"/>
        </w:rPr>
      </w:pPr>
      <w:r w:rsidRPr="006428BC">
        <w:rPr>
          <w:rFonts w:cstheme="minorHAnsi"/>
          <w:b/>
          <w:bCs/>
          <w:sz w:val="24"/>
          <w:szCs w:val="24"/>
        </w:rPr>
        <w:t>Buffet system- Hot</w:t>
      </w:r>
      <w:r w:rsidRPr="006428BC">
        <w:rPr>
          <w:rFonts w:cstheme="minorHAnsi"/>
          <w:bCs/>
          <w:sz w:val="24"/>
          <w:szCs w:val="24"/>
        </w:rPr>
        <w:t xml:space="preserve"> buffet servers, dishes, and platters, are placed out in an appetizing fashion on a large table. Guests can assist themselves with any cuisine they choose. "</w:t>
      </w:r>
      <w:proofErr w:type="gramStart"/>
      <w:r w:rsidRPr="006428BC">
        <w:rPr>
          <w:rFonts w:cstheme="minorHAnsi"/>
          <w:bCs/>
          <w:sz w:val="24"/>
          <w:szCs w:val="24"/>
        </w:rPr>
        <w:t>all</w:t>
      </w:r>
      <w:proofErr w:type="gramEnd"/>
      <w:r w:rsidRPr="006428BC">
        <w:rPr>
          <w:rFonts w:cstheme="minorHAnsi"/>
          <w:bCs/>
          <w:sz w:val="24"/>
          <w:szCs w:val="24"/>
        </w:rPr>
        <w:t xml:space="preserve"> you can eat" is often used to describe buffets. This is appropriate for serving </w:t>
      </w:r>
      <w:proofErr w:type="gramStart"/>
      <w:r w:rsidRPr="006428BC">
        <w:rPr>
          <w:rFonts w:cstheme="minorHAnsi"/>
          <w:bCs/>
          <w:sz w:val="24"/>
          <w:szCs w:val="24"/>
        </w:rPr>
        <w:t>a large number of</w:t>
      </w:r>
      <w:proofErr w:type="gramEnd"/>
      <w:r w:rsidRPr="006428BC">
        <w:rPr>
          <w:rFonts w:cstheme="minorHAnsi"/>
          <w:bCs/>
          <w:sz w:val="24"/>
          <w:szCs w:val="24"/>
        </w:rPr>
        <w:t xml:space="preserve"> people concurrently. Has low staffing needs (</w:t>
      </w:r>
      <w:proofErr w:type="spellStart"/>
      <w:r w:rsidRPr="006428BC">
        <w:rPr>
          <w:rFonts w:cstheme="minorHAnsi"/>
          <w:sz w:val="24"/>
          <w:szCs w:val="24"/>
        </w:rPr>
        <w:t>Lussak</w:t>
      </w:r>
      <w:proofErr w:type="spellEnd"/>
      <w:r w:rsidRPr="006428BC">
        <w:rPr>
          <w:rFonts w:cstheme="minorHAnsi"/>
          <w:sz w:val="24"/>
          <w:szCs w:val="24"/>
        </w:rPr>
        <w:t xml:space="preserve"> et al., 2020)</w:t>
      </w:r>
      <w:r w:rsidRPr="006428BC">
        <w:rPr>
          <w:rFonts w:cstheme="minorHAnsi"/>
          <w:b/>
          <w:bCs/>
          <w:sz w:val="24"/>
          <w:szCs w:val="24"/>
        </w:rPr>
        <w:t>.</w:t>
      </w:r>
    </w:p>
    <w:p w14:paraId="40707BB0" w14:textId="77777777" w:rsidR="006428BC" w:rsidRPr="006428BC" w:rsidRDefault="006428BC" w:rsidP="006428BC">
      <w:pPr>
        <w:spacing w:line="360" w:lineRule="auto"/>
        <w:ind w:firstLine="360"/>
        <w:jc w:val="both"/>
        <w:rPr>
          <w:rFonts w:cstheme="minorHAnsi"/>
          <w:b/>
          <w:bCs/>
          <w:sz w:val="24"/>
          <w:szCs w:val="24"/>
        </w:rPr>
      </w:pPr>
      <w:r w:rsidRPr="006428BC">
        <w:rPr>
          <w:rFonts w:cstheme="minorHAnsi"/>
          <w:b/>
          <w:bCs/>
          <w:sz w:val="24"/>
          <w:szCs w:val="24"/>
        </w:rPr>
        <w:lastRenderedPageBreak/>
        <w:t xml:space="preserve">Cafeteria system- </w:t>
      </w:r>
      <w:r w:rsidRPr="006428BC">
        <w:rPr>
          <w:rFonts w:cstheme="minorHAnsi"/>
          <w:bCs/>
          <w:sz w:val="24"/>
          <w:szCs w:val="24"/>
        </w:rPr>
        <w:t>A dining area where guests may choose their meals and beverages from a counter-mounted menu. The food is either already prepared or may be requested at manned stations in a hurry. There will be no full-service table clearing and cleaning. Non-profit organizations often opt for time-saving service systems (</w:t>
      </w:r>
      <w:proofErr w:type="spellStart"/>
      <w:r w:rsidRPr="006428BC">
        <w:rPr>
          <w:rFonts w:cstheme="minorHAnsi"/>
          <w:sz w:val="24"/>
          <w:szCs w:val="24"/>
        </w:rPr>
        <w:t>Lussak</w:t>
      </w:r>
      <w:proofErr w:type="spellEnd"/>
      <w:r w:rsidRPr="006428BC">
        <w:rPr>
          <w:rFonts w:cstheme="minorHAnsi"/>
          <w:sz w:val="24"/>
          <w:szCs w:val="24"/>
        </w:rPr>
        <w:t xml:space="preserve"> et al., 2020)</w:t>
      </w:r>
      <w:r w:rsidRPr="006428BC">
        <w:rPr>
          <w:rFonts w:cstheme="minorHAnsi"/>
          <w:b/>
          <w:bCs/>
          <w:sz w:val="24"/>
          <w:szCs w:val="24"/>
        </w:rPr>
        <w:t>.</w:t>
      </w:r>
    </w:p>
    <w:p w14:paraId="3645E63B" w14:textId="3D433C0B" w:rsidR="006428BC" w:rsidRPr="006428BC" w:rsidRDefault="000B3913" w:rsidP="006428BC">
      <w:pPr>
        <w:spacing w:line="360" w:lineRule="auto"/>
        <w:jc w:val="both"/>
        <w:rPr>
          <w:rFonts w:cstheme="minorHAnsi"/>
          <w:bCs/>
          <w:sz w:val="24"/>
          <w:szCs w:val="24"/>
        </w:rPr>
      </w:pPr>
      <w:r>
        <w:rPr>
          <w:rFonts w:cstheme="minorHAnsi"/>
          <w:b/>
          <w:bCs/>
          <w:sz w:val="24"/>
          <w:szCs w:val="24"/>
        </w:rPr>
        <w:t xml:space="preserve">       </w:t>
      </w:r>
      <w:r w:rsidR="006428BC" w:rsidRPr="006428BC">
        <w:rPr>
          <w:rFonts w:cstheme="minorHAnsi"/>
          <w:b/>
          <w:bCs/>
          <w:sz w:val="24"/>
          <w:szCs w:val="24"/>
        </w:rPr>
        <w:t>Self-Service outlets</w:t>
      </w:r>
      <w:r w:rsidR="006428BC" w:rsidRPr="006428BC">
        <w:rPr>
          <w:rFonts w:cstheme="minorHAnsi"/>
          <w:bCs/>
          <w:sz w:val="24"/>
          <w:szCs w:val="24"/>
        </w:rPr>
        <w:t>-</w:t>
      </w:r>
      <w:r w:rsidR="006428BC" w:rsidRPr="006428BC">
        <w:rPr>
          <w:rFonts w:cstheme="minorHAnsi"/>
          <w:sz w:val="24"/>
          <w:szCs w:val="24"/>
        </w:rPr>
        <w:t xml:space="preserve"> </w:t>
      </w:r>
      <w:r w:rsidR="006428BC" w:rsidRPr="006428BC">
        <w:rPr>
          <w:rFonts w:cstheme="minorHAnsi"/>
          <w:bCs/>
          <w:sz w:val="24"/>
          <w:szCs w:val="24"/>
        </w:rPr>
        <w:t>Systems that quickly and easily provide ready-to-eat items to clients pressed for time are ideal for this group.</w:t>
      </w:r>
    </w:p>
    <w:p w14:paraId="79B22BD6" w14:textId="4A177BBA" w:rsidR="006428BC" w:rsidRPr="006428BC" w:rsidRDefault="006428BC" w:rsidP="006428BC">
      <w:pPr>
        <w:pStyle w:val="Heading2"/>
      </w:pPr>
      <w:bookmarkStart w:id="5" w:name="_Toc137070791"/>
      <w:r w:rsidRPr="006428BC">
        <w:t xml:space="preserve">Suitability of systems for </w:t>
      </w:r>
      <w:r w:rsidRPr="006428BC">
        <w:t>food</w:t>
      </w:r>
      <w:r w:rsidRPr="006428BC">
        <w:t xml:space="preserve"> and beverage outlets</w:t>
      </w:r>
      <w:bookmarkEnd w:id="5"/>
    </w:p>
    <w:p w14:paraId="43489898" w14:textId="77777777" w:rsidR="006428BC" w:rsidRPr="006428BC" w:rsidRDefault="006428BC" w:rsidP="006428BC">
      <w:pPr>
        <w:spacing w:line="360" w:lineRule="auto"/>
        <w:jc w:val="both"/>
        <w:rPr>
          <w:rFonts w:cstheme="minorHAnsi"/>
          <w:bCs/>
          <w:sz w:val="24"/>
          <w:szCs w:val="24"/>
        </w:rPr>
      </w:pPr>
      <w:r w:rsidRPr="006428BC">
        <w:rPr>
          <w:rFonts w:cstheme="minorHAnsi"/>
          <w:bCs/>
          <w:sz w:val="24"/>
          <w:szCs w:val="24"/>
        </w:rPr>
        <w:t>The various serving methods are best suited to multiple restaurants and bars:</w:t>
      </w:r>
    </w:p>
    <w:p w14:paraId="5312CFC4" w14:textId="09A71DCA" w:rsidR="006428BC" w:rsidRDefault="009A4B16" w:rsidP="009A4B16">
      <w:pPr>
        <w:spacing w:line="360" w:lineRule="auto"/>
        <w:jc w:val="both"/>
        <w:rPr>
          <w:rFonts w:cstheme="minorHAnsi"/>
          <w:bCs/>
          <w:sz w:val="24"/>
          <w:szCs w:val="24"/>
        </w:rPr>
      </w:pPr>
      <w:r w:rsidRPr="009A4B16">
        <w:rPr>
          <w:rFonts w:cstheme="minorHAnsi"/>
          <w:bCs/>
          <w:sz w:val="24"/>
          <w:szCs w:val="24"/>
        </w:rPr>
        <w:t xml:space="preserve">Table service is going to be perfect for business lunches, meals enjoyed by single diners, those who want to take their time eating with friends, and anybody else who places a high value on privacy and individualised attention. Adopting the American manner of service might be beneficial for a variety of businesses, including restaurants of all kinds, pubs, airlines, and private clubs. </w:t>
      </w:r>
      <w:r w:rsidR="006428BC" w:rsidRPr="006428BC">
        <w:rPr>
          <w:rFonts w:cstheme="minorHAnsi"/>
          <w:bCs/>
          <w:sz w:val="24"/>
          <w:szCs w:val="24"/>
        </w:rPr>
        <w:t xml:space="preserve"> A formal French supper is best suited for a smaller gathering of close friends or family (</w:t>
      </w:r>
      <w:r w:rsidR="006428BC" w:rsidRPr="006428BC">
        <w:rPr>
          <w:rFonts w:cstheme="minorHAnsi"/>
          <w:sz w:val="24"/>
          <w:szCs w:val="24"/>
        </w:rPr>
        <w:t>Davis et al., 2013)</w:t>
      </w:r>
      <w:r w:rsidR="006428BC" w:rsidRPr="006428BC">
        <w:rPr>
          <w:rFonts w:cstheme="minorHAnsi"/>
          <w:bCs/>
          <w:sz w:val="24"/>
          <w:szCs w:val="24"/>
        </w:rPr>
        <w:t>. Serving several guests sophisticatedly may be accomplished quickly and efficiently using the Russian or Silver approach. There are benefits to using this method when feeding a big group. Casual dinners for large or small parties might be served in English.</w:t>
      </w:r>
    </w:p>
    <w:p w14:paraId="4B4EB94F" w14:textId="19E2FBB7" w:rsidR="006428BC" w:rsidRPr="006428BC" w:rsidRDefault="006428BC" w:rsidP="006428BC">
      <w:pPr>
        <w:pStyle w:val="Heading1"/>
      </w:pPr>
      <w:bookmarkStart w:id="6" w:name="_Toc137070792"/>
      <w:r>
        <w:t>Conclusion</w:t>
      </w:r>
      <w:bookmarkEnd w:id="6"/>
    </w:p>
    <w:p w14:paraId="13B97629" w14:textId="5E2CA91B" w:rsidR="006428BC" w:rsidRDefault="006428BC" w:rsidP="006428BC">
      <w:pPr>
        <w:spacing w:line="360" w:lineRule="auto"/>
        <w:ind w:firstLine="720"/>
        <w:jc w:val="both"/>
        <w:rPr>
          <w:rFonts w:cstheme="minorHAnsi"/>
          <w:sz w:val="24"/>
          <w:szCs w:val="24"/>
        </w:rPr>
      </w:pPr>
      <w:r w:rsidRPr="006428BC">
        <w:rPr>
          <w:rFonts w:cstheme="minorHAnsi"/>
          <w:sz w:val="24"/>
          <w:szCs w:val="24"/>
        </w:rPr>
        <w:t xml:space="preserve">Successful buffet service may be implemented in both for-profit and non-profit eateries. It reduces the requirement for wait staff while still allowing customers to choose their meals and serve themselves as much or as little as they choose. The method is quick, casual, and often laid up in a </w:t>
      </w:r>
      <w:proofErr w:type="spellStart"/>
      <w:r w:rsidR="009A4B16">
        <w:rPr>
          <w:rFonts w:cstheme="minorHAnsi"/>
          <w:sz w:val="24"/>
          <w:szCs w:val="24"/>
        </w:rPr>
        <w:t>colorful</w:t>
      </w:r>
      <w:proofErr w:type="spellEnd"/>
      <w:r w:rsidRPr="006428BC">
        <w:rPr>
          <w:rFonts w:cstheme="minorHAnsi"/>
          <w:sz w:val="24"/>
          <w:szCs w:val="24"/>
        </w:rPr>
        <w:t xml:space="preserve"> fashion that enhances the consumer experience (Davis et al., 2013). It's perfect for cafeterias, concession stands, and festivals. Guests on the go and have a few minutes to grab a bite to eat will appreciate the cafeteria's fast and convenient service. Guests requiring a quick, light lunch will find the vending machines stocked with various choices like sandwiches, wraps, and fish and chips quite convenient. Typically, these businesses do not provide any seating area and merely give the bare minimum.</w:t>
      </w:r>
    </w:p>
    <w:p w14:paraId="18B6E0BF" w14:textId="77777777" w:rsidR="006428BC" w:rsidRDefault="006428BC" w:rsidP="006428BC">
      <w:pPr>
        <w:spacing w:line="360" w:lineRule="auto"/>
        <w:ind w:firstLine="720"/>
        <w:jc w:val="both"/>
        <w:rPr>
          <w:rFonts w:cstheme="minorHAnsi"/>
          <w:sz w:val="24"/>
          <w:szCs w:val="24"/>
        </w:rPr>
      </w:pPr>
    </w:p>
    <w:p w14:paraId="2A632B25" w14:textId="77777777" w:rsidR="006428BC" w:rsidRDefault="006428BC" w:rsidP="006428BC">
      <w:pPr>
        <w:spacing w:line="360" w:lineRule="auto"/>
        <w:ind w:firstLine="720"/>
        <w:jc w:val="both"/>
        <w:rPr>
          <w:rFonts w:cstheme="minorHAnsi"/>
          <w:sz w:val="24"/>
          <w:szCs w:val="24"/>
        </w:rPr>
      </w:pPr>
    </w:p>
    <w:p w14:paraId="7441C6C8" w14:textId="77777777" w:rsidR="009A4B16" w:rsidRDefault="009A4B16" w:rsidP="006428BC">
      <w:pPr>
        <w:spacing w:line="360" w:lineRule="auto"/>
        <w:ind w:firstLine="720"/>
        <w:jc w:val="both"/>
        <w:rPr>
          <w:rFonts w:cstheme="minorHAnsi"/>
          <w:sz w:val="24"/>
          <w:szCs w:val="24"/>
        </w:rPr>
      </w:pPr>
    </w:p>
    <w:p w14:paraId="6B9A5599" w14:textId="77777777" w:rsidR="009A4B16" w:rsidRDefault="009A4B16" w:rsidP="006428BC">
      <w:pPr>
        <w:spacing w:line="360" w:lineRule="auto"/>
        <w:ind w:firstLine="720"/>
        <w:jc w:val="both"/>
        <w:rPr>
          <w:rFonts w:cstheme="minorHAnsi"/>
          <w:sz w:val="24"/>
          <w:szCs w:val="24"/>
        </w:rPr>
      </w:pPr>
    </w:p>
    <w:p w14:paraId="212C0B2F" w14:textId="77777777" w:rsidR="009A4B16" w:rsidRDefault="009A4B16" w:rsidP="006428BC">
      <w:pPr>
        <w:spacing w:line="360" w:lineRule="auto"/>
        <w:ind w:firstLine="720"/>
        <w:jc w:val="both"/>
        <w:rPr>
          <w:rFonts w:cstheme="minorHAnsi"/>
          <w:sz w:val="24"/>
          <w:szCs w:val="24"/>
        </w:rPr>
      </w:pPr>
    </w:p>
    <w:p w14:paraId="274C1855" w14:textId="77777777" w:rsidR="009A4B16" w:rsidRDefault="009A4B16" w:rsidP="006428BC">
      <w:pPr>
        <w:spacing w:line="360" w:lineRule="auto"/>
        <w:ind w:firstLine="720"/>
        <w:jc w:val="both"/>
        <w:rPr>
          <w:rFonts w:cstheme="minorHAnsi"/>
          <w:sz w:val="24"/>
          <w:szCs w:val="24"/>
        </w:rPr>
      </w:pPr>
    </w:p>
    <w:p w14:paraId="2D013F1E" w14:textId="77777777" w:rsidR="009A4B16" w:rsidRDefault="009A4B16" w:rsidP="006428BC">
      <w:pPr>
        <w:spacing w:line="360" w:lineRule="auto"/>
        <w:ind w:firstLine="720"/>
        <w:jc w:val="both"/>
        <w:rPr>
          <w:rFonts w:cstheme="minorHAnsi"/>
          <w:sz w:val="24"/>
          <w:szCs w:val="24"/>
        </w:rPr>
      </w:pPr>
    </w:p>
    <w:p w14:paraId="427FDBD0" w14:textId="77777777" w:rsidR="009A4B16" w:rsidRDefault="009A4B16" w:rsidP="006428BC">
      <w:pPr>
        <w:spacing w:line="360" w:lineRule="auto"/>
        <w:ind w:firstLine="720"/>
        <w:jc w:val="both"/>
        <w:rPr>
          <w:rFonts w:cstheme="minorHAnsi"/>
          <w:sz w:val="24"/>
          <w:szCs w:val="24"/>
        </w:rPr>
      </w:pPr>
    </w:p>
    <w:p w14:paraId="049392B4" w14:textId="77777777" w:rsidR="006428BC" w:rsidRDefault="006428BC" w:rsidP="006428BC">
      <w:pPr>
        <w:spacing w:line="360" w:lineRule="auto"/>
        <w:ind w:firstLine="720"/>
        <w:jc w:val="both"/>
        <w:rPr>
          <w:rFonts w:cstheme="minorHAnsi"/>
          <w:sz w:val="24"/>
          <w:szCs w:val="24"/>
        </w:rPr>
      </w:pPr>
    </w:p>
    <w:p w14:paraId="0B3E2BD1" w14:textId="58B2819B" w:rsidR="006428BC" w:rsidRDefault="006428BC" w:rsidP="006428BC">
      <w:pPr>
        <w:pStyle w:val="Heading1"/>
      </w:pPr>
      <w:bookmarkStart w:id="7" w:name="_Toc137070793"/>
      <w:r>
        <w:lastRenderedPageBreak/>
        <w:t>References</w:t>
      </w:r>
      <w:bookmarkEnd w:id="7"/>
    </w:p>
    <w:p w14:paraId="6AF24C72" w14:textId="77777777" w:rsidR="009A4B16" w:rsidRDefault="009A4B16" w:rsidP="009A4B16">
      <w:pPr>
        <w:spacing w:line="360" w:lineRule="auto"/>
        <w:jc w:val="both"/>
        <w:rPr>
          <w:sz w:val="24"/>
          <w:szCs w:val="24"/>
        </w:rPr>
      </w:pPr>
      <w:r w:rsidRPr="00F2391F">
        <w:rPr>
          <w:sz w:val="24"/>
          <w:szCs w:val="24"/>
        </w:rPr>
        <w:t xml:space="preserve">Baek, J., Choe, Y., Ok, C.M., </w:t>
      </w:r>
      <w:r>
        <w:rPr>
          <w:sz w:val="24"/>
          <w:szCs w:val="24"/>
        </w:rPr>
        <w:t>(</w:t>
      </w:r>
      <w:r w:rsidRPr="00F2391F">
        <w:rPr>
          <w:sz w:val="24"/>
          <w:szCs w:val="24"/>
        </w:rPr>
        <w:t>2019</w:t>
      </w:r>
      <w:r>
        <w:rPr>
          <w:sz w:val="24"/>
          <w:szCs w:val="24"/>
        </w:rPr>
        <w:t>)</w:t>
      </w:r>
      <w:r w:rsidRPr="00F2391F">
        <w:rPr>
          <w:sz w:val="24"/>
          <w:szCs w:val="24"/>
        </w:rPr>
        <w:t>. Determinants of hotel guests’ service experiences: an examination of differences between lifestyle and traditional hotels. Journal of Hospitality Marketing &amp; Management 29, 88–105.</w:t>
      </w:r>
      <w:r>
        <w:rPr>
          <w:sz w:val="24"/>
          <w:szCs w:val="24"/>
        </w:rPr>
        <w:t xml:space="preserve"> Available at:</w:t>
      </w:r>
      <w:r w:rsidRPr="00F2391F">
        <w:rPr>
          <w:sz w:val="24"/>
          <w:szCs w:val="24"/>
        </w:rPr>
        <w:t xml:space="preserve"> </w:t>
      </w:r>
      <w:hyperlink r:id="rId5" w:history="1">
        <w:r w:rsidRPr="009807DF">
          <w:rPr>
            <w:rStyle w:val="Hyperlink"/>
            <w:sz w:val="24"/>
            <w:szCs w:val="24"/>
          </w:rPr>
          <w:t>https://doi.org/10.1080/19368623.2019.1580173</w:t>
        </w:r>
      </w:hyperlink>
      <w:r>
        <w:rPr>
          <w:sz w:val="24"/>
          <w:szCs w:val="24"/>
        </w:rPr>
        <w:t>.</w:t>
      </w:r>
    </w:p>
    <w:p w14:paraId="6C6B9C42" w14:textId="77777777" w:rsidR="009A4B16" w:rsidRDefault="009A4B16" w:rsidP="009A4B16">
      <w:pPr>
        <w:spacing w:line="360" w:lineRule="auto"/>
        <w:jc w:val="both"/>
        <w:rPr>
          <w:sz w:val="24"/>
          <w:szCs w:val="24"/>
        </w:rPr>
      </w:pPr>
      <w:proofErr w:type="spellStart"/>
      <w:r w:rsidRPr="00F9342A">
        <w:rPr>
          <w:sz w:val="24"/>
          <w:szCs w:val="24"/>
        </w:rPr>
        <w:t>Bardi</w:t>
      </w:r>
      <w:proofErr w:type="spellEnd"/>
      <w:r w:rsidRPr="00F9342A">
        <w:rPr>
          <w:sz w:val="24"/>
          <w:szCs w:val="24"/>
        </w:rPr>
        <w:t>, J. (2010) Hotel Front Office Management, Wiley, London</w:t>
      </w:r>
      <w:r>
        <w:rPr>
          <w:sz w:val="24"/>
          <w:szCs w:val="24"/>
        </w:rPr>
        <w:t>.</w:t>
      </w:r>
    </w:p>
    <w:p w14:paraId="77569113" w14:textId="77777777" w:rsidR="009A4B16" w:rsidRDefault="009A4B16" w:rsidP="009A4B16">
      <w:pPr>
        <w:spacing w:line="360" w:lineRule="auto"/>
        <w:jc w:val="both"/>
        <w:rPr>
          <w:sz w:val="24"/>
          <w:szCs w:val="24"/>
        </w:rPr>
      </w:pPr>
      <w:r w:rsidRPr="00FA3995">
        <w:rPr>
          <w:sz w:val="24"/>
          <w:szCs w:val="24"/>
        </w:rPr>
        <w:t xml:space="preserve">Cetin, G., Walls, A., </w:t>
      </w:r>
      <w:r>
        <w:rPr>
          <w:sz w:val="24"/>
          <w:szCs w:val="24"/>
        </w:rPr>
        <w:t>(</w:t>
      </w:r>
      <w:r w:rsidRPr="00FA3995">
        <w:rPr>
          <w:sz w:val="24"/>
          <w:szCs w:val="24"/>
        </w:rPr>
        <w:t>2015</w:t>
      </w:r>
      <w:r>
        <w:rPr>
          <w:sz w:val="24"/>
          <w:szCs w:val="24"/>
        </w:rPr>
        <w:t>)</w:t>
      </w:r>
      <w:r w:rsidRPr="00FA3995">
        <w:rPr>
          <w:sz w:val="24"/>
          <w:szCs w:val="24"/>
        </w:rPr>
        <w:t xml:space="preserve">. Understanding the Customer Experiences from the Perspective of Guests and Hotel Managers: Empirical Findings from Luxury Hotels in Istanbul, Turkey. Journal of Hospitality Marketing &amp; Management 25, 395–424. </w:t>
      </w:r>
      <w:r>
        <w:rPr>
          <w:sz w:val="24"/>
          <w:szCs w:val="24"/>
        </w:rPr>
        <w:t xml:space="preserve">Available at: </w:t>
      </w:r>
      <w:hyperlink r:id="rId6" w:history="1">
        <w:r w:rsidRPr="009807DF">
          <w:rPr>
            <w:rStyle w:val="Hyperlink"/>
            <w:sz w:val="24"/>
            <w:szCs w:val="24"/>
          </w:rPr>
          <w:t>https://doi.org/10.1080/19368623.2015.1034395</w:t>
        </w:r>
      </w:hyperlink>
      <w:r>
        <w:rPr>
          <w:sz w:val="24"/>
          <w:szCs w:val="24"/>
        </w:rPr>
        <w:t>.</w:t>
      </w:r>
    </w:p>
    <w:p w14:paraId="4F0884E8" w14:textId="77777777" w:rsidR="009A4B16" w:rsidRDefault="009A4B16" w:rsidP="009A4B16">
      <w:pPr>
        <w:spacing w:line="360" w:lineRule="auto"/>
        <w:jc w:val="both"/>
        <w:rPr>
          <w:sz w:val="24"/>
          <w:szCs w:val="24"/>
        </w:rPr>
      </w:pPr>
      <w:proofErr w:type="spellStart"/>
      <w:r w:rsidRPr="00FB4386">
        <w:rPr>
          <w:sz w:val="24"/>
          <w:szCs w:val="24"/>
        </w:rPr>
        <w:t>Daengs</w:t>
      </w:r>
      <w:proofErr w:type="spellEnd"/>
      <w:r w:rsidRPr="00FB4386">
        <w:rPr>
          <w:sz w:val="24"/>
          <w:szCs w:val="24"/>
        </w:rPr>
        <w:t xml:space="preserve">, G.S.A., </w:t>
      </w:r>
      <w:proofErr w:type="spellStart"/>
      <w:r w:rsidRPr="00FB4386">
        <w:rPr>
          <w:sz w:val="24"/>
          <w:szCs w:val="24"/>
        </w:rPr>
        <w:t>Istanti</w:t>
      </w:r>
      <w:proofErr w:type="spellEnd"/>
      <w:r w:rsidRPr="00FB4386">
        <w:rPr>
          <w:sz w:val="24"/>
          <w:szCs w:val="24"/>
        </w:rPr>
        <w:t xml:space="preserve">, E., </w:t>
      </w:r>
      <w:proofErr w:type="spellStart"/>
      <w:r w:rsidRPr="00FB4386">
        <w:rPr>
          <w:sz w:val="24"/>
          <w:szCs w:val="24"/>
        </w:rPr>
        <w:t>Negoro</w:t>
      </w:r>
      <w:proofErr w:type="spellEnd"/>
      <w:r w:rsidRPr="00FB4386">
        <w:rPr>
          <w:sz w:val="24"/>
          <w:szCs w:val="24"/>
        </w:rPr>
        <w:t xml:space="preserve">, R.M.B.K., Sanusi, R., </w:t>
      </w:r>
      <w:r>
        <w:rPr>
          <w:sz w:val="24"/>
          <w:szCs w:val="24"/>
        </w:rPr>
        <w:t>(</w:t>
      </w:r>
      <w:r w:rsidRPr="00FB4386">
        <w:rPr>
          <w:sz w:val="24"/>
          <w:szCs w:val="24"/>
        </w:rPr>
        <w:t>2020</w:t>
      </w:r>
      <w:r>
        <w:rPr>
          <w:sz w:val="24"/>
          <w:szCs w:val="24"/>
        </w:rPr>
        <w:t>)</w:t>
      </w:r>
      <w:r w:rsidRPr="00FB4386">
        <w:rPr>
          <w:sz w:val="24"/>
          <w:szCs w:val="24"/>
        </w:rPr>
        <w:t xml:space="preserve">. The Aftermath of Management Actions on Competitive Advantage through Process Attributes at Food and Beverage Industries Export Import in Perak </w:t>
      </w:r>
      <w:proofErr w:type="spellStart"/>
      <w:r w:rsidRPr="00FB4386">
        <w:rPr>
          <w:sz w:val="24"/>
          <w:szCs w:val="24"/>
        </w:rPr>
        <w:t>Harbor</w:t>
      </w:r>
      <w:proofErr w:type="spellEnd"/>
      <w:r w:rsidRPr="00FB4386">
        <w:rPr>
          <w:sz w:val="24"/>
          <w:szCs w:val="24"/>
        </w:rPr>
        <w:t xml:space="preserve"> of Surabaya. International Journal of Criminology and Sociology 9, 1418–1425.</w:t>
      </w:r>
      <w:r>
        <w:rPr>
          <w:sz w:val="24"/>
          <w:szCs w:val="24"/>
        </w:rPr>
        <w:t xml:space="preserve"> Available at: </w:t>
      </w:r>
      <w:r w:rsidRPr="00FB4386">
        <w:rPr>
          <w:sz w:val="24"/>
          <w:szCs w:val="24"/>
        </w:rPr>
        <w:t xml:space="preserve"> </w:t>
      </w:r>
      <w:hyperlink r:id="rId7" w:history="1">
        <w:r w:rsidRPr="009807DF">
          <w:rPr>
            <w:rStyle w:val="Hyperlink"/>
            <w:sz w:val="24"/>
            <w:szCs w:val="24"/>
          </w:rPr>
          <w:t>https://doi.org/10.6000/1929-4409.2020.09.162</w:t>
        </w:r>
      </w:hyperlink>
      <w:r>
        <w:rPr>
          <w:sz w:val="24"/>
          <w:szCs w:val="24"/>
        </w:rPr>
        <w:t>.</w:t>
      </w:r>
    </w:p>
    <w:p w14:paraId="14DF8DA1" w14:textId="77777777" w:rsidR="009A4B16" w:rsidRDefault="009A4B16" w:rsidP="009A4B16">
      <w:pPr>
        <w:spacing w:line="360" w:lineRule="auto"/>
        <w:jc w:val="both"/>
        <w:rPr>
          <w:sz w:val="24"/>
          <w:szCs w:val="24"/>
        </w:rPr>
      </w:pPr>
      <w:r w:rsidRPr="00F2391F">
        <w:rPr>
          <w:sz w:val="24"/>
          <w:szCs w:val="24"/>
        </w:rPr>
        <w:t>Davis</w:t>
      </w:r>
      <w:r>
        <w:rPr>
          <w:sz w:val="24"/>
          <w:szCs w:val="24"/>
        </w:rPr>
        <w:t>.</w:t>
      </w:r>
      <w:r w:rsidRPr="00F2391F">
        <w:rPr>
          <w:sz w:val="24"/>
          <w:szCs w:val="24"/>
        </w:rPr>
        <w:t xml:space="preserve"> B., Lockwood</w:t>
      </w:r>
      <w:r>
        <w:rPr>
          <w:sz w:val="24"/>
          <w:szCs w:val="24"/>
        </w:rPr>
        <w:t>.</w:t>
      </w:r>
      <w:r w:rsidRPr="00F2391F">
        <w:rPr>
          <w:sz w:val="24"/>
          <w:szCs w:val="24"/>
        </w:rPr>
        <w:t xml:space="preserve"> A., </w:t>
      </w:r>
      <w:proofErr w:type="spellStart"/>
      <w:r w:rsidRPr="00F2391F">
        <w:rPr>
          <w:sz w:val="24"/>
          <w:szCs w:val="24"/>
        </w:rPr>
        <w:t>Pantelidis</w:t>
      </w:r>
      <w:proofErr w:type="spellEnd"/>
      <w:r>
        <w:rPr>
          <w:sz w:val="24"/>
          <w:szCs w:val="24"/>
        </w:rPr>
        <w:t>.</w:t>
      </w:r>
      <w:r w:rsidRPr="00F2391F">
        <w:rPr>
          <w:sz w:val="24"/>
          <w:szCs w:val="24"/>
        </w:rPr>
        <w:t xml:space="preserve"> I., </w:t>
      </w:r>
      <w:r>
        <w:rPr>
          <w:sz w:val="24"/>
          <w:szCs w:val="24"/>
        </w:rPr>
        <w:t>and</w:t>
      </w:r>
      <w:r w:rsidRPr="00F2391F">
        <w:rPr>
          <w:sz w:val="24"/>
          <w:szCs w:val="24"/>
        </w:rPr>
        <w:t xml:space="preserve"> Alcott</w:t>
      </w:r>
      <w:r>
        <w:rPr>
          <w:sz w:val="24"/>
          <w:szCs w:val="24"/>
        </w:rPr>
        <w:t>.</w:t>
      </w:r>
      <w:r w:rsidRPr="00F2391F">
        <w:rPr>
          <w:sz w:val="24"/>
          <w:szCs w:val="24"/>
        </w:rPr>
        <w:t xml:space="preserve"> P.</w:t>
      </w:r>
      <w:r>
        <w:rPr>
          <w:sz w:val="24"/>
          <w:szCs w:val="24"/>
        </w:rPr>
        <w:t>,</w:t>
      </w:r>
      <w:r w:rsidRPr="00F2391F">
        <w:rPr>
          <w:sz w:val="24"/>
          <w:szCs w:val="24"/>
        </w:rPr>
        <w:t xml:space="preserve"> (2013). Food and beverage management.</w:t>
      </w:r>
      <w:r>
        <w:rPr>
          <w:sz w:val="24"/>
          <w:szCs w:val="24"/>
        </w:rPr>
        <w:t xml:space="preserve"> </w:t>
      </w:r>
      <w:r w:rsidRPr="00F2391F">
        <w:rPr>
          <w:sz w:val="24"/>
          <w:szCs w:val="24"/>
        </w:rPr>
        <w:t>Routledge.</w:t>
      </w:r>
    </w:p>
    <w:p w14:paraId="5F4908B1" w14:textId="77777777" w:rsidR="009A4B16" w:rsidRDefault="009A4B16" w:rsidP="009A4B16">
      <w:pPr>
        <w:spacing w:line="360" w:lineRule="auto"/>
        <w:jc w:val="both"/>
        <w:rPr>
          <w:sz w:val="24"/>
          <w:szCs w:val="24"/>
        </w:rPr>
      </w:pPr>
      <w:r w:rsidRPr="00FB4386">
        <w:rPr>
          <w:sz w:val="24"/>
          <w:szCs w:val="24"/>
        </w:rPr>
        <w:t>Fallon,</w:t>
      </w:r>
      <w:r>
        <w:rPr>
          <w:sz w:val="24"/>
          <w:szCs w:val="24"/>
        </w:rPr>
        <w:t xml:space="preserve"> </w:t>
      </w:r>
      <w:r w:rsidRPr="00FB4386">
        <w:rPr>
          <w:sz w:val="24"/>
          <w:szCs w:val="24"/>
        </w:rPr>
        <w:t xml:space="preserve">M., </w:t>
      </w:r>
      <w:r>
        <w:rPr>
          <w:sz w:val="24"/>
          <w:szCs w:val="24"/>
        </w:rPr>
        <w:t xml:space="preserve">and </w:t>
      </w:r>
      <w:r w:rsidRPr="00FB4386">
        <w:rPr>
          <w:sz w:val="24"/>
          <w:szCs w:val="24"/>
        </w:rPr>
        <w:t>Rutherford.</w:t>
      </w:r>
      <w:r>
        <w:rPr>
          <w:sz w:val="24"/>
          <w:szCs w:val="24"/>
        </w:rPr>
        <w:t xml:space="preserve"> D., </w:t>
      </w:r>
      <w:r w:rsidRPr="00FB4386">
        <w:rPr>
          <w:sz w:val="24"/>
          <w:szCs w:val="24"/>
        </w:rPr>
        <w:t>(2010) Hotel Management and Operations, Wiley, London</w:t>
      </w:r>
      <w:r>
        <w:rPr>
          <w:sz w:val="24"/>
          <w:szCs w:val="24"/>
        </w:rPr>
        <w:t>.</w:t>
      </w:r>
    </w:p>
    <w:p w14:paraId="6CA0AE11" w14:textId="65645DB4" w:rsidR="007E2A1B" w:rsidRDefault="007E2A1B" w:rsidP="009A4B16">
      <w:pPr>
        <w:spacing w:line="360" w:lineRule="auto"/>
        <w:jc w:val="both"/>
        <w:rPr>
          <w:sz w:val="24"/>
          <w:szCs w:val="24"/>
        </w:rPr>
      </w:pPr>
      <w:r w:rsidRPr="007E2A1B">
        <w:rPr>
          <w:sz w:val="24"/>
          <w:szCs w:val="24"/>
        </w:rPr>
        <w:t xml:space="preserve">Haag, E., </w:t>
      </w:r>
      <w:r>
        <w:rPr>
          <w:sz w:val="24"/>
          <w:szCs w:val="24"/>
        </w:rPr>
        <w:t>(</w:t>
      </w:r>
      <w:r w:rsidRPr="007E2A1B">
        <w:rPr>
          <w:sz w:val="24"/>
          <w:szCs w:val="24"/>
        </w:rPr>
        <w:t>2012</w:t>
      </w:r>
      <w:r>
        <w:rPr>
          <w:sz w:val="24"/>
          <w:szCs w:val="24"/>
        </w:rPr>
        <w:t>)</w:t>
      </w:r>
      <w:r w:rsidRPr="007E2A1B">
        <w:rPr>
          <w:sz w:val="24"/>
          <w:szCs w:val="24"/>
        </w:rPr>
        <w:t>. Internship Guide - Work Placements Step by Step</w:t>
      </w:r>
      <w:r>
        <w:rPr>
          <w:sz w:val="24"/>
          <w:szCs w:val="24"/>
        </w:rPr>
        <w:t>.</w:t>
      </w:r>
    </w:p>
    <w:p w14:paraId="0FDF58C7" w14:textId="7C6611CC" w:rsidR="009A4B16" w:rsidRDefault="009A4B16" w:rsidP="009A4B16">
      <w:pPr>
        <w:spacing w:line="360" w:lineRule="auto"/>
        <w:jc w:val="both"/>
        <w:rPr>
          <w:sz w:val="24"/>
          <w:szCs w:val="24"/>
        </w:rPr>
      </w:pPr>
      <w:proofErr w:type="spellStart"/>
      <w:r w:rsidRPr="00FA3995">
        <w:rPr>
          <w:sz w:val="24"/>
          <w:szCs w:val="24"/>
        </w:rPr>
        <w:t>Lussak</w:t>
      </w:r>
      <w:proofErr w:type="spellEnd"/>
      <w:r w:rsidRPr="00FA3995">
        <w:rPr>
          <w:sz w:val="24"/>
          <w:szCs w:val="24"/>
        </w:rPr>
        <w:t xml:space="preserve">, A., </w:t>
      </w:r>
      <w:proofErr w:type="spellStart"/>
      <w:r w:rsidRPr="00FA3995">
        <w:rPr>
          <w:sz w:val="24"/>
          <w:szCs w:val="24"/>
        </w:rPr>
        <w:t>Abdurachman</w:t>
      </w:r>
      <w:proofErr w:type="spellEnd"/>
      <w:r w:rsidRPr="00FA3995">
        <w:rPr>
          <w:sz w:val="24"/>
          <w:szCs w:val="24"/>
        </w:rPr>
        <w:t xml:space="preserve">, E., Gautama, I., </w:t>
      </w:r>
      <w:proofErr w:type="spellStart"/>
      <w:r w:rsidRPr="00FA3995">
        <w:rPr>
          <w:sz w:val="24"/>
          <w:szCs w:val="24"/>
        </w:rPr>
        <w:t>Setiowati</w:t>
      </w:r>
      <w:proofErr w:type="spellEnd"/>
      <w:r w:rsidRPr="00FA3995">
        <w:rPr>
          <w:sz w:val="24"/>
          <w:szCs w:val="24"/>
        </w:rPr>
        <w:t xml:space="preserve">, R., </w:t>
      </w:r>
      <w:r w:rsidR="007E2A1B">
        <w:rPr>
          <w:sz w:val="24"/>
          <w:szCs w:val="24"/>
        </w:rPr>
        <w:t>(</w:t>
      </w:r>
      <w:r w:rsidRPr="00FA3995">
        <w:rPr>
          <w:sz w:val="24"/>
          <w:szCs w:val="24"/>
        </w:rPr>
        <w:t>2020</w:t>
      </w:r>
      <w:r w:rsidR="007E2A1B">
        <w:rPr>
          <w:sz w:val="24"/>
          <w:szCs w:val="24"/>
        </w:rPr>
        <w:t>)</w:t>
      </w:r>
      <w:r w:rsidRPr="00FA3995">
        <w:rPr>
          <w:sz w:val="24"/>
          <w:szCs w:val="24"/>
        </w:rPr>
        <w:t xml:space="preserve">. The influence of financial performance and innovation of services and products on the survival of small businesses in food and beverage in the Jakarta city with mediation of operational improvement. Management Science Letters 463–468. </w:t>
      </w:r>
      <w:r>
        <w:rPr>
          <w:sz w:val="24"/>
          <w:szCs w:val="24"/>
        </w:rPr>
        <w:t xml:space="preserve">Available at: </w:t>
      </w:r>
      <w:hyperlink r:id="rId8" w:history="1">
        <w:r w:rsidRPr="009807DF">
          <w:rPr>
            <w:rStyle w:val="Hyperlink"/>
            <w:sz w:val="24"/>
            <w:szCs w:val="24"/>
          </w:rPr>
          <w:t>https://doi.org/10.5267/j.msl.2019.8.024</w:t>
        </w:r>
      </w:hyperlink>
      <w:r>
        <w:rPr>
          <w:sz w:val="24"/>
          <w:szCs w:val="24"/>
        </w:rPr>
        <w:t>.</w:t>
      </w:r>
    </w:p>
    <w:p w14:paraId="065D820B" w14:textId="77777777" w:rsidR="009A4B16" w:rsidRDefault="009A4B16" w:rsidP="009A4B16">
      <w:pPr>
        <w:spacing w:line="360" w:lineRule="auto"/>
        <w:jc w:val="both"/>
        <w:rPr>
          <w:sz w:val="24"/>
          <w:szCs w:val="24"/>
        </w:rPr>
      </w:pPr>
      <w:r w:rsidRPr="00F9342A">
        <w:rPr>
          <w:sz w:val="24"/>
          <w:szCs w:val="24"/>
        </w:rPr>
        <w:t xml:space="preserve">Susskind, A.M., </w:t>
      </w:r>
      <w:r>
        <w:rPr>
          <w:sz w:val="24"/>
          <w:szCs w:val="24"/>
        </w:rPr>
        <w:t>(</w:t>
      </w:r>
      <w:r w:rsidRPr="00F9342A">
        <w:rPr>
          <w:sz w:val="24"/>
          <w:szCs w:val="24"/>
        </w:rPr>
        <w:t>2010</w:t>
      </w:r>
      <w:r>
        <w:rPr>
          <w:sz w:val="24"/>
          <w:szCs w:val="24"/>
        </w:rPr>
        <w:t>)</w:t>
      </w:r>
      <w:r w:rsidRPr="00F9342A">
        <w:rPr>
          <w:sz w:val="24"/>
          <w:szCs w:val="24"/>
        </w:rPr>
        <w:t xml:space="preserve">. Guest Service Management and Processes in Restaurants: What We Have Learned in Fifty Years. Cornell Hospitality Quarterly 51, 479–482. </w:t>
      </w:r>
      <w:r>
        <w:rPr>
          <w:sz w:val="24"/>
          <w:szCs w:val="24"/>
        </w:rPr>
        <w:t xml:space="preserve">Available at: </w:t>
      </w:r>
      <w:hyperlink r:id="rId9" w:history="1">
        <w:r w:rsidRPr="009807DF">
          <w:rPr>
            <w:rStyle w:val="Hyperlink"/>
            <w:sz w:val="24"/>
            <w:szCs w:val="24"/>
          </w:rPr>
          <w:t>https://doi.org/10.1177/1938965510375028</w:t>
        </w:r>
      </w:hyperlink>
      <w:r>
        <w:rPr>
          <w:sz w:val="24"/>
          <w:szCs w:val="24"/>
        </w:rPr>
        <w:t>.</w:t>
      </w:r>
    </w:p>
    <w:p w14:paraId="0DE13C7A" w14:textId="7A4AB625" w:rsidR="007E2A1B" w:rsidRDefault="007E2A1B" w:rsidP="009A4B16">
      <w:pPr>
        <w:spacing w:line="360" w:lineRule="auto"/>
        <w:jc w:val="both"/>
        <w:rPr>
          <w:sz w:val="24"/>
          <w:szCs w:val="24"/>
        </w:rPr>
      </w:pPr>
      <w:r w:rsidRPr="007E2A1B">
        <w:rPr>
          <w:sz w:val="24"/>
          <w:szCs w:val="24"/>
        </w:rPr>
        <w:t xml:space="preserve">Wood, R.C., </w:t>
      </w:r>
      <w:r>
        <w:rPr>
          <w:sz w:val="24"/>
          <w:szCs w:val="24"/>
        </w:rPr>
        <w:t>(</w:t>
      </w:r>
      <w:r w:rsidRPr="007E2A1B">
        <w:rPr>
          <w:sz w:val="24"/>
          <w:szCs w:val="24"/>
        </w:rPr>
        <w:t>2013</w:t>
      </w:r>
      <w:r>
        <w:rPr>
          <w:sz w:val="24"/>
          <w:szCs w:val="24"/>
        </w:rPr>
        <w:t>)</w:t>
      </w:r>
      <w:r w:rsidRPr="007E2A1B">
        <w:rPr>
          <w:sz w:val="24"/>
          <w:szCs w:val="24"/>
        </w:rPr>
        <w:t>. Key Concepts in Hospitality Management, Sage Key Concepts Ser.</w:t>
      </w:r>
    </w:p>
    <w:p w14:paraId="2557E842" w14:textId="28853C39" w:rsidR="007E2A1B" w:rsidRDefault="007E2A1B" w:rsidP="009A4B16">
      <w:pPr>
        <w:spacing w:line="360" w:lineRule="auto"/>
        <w:jc w:val="both"/>
        <w:rPr>
          <w:sz w:val="24"/>
          <w:szCs w:val="24"/>
        </w:rPr>
      </w:pPr>
      <w:r w:rsidRPr="007E2A1B">
        <w:rPr>
          <w:sz w:val="24"/>
          <w:szCs w:val="24"/>
        </w:rPr>
        <w:t xml:space="preserve">Work Placements - a Survival Guide for Students, 2005. Education + Training 47. </w:t>
      </w:r>
      <w:r>
        <w:rPr>
          <w:sz w:val="24"/>
          <w:szCs w:val="24"/>
        </w:rPr>
        <w:t xml:space="preserve">Available at: </w:t>
      </w:r>
      <w:hyperlink r:id="rId10" w:history="1">
        <w:r w:rsidRPr="009807DF">
          <w:rPr>
            <w:rStyle w:val="Hyperlink"/>
            <w:sz w:val="24"/>
            <w:szCs w:val="24"/>
          </w:rPr>
          <w:t>https://doi.org/10.1108/et.2005.00447aae.002</w:t>
        </w:r>
      </w:hyperlink>
      <w:r>
        <w:rPr>
          <w:sz w:val="24"/>
          <w:szCs w:val="24"/>
        </w:rPr>
        <w:t>.</w:t>
      </w:r>
    </w:p>
    <w:p w14:paraId="472A767D" w14:textId="77777777" w:rsidR="007E2A1B" w:rsidRDefault="007E2A1B" w:rsidP="009A4B16">
      <w:pPr>
        <w:spacing w:line="360" w:lineRule="auto"/>
        <w:jc w:val="both"/>
        <w:rPr>
          <w:sz w:val="24"/>
          <w:szCs w:val="24"/>
        </w:rPr>
      </w:pPr>
    </w:p>
    <w:p w14:paraId="02052864" w14:textId="77777777" w:rsidR="006428BC" w:rsidRPr="006428BC" w:rsidRDefault="006428BC" w:rsidP="006428BC"/>
    <w:p w14:paraId="150B4FA4" w14:textId="77777777" w:rsidR="006428BC" w:rsidRPr="006428BC" w:rsidRDefault="006428BC" w:rsidP="006428BC"/>
    <w:sectPr w:rsidR="006428BC" w:rsidRPr="006428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F7970"/>
    <w:multiLevelType w:val="hybridMultilevel"/>
    <w:tmpl w:val="12A0F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967AC5"/>
    <w:multiLevelType w:val="hybridMultilevel"/>
    <w:tmpl w:val="77D23A1A"/>
    <w:lvl w:ilvl="0" w:tplc="B69286D4">
      <w:start w:val="1"/>
      <w:numFmt w:val="bullet"/>
      <w:lvlText w:val=""/>
      <w:lvlJc w:val="left"/>
      <w:pPr>
        <w:ind w:left="720" w:hanging="360"/>
      </w:pPr>
      <w:rPr>
        <w:rFonts w:ascii="Symbol" w:hAnsi="Symbol" w:hint="default"/>
      </w:rPr>
    </w:lvl>
    <w:lvl w:ilvl="1" w:tplc="EFC4D30C" w:tentative="1">
      <w:start w:val="1"/>
      <w:numFmt w:val="bullet"/>
      <w:lvlText w:val="o"/>
      <w:lvlJc w:val="left"/>
      <w:pPr>
        <w:ind w:left="1440" w:hanging="360"/>
      </w:pPr>
      <w:rPr>
        <w:rFonts w:ascii="Courier New" w:hAnsi="Courier New" w:cs="Courier New" w:hint="default"/>
      </w:rPr>
    </w:lvl>
    <w:lvl w:ilvl="2" w:tplc="1F4ACE68" w:tentative="1">
      <w:start w:val="1"/>
      <w:numFmt w:val="bullet"/>
      <w:lvlText w:val=""/>
      <w:lvlJc w:val="left"/>
      <w:pPr>
        <w:ind w:left="2160" w:hanging="360"/>
      </w:pPr>
      <w:rPr>
        <w:rFonts w:ascii="Wingdings" w:hAnsi="Wingdings" w:hint="default"/>
      </w:rPr>
    </w:lvl>
    <w:lvl w:ilvl="3" w:tplc="27ECE6B8" w:tentative="1">
      <w:start w:val="1"/>
      <w:numFmt w:val="bullet"/>
      <w:lvlText w:val=""/>
      <w:lvlJc w:val="left"/>
      <w:pPr>
        <w:ind w:left="2880" w:hanging="360"/>
      </w:pPr>
      <w:rPr>
        <w:rFonts w:ascii="Symbol" w:hAnsi="Symbol" w:hint="default"/>
      </w:rPr>
    </w:lvl>
    <w:lvl w:ilvl="4" w:tplc="CEECBCE6" w:tentative="1">
      <w:start w:val="1"/>
      <w:numFmt w:val="bullet"/>
      <w:lvlText w:val="o"/>
      <w:lvlJc w:val="left"/>
      <w:pPr>
        <w:ind w:left="3600" w:hanging="360"/>
      </w:pPr>
      <w:rPr>
        <w:rFonts w:ascii="Courier New" w:hAnsi="Courier New" w:cs="Courier New" w:hint="default"/>
      </w:rPr>
    </w:lvl>
    <w:lvl w:ilvl="5" w:tplc="50B0E8FE" w:tentative="1">
      <w:start w:val="1"/>
      <w:numFmt w:val="bullet"/>
      <w:lvlText w:val=""/>
      <w:lvlJc w:val="left"/>
      <w:pPr>
        <w:ind w:left="4320" w:hanging="360"/>
      </w:pPr>
      <w:rPr>
        <w:rFonts w:ascii="Wingdings" w:hAnsi="Wingdings" w:hint="default"/>
      </w:rPr>
    </w:lvl>
    <w:lvl w:ilvl="6" w:tplc="E61EBE70" w:tentative="1">
      <w:start w:val="1"/>
      <w:numFmt w:val="bullet"/>
      <w:lvlText w:val=""/>
      <w:lvlJc w:val="left"/>
      <w:pPr>
        <w:ind w:left="5040" w:hanging="360"/>
      </w:pPr>
      <w:rPr>
        <w:rFonts w:ascii="Symbol" w:hAnsi="Symbol" w:hint="default"/>
      </w:rPr>
    </w:lvl>
    <w:lvl w:ilvl="7" w:tplc="7C4841E4" w:tentative="1">
      <w:start w:val="1"/>
      <w:numFmt w:val="bullet"/>
      <w:lvlText w:val="o"/>
      <w:lvlJc w:val="left"/>
      <w:pPr>
        <w:ind w:left="5760" w:hanging="360"/>
      </w:pPr>
      <w:rPr>
        <w:rFonts w:ascii="Courier New" w:hAnsi="Courier New" w:cs="Courier New" w:hint="default"/>
      </w:rPr>
    </w:lvl>
    <w:lvl w:ilvl="8" w:tplc="158E581C" w:tentative="1">
      <w:start w:val="1"/>
      <w:numFmt w:val="bullet"/>
      <w:lvlText w:val=""/>
      <w:lvlJc w:val="left"/>
      <w:pPr>
        <w:ind w:left="6480" w:hanging="360"/>
      </w:pPr>
      <w:rPr>
        <w:rFonts w:ascii="Wingdings" w:hAnsi="Wingdings" w:hint="default"/>
      </w:rPr>
    </w:lvl>
  </w:abstractNum>
  <w:num w:numId="1" w16cid:durableId="1291202948">
    <w:abstractNumId w:val="1"/>
  </w:num>
  <w:num w:numId="2" w16cid:durableId="17003560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342"/>
    <w:rsid w:val="000B3913"/>
    <w:rsid w:val="000C3FB5"/>
    <w:rsid w:val="00131F4B"/>
    <w:rsid w:val="0030247E"/>
    <w:rsid w:val="0058707C"/>
    <w:rsid w:val="006428BC"/>
    <w:rsid w:val="007E2A1B"/>
    <w:rsid w:val="009A4B16"/>
    <w:rsid w:val="00B86342"/>
    <w:rsid w:val="00CF1434"/>
    <w:rsid w:val="00D82D6C"/>
    <w:rsid w:val="00E41123"/>
    <w:rsid w:val="00EF2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3D26C"/>
  <w15:chartTrackingRefBased/>
  <w15:docId w15:val="{D8D83F1F-5758-4309-918D-49E0BFBD8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28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428B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8707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6428B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428BC"/>
    <w:pPr>
      <w:ind w:left="720"/>
      <w:contextualSpacing/>
    </w:pPr>
    <w:rPr>
      <w:kern w:val="0"/>
      <w:lang w:val="en-US"/>
      <w14:ligatures w14:val="none"/>
    </w:rPr>
  </w:style>
  <w:style w:type="character" w:customStyle="1" w:styleId="Heading2Char">
    <w:name w:val="Heading 2 Char"/>
    <w:basedOn w:val="DefaultParagraphFont"/>
    <w:link w:val="Heading2"/>
    <w:uiPriority w:val="9"/>
    <w:rsid w:val="006428B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F1434"/>
    <w:pPr>
      <w:outlineLvl w:val="9"/>
    </w:pPr>
    <w:rPr>
      <w:kern w:val="0"/>
      <w:lang w:val="en-US"/>
      <w14:ligatures w14:val="none"/>
    </w:rPr>
  </w:style>
  <w:style w:type="paragraph" w:styleId="TOC1">
    <w:name w:val="toc 1"/>
    <w:basedOn w:val="Normal"/>
    <w:next w:val="Normal"/>
    <w:autoRedefine/>
    <w:uiPriority w:val="39"/>
    <w:unhideWhenUsed/>
    <w:rsid w:val="00CF1434"/>
    <w:pPr>
      <w:spacing w:after="100"/>
    </w:pPr>
  </w:style>
  <w:style w:type="paragraph" w:styleId="TOC2">
    <w:name w:val="toc 2"/>
    <w:basedOn w:val="Normal"/>
    <w:next w:val="Normal"/>
    <w:autoRedefine/>
    <w:uiPriority w:val="39"/>
    <w:unhideWhenUsed/>
    <w:rsid w:val="00CF1434"/>
    <w:pPr>
      <w:spacing w:after="100"/>
      <w:ind w:left="220"/>
    </w:pPr>
  </w:style>
  <w:style w:type="character" w:styleId="Hyperlink">
    <w:name w:val="Hyperlink"/>
    <w:basedOn w:val="DefaultParagraphFont"/>
    <w:uiPriority w:val="99"/>
    <w:unhideWhenUsed/>
    <w:rsid w:val="00CF1434"/>
    <w:rPr>
      <w:color w:val="0563C1" w:themeColor="hyperlink"/>
      <w:u w:val="single"/>
    </w:rPr>
  </w:style>
  <w:style w:type="character" w:styleId="UnresolvedMention">
    <w:name w:val="Unresolved Mention"/>
    <w:basedOn w:val="DefaultParagraphFont"/>
    <w:uiPriority w:val="99"/>
    <w:semiHidden/>
    <w:unhideWhenUsed/>
    <w:rsid w:val="007E2A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5918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267/j.msl.2019.8.024" TargetMode="External"/><Relationship Id="rId3" Type="http://schemas.openxmlformats.org/officeDocument/2006/relationships/settings" Target="settings.xml"/><Relationship Id="rId7" Type="http://schemas.openxmlformats.org/officeDocument/2006/relationships/hyperlink" Target="https://doi.org/10.6000/1929-4409.2020.09.16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19368623.2015.1034395" TargetMode="External"/><Relationship Id="rId11" Type="http://schemas.openxmlformats.org/officeDocument/2006/relationships/fontTable" Target="fontTable.xml"/><Relationship Id="rId5" Type="http://schemas.openxmlformats.org/officeDocument/2006/relationships/hyperlink" Target="https://doi.org/10.1080/19368623.2019.1580173" TargetMode="External"/><Relationship Id="rId10" Type="http://schemas.openxmlformats.org/officeDocument/2006/relationships/hyperlink" Target="https://doi.org/10.1108/et.2005.00447aae.002" TargetMode="External"/><Relationship Id="rId4" Type="http://schemas.openxmlformats.org/officeDocument/2006/relationships/webSettings" Target="webSettings.xml"/><Relationship Id="rId9" Type="http://schemas.openxmlformats.org/officeDocument/2006/relationships/hyperlink" Target="https://doi.org/10.1177/19389655103750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8</Pages>
  <Words>1744</Words>
  <Characters>9941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strateanu</dc:creator>
  <cp:keywords/>
  <dc:description/>
  <cp:lastModifiedBy>marius strateanu</cp:lastModifiedBy>
  <cp:revision>6</cp:revision>
  <dcterms:created xsi:type="dcterms:W3CDTF">2023-06-07T21:33:00Z</dcterms:created>
  <dcterms:modified xsi:type="dcterms:W3CDTF">2023-06-07T21:58:00Z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e8e85268b72037459e4600313f0242e7d78268283fc0f1a50e4d09f06fd6d3ac</vt:lpwstr>
  </property>
</Properties>
</file>