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730C2" w14:textId="77777777" w:rsidR="008B2C67" w:rsidRDefault="008B2C67" w:rsidP="00095E6D">
      <w:pPr>
        <w:spacing w:line="480" w:lineRule="auto"/>
        <w:rPr>
          <w:rFonts w:ascii="Arial" w:hAnsi="Arial" w:cs="Arial"/>
          <w:b/>
          <w:bCs/>
          <w:sz w:val="32"/>
          <w:szCs w:val="32"/>
          <w:u w:val="single"/>
        </w:rPr>
      </w:pPr>
    </w:p>
    <w:p w14:paraId="475E86CA" w14:textId="25E39651" w:rsidR="00CE319E" w:rsidRDefault="00B50D29" w:rsidP="00A565A1">
      <w:pPr>
        <w:spacing w:line="480" w:lineRule="auto"/>
        <w:jc w:val="center"/>
        <w:rPr>
          <w:rFonts w:ascii="Arial" w:hAnsi="Arial" w:cs="Arial"/>
          <w:b/>
          <w:bCs/>
          <w:sz w:val="32"/>
          <w:szCs w:val="32"/>
          <w:u w:val="single"/>
        </w:rPr>
      </w:pPr>
      <w:r>
        <w:rPr>
          <w:rFonts w:ascii="Arial" w:hAnsi="Arial" w:cs="Arial"/>
          <w:b/>
          <w:bCs/>
          <w:sz w:val="32"/>
          <w:szCs w:val="32"/>
          <w:u w:val="single"/>
        </w:rPr>
        <w:t>How do Learners in Year 2 Perceive Pupil Voice on Enhanced Provision on their Engagement?</w:t>
      </w:r>
    </w:p>
    <w:p w14:paraId="648E1430" w14:textId="77777777" w:rsidR="00A565A1" w:rsidRDefault="00A565A1" w:rsidP="00A565A1">
      <w:pPr>
        <w:spacing w:line="480" w:lineRule="auto"/>
        <w:jc w:val="center"/>
        <w:rPr>
          <w:rFonts w:ascii="Arial" w:hAnsi="Arial" w:cs="Arial"/>
          <w:b/>
          <w:bCs/>
          <w:sz w:val="32"/>
          <w:szCs w:val="32"/>
          <w:u w:val="single"/>
        </w:rPr>
      </w:pPr>
    </w:p>
    <w:p w14:paraId="7BC00E45" w14:textId="28FC79CA" w:rsidR="00BA5010" w:rsidRDefault="00C44E98" w:rsidP="00BA5010">
      <w:pPr>
        <w:spacing w:line="480" w:lineRule="auto"/>
        <w:jc w:val="center"/>
        <w:rPr>
          <w:rFonts w:ascii="Arial" w:hAnsi="Arial" w:cs="Arial"/>
          <w:b/>
          <w:bCs/>
          <w:sz w:val="32"/>
          <w:szCs w:val="32"/>
          <w:u w:val="single"/>
        </w:rPr>
      </w:pPr>
      <w:r w:rsidRPr="00C44E98">
        <w:rPr>
          <w:rFonts w:ascii="Arial" w:hAnsi="Arial" w:cs="Arial"/>
          <w:b/>
          <w:bCs/>
          <w:sz w:val="32"/>
          <w:szCs w:val="32"/>
          <w:u w:val="single"/>
        </w:rPr>
        <w:t>An Exploratory Case Study Arising from Practice</w:t>
      </w:r>
      <w:r w:rsidR="00BA5010">
        <w:rPr>
          <w:rFonts w:ascii="Arial" w:hAnsi="Arial" w:cs="Arial"/>
          <w:b/>
          <w:bCs/>
          <w:sz w:val="32"/>
          <w:szCs w:val="32"/>
          <w:u w:val="single"/>
        </w:rPr>
        <w:t xml:space="preserve"> </w:t>
      </w:r>
      <w:r w:rsidRPr="00C44E98">
        <w:rPr>
          <w:rFonts w:ascii="Arial" w:hAnsi="Arial" w:cs="Arial"/>
          <w:b/>
          <w:bCs/>
          <w:sz w:val="32"/>
          <w:szCs w:val="32"/>
          <w:u w:val="single"/>
        </w:rPr>
        <w:t>and Investigate</w:t>
      </w:r>
      <w:r w:rsidR="00BA5010">
        <w:rPr>
          <w:rFonts w:ascii="Arial" w:hAnsi="Arial" w:cs="Arial"/>
          <w:b/>
          <w:bCs/>
          <w:sz w:val="32"/>
          <w:szCs w:val="32"/>
          <w:u w:val="single"/>
        </w:rPr>
        <w:t>d</w:t>
      </w:r>
      <w:r w:rsidRPr="00C44E98">
        <w:rPr>
          <w:rFonts w:ascii="Arial" w:hAnsi="Arial" w:cs="Arial"/>
          <w:b/>
          <w:bCs/>
          <w:sz w:val="32"/>
          <w:szCs w:val="32"/>
          <w:u w:val="single"/>
        </w:rPr>
        <w:t xml:space="preserve"> Further Through Identified Research Tools. </w:t>
      </w:r>
    </w:p>
    <w:p w14:paraId="50299B67" w14:textId="77777777" w:rsidR="00BA5010" w:rsidRDefault="00BA5010" w:rsidP="00BA5010">
      <w:pPr>
        <w:spacing w:line="480" w:lineRule="auto"/>
        <w:jc w:val="center"/>
        <w:rPr>
          <w:rFonts w:ascii="Arial" w:hAnsi="Arial" w:cs="Arial"/>
          <w:b/>
          <w:bCs/>
          <w:sz w:val="32"/>
          <w:szCs w:val="32"/>
          <w:u w:val="single"/>
        </w:rPr>
      </w:pPr>
    </w:p>
    <w:p w14:paraId="6E43AC6F" w14:textId="11F070F1" w:rsidR="00BA5010" w:rsidRDefault="00C44E98" w:rsidP="00BA5010">
      <w:pPr>
        <w:spacing w:line="480" w:lineRule="auto"/>
        <w:jc w:val="center"/>
        <w:rPr>
          <w:rFonts w:ascii="Arial" w:hAnsi="Arial" w:cs="Arial"/>
          <w:b/>
          <w:bCs/>
          <w:sz w:val="32"/>
          <w:szCs w:val="32"/>
          <w:u w:val="single"/>
        </w:rPr>
      </w:pPr>
      <w:r w:rsidRPr="00C44E98">
        <w:rPr>
          <w:rFonts w:ascii="Arial" w:hAnsi="Arial" w:cs="Arial"/>
          <w:b/>
          <w:bCs/>
          <w:sz w:val="32"/>
          <w:szCs w:val="32"/>
          <w:u w:val="single"/>
        </w:rPr>
        <w:t>The Assignment Concludes with the Identification of a</w:t>
      </w:r>
      <w:r w:rsidR="00BA5010">
        <w:rPr>
          <w:rFonts w:ascii="Arial" w:hAnsi="Arial" w:cs="Arial"/>
          <w:b/>
          <w:bCs/>
          <w:sz w:val="32"/>
          <w:szCs w:val="32"/>
          <w:u w:val="single"/>
        </w:rPr>
        <w:t>n</w:t>
      </w:r>
      <w:r w:rsidRPr="00C44E98">
        <w:rPr>
          <w:rFonts w:ascii="Arial" w:hAnsi="Arial" w:cs="Arial"/>
          <w:b/>
          <w:bCs/>
          <w:sz w:val="32"/>
          <w:szCs w:val="32"/>
          <w:u w:val="single"/>
        </w:rPr>
        <w:t xml:space="preserve"> Intervention which can be Piloted Throughout PTE and Evidenced through Reflection in the PLP</w:t>
      </w:r>
      <w:r w:rsidR="00BA5010">
        <w:rPr>
          <w:rFonts w:ascii="Arial" w:hAnsi="Arial" w:cs="Arial"/>
          <w:b/>
          <w:bCs/>
          <w:sz w:val="32"/>
          <w:szCs w:val="32"/>
          <w:u w:val="single"/>
        </w:rPr>
        <w:t>.</w:t>
      </w:r>
    </w:p>
    <w:p w14:paraId="0C4CD15A" w14:textId="5AD5B1F3" w:rsidR="00C44E98" w:rsidRPr="00E60181" w:rsidRDefault="00E60181" w:rsidP="00C44E98">
      <w:pPr>
        <w:spacing w:line="480" w:lineRule="auto"/>
        <w:jc w:val="center"/>
        <w:rPr>
          <w:rFonts w:ascii="Arial" w:hAnsi="Arial" w:cs="Arial"/>
          <w:sz w:val="28"/>
          <w:szCs w:val="28"/>
        </w:rPr>
      </w:pPr>
      <w:r>
        <w:rPr>
          <w:rFonts w:ascii="Arial" w:hAnsi="Arial" w:cs="Arial"/>
          <w:sz w:val="28"/>
          <w:szCs w:val="28"/>
        </w:rPr>
        <w:t>Word Count:</w:t>
      </w:r>
      <w:r w:rsidR="008E74C3">
        <w:rPr>
          <w:rFonts w:ascii="Arial" w:hAnsi="Arial" w:cs="Arial"/>
          <w:sz w:val="28"/>
          <w:szCs w:val="28"/>
        </w:rPr>
        <w:t xml:space="preserve"> 4,949</w:t>
      </w:r>
    </w:p>
    <w:p w14:paraId="11508033" w14:textId="77777777" w:rsidR="00C44E98" w:rsidRDefault="00C44E98" w:rsidP="00C44E98">
      <w:pPr>
        <w:spacing w:line="480" w:lineRule="auto"/>
        <w:jc w:val="center"/>
        <w:rPr>
          <w:rFonts w:ascii="Arial" w:hAnsi="Arial" w:cs="Arial"/>
          <w:b/>
          <w:bCs/>
          <w:sz w:val="32"/>
          <w:szCs w:val="32"/>
          <w:u w:val="single"/>
        </w:rPr>
      </w:pPr>
    </w:p>
    <w:p w14:paraId="73C3B149" w14:textId="77777777" w:rsidR="00E60181" w:rsidRPr="00E548AE" w:rsidRDefault="00E60181" w:rsidP="00E60181">
      <w:pPr>
        <w:spacing w:line="360" w:lineRule="auto"/>
        <w:rPr>
          <w:rFonts w:ascii="Arial" w:hAnsi="Arial" w:cs="Arial"/>
          <w:b/>
          <w:bCs/>
          <w:sz w:val="28"/>
          <w:szCs w:val="28"/>
        </w:rPr>
      </w:pPr>
      <w:r w:rsidRPr="00E548AE">
        <w:rPr>
          <w:rFonts w:ascii="Arial" w:hAnsi="Arial" w:cs="Arial"/>
          <w:b/>
          <w:bCs/>
          <w:sz w:val="28"/>
          <w:szCs w:val="28"/>
        </w:rPr>
        <w:t>Targets</w:t>
      </w:r>
    </w:p>
    <w:tbl>
      <w:tblPr>
        <w:tblStyle w:val="TableGrid"/>
        <w:tblW w:w="0" w:type="auto"/>
        <w:tblLook w:val="04A0" w:firstRow="1" w:lastRow="0" w:firstColumn="1" w:lastColumn="0" w:noHBand="0" w:noVBand="1"/>
      </w:tblPr>
      <w:tblGrid>
        <w:gridCol w:w="1611"/>
        <w:gridCol w:w="3346"/>
        <w:gridCol w:w="4059"/>
      </w:tblGrid>
      <w:tr w:rsidR="00E60181" w:rsidRPr="005A06CF" w14:paraId="04EDB9BE" w14:textId="77777777" w:rsidTr="001260E4">
        <w:tc>
          <w:tcPr>
            <w:tcW w:w="1611" w:type="dxa"/>
          </w:tcPr>
          <w:p w14:paraId="35752419" w14:textId="77777777" w:rsidR="00E60181" w:rsidRPr="005A06CF" w:rsidRDefault="00E60181" w:rsidP="001260E4">
            <w:pPr>
              <w:pStyle w:val="AssignBody"/>
              <w:rPr>
                <w:rFonts w:cs="Arial"/>
              </w:rPr>
            </w:pPr>
          </w:p>
        </w:tc>
        <w:tc>
          <w:tcPr>
            <w:tcW w:w="3346" w:type="dxa"/>
          </w:tcPr>
          <w:p w14:paraId="69F6A02E" w14:textId="77777777" w:rsidR="00E60181" w:rsidRPr="005A06CF" w:rsidRDefault="00E60181" w:rsidP="001260E4">
            <w:pPr>
              <w:pStyle w:val="AssignBody"/>
              <w:rPr>
                <w:rFonts w:cs="Arial"/>
              </w:rPr>
            </w:pPr>
            <w:r>
              <w:rPr>
                <w:rFonts w:cs="Arial"/>
              </w:rPr>
              <w:t>Target</w:t>
            </w:r>
          </w:p>
        </w:tc>
        <w:tc>
          <w:tcPr>
            <w:tcW w:w="4059" w:type="dxa"/>
          </w:tcPr>
          <w:p w14:paraId="356C0165" w14:textId="77777777" w:rsidR="00E60181" w:rsidRPr="005A06CF" w:rsidRDefault="00E60181" w:rsidP="001260E4">
            <w:pPr>
              <w:pStyle w:val="NormalWeb"/>
              <w:spacing w:before="0" w:beforeAutospacing="0" w:after="0" w:afterAutospacing="0" w:line="360" w:lineRule="auto"/>
              <w:rPr>
                <w:rFonts w:ascii="Arial" w:hAnsi="Arial" w:cs="Arial"/>
                <w:lang w:val="en-US"/>
              </w:rPr>
            </w:pPr>
            <w:r w:rsidRPr="005A06CF">
              <w:rPr>
                <w:rFonts w:ascii="Arial" w:hAnsi="Arial" w:cs="Arial"/>
                <w:lang w:val="en-US"/>
              </w:rPr>
              <w:t>What I have done in this assignment...</w:t>
            </w:r>
          </w:p>
          <w:p w14:paraId="0B7E3CC3" w14:textId="77777777" w:rsidR="00E60181" w:rsidRPr="005A06CF" w:rsidRDefault="00E60181" w:rsidP="001260E4">
            <w:pPr>
              <w:pStyle w:val="AssignBody"/>
              <w:rPr>
                <w:rFonts w:cs="Arial"/>
              </w:rPr>
            </w:pPr>
          </w:p>
        </w:tc>
      </w:tr>
      <w:tr w:rsidR="00E60181" w:rsidRPr="005A06CF" w14:paraId="14205BEA" w14:textId="77777777" w:rsidTr="001260E4">
        <w:tc>
          <w:tcPr>
            <w:tcW w:w="1611" w:type="dxa"/>
          </w:tcPr>
          <w:p w14:paraId="2EFB6AA4" w14:textId="77777777" w:rsidR="00E60181" w:rsidRPr="005A06CF" w:rsidRDefault="00E60181" w:rsidP="001260E4">
            <w:pPr>
              <w:pStyle w:val="AssignBody"/>
              <w:rPr>
                <w:rFonts w:cs="Arial"/>
              </w:rPr>
            </w:pPr>
            <w:bookmarkStart w:id="0" w:name="cysill"/>
            <w:bookmarkEnd w:id="0"/>
            <w:r w:rsidRPr="005A06CF">
              <w:rPr>
                <w:rFonts w:cs="Arial"/>
              </w:rPr>
              <w:t>Target 1</w:t>
            </w:r>
          </w:p>
        </w:tc>
        <w:tc>
          <w:tcPr>
            <w:tcW w:w="3346" w:type="dxa"/>
          </w:tcPr>
          <w:p w14:paraId="7E36ED64" w14:textId="54E8D467" w:rsidR="00E60181" w:rsidRPr="005A06CF" w:rsidRDefault="000F1302" w:rsidP="001260E4">
            <w:pPr>
              <w:pStyle w:val="AssignBody"/>
              <w:rPr>
                <w:rFonts w:cs="Arial"/>
              </w:rPr>
            </w:pPr>
            <w:r>
              <w:rPr>
                <w:rFonts w:cs="Arial"/>
              </w:rPr>
              <w:t>Make sure you maintain a clear focus, especially when you have a limited word count.</w:t>
            </w:r>
          </w:p>
        </w:tc>
        <w:tc>
          <w:tcPr>
            <w:tcW w:w="4059" w:type="dxa"/>
          </w:tcPr>
          <w:p w14:paraId="1C3E110A" w14:textId="356BE695" w:rsidR="00E60181" w:rsidRPr="005A06CF" w:rsidRDefault="004B6280" w:rsidP="001260E4">
            <w:pPr>
              <w:pStyle w:val="AssignBody"/>
              <w:rPr>
                <w:rFonts w:cs="Arial"/>
              </w:rPr>
            </w:pPr>
            <w:r>
              <w:rPr>
                <w:rFonts w:cs="Arial"/>
              </w:rPr>
              <w:t>I have ensured to stick to the assignment guidelines and support to ensure I maintain a clear focus.</w:t>
            </w:r>
          </w:p>
        </w:tc>
      </w:tr>
      <w:tr w:rsidR="00E60181" w:rsidRPr="005A06CF" w14:paraId="53BEECE4" w14:textId="77777777" w:rsidTr="001260E4">
        <w:tc>
          <w:tcPr>
            <w:tcW w:w="1611" w:type="dxa"/>
          </w:tcPr>
          <w:p w14:paraId="3872EB16" w14:textId="77777777" w:rsidR="00E60181" w:rsidRPr="005A06CF" w:rsidRDefault="00E60181" w:rsidP="001260E4">
            <w:pPr>
              <w:pStyle w:val="AssignBody"/>
              <w:rPr>
                <w:rFonts w:cs="Arial"/>
              </w:rPr>
            </w:pPr>
            <w:r w:rsidRPr="005A06CF">
              <w:rPr>
                <w:rFonts w:cs="Arial"/>
              </w:rPr>
              <w:t>Target 2</w:t>
            </w:r>
          </w:p>
        </w:tc>
        <w:tc>
          <w:tcPr>
            <w:tcW w:w="3346" w:type="dxa"/>
          </w:tcPr>
          <w:p w14:paraId="2BB184FC" w14:textId="276DE9C8" w:rsidR="00E60181" w:rsidRPr="005A06CF" w:rsidRDefault="000F1302" w:rsidP="001260E4">
            <w:pPr>
              <w:pStyle w:val="AssignBody"/>
              <w:rPr>
                <w:rFonts w:cs="Arial"/>
              </w:rPr>
            </w:pPr>
            <w:r>
              <w:rPr>
                <w:rFonts w:cs="Arial"/>
              </w:rPr>
              <w:t>Address some of the issues highlighted with your in-text citations. It may be worth proof reading specifically for these issues before you submit.</w:t>
            </w:r>
          </w:p>
        </w:tc>
        <w:tc>
          <w:tcPr>
            <w:tcW w:w="4059" w:type="dxa"/>
          </w:tcPr>
          <w:p w14:paraId="544770CB" w14:textId="54654E93" w:rsidR="00E60181" w:rsidRPr="005A06CF" w:rsidRDefault="00100DB3" w:rsidP="001260E4">
            <w:pPr>
              <w:pStyle w:val="AssignBody"/>
              <w:rPr>
                <w:rFonts w:cs="Arial"/>
              </w:rPr>
            </w:pPr>
            <w:r>
              <w:rPr>
                <w:rFonts w:cs="Arial"/>
              </w:rPr>
              <w:t>I ensured to reread the UWTSD Referencing guide and checked all aspects of my referencing alongside the guide.</w:t>
            </w:r>
          </w:p>
        </w:tc>
      </w:tr>
    </w:tbl>
    <w:p w14:paraId="5E92DC2A" w14:textId="77777777" w:rsidR="00E60181" w:rsidRDefault="00E60181" w:rsidP="00E60181">
      <w:pPr>
        <w:spacing w:line="360" w:lineRule="auto"/>
        <w:rPr>
          <w:rFonts w:ascii="Arial" w:hAnsi="Arial" w:cs="Arial"/>
        </w:rPr>
      </w:pPr>
    </w:p>
    <w:p w14:paraId="053DFEDF" w14:textId="77777777" w:rsidR="00E60181" w:rsidRPr="00C44E98" w:rsidRDefault="00E60181" w:rsidP="00E417D4">
      <w:pPr>
        <w:spacing w:line="480" w:lineRule="auto"/>
        <w:rPr>
          <w:rFonts w:ascii="Arial" w:hAnsi="Arial" w:cs="Arial"/>
          <w:b/>
          <w:bCs/>
          <w:sz w:val="32"/>
          <w:szCs w:val="32"/>
          <w:u w:val="single"/>
        </w:rPr>
      </w:pPr>
    </w:p>
    <w:p w14:paraId="0377F800" w14:textId="486967D9" w:rsidR="00DA4BC8" w:rsidRPr="00E60181" w:rsidRDefault="00C44E98" w:rsidP="00C44E98">
      <w:pPr>
        <w:spacing w:line="480" w:lineRule="auto"/>
        <w:rPr>
          <w:rFonts w:ascii="Arial" w:hAnsi="Arial" w:cs="Arial"/>
          <w:b/>
          <w:bCs/>
          <w:sz w:val="28"/>
          <w:szCs w:val="28"/>
        </w:rPr>
      </w:pPr>
      <w:r w:rsidRPr="00E60181">
        <w:rPr>
          <w:rFonts w:ascii="Arial" w:hAnsi="Arial" w:cs="Arial"/>
          <w:b/>
          <w:bCs/>
          <w:sz w:val="28"/>
          <w:szCs w:val="28"/>
        </w:rPr>
        <w:lastRenderedPageBreak/>
        <w:t>Aim, Focus and Purpose of the Research</w:t>
      </w:r>
    </w:p>
    <w:p w14:paraId="390CE28A" w14:textId="77777777" w:rsidR="0069775A" w:rsidRDefault="005F10C2" w:rsidP="005F10C2">
      <w:pPr>
        <w:spacing w:line="480" w:lineRule="auto"/>
        <w:rPr>
          <w:rFonts w:ascii="Arial" w:hAnsi="Arial" w:cs="Arial"/>
          <w:sz w:val="22"/>
          <w:szCs w:val="22"/>
        </w:rPr>
      </w:pPr>
      <w:r w:rsidRPr="00AC36A8">
        <w:rPr>
          <w:rFonts w:ascii="Arial" w:hAnsi="Arial" w:cs="Arial"/>
          <w:sz w:val="22"/>
          <w:szCs w:val="22"/>
        </w:rPr>
        <w:t>In contemporary education, the notion of pupil voice has gained significant traction, emphasising the importance of incorporating student’s perspective into the decision-making processes within schools (</w:t>
      </w:r>
      <w:r w:rsidR="00AC36A8" w:rsidRPr="00AC36A8">
        <w:rPr>
          <w:rFonts w:ascii="Arial" w:hAnsi="Arial" w:cs="Arial"/>
          <w:sz w:val="22"/>
          <w:szCs w:val="22"/>
        </w:rPr>
        <w:t>O’Brien, et al, 2021</w:t>
      </w:r>
      <w:r w:rsidRPr="00AC36A8">
        <w:rPr>
          <w:rFonts w:ascii="Arial" w:hAnsi="Arial" w:cs="Arial"/>
          <w:sz w:val="22"/>
          <w:szCs w:val="22"/>
        </w:rPr>
        <w:t xml:space="preserve">). This research embarks on an exploratory case study aimed at understanding how Year 2 learners perceive the utilisation of pupil voice </w:t>
      </w:r>
      <w:r w:rsidR="0069775A">
        <w:rPr>
          <w:rFonts w:ascii="Arial" w:hAnsi="Arial" w:cs="Arial"/>
          <w:sz w:val="22"/>
          <w:szCs w:val="22"/>
        </w:rPr>
        <w:t>on</w:t>
      </w:r>
      <w:r w:rsidRPr="00AC36A8">
        <w:rPr>
          <w:rFonts w:ascii="Arial" w:hAnsi="Arial" w:cs="Arial"/>
          <w:sz w:val="22"/>
          <w:szCs w:val="22"/>
        </w:rPr>
        <w:t xml:space="preserve"> enhance</w:t>
      </w:r>
      <w:r w:rsidR="0069775A">
        <w:rPr>
          <w:rFonts w:ascii="Arial" w:hAnsi="Arial" w:cs="Arial"/>
          <w:sz w:val="22"/>
          <w:szCs w:val="22"/>
        </w:rPr>
        <w:t>d</w:t>
      </w:r>
      <w:r w:rsidRPr="00AC36A8">
        <w:rPr>
          <w:rFonts w:ascii="Arial" w:hAnsi="Arial" w:cs="Arial"/>
          <w:sz w:val="22"/>
          <w:szCs w:val="22"/>
        </w:rPr>
        <w:t xml:space="preserve"> provision and </w:t>
      </w:r>
      <w:r w:rsidR="0069775A">
        <w:rPr>
          <w:rFonts w:ascii="Arial" w:hAnsi="Arial" w:cs="Arial"/>
          <w:sz w:val="22"/>
          <w:szCs w:val="22"/>
        </w:rPr>
        <w:t>the</w:t>
      </w:r>
      <w:r w:rsidRPr="00AC36A8">
        <w:rPr>
          <w:rFonts w:ascii="Arial" w:hAnsi="Arial" w:cs="Arial"/>
          <w:sz w:val="22"/>
          <w:szCs w:val="22"/>
        </w:rPr>
        <w:t xml:space="preserve"> influence</w:t>
      </w:r>
      <w:r w:rsidR="0069775A">
        <w:rPr>
          <w:rFonts w:ascii="Arial" w:hAnsi="Arial" w:cs="Arial"/>
          <w:sz w:val="22"/>
          <w:szCs w:val="22"/>
        </w:rPr>
        <w:t>s</w:t>
      </w:r>
      <w:r w:rsidRPr="00AC36A8">
        <w:rPr>
          <w:rFonts w:ascii="Arial" w:hAnsi="Arial" w:cs="Arial"/>
          <w:sz w:val="22"/>
          <w:szCs w:val="22"/>
        </w:rPr>
        <w:t xml:space="preserve"> on their engagement with these activities. The study adopts a practice-based approach, further investigated through identified research tools, with the </w:t>
      </w:r>
      <w:r w:rsidR="0069775A">
        <w:rPr>
          <w:rFonts w:ascii="Arial" w:hAnsi="Arial" w:cs="Arial"/>
          <w:sz w:val="22"/>
          <w:szCs w:val="22"/>
        </w:rPr>
        <w:t>aim</w:t>
      </w:r>
      <w:r w:rsidRPr="00AC36A8">
        <w:rPr>
          <w:rFonts w:ascii="Arial" w:hAnsi="Arial" w:cs="Arial"/>
          <w:sz w:val="22"/>
          <w:szCs w:val="22"/>
        </w:rPr>
        <w:t xml:space="preserve"> of identifying interventions that can be piloted throughout</w:t>
      </w:r>
      <w:r w:rsidR="0069775A">
        <w:rPr>
          <w:rFonts w:ascii="Arial" w:hAnsi="Arial" w:cs="Arial"/>
          <w:sz w:val="22"/>
          <w:szCs w:val="22"/>
        </w:rPr>
        <w:t xml:space="preserve"> my</w:t>
      </w:r>
      <w:r w:rsidRPr="00AC36A8">
        <w:rPr>
          <w:rFonts w:ascii="Arial" w:hAnsi="Arial" w:cs="Arial"/>
          <w:sz w:val="22"/>
          <w:szCs w:val="22"/>
        </w:rPr>
        <w:t xml:space="preserve"> teaching experience and reflected upon in</w:t>
      </w:r>
      <w:r w:rsidR="00D11CBB" w:rsidRPr="00AC36A8">
        <w:rPr>
          <w:rFonts w:ascii="Arial" w:hAnsi="Arial" w:cs="Arial"/>
          <w:sz w:val="22"/>
          <w:szCs w:val="22"/>
        </w:rPr>
        <w:t xml:space="preserve"> my</w:t>
      </w:r>
      <w:r w:rsidRPr="00AC36A8">
        <w:rPr>
          <w:rFonts w:ascii="Arial" w:hAnsi="Arial" w:cs="Arial"/>
          <w:sz w:val="22"/>
          <w:szCs w:val="22"/>
        </w:rPr>
        <w:t xml:space="preserve"> professional learning.</w:t>
      </w:r>
      <w:r w:rsidR="00D11CBB" w:rsidRPr="00AC36A8">
        <w:rPr>
          <w:rFonts w:ascii="Arial" w:hAnsi="Arial" w:cs="Arial"/>
          <w:sz w:val="22"/>
          <w:szCs w:val="22"/>
        </w:rPr>
        <w:t xml:space="preserve"> </w:t>
      </w:r>
    </w:p>
    <w:p w14:paraId="5A1A3062" w14:textId="77777777" w:rsidR="0069775A" w:rsidRDefault="0069775A" w:rsidP="005F10C2">
      <w:pPr>
        <w:spacing w:line="480" w:lineRule="auto"/>
        <w:rPr>
          <w:rFonts w:ascii="Arial" w:hAnsi="Arial" w:cs="Arial"/>
          <w:sz w:val="22"/>
          <w:szCs w:val="22"/>
        </w:rPr>
      </w:pPr>
    </w:p>
    <w:p w14:paraId="4358E058" w14:textId="3938A10E" w:rsidR="005F10C2" w:rsidRPr="00AC36A8" w:rsidRDefault="00D11CBB" w:rsidP="005F10C2">
      <w:pPr>
        <w:spacing w:line="480" w:lineRule="auto"/>
        <w:rPr>
          <w:rFonts w:ascii="Arial" w:hAnsi="Arial" w:cs="Arial"/>
          <w:sz w:val="22"/>
          <w:szCs w:val="22"/>
        </w:rPr>
      </w:pPr>
      <w:r w:rsidRPr="00AC36A8">
        <w:rPr>
          <w:rFonts w:ascii="Arial" w:hAnsi="Arial" w:cs="Arial"/>
          <w:sz w:val="22"/>
          <w:szCs w:val="22"/>
        </w:rPr>
        <w:t>The research aligns with</w:t>
      </w:r>
      <w:r w:rsidR="0069775A">
        <w:rPr>
          <w:rFonts w:ascii="Arial" w:hAnsi="Arial" w:cs="Arial"/>
          <w:sz w:val="22"/>
          <w:szCs w:val="22"/>
        </w:rPr>
        <w:t xml:space="preserve"> </w:t>
      </w:r>
      <w:r w:rsidRPr="00AC36A8">
        <w:rPr>
          <w:rFonts w:ascii="Arial" w:hAnsi="Arial" w:cs="Arial"/>
          <w:sz w:val="22"/>
          <w:szCs w:val="22"/>
        </w:rPr>
        <w:t xml:space="preserve">professional learning as it </w:t>
      </w:r>
      <w:r w:rsidR="0069775A">
        <w:rPr>
          <w:rFonts w:ascii="Arial" w:hAnsi="Arial" w:cs="Arial"/>
          <w:sz w:val="22"/>
          <w:szCs w:val="22"/>
        </w:rPr>
        <w:t>focusses</w:t>
      </w:r>
      <w:r w:rsidRPr="00AC36A8">
        <w:rPr>
          <w:rFonts w:ascii="Arial" w:hAnsi="Arial" w:cs="Arial"/>
          <w:sz w:val="22"/>
          <w:szCs w:val="22"/>
        </w:rPr>
        <w:t xml:space="preserve"> </w:t>
      </w:r>
      <w:r w:rsidR="0069775A">
        <w:rPr>
          <w:rFonts w:ascii="Arial" w:hAnsi="Arial" w:cs="Arial"/>
          <w:sz w:val="22"/>
          <w:szCs w:val="22"/>
        </w:rPr>
        <w:t>on</w:t>
      </w:r>
      <w:r w:rsidRPr="00AC36A8">
        <w:rPr>
          <w:rFonts w:ascii="Arial" w:hAnsi="Arial" w:cs="Arial"/>
          <w:sz w:val="22"/>
          <w:szCs w:val="22"/>
        </w:rPr>
        <w:t xml:space="preserve"> address</w:t>
      </w:r>
      <w:r w:rsidR="0069775A">
        <w:rPr>
          <w:rFonts w:ascii="Arial" w:hAnsi="Arial" w:cs="Arial"/>
          <w:sz w:val="22"/>
          <w:szCs w:val="22"/>
        </w:rPr>
        <w:t>ing</w:t>
      </w:r>
      <w:r w:rsidRPr="00AC36A8">
        <w:rPr>
          <w:rFonts w:ascii="Arial" w:hAnsi="Arial" w:cs="Arial"/>
          <w:sz w:val="22"/>
          <w:szCs w:val="22"/>
        </w:rPr>
        <w:t xml:space="preserve"> an issue within the classroom context, offering insights and strategies that </w:t>
      </w:r>
      <w:r w:rsidR="0069775A">
        <w:rPr>
          <w:rFonts w:ascii="Arial" w:hAnsi="Arial" w:cs="Arial"/>
          <w:sz w:val="22"/>
          <w:szCs w:val="22"/>
        </w:rPr>
        <w:t>c</w:t>
      </w:r>
      <w:r w:rsidRPr="00AC36A8">
        <w:rPr>
          <w:rFonts w:ascii="Arial" w:hAnsi="Arial" w:cs="Arial"/>
          <w:sz w:val="22"/>
          <w:szCs w:val="22"/>
        </w:rPr>
        <w:t xml:space="preserve">an inform my </w:t>
      </w:r>
      <w:r w:rsidR="0069775A">
        <w:rPr>
          <w:rFonts w:ascii="Arial" w:hAnsi="Arial" w:cs="Arial"/>
          <w:sz w:val="22"/>
          <w:szCs w:val="22"/>
        </w:rPr>
        <w:t>professional development</w:t>
      </w:r>
      <w:r w:rsidRPr="00AC36A8">
        <w:rPr>
          <w:rFonts w:ascii="Arial" w:hAnsi="Arial" w:cs="Arial"/>
          <w:sz w:val="22"/>
          <w:szCs w:val="22"/>
        </w:rPr>
        <w:t xml:space="preserve"> (</w:t>
      </w:r>
      <w:proofErr w:type="spellStart"/>
      <w:r w:rsidR="00AC36A8" w:rsidRPr="00AC36A8">
        <w:rPr>
          <w:rFonts w:ascii="Arial" w:hAnsi="Arial" w:cs="Arial"/>
          <w:sz w:val="22"/>
          <w:szCs w:val="22"/>
        </w:rPr>
        <w:t>Bassot</w:t>
      </w:r>
      <w:proofErr w:type="spellEnd"/>
      <w:r w:rsidR="00AC36A8" w:rsidRPr="00AC36A8">
        <w:rPr>
          <w:rFonts w:ascii="Arial" w:hAnsi="Arial" w:cs="Arial"/>
          <w:sz w:val="22"/>
          <w:szCs w:val="22"/>
        </w:rPr>
        <w:t>, 2020</w:t>
      </w:r>
      <w:r w:rsidRPr="00AC36A8">
        <w:rPr>
          <w:rFonts w:ascii="Arial" w:hAnsi="Arial" w:cs="Arial"/>
          <w:sz w:val="22"/>
          <w:szCs w:val="22"/>
        </w:rPr>
        <w:t>).</w:t>
      </w:r>
      <w:r w:rsidR="0069775A">
        <w:rPr>
          <w:rFonts w:ascii="Arial" w:hAnsi="Arial" w:cs="Arial"/>
          <w:sz w:val="22"/>
          <w:szCs w:val="22"/>
        </w:rPr>
        <w:t xml:space="preserve"> </w:t>
      </w:r>
      <w:r w:rsidR="005F10C2" w:rsidRPr="00AC36A8">
        <w:rPr>
          <w:rFonts w:ascii="Arial" w:hAnsi="Arial" w:cs="Arial"/>
          <w:sz w:val="22"/>
          <w:szCs w:val="22"/>
        </w:rPr>
        <w:t>The interest in the research stems from an observed issue where Year 2 learner</w:t>
      </w:r>
      <w:r w:rsidR="0069775A">
        <w:rPr>
          <w:rFonts w:ascii="Arial" w:hAnsi="Arial" w:cs="Arial"/>
          <w:sz w:val="22"/>
          <w:szCs w:val="22"/>
        </w:rPr>
        <w:t>s</w:t>
      </w:r>
      <w:r w:rsidR="005F10C2" w:rsidRPr="00AC36A8">
        <w:rPr>
          <w:rFonts w:ascii="Arial" w:hAnsi="Arial" w:cs="Arial"/>
          <w:sz w:val="22"/>
          <w:szCs w:val="22"/>
        </w:rPr>
        <w:t xml:space="preserve"> have exhibited disengagement with enhanced provision. </w:t>
      </w:r>
      <w:r w:rsidR="00AC36A8">
        <w:rPr>
          <w:rFonts w:ascii="Arial" w:hAnsi="Arial" w:cs="Arial"/>
          <w:sz w:val="22"/>
          <w:szCs w:val="22"/>
        </w:rPr>
        <w:t>M</w:t>
      </w:r>
      <w:r w:rsidR="005F10C2" w:rsidRPr="00AC36A8">
        <w:rPr>
          <w:rFonts w:ascii="Arial" w:hAnsi="Arial" w:cs="Arial"/>
          <w:sz w:val="22"/>
          <w:szCs w:val="22"/>
        </w:rPr>
        <w:t>y interest in this issue is deeply root</w:t>
      </w:r>
      <w:r w:rsidR="0069775A">
        <w:rPr>
          <w:rFonts w:ascii="Arial" w:hAnsi="Arial" w:cs="Arial"/>
          <w:sz w:val="22"/>
          <w:szCs w:val="22"/>
        </w:rPr>
        <w:t>ed</w:t>
      </w:r>
      <w:r w:rsidR="005F10C2" w:rsidRPr="00AC36A8">
        <w:rPr>
          <w:rFonts w:ascii="Arial" w:hAnsi="Arial" w:cs="Arial"/>
          <w:sz w:val="22"/>
          <w:szCs w:val="22"/>
        </w:rPr>
        <w:t xml:space="preserve"> in my passion for pupil voice within educational practices. Drawing from successful experiences in this area, I aim to explore how empowering leaner</w:t>
      </w:r>
      <w:r w:rsidR="00AC36A8">
        <w:rPr>
          <w:rFonts w:ascii="Arial" w:hAnsi="Arial" w:cs="Arial"/>
          <w:sz w:val="22"/>
          <w:szCs w:val="22"/>
        </w:rPr>
        <w:t>s</w:t>
      </w:r>
      <w:r w:rsidR="005F10C2" w:rsidRPr="00AC36A8">
        <w:rPr>
          <w:rFonts w:ascii="Arial" w:hAnsi="Arial" w:cs="Arial"/>
          <w:sz w:val="22"/>
          <w:szCs w:val="22"/>
        </w:rPr>
        <w:t xml:space="preserve"> to voice their preferences can potentially influence engagement and learning experience</w:t>
      </w:r>
      <w:r w:rsidR="00AC36A8">
        <w:rPr>
          <w:rFonts w:ascii="Arial" w:hAnsi="Arial" w:cs="Arial"/>
          <w:sz w:val="22"/>
          <w:szCs w:val="22"/>
        </w:rPr>
        <w:t>s</w:t>
      </w:r>
      <w:r w:rsidR="005F10C2" w:rsidRPr="00AC36A8">
        <w:rPr>
          <w:rFonts w:ascii="Arial" w:hAnsi="Arial" w:cs="Arial"/>
          <w:sz w:val="22"/>
          <w:szCs w:val="22"/>
        </w:rPr>
        <w:t>.</w:t>
      </w:r>
    </w:p>
    <w:p w14:paraId="7B332FF3" w14:textId="77777777" w:rsidR="005F10C2" w:rsidRPr="00AC36A8" w:rsidRDefault="005F10C2" w:rsidP="005F10C2">
      <w:pPr>
        <w:spacing w:line="480" w:lineRule="auto"/>
        <w:rPr>
          <w:rFonts w:ascii="Arial" w:hAnsi="Arial" w:cs="Arial"/>
          <w:sz w:val="22"/>
          <w:szCs w:val="22"/>
        </w:rPr>
      </w:pPr>
    </w:p>
    <w:p w14:paraId="65FCBD16" w14:textId="565AB881" w:rsidR="005F10C2" w:rsidRPr="00AC36A8" w:rsidRDefault="005F10C2" w:rsidP="005F10C2">
      <w:pPr>
        <w:spacing w:line="480" w:lineRule="auto"/>
        <w:rPr>
          <w:rFonts w:ascii="Arial" w:hAnsi="Arial" w:cs="Arial"/>
          <w:sz w:val="22"/>
          <w:szCs w:val="22"/>
        </w:rPr>
      </w:pPr>
      <w:r w:rsidRPr="00AC36A8">
        <w:rPr>
          <w:rFonts w:ascii="Arial" w:hAnsi="Arial" w:cs="Arial"/>
          <w:sz w:val="22"/>
          <w:szCs w:val="22"/>
        </w:rPr>
        <w:t>The research took place within an English-medium primary school based in South Wales, consisting of 435 pupils, with 29% eligible for free school meals, 12.4% additional learning needs (ALN) and 10.7% having English as an additional language</w:t>
      </w:r>
      <w:r w:rsidR="00AC36A8">
        <w:rPr>
          <w:rFonts w:ascii="Arial" w:hAnsi="Arial" w:cs="Arial"/>
          <w:sz w:val="22"/>
          <w:szCs w:val="22"/>
        </w:rPr>
        <w:t xml:space="preserve"> (EAL)</w:t>
      </w:r>
      <w:r w:rsidRPr="00AC36A8">
        <w:rPr>
          <w:rFonts w:ascii="Arial" w:hAnsi="Arial" w:cs="Arial"/>
          <w:sz w:val="22"/>
          <w:szCs w:val="22"/>
        </w:rPr>
        <w:t xml:space="preserve"> (</w:t>
      </w:r>
      <w:r w:rsidR="00AC36A8">
        <w:rPr>
          <w:rFonts w:ascii="Arial" w:hAnsi="Arial" w:cs="Arial"/>
          <w:sz w:val="22"/>
          <w:szCs w:val="22"/>
        </w:rPr>
        <w:t>Estyn</w:t>
      </w:r>
      <w:r w:rsidRPr="00AC36A8">
        <w:rPr>
          <w:rFonts w:ascii="Arial" w:hAnsi="Arial" w:cs="Arial"/>
          <w:sz w:val="22"/>
          <w:szCs w:val="22"/>
        </w:rPr>
        <w:t xml:space="preserve">, 2023). </w:t>
      </w:r>
      <w:r w:rsidR="0069775A">
        <w:rPr>
          <w:rFonts w:ascii="Arial" w:hAnsi="Arial" w:cs="Arial"/>
          <w:sz w:val="22"/>
          <w:szCs w:val="22"/>
        </w:rPr>
        <w:t>The</w:t>
      </w:r>
      <w:r w:rsidRPr="00AC36A8">
        <w:rPr>
          <w:rFonts w:ascii="Arial" w:hAnsi="Arial" w:cs="Arial"/>
          <w:sz w:val="22"/>
          <w:szCs w:val="22"/>
        </w:rPr>
        <w:t xml:space="preserve"> study was conducted in a Year 2 class of 27 children, with four children being identified as ALN, one being a looked after child, three children with EAL and two with speech and language difficulties.  </w:t>
      </w:r>
    </w:p>
    <w:p w14:paraId="4A7AF926" w14:textId="77777777" w:rsidR="00C44E98" w:rsidRDefault="00C44E98" w:rsidP="00C44E98">
      <w:pPr>
        <w:spacing w:line="480" w:lineRule="auto"/>
        <w:rPr>
          <w:rFonts w:ascii="Arial" w:hAnsi="Arial" w:cs="Arial"/>
        </w:rPr>
      </w:pPr>
    </w:p>
    <w:p w14:paraId="4ADBE347" w14:textId="77777777" w:rsidR="0069775A" w:rsidRDefault="0069775A" w:rsidP="00C44E98">
      <w:pPr>
        <w:spacing w:line="480" w:lineRule="auto"/>
        <w:rPr>
          <w:rFonts w:ascii="Arial" w:hAnsi="Arial" w:cs="Arial"/>
        </w:rPr>
      </w:pPr>
    </w:p>
    <w:p w14:paraId="6C351CF7" w14:textId="77777777" w:rsidR="0069775A" w:rsidRPr="00C44E98" w:rsidRDefault="0069775A" w:rsidP="00C44E98">
      <w:pPr>
        <w:spacing w:line="480" w:lineRule="auto"/>
        <w:rPr>
          <w:rFonts w:ascii="Arial" w:hAnsi="Arial" w:cs="Arial"/>
        </w:rPr>
      </w:pPr>
    </w:p>
    <w:p w14:paraId="3CE68B9D" w14:textId="0B49A670" w:rsidR="00C44E98" w:rsidRDefault="00C44E98" w:rsidP="00C44E98">
      <w:pPr>
        <w:spacing w:line="480" w:lineRule="auto"/>
        <w:rPr>
          <w:rFonts w:ascii="Arial" w:hAnsi="Arial" w:cs="Arial"/>
          <w:b/>
          <w:bCs/>
          <w:sz w:val="28"/>
          <w:szCs w:val="28"/>
        </w:rPr>
      </w:pPr>
      <w:r w:rsidRPr="00E60181">
        <w:rPr>
          <w:rFonts w:ascii="Arial" w:hAnsi="Arial" w:cs="Arial"/>
          <w:b/>
          <w:bCs/>
          <w:sz w:val="28"/>
          <w:szCs w:val="28"/>
        </w:rPr>
        <w:lastRenderedPageBreak/>
        <w:t xml:space="preserve">Overview of Relevant Literature </w:t>
      </w:r>
    </w:p>
    <w:p w14:paraId="0F5A1DBF" w14:textId="01FF81FD" w:rsidR="007B2B2D" w:rsidRPr="00AC36A8" w:rsidRDefault="0060129A" w:rsidP="00831087">
      <w:pPr>
        <w:spacing w:line="480" w:lineRule="auto"/>
        <w:rPr>
          <w:rFonts w:ascii="Arial" w:hAnsi="Arial" w:cs="Arial"/>
          <w:sz w:val="22"/>
          <w:szCs w:val="22"/>
        </w:rPr>
      </w:pPr>
      <w:r w:rsidRPr="00AC36A8">
        <w:rPr>
          <w:rFonts w:ascii="Arial" w:hAnsi="Arial" w:cs="Arial"/>
          <w:sz w:val="22"/>
          <w:szCs w:val="22"/>
        </w:rPr>
        <w:t xml:space="preserve">The integration of pupil voice in Primary School </w:t>
      </w:r>
      <w:r w:rsidR="005D6650" w:rsidRPr="00AC36A8">
        <w:rPr>
          <w:rFonts w:ascii="Arial" w:hAnsi="Arial" w:cs="Arial"/>
          <w:sz w:val="22"/>
          <w:szCs w:val="22"/>
        </w:rPr>
        <w:t>settings</w:t>
      </w:r>
      <w:r w:rsidRPr="00AC36A8">
        <w:rPr>
          <w:rFonts w:ascii="Arial" w:hAnsi="Arial" w:cs="Arial"/>
          <w:sz w:val="22"/>
          <w:szCs w:val="22"/>
        </w:rPr>
        <w:t xml:space="preserve"> has gained considerable attention in </w:t>
      </w:r>
      <w:r w:rsidR="005D6650" w:rsidRPr="00AC36A8">
        <w:rPr>
          <w:rFonts w:ascii="Arial" w:hAnsi="Arial" w:cs="Arial"/>
          <w:sz w:val="22"/>
          <w:szCs w:val="22"/>
        </w:rPr>
        <w:t>recent</w:t>
      </w:r>
      <w:r w:rsidRPr="00AC36A8">
        <w:rPr>
          <w:rFonts w:ascii="Arial" w:hAnsi="Arial" w:cs="Arial"/>
          <w:sz w:val="22"/>
          <w:szCs w:val="22"/>
        </w:rPr>
        <w:t xml:space="preserve"> </w:t>
      </w:r>
      <w:r w:rsidR="005D6650" w:rsidRPr="00AC36A8">
        <w:rPr>
          <w:rFonts w:ascii="Arial" w:hAnsi="Arial" w:cs="Arial"/>
          <w:sz w:val="22"/>
          <w:szCs w:val="22"/>
        </w:rPr>
        <w:t>years</w:t>
      </w:r>
      <w:r w:rsidRPr="00AC36A8">
        <w:rPr>
          <w:rFonts w:ascii="Arial" w:hAnsi="Arial" w:cs="Arial"/>
          <w:sz w:val="22"/>
          <w:szCs w:val="22"/>
        </w:rPr>
        <w:t xml:space="preserve">, as educators now </w:t>
      </w:r>
      <w:r w:rsidR="005D6650" w:rsidRPr="00AC36A8">
        <w:rPr>
          <w:rFonts w:ascii="Arial" w:hAnsi="Arial" w:cs="Arial"/>
          <w:sz w:val="22"/>
          <w:szCs w:val="22"/>
        </w:rPr>
        <w:t>recognise</w:t>
      </w:r>
      <w:r w:rsidRPr="00AC36A8">
        <w:rPr>
          <w:rFonts w:ascii="Arial" w:hAnsi="Arial" w:cs="Arial"/>
          <w:sz w:val="22"/>
          <w:szCs w:val="22"/>
        </w:rPr>
        <w:t xml:space="preserve"> the value of </w:t>
      </w:r>
      <w:r w:rsidR="005D6650" w:rsidRPr="00AC36A8">
        <w:rPr>
          <w:rFonts w:ascii="Arial" w:hAnsi="Arial" w:cs="Arial"/>
          <w:sz w:val="22"/>
          <w:szCs w:val="22"/>
        </w:rPr>
        <w:t>student’s</w:t>
      </w:r>
      <w:r w:rsidRPr="00AC36A8">
        <w:rPr>
          <w:rFonts w:ascii="Arial" w:hAnsi="Arial" w:cs="Arial"/>
          <w:sz w:val="22"/>
          <w:szCs w:val="22"/>
        </w:rPr>
        <w:t xml:space="preserve"> perspectives in shaping learning experiences</w:t>
      </w:r>
      <w:r w:rsidR="007B2B2D" w:rsidRPr="00AC36A8">
        <w:rPr>
          <w:rFonts w:ascii="Arial" w:hAnsi="Arial" w:cs="Arial"/>
          <w:sz w:val="22"/>
          <w:szCs w:val="22"/>
        </w:rPr>
        <w:t xml:space="preserve"> (</w:t>
      </w:r>
      <w:r w:rsidR="00AC36A8">
        <w:rPr>
          <w:rFonts w:ascii="Arial" w:hAnsi="Arial" w:cs="Arial"/>
          <w:sz w:val="22"/>
          <w:szCs w:val="22"/>
        </w:rPr>
        <w:t>O’Brien, et al, 2021</w:t>
      </w:r>
      <w:r w:rsidR="007B2B2D" w:rsidRPr="00AC36A8">
        <w:rPr>
          <w:rFonts w:ascii="Arial" w:hAnsi="Arial" w:cs="Arial"/>
          <w:sz w:val="22"/>
          <w:szCs w:val="22"/>
        </w:rPr>
        <w:t>)</w:t>
      </w:r>
      <w:r w:rsidRPr="00AC36A8">
        <w:rPr>
          <w:rFonts w:ascii="Arial" w:hAnsi="Arial" w:cs="Arial"/>
          <w:sz w:val="22"/>
          <w:szCs w:val="22"/>
        </w:rPr>
        <w:t xml:space="preserve">. </w:t>
      </w:r>
      <w:r w:rsidR="00023557" w:rsidRPr="00AC36A8">
        <w:rPr>
          <w:rFonts w:ascii="Arial" w:hAnsi="Arial" w:cs="Arial"/>
          <w:sz w:val="22"/>
          <w:szCs w:val="22"/>
        </w:rPr>
        <w:t>P</w:t>
      </w:r>
      <w:r w:rsidR="00E1327D" w:rsidRPr="00AC36A8">
        <w:rPr>
          <w:rFonts w:ascii="Arial" w:hAnsi="Arial" w:cs="Arial"/>
          <w:sz w:val="22"/>
          <w:szCs w:val="22"/>
        </w:rPr>
        <w:t>upil voice embodies the idea of empowering students to actively participate in decision-making processes that affect their educational experiences (</w:t>
      </w:r>
      <w:r w:rsidR="00AC36A8">
        <w:rPr>
          <w:rFonts w:ascii="Arial" w:hAnsi="Arial" w:cs="Arial"/>
          <w:sz w:val="22"/>
          <w:szCs w:val="22"/>
        </w:rPr>
        <w:t>Wood, 2011</w:t>
      </w:r>
      <w:r w:rsidR="00E1327D" w:rsidRPr="00AC36A8">
        <w:rPr>
          <w:rFonts w:ascii="Arial" w:hAnsi="Arial" w:cs="Arial"/>
          <w:sz w:val="22"/>
          <w:szCs w:val="22"/>
        </w:rPr>
        <w:t xml:space="preserve">). However, </w:t>
      </w:r>
      <w:r w:rsidR="00023557" w:rsidRPr="00AC36A8">
        <w:rPr>
          <w:rFonts w:ascii="Arial" w:hAnsi="Arial" w:cs="Arial"/>
          <w:sz w:val="22"/>
          <w:szCs w:val="22"/>
        </w:rPr>
        <w:t>w</w:t>
      </w:r>
      <w:r w:rsidR="006559A3" w:rsidRPr="00AC36A8">
        <w:rPr>
          <w:rFonts w:ascii="Arial" w:hAnsi="Arial" w:cs="Arial"/>
          <w:sz w:val="22"/>
          <w:szCs w:val="22"/>
        </w:rPr>
        <w:t xml:space="preserve">hilst </w:t>
      </w:r>
      <w:r w:rsidR="00AC36A8">
        <w:rPr>
          <w:rFonts w:ascii="Arial" w:hAnsi="Arial" w:cs="Arial"/>
          <w:sz w:val="22"/>
          <w:szCs w:val="22"/>
        </w:rPr>
        <w:t xml:space="preserve">Conner </w:t>
      </w:r>
      <w:r w:rsidR="006559A3" w:rsidRPr="00AC36A8">
        <w:rPr>
          <w:rFonts w:ascii="Arial" w:hAnsi="Arial" w:cs="Arial"/>
          <w:sz w:val="22"/>
          <w:szCs w:val="22"/>
        </w:rPr>
        <w:t>(</w:t>
      </w:r>
      <w:r w:rsidR="00AC36A8">
        <w:rPr>
          <w:rFonts w:ascii="Arial" w:hAnsi="Arial" w:cs="Arial"/>
          <w:sz w:val="22"/>
          <w:szCs w:val="22"/>
        </w:rPr>
        <w:t>2022</w:t>
      </w:r>
      <w:r w:rsidR="006559A3" w:rsidRPr="00AC36A8">
        <w:rPr>
          <w:rFonts w:ascii="Arial" w:hAnsi="Arial" w:cs="Arial"/>
          <w:sz w:val="22"/>
          <w:szCs w:val="22"/>
        </w:rPr>
        <w:t>) emphasise</w:t>
      </w:r>
      <w:r w:rsidR="00023557" w:rsidRPr="00AC36A8">
        <w:rPr>
          <w:rFonts w:ascii="Arial" w:hAnsi="Arial" w:cs="Arial"/>
          <w:sz w:val="22"/>
          <w:szCs w:val="22"/>
        </w:rPr>
        <w:t>s that</w:t>
      </w:r>
      <w:r w:rsidR="006559A3" w:rsidRPr="00AC36A8">
        <w:rPr>
          <w:rFonts w:ascii="Arial" w:hAnsi="Arial" w:cs="Arial"/>
          <w:sz w:val="22"/>
          <w:szCs w:val="22"/>
        </w:rPr>
        <w:t xml:space="preserve"> pupil voice </w:t>
      </w:r>
      <w:r w:rsidR="00023557" w:rsidRPr="00AC36A8">
        <w:rPr>
          <w:rFonts w:ascii="Arial" w:hAnsi="Arial" w:cs="Arial"/>
          <w:sz w:val="22"/>
          <w:szCs w:val="22"/>
        </w:rPr>
        <w:t xml:space="preserve">is </w:t>
      </w:r>
      <w:r w:rsidR="006559A3" w:rsidRPr="00AC36A8">
        <w:rPr>
          <w:rFonts w:ascii="Arial" w:hAnsi="Arial" w:cs="Arial"/>
          <w:sz w:val="22"/>
          <w:szCs w:val="22"/>
        </w:rPr>
        <w:t xml:space="preserve">central to student </w:t>
      </w:r>
      <w:r w:rsidR="00023557" w:rsidRPr="00AC36A8">
        <w:rPr>
          <w:rFonts w:ascii="Arial" w:hAnsi="Arial" w:cs="Arial"/>
          <w:sz w:val="22"/>
          <w:szCs w:val="22"/>
        </w:rPr>
        <w:t>engagement</w:t>
      </w:r>
      <w:r w:rsidR="006559A3" w:rsidRPr="00AC36A8">
        <w:rPr>
          <w:rFonts w:ascii="Arial" w:hAnsi="Arial" w:cs="Arial"/>
          <w:sz w:val="22"/>
          <w:szCs w:val="22"/>
        </w:rPr>
        <w:t xml:space="preserve">, </w:t>
      </w:r>
      <w:r w:rsidR="00285070">
        <w:rPr>
          <w:rFonts w:ascii="Arial" w:hAnsi="Arial" w:cs="Arial"/>
          <w:sz w:val="22"/>
          <w:szCs w:val="22"/>
        </w:rPr>
        <w:t>Broom (2015</w:t>
      </w:r>
      <w:r w:rsidR="006559A3" w:rsidRPr="00AC36A8">
        <w:rPr>
          <w:rFonts w:ascii="Arial" w:hAnsi="Arial" w:cs="Arial"/>
          <w:sz w:val="22"/>
          <w:szCs w:val="22"/>
        </w:rPr>
        <w:t xml:space="preserve">) </w:t>
      </w:r>
      <w:r w:rsidR="00023557" w:rsidRPr="00AC36A8">
        <w:rPr>
          <w:rFonts w:ascii="Arial" w:hAnsi="Arial" w:cs="Arial"/>
          <w:sz w:val="22"/>
          <w:szCs w:val="22"/>
        </w:rPr>
        <w:t>outlines that</w:t>
      </w:r>
      <w:r w:rsidR="006559A3" w:rsidRPr="00AC36A8">
        <w:rPr>
          <w:rFonts w:ascii="Arial" w:hAnsi="Arial" w:cs="Arial"/>
          <w:sz w:val="22"/>
          <w:szCs w:val="22"/>
        </w:rPr>
        <w:t xml:space="preserve"> traditional</w:t>
      </w:r>
      <w:r w:rsidR="00C04770" w:rsidRPr="00AC36A8">
        <w:rPr>
          <w:rFonts w:ascii="Arial" w:hAnsi="Arial" w:cs="Arial"/>
          <w:sz w:val="22"/>
          <w:szCs w:val="22"/>
        </w:rPr>
        <w:t>, teacher led</w:t>
      </w:r>
      <w:r w:rsidR="006559A3" w:rsidRPr="00AC36A8">
        <w:rPr>
          <w:rFonts w:ascii="Arial" w:hAnsi="Arial" w:cs="Arial"/>
          <w:sz w:val="22"/>
          <w:szCs w:val="22"/>
        </w:rPr>
        <w:t xml:space="preserve"> forms of student participation, </w:t>
      </w:r>
      <w:r w:rsidR="00A94767" w:rsidRPr="00AC36A8">
        <w:rPr>
          <w:rFonts w:ascii="Arial" w:hAnsi="Arial" w:cs="Arial"/>
          <w:sz w:val="22"/>
          <w:szCs w:val="22"/>
        </w:rPr>
        <w:t>fail</w:t>
      </w:r>
      <w:r w:rsidR="006559A3" w:rsidRPr="00AC36A8">
        <w:rPr>
          <w:rFonts w:ascii="Arial" w:hAnsi="Arial" w:cs="Arial"/>
          <w:sz w:val="22"/>
          <w:szCs w:val="22"/>
        </w:rPr>
        <w:t xml:space="preserve"> to empower children or influence school policies. This lack of consensus contributes to a superficial understanding of pupil voice, hindering </w:t>
      </w:r>
      <w:r w:rsidR="0069775A">
        <w:rPr>
          <w:rFonts w:ascii="Arial" w:hAnsi="Arial" w:cs="Arial"/>
          <w:sz w:val="22"/>
          <w:szCs w:val="22"/>
        </w:rPr>
        <w:t>the</w:t>
      </w:r>
      <w:r w:rsidR="006559A3" w:rsidRPr="00AC36A8">
        <w:rPr>
          <w:rFonts w:ascii="Arial" w:hAnsi="Arial" w:cs="Arial"/>
          <w:sz w:val="22"/>
          <w:szCs w:val="22"/>
        </w:rPr>
        <w:t xml:space="preserve"> potential to enact meaningful change within educational settings. </w:t>
      </w:r>
    </w:p>
    <w:p w14:paraId="2BD4A9F4" w14:textId="77777777" w:rsidR="006559A3" w:rsidRPr="00AC36A8" w:rsidRDefault="006559A3" w:rsidP="00831087">
      <w:pPr>
        <w:spacing w:line="480" w:lineRule="auto"/>
        <w:rPr>
          <w:rFonts w:ascii="Arial" w:hAnsi="Arial" w:cs="Arial"/>
          <w:sz w:val="22"/>
          <w:szCs w:val="22"/>
        </w:rPr>
      </w:pPr>
    </w:p>
    <w:p w14:paraId="51534CF6" w14:textId="1228587F" w:rsidR="006559A3" w:rsidRPr="00AC36A8" w:rsidRDefault="006559A3" w:rsidP="00831087">
      <w:pPr>
        <w:spacing w:line="480" w:lineRule="auto"/>
        <w:rPr>
          <w:rFonts w:ascii="Arial" w:hAnsi="Arial" w:cs="Arial"/>
          <w:sz w:val="22"/>
          <w:szCs w:val="22"/>
        </w:rPr>
      </w:pPr>
      <w:r w:rsidRPr="00AC36A8">
        <w:rPr>
          <w:rFonts w:ascii="Arial" w:hAnsi="Arial" w:cs="Arial"/>
          <w:sz w:val="22"/>
          <w:szCs w:val="22"/>
        </w:rPr>
        <w:t xml:space="preserve">In practice, pupil voice </w:t>
      </w:r>
      <w:r w:rsidR="0069775A">
        <w:rPr>
          <w:rFonts w:ascii="Arial" w:hAnsi="Arial" w:cs="Arial"/>
          <w:sz w:val="22"/>
          <w:szCs w:val="22"/>
        </w:rPr>
        <w:t>initiatives</w:t>
      </w:r>
      <w:r w:rsidRPr="00AC36A8">
        <w:rPr>
          <w:rFonts w:ascii="Arial" w:hAnsi="Arial" w:cs="Arial"/>
          <w:sz w:val="22"/>
          <w:szCs w:val="22"/>
        </w:rPr>
        <w:t xml:space="preserve"> often present </w:t>
      </w:r>
      <w:r w:rsidR="00023557" w:rsidRPr="00AC36A8">
        <w:rPr>
          <w:rFonts w:ascii="Arial" w:hAnsi="Arial" w:cs="Arial"/>
          <w:sz w:val="22"/>
          <w:szCs w:val="22"/>
        </w:rPr>
        <w:t xml:space="preserve">as </w:t>
      </w:r>
      <w:r w:rsidRPr="00AC36A8">
        <w:rPr>
          <w:rFonts w:ascii="Arial" w:hAnsi="Arial" w:cs="Arial"/>
          <w:sz w:val="22"/>
          <w:szCs w:val="22"/>
        </w:rPr>
        <w:t>‘student council’ (</w:t>
      </w:r>
      <w:r w:rsidR="00285070">
        <w:rPr>
          <w:rFonts w:ascii="Arial" w:hAnsi="Arial" w:cs="Arial"/>
          <w:sz w:val="22"/>
          <w:szCs w:val="22"/>
        </w:rPr>
        <w:t>Estyn, 2023</w:t>
      </w:r>
      <w:r w:rsidRPr="00AC36A8">
        <w:rPr>
          <w:rFonts w:ascii="Arial" w:hAnsi="Arial" w:cs="Arial"/>
          <w:sz w:val="22"/>
          <w:szCs w:val="22"/>
        </w:rPr>
        <w:t>). However</w:t>
      </w:r>
      <w:r w:rsidR="00023557" w:rsidRPr="00AC36A8">
        <w:rPr>
          <w:rFonts w:ascii="Arial" w:hAnsi="Arial" w:cs="Arial"/>
          <w:sz w:val="22"/>
          <w:szCs w:val="22"/>
        </w:rPr>
        <w:t>,</w:t>
      </w:r>
      <w:r w:rsidRPr="00AC36A8">
        <w:rPr>
          <w:rFonts w:ascii="Arial" w:hAnsi="Arial" w:cs="Arial"/>
          <w:sz w:val="22"/>
          <w:szCs w:val="22"/>
        </w:rPr>
        <w:t xml:space="preserve"> </w:t>
      </w:r>
      <w:proofErr w:type="spellStart"/>
      <w:r w:rsidR="00285070">
        <w:rPr>
          <w:rFonts w:ascii="Arial" w:hAnsi="Arial" w:cs="Arial"/>
          <w:sz w:val="22"/>
          <w:szCs w:val="22"/>
        </w:rPr>
        <w:t>Gablinske</w:t>
      </w:r>
      <w:proofErr w:type="spellEnd"/>
      <w:r w:rsidR="00285070">
        <w:rPr>
          <w:rFonts w:ascii="Arial" w:hAnsi="Arial" w:cs="Arial"/>
          <w:sz w:val="22"/>
          <w:szCs w:val="22"/>
        </w:rPr>
        <w:t xml:space="preserve"> </w:t>
      </w:r>
      <w:r w:rsidRPr="00AC36A8">
        <w:rPr>
          <w:rFonts w:ascii="Arial" w:hAnsi="Arial" w:cs="Arial"/>
          <w:sz w:val="22"/>
          <w:szCs w:val="22"/>
        </w:rPr>
        <w:t>(</w:t>
      </w:r>
      <w:r w:rsidR="00285070">
        <w:rPr>
          <w:rFonts w:ascii="Arial" w:hAnsi="Arial" w:cs="Arial"/>
          <w:sz w:val="22"/>
          <w:szCs w:val="22"/>
        </w:rPr>
        <w:t>2014</w:t>
      </w:r>
      <w:r w:rsidRPr="00AC36A8">
        <w:rPr>
          <w:rFonts w:ascii="Arial" w:hAnsi="Arial" w:cs="Arial"/>
          <w:sz w:val="22"/>
          <w:szCs w:val="22"/>
        </w:rPr>
        <w:t xml:space="preserve">) outlines the </w:t>
      </w:r>
      <w:r w:rsidR="00023557" w:rsidRPr="00AC36A8">
        <w:rPr>
          <w:rFonts w:ascii="Arial" w:hAnsi="Arial" w:cs="Arial"/>
          <w:sz w:val="22"/>
          <w:szCs w:val="22"/>
        </w:rPr>
        <w:t>limitations</w:t>
      </w:r>
      <w:r w:rsidRPr="00AC36A8">
        <w:rPr>
          <w:rFonts w:ascii="Arial" w:hAnsi="Arial" w:cs="Arial"/>
          <w:sz w:val="22"/>
          <w:szCs w:val="22"/>
        </w:rPr>
        <w:t xml:space="preserve"> of these initiatives, identifying how some </w:t>
      </w:r>
      <w:r w:rsidR="00023557" w:rsidRPr="00AC36A8">
        <w:rPr>
          <w:rFonts w:ascii="Arial" w:hAnsi="Arial" w:cs="Arial"/>
          <w:sz w:val="22"/>
          <w:szCs w:val="22"/>
        </w:rPr>
        <w:t>fail</w:t>
      </w:r>
      <w:r w:rsidRPr="00AC36A8">
        <w:rPr>
          <w:rFonts w:ascii="Arial" w:hAnsi="Arial" w:cs="Arial"/>
          <w:sz w:val="22"/>
          <w:szCs w:val="22"/>
        </w:rPr>
        <w:t xml:space="preserve"> to engage learners authentically. Moreover, initiatives implemented at whole-school level may</w:t>
      </w:r>
      <w:r w:rsidR="00C445E7">
        <w:rPr>
          <w:rFonts w:ascii="Arial" w:hAnsi="Arial" w:cs="Arial"/>
          <w:sz w:val="22"/>
          <w:szCs w:val="22"/>
        </w:rPr>
        <w:t xml:space="preserve"> </w:t>
      </w:r>
      <w:r w:rsidRPr="00AC36A8">
        <w:rPr>
          <w:rFonts w:ascii="Arial" w:hAnsi="Arial" w:cs="Arial"/>
          <w:sz w:val="22"/>
          <w:szCs w:val="22"/>
        </w:rPr>
        <w:t>fail to integrate student perspectives into small classroom practices (</w:t>
      </w:r>
      <w:r w:rsidR="00285070">
        <w:rPr>
          <w:rFonts w:ascii="Arial" w:hAnsi="Arial" w:cs="Arial"/>
          <w:sz w:val="22"/>
          <w:szCs w:val="22"/>
        </w:rPr>
        <w:t>Goldberg, et al, 2019</w:t>
      </w:r>
      <w:r w:rsidRPr="00AC36A8">
        <w:rPr>
          <w:rFonts w:ascii="Arial" w:hAnsi="Arial" w:cs="Arial"/>
          <w:sz w:val="22"/>
          <w:szCs w:val="22"/>
        </w:rPr>
        <w:t>). As such, whil</w:t>
      </w:r>
      <w:r w:rsidR="00C445E7">
        <w:rPr>
          <w:rFonts w:ascii="Arial" w:hAnsi="Arial" w:cs="Arial"/>
          <w:sz w:val="22"/>
          <w:szCs w:val="22"/>
        </w:rPr>
        <w:t>st</w:t>
      </w:r>
      <w:r w:rsidRPr="00AC36A8">
        <w:rPr>
          <w:rFonts w:ascii="Arial" w:hAnsi="Arial" w:cs="Arial"/>
          <w:sz w:val="22"/>
          <w:szCs w:val="22"/>
        </w:rPr>
        <w:t xml:space="preserve"> pupil voice hol</w:t>
      </w:r>
      <w:r w:rsidR="00023557" w:rsidRPr="00AC36A8">
        <w:rPr>
          <w:rFonts w:ascii="Arial" w:hAnsi="Arial" w:cs="Arial"/>
          <w:sz w:val="22"/>
          <w:szCs w:val="22"/>
        </w:rPr>
        <w:t>d</w:t>
      </w:r>
      <w:r w:rsidRPr="00AC36A8">
        <w:rPr>
          <w:rFonts w:ascii="Arial" w:hAnsi="Arial" w:cs="Arial"/>
          <w:sz w:val="22"/>
          <w:szCs w:val="22"/>
        </w:rPr>
        <w:t xml:space="preserve">s promise </w:t>
      </w:r>
      <w:r w:rsidR="00023557" w:rsidRPr="00AC36A8">
        <w:rPr>
          <w:rFonts w:ascii="Arial" w:hAnsi="Arial" w:cs="Arial"/>
          <w:sz w:val="22"/>
          <w:szCs w:val="22"/>
        </w:rPr>
        <w:t>to</w:t>
      </w:r>
      <w:r w:rsidRPr="00AC36A8">
        <w:rPr>
          <w:rFonts w:ascii="Arial" w:hAnsi="Arial" w:cs="Arial"/>
          <w:sz w:val="22"/>
          <w:szCs w:val="22"/>
        </w:rPr>
        <w:t xml:space="preserve"> enhanc</w:t>
      </w:r>
      <w:r w:rsidR="00023557" w:rsidRPr="00AC36A8">
        <w:rPr>
          <w:rFonts w:ascii="Arial" w:hAnsi="Arial" w:cs="Arial"/>
          <w:sz w:val="22"/>
          <w:szCs w:val="22"/>
        </w:rPr>
        <w:t>e</w:t>
      </w:r>
      <w:r w:rsidRPr="00AC36A8">
        <w:rPr>
          <w:rFonts w:ascii="Arial" w:hAnsi="Arial" w:cs="Arial"/>
          <w:sz w:val="22"/>
          <w:szCs w:val="22"/>
        </w:rPr>
        <w:t xml:space="preserve"> student engagement and autonomy, critical examination is necessary to ensure effective implementation aligns with National policies and frameworks. </w:t>
      </w:r>
    </w:p>
    <w:p w14:paraId="3A3A8A7A" w14:textId="77777777" w:rsidR="007B25AD" w:rsidRPr="00AC36A8" w:rsidRDefault="007B25AD" w:rsidP="00831087">
      <w:pPr>
        <w:spacing w:line="480" w:lineRule="auto"/>
        <w:rPr>
          <w:rFonts w:ascii="Arial" w:hAnsi="Arial" w:cs="Arial"/>
          <w:sz w:val="22"/>
          <w:szCs w:val="22"/>
        </w:rPr>
      </w:pPr>
    </w:p>
    <w:p w14:paraId="7A944712" w14:textId="0BCE0FFB" w:rsidR="007B25AD" w:rsidRPr="00AC36A8" w:rsidRDefault="007B25AD" w:rsidP="00831087">
      <w:pPr>
        <w:spacing w:line="480" w:lineRule="auto"/>
        <w:rPr>
          <w:rFonts w:ascii="Arial" w:hAnsi="Arial" w:cs="Arial"/>
          <w:sz w:val="22"/>
          <w:szCs w:val="22"/>
        </w:rPr>
      </w:pPr>
      <w:r w:rsidRPr="00AC36A8">
        <w:rPr>
          <w:rFonts w:ascii="Arial" w:hAnsi="Arial" w:cs="Arial"/>
          <w:sz w:val="22"/>
          <w:szCs w:val="22"/>
        </w:rPr>
        <w:t xml:space="preserve">In Wales, several key policies and legislation underscore the importance of pupil voice and student </w:t>
      </w:r>
      <w:r w:rsidR="00023557" w:rsidRPr="00AC36A8">
        <w:rPr>
          <w:rFonts w:ascii="Arial" w:hAnsi="Arial" w:cs="Arial"/>
          <w:sz w:val="22"/>
          <w:szCs w:val="22"/>
        </w:rPr>
        <w:t>engagement</w:t>
      </w:r>
      <w:r w:rsidRPr="00AC36A8">
        <w:rPr>
          <w:rFonts w:ascii="Arial" w:hAnsi="Arial" w:cs="Arial"/>
          <w:sz w:val="22"/>
          <w:szCs w:val="22"/>
        </w:rPr>
        <w:t xml:space="preserve"> within schools. One significant document is the Welsh Government (WG)’s ‘National Model for Regional Working: A Learning Wales’ (</w:t>
      </w:r>
      <w:r w:rsidR="002257E3">
        <w:rPr>
          <w:rFonts w:ascii="Arial" w:hAnsi="Arial" w:cs="Arial"/>
          <w:sz w:val="22"/>
          <w:szCs w:val="22"/>
        </w:rPr>
        <w:t>WG (a), 2015</w:t>
      </w:r>
      <w:r w:rsidRPr="00AC36A8">
        <w:rPr>
          <w:rFonts w:ascii="Arial" w:hAnsi="Arial" w:cs="Arial"/>
          <w:sz w:val="22"/>
          <w:szCs w:val="22"/>
        </w:rPr>
        <w:t>)</w:t>
      </w:r>
      <w:r w:rsidR="001D5E70" w:rsidRPr="00AC36A8">
        <w:rPr>
          <w:rFonts w:ascii="Arial" w:hAnsi="Arial" w:cs="Arial"/>
          <w:sz w:val="22"/>
          <w:szCs w:val="22"/>
        </w:rPr>
        <w:t xml:space="preserve">. The document emphasises the collaborative involvement of learners, parents and communities in shaping educational practices and policies. </w:t>
      </w:r>
      <w:r w:rsidR="00023557" w:rsidRPr="00AC36A8">
        <w:rPr>
          <w:rFonts w:ascii="Arial" w:hAnsi="Arial" w:cs="Arial"/>
          <w:sz w:val="22"/>
          <w:szCs w:val="22"/>
        </w:rPr>
        <w:t>This aligns with the Well-being of Future Generations (Wales) Act (2015) (</w:t>
      </w:r>
      <w:r w:rsidR="002257E3">
        <w:rPr>
          <w:rFonts w:ascii="Arial" w:hAnsi="Arial" w:cs="Arial"/>
          <w:sz w:val="22"/>
          <w:szCs w:val="22"/>
        </w:rPr>
        <w:t>WG (b), 2015</w:t>
      </w:r>
      <w:r w:rsidR="00023557" w:rsidRPr="00AC36A8">
        <w:rPr>
          <w:rFonts w:ascii="Arial" w:hAnsi="Arial" w:cs="Arial"/>
          <w:sz w:val="22"/>
          <w:szCs w:val="22"/>
        </w:rPr>
        <w:t>), which places a strong emphasis on the involvement of children in decision-making processes that affect their futures (ibid.). The act requires schools to consider the view</w:t>
      </w:r>
      <w:r w:rsidR="00C445E7">
        <w:rPr>
          <w:rFonts w:ascii="Arial" w:hAnsi="Arial" w:cs="Arial"/>
          <w:sz w:val="22"/>
          <w:szCs w:val="22"/>
        </w:rPr>
        <w:t>s</w:t>
      </w:r>
      <w:r w:rsidR="00023557" w:rsidRPr="00AC36A8">
        <w:rPr>
          <w:rFonts w:ascii="Arial" w:hAnsi="Arial" w:cs="Arial"/>
          <w:sz w:val="22"/>
          <w:szCs w:val="22"/>
        </w:rPr>
        <w:t xml:space="preserve"> of children when making decisions that impact them. </w:t>
      </w:r>
      <w:r w:rsidR="00023557" w:rsidRPr="00AC36A8">
        <w:rPr>
          <w:rFonts w:ascii="Arial" w:hAnsi="Arial" w:cs="Arial"/>
          <w:sz w:val="22"/>
          <w:szCs w:val="22"/>
        </w:rPr>
        <w:lastRenderedPageBreak/>
        <w:t xml:space="preserve">Another crucial framework is the </w:t>
      </w:r>
      <w:r w:rsidR="001D5E70" w:rsidRPr="00AC36A8">
        <w:rPr>
          <w:rFonts w:ascii="Arial" w:hAnsi="Arial" w:cs="Arial"/>
          <w:sz w:val="22"/>
          <w:szCs w:val="22"/>
        </w:rPr>
        <w:t>WG (2022) Curriculum for Wales</w:t>
      </w:r>
      <w:r w:rsidR="00023557" w:rsidRPr="00AC36A8">
        <w:rPr>
          <w:rFonts w:ascii="Arial" w:hAnsi="Arial" w:cs="Arial"/>
          <w:sz w:val="22"/>
          <w:szCs w:val="22"/>
        </w:rPr>
        <w:t xml:space="preserve">, which </w:t>
      </w:r>
      <w:r w:rsidR="001D5E70" w:rsidRPr="00AC36A8">
        <w:rPr>
          <w:rFonts w:ascii="Arial" w:hAnsi="Arial" w:cs="Arial"/>
          <w:sz w:val="22"/>
          <w:szCs w:val="22"/>
        </w:rPr>
        <w:t xml:space="preserve">integrates pupil voice principles into curriculum development and delivery. The Curriculum for Wales advocates for learner-led approaches to teaching and learning, recognising the importance of child input in shaping their learning experiences (ibid.). </w:t>
      </w:r>
    </w:p>
    <w:p w14:paraId="1F4310A8" w14:textId="77777777" w:rsidR="001D5E70" w:rsidRPr="00AC36A8" w:rsidRDefault="001D5E70" w:rsidP="00831087">
      <w:pPr>
        <w:spacing w:line="480" w:lineRule="auto"/>
        <w:rPr>
          <w:rFonts w:ascii="Arial" w:hAnsi="Arial" w:cs="Arial"/>
          <w:sz w:val="22"/>
          <w:szCs w:val="22"/>
        </w:rPr>
      </w:pPr>
    </w:p>
    <w:p w14:paraId="15A2DC83" w14:textId="1D4EB1D6" w:rsidR="001D5E70" w:rsidRPr="00AC36A8" w:rsidRDefault="001D5E70" w:rsidP="00831087">
      <w:pPr>
        <w:spacing w:line="480" w:lineRule="auto"/>
        <w:rPr>
          <w:rFonts w:ascii="Arial" w:hAnsi="Arial" w:cs="Arial"/>
          <w:sz w:val="22"/>
          <w:szCs w:val="22"/>
        </w:rPr>
      </w:pPr>
      <w:r w:rsidRPr="00AC36A8">
        <w:rPr>
          <w:rFonts w:ascii="Arial" w:hAnsi="Arial" w:cs="Arial"/>
          <w:sz w:val="22"/>
          <w:szCs w:val="22"/>
        </w:rPr>
        <w:t>However, despite these policy directives, practical challenges persist in implementing pupil voice initiatives. For instance, whil</w:t>
      </w:r>
      <w:r w:rsidR="00023557" w:rsidRPr="00AC36A8">
        <w:rPr>
          <w:rFonts w:ascii="Arial" w:hAnsi="Arial" w:cs="Arial"/>
          <w:sz w:val="22"/>
          <w:szCs w:val="22"/>
        </w:rPr>
        <w:t>st</w:t>
      </w:r>
      <w:r w:rsidRPr="00AC36A8">
        <w:rPr>
          <w:rFonts w:ascii="Arial" w:hAnsi="Arial" w:cs="Arial"/>
          <w:sz w:val="22"/>
          <w:szCs w:val="22"/>
        </w:rPr>
        <w:t xml:space="preserve"> the </w:t>
      </w:r>
      <w:r w:rsidR="00023557" w:rsidRPr="00AC36A8">
        <w:rPr>
          <w:rFonts w:ascii="Arial" w:hAnsi="Arial" w:cs="Arial"/>
          <w:sz w:val="22"/>
          <w:szCs w:val="22"/>
        </w:rPr>
        <w:t xml:space="preserve">WG (2022) </w:t>
      </w:r>
      <w:r w:rsidRPr="00AC36A8">
        <w:rPr>
          <w:rFonts w:ascii="Arial" w:hAnsi="Arial" w:cs="Arial"/>
          <w:sz w:val="22"/>
          <w:szCs w:val="22"/>
        </w:rPr>
        <w:t xml:space="preserve">Curriculum for Wales encourages student participation, </w:t>
      </w:r>
      <w:r w:rsidR="0069775A">
        <w:rPr>
          <w:rFonts w:ascii="Arial" w:hAnsi="Arial" w:cs="Arial"/>
          <w:sz w:val="22"/>
          <w:szCs w:val="22"/>
        </w:rPr>
        <w:t xml:space="preserve">Knight and Crick </w:t>
      </w:r>
      <w:r w:rsidRPr="00AC36A8">
        <w:rPr>
          <w:rFonts w:ascii="Arial" w:hAnsi="Arial" w:cs="Arial"/>
          <w:sz w:val="22"/>
          <w:szCs w:val="22"/>
        </w:rPr>
        <w:t>(</w:t>
      </w:r>
      <w:r w:rsidR="0069775A">
        <w:rPr>
          <w:rFonts w:ascii="Arial" w:hAnsi="Arial" w:cs="Arial"/>
          <w:sz w:val="22"/>
          <w:szCs w:val="22"/>
        </w:rPr>
        <w:t>2022</w:t>
      </w:r>
      <w:r w:rsidRPr="00AC36A8">
        <w:rPr>
          <w:rFonts w:ascii="Arial" w:hAnsi="Arial" w:cs="Arial"/>
          <w:sz w:val="22"/>
          <w:szCs w:val="22"/>
        </w:rPr>
        <w:t>) considers that it lacks specific guidance on how to effectively incorporate diverse student voice, particularly those with ALN (</w:t>
      </w:r>
      <w:r w:rsidR="00262C73">
        <w:rPr>
          <w:rFonts w:ascii="Arial" w:hAnsi="Arial" w:cs="Arial"/>
          <w:sz w:val="22"/>
          <w:szCs w:val="22"/>
        </w:rPr>
        <w:t>Thomas, et al, 2023</w:t>
      </w:r>
      <w:r w:rsidRPr="00AC36A8">
        <w:rPr>
          <w:rFonts w:ascii="Arial" w:hAnsi="Arial" w:cs="Arial"/>
          <w:sz w:val="22"/>
          <w:szCs w:val="22"/>
        </w:rPr>
        <w:t xml:space="preserve">). </w:t>
      </w:r>
      <w:r w:rsidR="00262C73">
        <w:rPr>
          <w:rFonts w:ascii="Arial" w:hAnsi="Arial" w:cs="Arial"/>
          <w:sz w:val="22"/>
          <w:szCs w:val="22"/>
        </w:rPr>
        <w:t xml:space="preserve">Conner </w:t>
      </w:r>
      <w:r w:rsidRPr="00AC36A8">
        <w:rPr>
          <w:rFonts w:ascii="Arial" w:hAnsi="Arial" w:cs="Arial"/>
          <w:sz w:val="22"/>
          <w:szCs w:val="22"/>
        </w:rPr>
        <w:t>(</w:t>
      </w:r>
      <w:r w:rsidR="00262C73">
        <w:rPr>
          <w:rFonts w:ascii="Arial" w:hAnsi="Arial" w:cs="Arial"/>
          <w:sz w:val="22"/>
          <w:szCs w:val="22"/>
        </w:rPr>
        <w:t>2022</w:t>
      </w:r>
      <w:r w:rsidRPr="00AC36A8">
        <w:rPr>
          <w:rFonts w:ascii="Arial" w:hAnsi="Arial" w:cs="Arial"/>
          <w:sz w:val="22"/>
          <w:szCs w:val="22"/>
        </w:rPr>
        <w:t xml:space="preserve">) extends that there may be tensions between promoting pupil voice and maintaining traditional power structures within schools, which could hinder the effective implementation of </w:t>
      </w:r>
      <w:r w:rsidR="00023557" w:rsidRPr="00AC36A8">
        <w:rPr>
          <w:rFonts w:ascii="Arial" w:hAnsi="Arial" w:cs="Arial"/>
          <w:sz w:val="22"/>
          <w:szCs w:val="22"/>
        </w:rPr>
        <w:t>pupil voice</w:t>
      </w:r>
      <w:r w:rsidRPr="00AC36A8">
        <w:rPr>
          <w:rFonts w:ascii="Arial" w:hAnsi="Arial" w:cs="Arial"/>
          <w:sz w:val="22"/>
          <w:szCs w:val="22"/>
        </w:rPr>
        <w:t xml:space="preserve">. Furthermore, whilst policies may promote the implementation of pupil voice, resource limitation can </w:t>
      </w:r>
      <w:r w:rsidR="00023557" w:rsidRPr="00AC36A8">
        <w:rPr>
          <w:rFonts w:ascii="Arial" w:hAnsi="Arial" w:cs="Arial"/>
          <w:sz w:val="22"/>
          <w:szCs w:val="22"/>
        </w:rPr>
        <w:t xml:space="preserve">create </w:t>
      </w:r>
      <w:r w:rsidRPr="00AC36A8">
        <w:rPr>
          <w:rFonts w:ascii="Arial" w:hAnsi="Arial" w:cs="Arial"/>
          <w:sz w:val="22"/>
          <w:szCs w:val="22"/>
        </w:rPr>
        <w:t xml:space="preserve">barriers to </w:t>
      </w:r>
      <w:r w:rsidR="00023557" w:rsidRPr="00AC36A8">
        <w:rPr>
          <w:rFonts w:ascii="Arial" w:hAnsi="Arial" w:cs="Arial"/>
          <w:sz w:val="22"/>
          <w:szCs w:val="22"/>
        </w:rPr>
        <w:t>the</w:t>
      </w:r>
      <w:r w:rsidRPr="00AC36A8">
        <w:rPr>
          <w:rFonts w:ascii="Arial" w:hAnsi="Arial" w:cs="Arial"/>
          <w:sz w:val="22"/>
          <w:szCs w:val="22"/>
        </w:rPr>
        <w:t xml:space="preserve"> implementation </w:t>
      </w:r>
      <w:r w:rsidR="00023557" w:rsidRPr="00AC36A8">
        <w:rPr>
          <w:rFonts w:ascii="Arial" w:hAnsi="Arial" w:cs="Arial"/>
          <w:sz w:val="22"/>
          <w:szCs w:val="22"/>
        </w:rPr>
        <w:t>of pupil voic</w:t>
      </w:r>
      <w:r w:rsidR="00C445E7">
        <w:rPr>
          <w:rFonts w:ascii="Arial" w:hAnsi="Arial" w:cs="Arial"/>
          <w:sz w:val="22"/>
          <w:szCs w:val="22"/>
        </w:rPr>
        <w:t>e</w:t>
      </w:r>
      <w:r w:rsidR="00023557" w:rsidRPr="00AC36A8">
        <w:rPr>
          <w:rFonts w:ascii="Arial" w:hAnsi="Arial" w:cs="Arial"/>
          <w:sz w:val="22"/>
          <w:szCs w:val="22"/>
        </w:rPr>
        <w:t xml:space="preserve"> </w:t>
      </w:r>
      <w:r w:rsidRPr="00AC36A8">
        <w:rPr>
          <w:rFonts w:ascii="Arial" w:hAnsi="Arial" w:cs="Arial"/>
          <w:sz w:val="22"/>
          <w:szCs w:val="22"/>
        </w:rPr>
        <w:t>(</w:t>
      </w:r>
      <w:r w:rsidR="00262C73">
        <w:rPr>
          <w:rFonts w:ascii="Arial" w:hAnsi="Arial" w:cs="Arial"/>
          <w:sz w:val="22"/>
          <w:szCs w:val="22"/>
        </w:rPr>
        <w:t>Fitzgerald and Maconochie, 2019</w:t>
      </w:r>
      <w:r w:rsidR="00A94767" w:rsidRPr="00AC36A8">
        <w:rPr>
          <w:rFonts w:ascii="Arial" w:hAnsi="Arial" w:cs="Arial"/>
          <w:sz w:val="22"/>
          <w:szCs w:val="22"/>
        </w:rPr>
        <w:t>). Schools may struggle to provide adequate support and accommodations for students to participat</w:t>
      </w:r>
      <w:r w:rsidR="00262C73">
        <w:rPr>
          <w:rFonts w:ascii="Arial" w:hAnsi="Arial" w:cs="Arial"/>
          <w:sz w:val="22"/>
          <w:szCs w:val="22"/>
        </w:rPr>
        <w:t>e</w:t>
      </w:r>
      <w:r w:rsidR="00A94767" w:rsidRPr="00AC36A8">
        <w:rPr>
          <w:rFonts w:ascii="Arial" w:hAnsi="Arial" w:cs="Arial"/>
          <w:sz w:val="22"/>
          <w:szCs w:val="22"/>
        </w:rPr>
        <w:t xml:space="preserve"> meaningfully in decision-making processes, especially </w:t>
      </w:r>
      <w:r w:rsidR="00023557" w:rsidRPr="00AC36A8">
        <w:rPr>
          <w:rFonts w:ascii="Arial" w:hAnsi="Arial" w:cs="Arial"/>
          <w:sz w:val="22"/>
          <w:szCs w:val="22"/>
        </w:rPr>
        <w:t xml:space="preserve">when </w:t>
      </w:r>
      <w:r w:rsidR="00A94767" w:rsidRPr="00AC36A8">
        <w:rPr>
          <w:rFonts w:ascii="Arial" w:hAnsi="Arial" w:cs="Arial"/>
          <w:sz w:val="22"/>
          <w:szCs w:val="22"/>
        </w:rPr>
        <w:t>considering the needs of each individual child.</w:t>
      </w:r>
    </w:p>
    <w:p w14:paraId="08259584" w14:textId="77777777" w:rsidR="00966742" w:rsidRPr="00AC36A8" w:rsidRDefault="00966742" w:rsidP="00831087">
      <w:pPr>
        <w:spacing w:line="480" w:lineRule="auto"/>
        <w:rPr>
          <w:rFonts w:ascii="Arial" w:hAnsi="Arial" w:cs="Arial"/>
          <w:sz w:val="22"/>
          <w:szCs w:val="22"/>
        </w:rPr>
      </w:pPr>
    </w:p>
    <w:p w14:paraId="1619ABDF" w14:textId="40791B5C" w:rsidR="00966742" w:rsidRPr="00AC36A8" w:rsidRDefault="00966742" w:rsidP="00831087">
      <w:pPr>
        <w:spacing w:line="480" w:lineRule="auto"/>
        <w:rPr>
          <w:rFonts w:ascii="Arial" w:hAnsi="Arial" w:cs="Arial"/>
          <w:sz w:val="22"/>
          <w:szCs w:val="22"/>
        </w:rPr>
      </w:pPr>
      <w:r w:rsidRPr="00AC36A8">
        <w:rPr>
          <w:rFonts w:ascii="Arial" w:hAnsi="Arial" w:cs="Arial"/>
          <w:sz w:val="22"/>
          <w:szCs w:val="22"/>
        </w:rPr>
        <w:t>Such ideas align with the criticisms of using pupil voice in education. Schools may avoid embracing pupil voice initiatives due to fears of disrupting established power dynamic</w:t>
      </w:r>
      <w:r w:rsidR="00C445E7">
        <w:rPr>
          <w:rFonts w:ascii="Arial" w:hAnsi="Arial" w:cs="Arial"/>
          <w:sz w:val="22"/>
          <w:szCs w:val="22"/>
        </w:rPr>
        <w:t xml:space="preserve">s </w:t>
      </w:r>
      <w:r w:rsidRPr="00AC36A8">
        <w:rPr>
          <w:rFonts w:ascii="Arial" w:hAnsi="Arial" w:cs="Arial"/>
          <w:sz w:val="22"/>
          <w:szCs w:val="22"/>
        </w:rPr>
        <w:t xml:space="preserve"> (</w:t>
      </w:r>
      <w:r w:rsidR="00262C73">
        <w:rPr>
          <w:rFonts w:ascii="Arial" w:hAnsi="Arial" w:cs="Arial"/>
          <w:sz w:val="22"/>
          <w:szCs w:val="22"/>
        </w:rPr>
        <w:t>Department for Education, 2010</w:t>
      </w:r>
      <w:r w:rsidRPr="00AC36A8">
        <w:rPr>
          <w:rFonts w:ascii="Arial" w:hAnsi="Arial" w:cs="Arial"/>
          <w:sz w:val="22"/>
          <w:szCs w:val="22"/>
        </w:rPr>
        <w:t xml:space="preserve">). </w:t>
      </w:r>
      <w:r w:rsidR="00B776A4" w:rsidRPr="00AC36A8">
        <w:rPr>
          <w:rFonts w:ascii="Arial" w:hAnsi="Arial" w:cs="Arial"/>
          <w:sz w:val="22"/>
          <w:szCs w:val="22"/>
        </w:rPr>
        <w:t>Furthermore, the effectiveness of student voice may vary depending on the students’ developmental stages</w:t>
      </w:r>
      <w:r w:rsidR="00C445E7">
        <w:rPr>
          <w:rFonts w:ascii="Arial" w:hAnsi="Arial" w:cs="Arial"/>
          <w:sz w:val="22"/>
          <w:szCs w:val="22"/>
        </w:rPr>
        <w:t xml:space="preserve"> </w:t>
      </w:r>
      <w:r w:rsidR="00B776A4" w:rsidRPr="00AC36A8">
        <w:rPr>
          <w:rFonts w:ascii="Arial" w:hAnsi="Arial" w:cs="Arial"/>
          <w:sz w:val="22"/>
          <w:szCs w:val="22"/>
        </w:rPr>
        <w:t>and socio-economic backgrounds, raising questions about equity and inclusion (</w:t>
      </w:r>
      <w:r w:rsidR="002F0492">
        <w:rPr>
          <w:rFonts w:ascii="Arial" w:hAnsi="Arial" w:cs="Arial"/>
          <w:sz w:val="22"/>
          <w:szCs w:val="22"/>
        </w:rPr>
        <w:t>Skerritt, et al, 2023</w:t>
      </w:r>
      <w:r w:rsidR="00B776A4" w:rsidRPr="00AC36A8">
        <w:rPr>
          <w:rFonts w:ascii="Arial" w:hAnsi="Arial" w:cs="Arial"/>
          <w:sz w:val="22"/>
          <w:szCs w:val="22"/>
        </w:rPr>
        <w:t xml:space="preserve">). Whilst pupil voice </w:t>
      </w:r>
      <w:r w:rsidR="0066638A" w:rsidRPr="00AC36A8">
        <w:rPr>
          <w:rFonts w:ascii="Arial" w:hAnsi="Arial" w:cs="Arial"/>
          <w:sz w:val="22"/>
          <w:szCs w:val="22"/>
        </w:rPr>
        <w:t>indicates</w:t>
      </w:r>
      <w:r w:rsidR="00B776A4" w:rsidRPr="00AC36A8">
        <w:rPr>
          <w:rFonts w:ascii="Arial" w:hAnsi="Arial" w:cs="Arial"/>
          <w:sz w:val="22"/>
          <w:szCs w:val="22"/>
        </w:rPr>
        <w:t xml:space="preserve"> pupil engagement and empowerment, critical consideration of the limitations and challenges is essential for its effective implementation in the classroom (</w:t>
      </w:r>
      <w:r w:rsidR="002F0492">
        <w:rPr>
          <w:rFonts w:ascii="Arial" w:hAnsi="Arial" w:cs="Arial"/>
          <w:sz w:val="22"/>
          <w:szCs w:val="22"/>
        </w:rPr>
        <w:t>Wood, 2011</w:t>
      </w:r>
      <w:r w:rsidR="00B776A4" w:rsidRPr="00AC36A8">
        <w:rPr>
          <w:rFonts w:ascii="Arial" w:hAnsi="Arial" w:cs="Arial"/>
          <w:sz w:val="22"/>
          <w:szCs w:val="22"/>
        </w:rPr>
        <w:t xml:space="preserve">; </w:t>
      </w:r>
      <w:r w:rsidR="002F0492">
        <w:rPr>
          <w:rFonts w:ascii="Arial" w:hAnsi="Arial" w:cs="Arial"/>
          <w:sz w:val="22"/>
          <w:szCs w:val="22"/>
        </w:rPr>
        <w:t>Conner, 2022</w:t>
      </w:r>
      <w:r w:rsidR="00B776A4" w:rsidRPr="00AC36A8">
        <w:rPr>
          <w:rFonts w:ascii="Arial" w:hAnsi="Arial" w:cs="Arial"/>
          <w:sz w:val="22"/>
          <w:szCs w:val="22"/>
        </w:rPr>
        <w:t>).</w:t>
      </w:r>
    </w:p>
    <w:p w14:paraId="3AAB4FA2" w14:textId="77777777" w:rsidR="009B1BA4" w:rsidRPr="00AC36A8" w:rsidRDefault="009B1BA4" w:rsidP="00831087">
      <w:pPr>
        <w:spacing w:line="480" w:lineRule="auto"/>
        <w:rPr>
          <w:rFonts w:ascii="Arial" w:hAnsi="Arial" w:cs="Arial"/>
          <w:sz w:val="22"/>
          <w:szCs w:val="22"/>
        </w:rPr>
      </w:pPr>
    </w:p>
    <w:p w14:paraId="0040A13B" w14:textId="77777777" w:rsidR="008F6A65" w:rsidRDefault="009B1BA4" w:rsidP="00831087">
      <w:pPr>
        <w:spacing w:line="480" w:lineRule="auto"/>
        <w:rPr>
          <w:rFonts w:ascii="Arial" w:hAnsi="Arial" w:cs="Arial"/>
          <w:sz w:val="22"/>
          <w:szCs w:val="22"/>
        </w:rPr>
      </w:pPr>
      <w:r w:rsidRPr="00AC36A8">
        <w:rPr>
          <w:rFonts w:ascii="Arial" w:hAnsi="Arial" w:cs="Arial"/>
          <w:sz w:val="22"/>
          <w:szCs w:val="22"/>
        </w:rPr>
        <w:t>In the context of the WG (2022) Curriculum for Wales, the integration of pupil voice represents a fundamental shift towards learner-centred approaches as opposed to traditional approaches to education (</w:t>
      </w:r>
      <w:proofErr w:type="spellStart"/>
      <w:r w:rsidR="002F0492">
        <w:rPr>
          <w:rFonts w:ascii="Arial" w:hAnsi="Arial" w:cs="Arial"/>
          <w:sz w:val="22"/>
          <w:szCs w:val="22"/>
        </w:rPr>
        <w:t>Bremner</w:t>
      </w:r>
      <w:proofErr w:type="spellEnd"/>
      <w:r w:rsidR="002F0492">
        <w:rPr>
          <w:rFonts w:ascii="Arial" w:hAnsi="Arial" w:cs="Arial"/>
          <w:sz w:val="22"/>
          <w:szCs w:val="22"/>
        </w:rPr>
        <w:t>, et al, 2022</w:t>
      </w:r>
      <w:r w:rsidRPr="00AC36A8">
        <w:rPr>
          <w:rFonts w:ascii="Arial" w:hAnsi="Arial" w:cs="Arial"/>
          <w:sz w:val="22"/>
          <w:szCs w:val="22"/>
        </w:rPr>
        <w:t xml:space="preserve">). Initiatives including student councils are </w:t>
      </w:r>
      <w:r w:rsidRPr="00AC36A8">
        <w:rPr>
          <w:rFonts w:ascii="Arial" w:hAnsi="Arial" w:cs="Arial"/>
          <w:sz w:val="22"/>
          <w:szCs w:val="22"/>
        </w:rPr>
        <w:lastRenderedPageBreak/>
        <w:t>often appraised for their potential to empower students and promote their active involvement in decision-making processes</w:t>
      </w:r>
      <w:r w:rsidR="00F832AD">
        <w:rPr>
          <w:rFonts w:ascii="Arial" w:hAnsi="Arial" w:cs="Arial"/>
          <w:sz w:val="22"/>
          <w:szCs w:val="22"/>
        </w:rPr>
        <w:t xml:space="preserve">. </w:t>
      </w:r>
      <w:r w:rsidRPr="00AC36A8">
        <w:rPr>
          <w:rFonts w:ascii="Arial" w:hAnsi="Arial" w:cs="Arial"/>
          <w:sz w:val="22"/>
          <w:szCs w:val="22"/>
        </w:rPr>
        <w:t xml:space="preserve">However, whilst </w:t>
      </w:r>
      <w:proofErr w:type="spellStart"/>
      <w:r w:rsidR="00507C8F">
        <w:rPr>
          <w:rFonts w:ascii="Arial" w:hAnsi="Arial" w:cs="Arial"/>
          <w:sz w:val="22"/>
          <w:szCs w:val="22"/>
        </w:rPr>
        <w:t>Holquist</w:t>
      </w:r>
      <w:proofErr w:type="spellEnd"/>
      <w:r w:rsidR="00507C8F">
        <w:rPr>
          <w:rFonts w:ascii="Arial" w:hAnsi="Arial" w:cs="Arial"/>
          <w:sz w:val="22"/>
          <w:szCs w:val="22"/>
        </w:rPr>
        <w:t xml:space="preserve">, et al, </w:t>
      </w:r>
      <w:r w:rsidRPr="00AC36A8">
        <w:rPr>
          <w:rFonts w:ascii="Arial" w:hAnsi="Arial" w:cs="Arial"/>
          <w:sz w:val="22"/>
          <w:szCs w:val="22"/>
        </w:rPr>
        <w:t>(</w:t>
      </w:r>
      <w:r w:rsidR="00507C8F">
        <w:rPr>
          <w:rFonts w:ascii="Arial" w:hAnsi="Arial" w:cs="Arial"/>
          <w:sz w:val="22"/>
          <w:szCs w:val="22"/>
        </w:rPr>
        <w:t>2023</w:t>
      </w:r>
      <w:r w:rsidRPr="00AC36A8">
        <w:rPr>
          <w:rFonts w:ascii="Arial" w:hAnsi="Arial" w:cs="Arial"/>
          <w:sz w:val="22"/>
          <w:szCs w:val="22"/>
        </w:rPr>
        <w:t xml:space="preserve">) suggests that student councils provide a formal platform for students to voice their opinions and contribute to school governance, </w:t>
      </w:r>
      <w:r w:rsidR="00507C8F">
        <w:rPr>
          <w:rFonts w:ascii="Arial" w:hAnsi="Arial" w:cs="Arial"/>
          <w:sz w:val="22"/>
          <w:szCs w:val="22"/>
        </w:rPr>
        <w:t xml:space="preserve">Broom </w:t>
      </w:r>
      <w:r w:rsidRPr="00AC36A8">
        <w:rPr>
          <w:rFonts w:ascii="Arial" w:hAnsi="Arial" w:cs="Arial"/>
          <w:sz w:val="22"/>
          <w:szCs w:val="22"/>
        </w:rPr>
        <w:t>(</w:t>
      </w:r>
      <w:r w:rsidR="00507C8F">
        <w:rPr>
          <w:rFonts w:ascii="Arial" w:hAnsi="Arial" w:cs="Arial"/>
          <w:sz w:val="22"/>
          <w:szCs w:val="22"/>
        </w:rPr>
        <w:t>2015</w:t>
      </w:r>
      <w:r w:rsidRPr="00AC36A8">
        <w:rPr>
          <w:rFonts w:ascii="Arial" w:hAnsi="Arial" w:cs="Arial"/>
          <w:sz w:val="22"/>
          <w:szCs w:val="22"/>
        </w:rPr>
        <w:t xml:space="preserve">) argues </w:t>
      </w:r>
      <w:r w:rsidR="0066638A" w:rsidRPr="00AC36A8">
        <w:rPr>
          <w:rFonts w:ascii="Arial" w:hAnsi="Arial" w:cs="Arial"/>
          <w:sz w:val="22"/>
          <w:szCs w:val="22"/>
        </w:rPr>
        <w:t>the</w:t>
      </w:r>
      <w:r w:rsidRPr="00AC36A8">
        <w:rPr>
          <w:rFonts w:ascii="Arial" w:hAnsi="Arial" w:cs="Arial"/>
          <w:sz w:val="22"/>
          <w:szCs w:val="22"/>
        </w:rPr>
        <w:t xml:space="preserve"> effectiveness may vary depending on factors such as the true level of student empowerment and the extents to which their input i</w:t>
      </w:r>
      <w:r w:rsidR="0066638A" w:rsidRPr="00AC36A8">
        <w:rPr>
          <w:rFonts w:ascii="Arial" w:hAnsi="Arial" w:cs="Arial"/>
          <w:sz w:val="22"/>
          <w:szCs w:val="22"/>
        </w:rPr>
        <w:t>s</w:t>
      </w:r>
      <w:r w:rsidRPr="00AC36A8">
        <w:rPr>
          <w:rFonts w:ascii="Arial" w:hAnsi="Arial" w:cs="Arial"/>
          <w:sz w:val="22"/>
          <w:szCs w:val="22"/>
        </w:rPr>
        <w:t xml:space="preserve"> considered</w:t>
      </w:r>
      <w:r w:rsidR="0066638A" w:rsidRPr="00AC36A8">
        <w:rPr>
          <w:rFonts w:ascii="Arial" w:hAnsi="Arial" w:cs="Arial"/>
          <w:sz w:val="22"/>
          <w:szCs w:val="22"/>
        </w:rPr>
        <w:t>.</w:t>
      </w:r>
      <w:r w:rsidRPr="00AC36A8">
        <w:rPr>
          <w:rFonts w:ascii="Arial" w:hAnsi="Arial" w:cs="Arial"/>
          <w:sz w:val="22"/>
          <w:szCs w:val="22"/>
        </w:rPr>
        <w:t xml:space="preserve"> </w:t>
      </w:r>
    </w:p>
    <w:p w14:paraId="2E3C9A42" w14:textId="77777777" w:rsidR="008F6A65" w:rsidRDefault="008F6A65" w:rsidP="00831087">
      <w:pPr>
        <w:spacing w:line="480" w:lineRule="auto"/>
        <w:rPr>
          <w:rFonts w:ascii="Arial" w:hAnsi="Arial" w:cs="Arial"/>
          <w:sz w:val="22"/>
          <w:szCs w:val="22"/>
        </w:rPr>
      </w:pPr>
    </w:p>
    <w:p w14:paraId="06E9E3C9" w14:textId="16FDCEDD" w:rsidR="0066638A" w:rsidRPr="00AC36A8" w:rsidRDefault="009B1BA4" w:rsidP="00831087">
      <w:pPr>
        <w:spacing w:line="480" w:lineRule="auto"/>
        <w:rPr>
          <w:rFonts w:ascii="Arial" w:hAnsi="Arial" w:cs="Arial"/>
          <w:sz w:val="22"/>
          <w:szCs w:val="22"/>
        </w:rPr>
      </w:pPr>
      <w:r w:rsidRPr="00AC36A8">
        <w:rPr>
          <w:rFonts w:ascii="Arial" w:hAnsi="Arial" w:cs="Arial"/>
          <w:sz w:val="22"/>
          <w:szCs w:val="22"/>
        </w:rPr>
        <w:t>Whilst these initiatives may align with the principles of the WG (2022) Curriculum for Wales, there may be discrepancies between the promotion of pupil voice and its implementation in educational practices. The Curriculum for Wales emphasises the importance of learner participation in shaping educational experiences, including curriculum design, assessment and evaluation (ibid.). However, the extent to which students are involved in these processes may vary, raising questions about the fidelity of pupil voice implementation.</w:t>
      </w:r>
      <w:r w:rsidR="00780B24" w:rsidRPr="00AC36A8">
        <w:rPr>
          <w:rFonts w:ascii="Arial" w:hAnsi="Arial" w:cs="Arial"/>
          <w:sz w:val="22"/>
          <w:szCs w:val="22"/>
        </w:rPr>
        <w:t xml:space="preserve"> The framework in Wales emphasises the importance of pupil voice in influencing children’s engagement in their learning experiences (WG, 2022). Therefore, the more children’s input is considered, the more likely children are to engage with the curriculum. </w:t>
      </w:r>
      <w:r w:rsidR="00507C8F">
        <w:rPr>
          <w:rFonts w:ascii="Arial" w:hAnsi="Arial" w:cs="Arial"/>
          <w:sz w:val="22"/>
          <w:szCs w:val="22"/>
        </w:rPr>
        <w:t xml:space="preserve">Quaye </w:t>
      </w:r>
      <w:r w:rsidR="00780B24" w:rsidRPr="00AC36A8">
        <w:rPr>
          <w:rFonts w:ascii="Arial" w:hAnsi="Arial" w:cs="Arial"/>
          <w:sz w:val="22"/>
          <w:szCs w:val="22"/>
        </w:rPr>
        <w:t>(</w:t>
      </w:r>
      <w:r w:rsidR="00507C8F">
        <w:rPr>
          <w:rFonts w:ascii="Arial" w:hAnsi="Arial" w:cs="Arial"/>
          <w:sz w:val="22"/>
          <w:szCs w:val="22"/>
        </w:rPr>
        <w:t>2019</w:t>
      </w:r>
      <w:r w:rsidR="00780B24" w:rsidRPr="00AC36A8">
        <w:rPr>
          <w:rFonts w:ascii="Arial" w:hAnsi="Arial" w:cs="Arial"/>
          <w:sz w:val="22"/>
          <w:szCs w:val="22"/>
        </w:rPr>
        <w:t>) recognises that actively involving students in decision-making processes can significantly impact children’s motivation and participation. Schools in Wales are embedding a child-led approach to shape curriculum design, assessment and evaluation; valuing children’s perspectives to cater to children’s needs and interests</w:t>
      </w:r>
      <w:r w:rsidR="00507C8F">
        <w:rPr>
          <w:rFonts w:ascii="Arial" w:hAnsi="Arial" w:cs="Arial"/>
          <w:sz w:val="22"/>
          <w:szCs w:val="22"/>
        </w:rPr>
        <w:t>.</w:t>
      </w:r>
      <w:r w:rsidR="00780B24" w:rsidRPr="00AC36A8">
        <w:rPr>
          <w:rFonts w:ascii="Arial" w:hAnsi="Arial" w:cs="Arial"/>
          <w:sz w:val="22"/>
          <w:szCs w:val="22"/>
        </w:rPr>
        <w:t xml:space="preserve"> </w:t>
      </w:r>
    </w:p>
    <w:p w14:paraId="49EF5782" w14:textId="77777777" w:rsidR="0066638A" w:rsidRPr="00AC36A8" w:rsidRDefault="0066638A" w:rsidP="00831087">
      <w:pPr>
        <w:spacing w:line="480" w:lineRule="auto"/>
        <w:rPr>
          <w:rFonts w:ascii="Arial" w:hAnsi="Arial" w:cs="Arial"/>
          <w:sz w:val="22"/>
          <w:szCs w:val="22"/>
        </w:rPr>
      </w:pPr>
    </w:p>
    <w:p w14:paraId="7742B199" w14:textId="7DF205CA" w:rsidR="00780B24" w:rsidRPr="00AC36A8" w:rsidRDefault="0066638A" w:rsidP="00831087">
      <w:pPr>
        <w:spacing w:line="480" w:lineRule="auto"/>
        <w:rPr>
          <w:rFonts w:ascii="Arial" w:hAnsi="Arial" w:cs="Arial"/>
          <w:sz w:val="22"/>
          <w:szCs w:val="22"/>
        </w:rPr>
      </w:pPr>
      <w:r w:rsidRPr="00AC36A8">
        <w:rPr>
          <w:rFonts w:ascii="Arial" w:hAnsi="Arial" w:cs="Arial"/>
          <w:sz w:val="22"/>
          <w:szCs w:val="22"/>
        </w:rPr>
        <w:t>These values</w:t>
      </w:r>
      <w:r w:rsidR="00C04770" w:rsidRPr="00AC36A8">
        <w:rPr>
          <w:rFonts w:ascii="Arial" w:hAnsi="Arial" w:cs="Arial"/>
          <w:sz w:val="22"/>
          <w:szCs w:val="22"/>
        </w:rPr>
        <w:t xml:space="preserve"> align with the ideas of Deci and Richard’s Self-Determination Theory (SDT) and the Montessori approach (Bates, 2019). SDT emphasises the importance of intrinsic motivation, advocating for children’s active involvement (</w:t>
      </w:r>
      <w:proofErr w:type="spellStart"/>
      <w:r w:rsidR="00C04770" w:rsidRPr="00AC36A8">
        <w:rPr>
          <w:rFonts w:ascii="Arial" w:hAnsi="Arial" w:cs="Arial"/>
          <w:sz w:val="22"/>
          <w:szCs w:val="22"/>
        </w:rPr>
        <w:t>MacBlain</w:t>
      </w:r>
      <w:proofErr w:type="spellEnd"/>
      <w:r w:rsidR="00C04770" w:rsidRPr="00AC36A8">
        <w:rPr>
          <w:rFonts w:ascii="Arial" w:hAnsi="Arial" w:cs="Arial"/>
          <w:sz w:val="22"/>
          <w:szCs w:val="22"/>
        </w:rPr>
        <w:t xml:space="preserve">, 2018). Similarly, Montessori prioritises child-directed learning, emphasising the role of autonomy and independence in promoting holistic development (Aubrey and Riley, 2019). However, SDT’s focus on intrinsic motivation is criticised by </w:t>
      </w:r>
      <w:r w:rsidR="00507C8F">
        <w:rPr>
          <w:rFonts w:ascii="Arial" w:hAnsi="Arial" w:cs="Arial"/>
          <w:sz w:val="22"/>
          <w:szCs w:val="22"/>
        </w:rPr>
        <w:t>Broeck, et al, (2016</w:t>
      </w:r>
      <w:r w:rsidR="00C04770" w:rsidRPr="00AC36A8">
        <w:rPr>
          <w:rFonts w:ascii="Arial" w:hAnsi="Arial" w:cs="Arial"/>
          <w:sz w:val="22"/>
          <w:szCs w:val="22"/>
        </w:rPr>
        <w:t xml:space="preserve">) for overlooking external factors shaping student’s engagement, whereas </w:t>
      </w:r>
      <w:r w:rsidR="00E91EE7">
        <w:rPr>
          <w:rFonts w:ascii="Arial" w:hAnsi="Arial" w:cs="Arial"/>
          <w:sz w:val="22"/>
          <w:szCs w:val="22"/>
        </w:rPr>
        <w:t xml:space="preserve">Marshall </w:t>
      </w:r>
      <w:r w:rsidR="00C04770" w:rsidRPr="00AC36A8">
        <w:rPr>
          <w:rFonts w:ascii="Arial" w:hAnsi="Arial" w:cs="Arial"/>
          <w:sz w:val="22"/>
          <w:szCs w:val="22"/>
        </w:rPr>
        <w:t>(</w:t>
      </w:r>
      <w:r w:rsidR="00E91EE7">
        <w:rPr>
          <w:rFonts w:ascii="Arial" w:hAnsi="Arial" w:cs="Arial"/>
          <w:sz w:val="22"/>
          <w:szCs w:val="22"/>
        </w:rPr>
        <w:t>2017</w:t>
      </w:r>
      <w:r w:rsidR="00C04770" w:rsidRPr="00AC36A8">
        <w:rPr>
          <w:rFonts w:ascii="Arial" w:hAnsi="Arial" w:cs="Arial"/>
          <w:sz w:val="22"/>
          <w:szCs w:val="22"/>
        </w:rPr>
        <w:t xml:space="preserve">) criticises Montessori’s </w:t>
      </w:r>
      <w:r w:rsidRPr="00AC36A8">
        <w:rPr>
          <w:rFonts w:ascii="Arial" w:hAnsi="Arial" w:cs="Arial"/>
          <w:sz w:val="22"/>
          <w:szCs w:val="22"/>
        </w:rPr>
        <w:lastRenderedPageBreak/>
        <w:t xml:space="preserve">approach for the absence of formalised structures to student-led </w:t>
      </w:r>
      <w:r w:rsidR="00F42AEF" w:rsidRPr="00AC36A8">
        <w:rPr>
          <w:rFonts w:ascii="Arial" w:hAnsi="Arial" w:cs="Arial"/>
          <w:sz w:val="22"/>
          <w:szCs w:val="22"/>
        </w:rPr>
        <w:t>decision-making</w:t>
      </w:r>
      <w:r w:rsidRPr="00AC36A8">
        <w:rPr>
          <w:rFonts w:ascii="Arial" w:hAnsi="Arial" w:cs="Arial"/>
          <w:sz w:val="22"/>
          <w:szCs w:val="22"/>
        </w:rPr>
        <w:t xml:space="preserve"> processes, which is seen in modern practice with student councils.</w:t>
      </w:r>
    </w:p>
    <w:p w14:paraId="3BD789A6" w14:textId="77777777" w:rsidR="00780B24" w:rsidRPr="00AC36A8" w:rsidRDefault="00780B24" w:rsidP="00831087">
      <w:pPr>
        <w:spacing w:line="480" w:lineRule="auto"/>
        <w:rPr>
          <w:rFonts w:ascii="Arial" w:hAnsi="Arial" w:cs="Arial"/>
          <w:sz w:val="22"/>
          <w:szCs w:val="22"/>
        </w:rPr>
      </w:pPr>
    </w:p>
    <w:p w14:paraId="5EE4106A" w14:textId="1C5AC0BE" w:rsidR="0020472D" w:rsidRPr="00AC36A8" w:rsidRDefault="0020472D" w:rsidP="00831087">
      <w:pPr>
        <w:spacing w:line="480" w:lineRule="auto"/>
        <w:rPr>
          <w:rFonts w:ascii="Arial" w:hAnsi="Arial" w:cs="Arial"/>
          <w:sz w:val="22"/>
          <w:szCs w:val="22"/>
        </w:rPr>
      </w:pPr>
      <w:r w:rsidRPr="00AC36A8">
        <w:rPr>
          <w:rFonts w:ascii="Arial" w:hAnsi="Arial" w:cs="Arial"/>
          <w:sz w:val="22"/>
          <w:szCs w:val="22"/>
        </w:rPr>
        <w:t>Research by</w:t>
      </w:r>
      <w:r w:rsidR="00E91EE7">
        <w:rPr>
          <w:rFonts w:ascii="Arial" w:hAnsi="Arial" w:cs="Arial"/>
          <w:sz w:val="22"/>
          <w:szCs w:val="22"/>
        </w:rPr>
        <w:t xml:space="preserve"> Conner</w:t>
      </w:r>
      <w:r w:rsidRPr="00AC36A8">
        <w:rPr>
          <w:rFonts w:ascii="Arial" w:hAnsi="Arial" w:cs="Arial"/>
          <w:sz w:val="22"/>
          <w:szCs w:val="22"/>
        </w:rPr>
        <w:t xml:space="preserve"> (</w:t>
      </w:r>
      <w:r w:rsidR="00E91EE7">
        <w:rPr>
          <w:rFonts w:ascii="Arial" w:hAnsi="Arial" w:cs="Arial"/>
          <w:sz w:val="22"/>
          <w:szCs w:val="22"/>
        </w:rPr>
        <w:t>2022)</w:t>
      </w:r>
      <w:r w:rsidRPr="00AC36A8">
        <w:rPr>
          <w:rFonts w:ascii="Arial" w:hAnsi="Arial" w:cs="Arial"/>
          <w:sz w:val="22"/>
          <w:szCs w:val="22"/>
        </w:rPr>
        <w:t xml:space="preserve"> have shown associations between the implementation of pupil voice in the classroom with student engagement. Such associations include increased attendance, participation and academic attainment (ibid.). By involving children in decision-making processes, schools can create a more inclusive and responsive learning environment, fostering a sense of ownership among </w:t>
      </w:r>
      <w:r w:rsidR="00C445E7">
        <w:rPr>
          <w:rFonts w:ascii="Arial" w:hAnsi="Arial" w:cs="Arial"/>
          <w:sz w:val="22"/>
          <w:szCs w:val="22"/>
        </w:rPr>
        <w:t>learners</w:t>
      </w:r>
      <w:r w:rsidRPr="00AC36A8">
        <w:rPr>
          <w:rFonts w:ascii="Arial" w:hAnsi="Arial" w:cs="Arial"/>
          <w:sz w:val="22"/>
          <w:szCs w:val="22"/>
        </w:rPr>
        <w:t>. However, the impact of pupil voice can be contingent upon the extent of student empowerment and the receptiveness of student input (</w:t>
      </w:r>
      <w:r w:rsidR="00E91EE7">
        <w:rPr>
          <w:rFonts w:ascii="Arial" w:hAnsi="Arial" w:cs="Arial"/>
          <w:sz w:val="22"/>
          <w:szCs w:val="22"/>
        </w:rPr>
        <w:t>Fitzgerald and Maconochie, 2019</w:t>
      </w:r>
      <w:r w:rsidRPr="00AC36A8">
        <w:rPr>
          <w:rFonts w:ascii="Arial" w:hAnsi="Arial" w:cs="Arial"/>
          <w:sz w:val="22"/>
          <w:szCs w:val="22"/>
        </w:rPr>
        <w:t>). Traditional, teacher directed approaches on pupil voice may inadvertently undermine the effectiveness, leading to misalignment among children and a lack of trust in the initiatives (</w:t>
      </w:r>
      <w:r w:rsidR="00E91EE7">
        <w:rPr>
          <w:rFonts w:ascii="Arial" w:hAnsi="Arial" w:cs="Arial"/>
          <w:sz w:val="22"/>
          <w:szCs w:val="22"/>
        </w:rPr>
        <w:t>Shah, 2019</w:t>
      </w:r>
      <w:r w:rsidRPr="00AC36A8">
        <w:rPr>
          <w:rFonts w:ascii="Arial" w:hAnsi="Arial" w:cs="Arial"/>
          <w:sz w:val="22"/>
          <w:szCs w:val="22"/>
        </w:rPr>
        <w:t>)</w:t>
      </w:r>
      <w:r w:rsidR="00023557" w:rsidRPr="00AC36A8">
        <w:rPr>
          <w:rFonts w:ascii="Arial" w:hAnsi="Arial" w:cs="Arial"/>
          <w:sz w:val="22"/>
          <w:szCs w:val="22"/>
        </w:rPr>
        <w:t>.</w:t>
      </w:r>
    </w:p>
    <w:p w14:paraId="4B7B0C9E" w14:textId="77777777" w:rsidR="00831087" w:rsidRDefault="00831087" w:rsidP="00C44E98">
      <w:pPr>
        <w:spacing w:line="480" w:lineRule="auto"/>
        <w:rPr>
          <w:rFonts w:ascii="Arial" w:hAnsi="Arial" w:cs="Arial"/>
        </w:rPr>
      </w:pPr>
    </w:p>
    <w:p w14:paraId="717EE64E" w14:textId="6DAA78BA" w:rsidR="00C44E98" w:rsidRPr="00E60181" w:rsidRDefault="00C44E98" w:rsidP="00C44E98">
      <w:pPr>
        <w:spacing w:line="480" w:lineRule="auto"/>
        <w:rPr>
          <w:rFonts w:ascii="Arial" w:hAnsi="Arial" w:cs="Arial"/>
          <w:b/>
          <w:bCs/>
          <w:sz w:val="28"/>
          <w:szCs w:val="28"/>
        </w:rPr>
      </w:pPr>
      <w:r w:rsidRPr="00E60181">
        <w:rPr>
          <w:rFonts w:ascii="Arial" w:hAnsi="Arial" w:cs="Arial"/>
          <w:b/>
          <w:bCs/>
          <w:sz w:val="28"/>
          <w:szCs w:val="28"/>
        </w:rPr>
        <w:t xml:space="preserve">Explanation of Case Study </w:t>
      </w:r>
    </w:p>
    <w:p w14:paraId="345485C7" w14:textId="3D96B7AE" w:rsidR="008F20C7" w:rsidRDefault="00F42AEF" w:rsidP="00F42AEF">
      <w:pPr>
        <w:spacing w:line="480" w:lineRule="auto"/>
        <w:rPr>
          <w:rFonts w:ascii="Arial" w:hAnsi="Arial" w:cs="Arial"/>
          <w:sz w:val="22"/>
          <w:szCs w:val="22"/>
        </w:rPr>
      </w:pPr>
      <w:r>
        <w:rPr>
          <w:rFonts w:ascii="Arial" w:hAnsi="Arial" w:cs="Arial"/>
          <w:sz w:val="22"/>
          <w:szCs w:val="22"/>
        </w:rPr>
        <w:t>To further explore the effectiveness of the implementation of such initiatives, a case study approach is suited to explore the research question of how learners in Year 2 perceive pupil voice on enhanced provision</w:t>
      </w:r>
      <w:r w:rsidR="00AE4521">
        <w:rPr>
          <w:rFonts w:ascii="Arial" w:hAnsi="Arial" w:cs="Arial"/>
          <w:sz w:val="22"/>
          <w:szCs w:val="22"/>
        </w:rPr>
        <w:t xml:space="preserve"> and the impact on engagement</w:t>
      </w:r>
      <w:r>
        <w:rPr>
          <w:rFonts w:ascii="Arial" w:hAnsi="Arial" w:cs="Arial"/>
          <w:sz w:val="22"/>
          <w:szCs w:val="22"/>
        </w:rPr>
        <w:t xml:space="preserve">. Case study research entails a detailed examination of specific instance within real-life context, allowing for an in-depth understanding of complex dynamics. According to Yin (2014), case studies are appropriate when investigating how questions, aligning with exploratory nature of this research. </w:t>
      </w:r>
      <w:r w:rsidR="00371793">
        <w:rPr>
          <w:rFonts w:ascii="Arial" w:hAnsi="Arial" w:cs="Arial"/>
          <w:sz w:val="22"/>
          <w:szCs w:val="22"/>
        </w:rPr>
        <w:t xml:space="preserve">Crowe, et al, </w:t>
      </w:r>
      <w:r w:rsidR="008165D5">
        <w:rPr>
          <w:rFonts w:ascii="Arial" w:hAnsi="Arial" w:cs="Arial"/>
          <w:sz w:val="22"/>
          <w:szCs w:val="22"/>
        </w:rPr>
        <w:t>(</w:t>
      </w:r>
      <w:r w:rsidR="00371793">
        <w:rPr>
          <w:rFonts w:ascii="Arial" w:hAnsi="Arial" w:cs="Arial"/>
          <w:sz w:val="22"/>
          <w:szCs w:val="22"/>
        </w:rPr>
        <w:t>2011</w:t>
      </w:r>
      <w:r w:rsidR="008165D5">
        <w:rPr>
          <w:rFonts w:ascii="Arial" w:hAnsi="Arial" w:cs="Arial"/>
          <w:sz w:val="22"/>
          <w:szCs w:val="22"/>
        </w:rPr>
        <w:t>) outlines several strengths to the use of the case study approach, with one being the ability to provide rich, contextualised data that offers insights into the complexities of situations.</w:t>
      </w:r>
      <w:r w:rsidR="008F20C7">
        <w:rPr>
          <w:rFonts w:ascii="Arial" w:hAnsi="Arial" w:cs="Arial"/>
          <w:sz w:val="22"/>
          <w:szCs w:val="22"/>
        </w:rPr>
        <w:t xml:space="preserve"> </w:t>
      </w:r>
      <w:r w:rsidR="00371793">
        <w:rPr>
          <w:rFonts w:ascii="Arial" w:hAnsi="Arial" w:cs="Arial"/>
          <w:sz w:val="22"/>
          <w:szCs w:val="22"/>
        </w:rPr>
        <w:t xml:space="preserve">Priya </w:t>
      </w:r>
      <w:r w:rsidR="008F20C7">
        <w:rPr>
          <w:rFonts w:ascii="Arial" w:hAnsi="Arial" w:cs="Arial"/>
          <w:sz w:val="22"/>
          <w:szCs w:val="22"/>
        </w:rPr>
        <w:t>(</w:t>
      </w:r>
      <w:r w:rsidR="00371793">
        <w:rPr>
          <w:rFonts w:ascii="Arial" w:hAnsi="Arial" w:cs="Arial"/>
          <w:sz w:val="22"/>
          <w:szCs w:val="22"/>
        </w:rPr>
        <w:t>2020</w:t>
      </w:r>
      <w:r w:rsidR="008F20C7">
        <w:rPr>
          <w:rFonts w:ascii="Arial" w:hAnsi="Arial" w:cs="Arial"/>
          <w:sz w:val="22"/>
          <w:szCs w:val="22"/>
        </w:rPr>
        <w:t xml:space="preserve">) also highlights how case studies allow researchers to be immersed in interactions, behaviours and responses first hand, allowing for a holistic understanding of the exploration. </w:t>
      </w:r>
    </w:p>
    <w:p w14:paraId="051B3BE1" w14:textId="77777777" w:rsidR="008F20C7" w:rsidRDefault="008F20C7" w:rsidP="00F42AEF">
      <w:pPr>
        <w:spacing w:line="480" w:lineRule="auto"/>
        <w:rPr>
          <w:rFonts w:ascii="Arial" w:hAnsi="Arial" w:cs="Arial"/>
          <w:sz w:val="22"/>
          <w:szCs w:val="22"/>
        </w:rPr>
      </w:pPr>
    </w:p>
    <w:p w14:paraId="45778B52" w14:textId="065C1265" w:rsidR="008165D5" w:rsidRDefault="008F20C7" w:rsidP="00F42AEF">
      <w:pPr>
        <w:spacing w:line="480" w:lineRule="auto"/>
        <w:rPr>
          <w:rFonts w:ascii="Arial" w:hAnsi="Arial" w:cs="Arial"/>
          <w:sz w:val="22"/>
          <w:szCs w:val="22"/>
        </w:rPr>
      </w:pPr>
      <w:r>
        <w:rPr>
          <w:rFonts w:ascii="Arial" w:hAnsi="Arial" w:cs="Arial"/>
          <w:sz w:val="22"/>
          <w:szCs w:val="22"/>
        </w:rPr>
        <w:lastRenderedPageBreak/>
        <w:t xml:space="preserve">However, </w:t>
      </w:r>
      <w:r w:rsidR="00970302">
        <w:rPr>
          <w:rFonts w:ascii="Arial" w:hAnsi="Arial" w:cs="Arial"/>
          <w:sz w:val="22"/>
          <w:szCs w:val="22"/>
        </w:rPr>
        <w:t xml:space="preserve">Hyett, et al, </w:t>
      </w:r>
      <w:r>
        <w:rPr>
          <w:rFonts w:ascii="Arial" w:hAnsi="Arial" w:cs="Arial"/>
          <w:sz w:val="22"/>
          <w:szCs w:val="22"/>
        </w:rPr>
        <w:t>(</w:t>
      </w:r>
      <w:r w:rsidR="00970302">
        <w:rPr>
          <w:rFonts w:ascii="Arial" w:hAnsi="Arial" w:cs="Arial"/>
          <w:sz w:val="22"/>
          <w:szCs w:val="22"/>
        </w:rPr>
        <w:t>2014</w:t>
      </w:r>
      <w:r>
        <w:rPr>
          <w:rFonts w:ascii="Arial" w:hAnsi="Arial" w:cs="Arial"/>
          <w:sz w:val="22"/>
          <w:szCs w:val="22"/>
        </w:rPr>
        <w:t xml:space="preserve">) draws attention to the limitations of case studies, which include potential bias and challenges in maintaining objectivity. </w:t>
      </w:r>
      <w:r w:rsidR="00F42AEF">
        <w:rPr>
          <w:rFonts w:ascii="Arial" w:hAnsi="Arial" w:cs="Arial"/>
          <w:sz w:val="22"/>
          <w:szCs w:val="22"/>
        </w:rPr>
        <w:t>In this exploratory case study</w:t>
      </w:r>
      <w:r w:rsidR="008165D5">
        <w:rPr>
          <w:rFonts w:ascii="Arial" w:hAnsi="Arial" w:cs="Arial"/>
          <w:sz w:val="22"/>
          <w:szCs w:val="22"/>
        </w:rPr>
        <w:t>, the object of the study is children’s engagement levels</w:t>
      </w:r>
      <w:r>
        <w:rPr>
          <w:rFonts w:ascii="Arial" w:hAnsi="Arial" w:cs="Arial"/>
          <w:sz w:val="22"/>
          <w:szCs w:val="22"/>
        </w:rPr>
        <w:t xml:space="preserve">. </w:t>
      </w:r>
      <w:r w:rsidR="00970302">
        <w:rPr>
          <w:rFonts w:ascii="Arial" w:hAnsi="Arial" w:cs="Arial"/>
          <w:sz w:val="22"/>
          <w:szCs w:val="22"/>
        </w:rPr>
        <w:t xml:space="preserve">Harvard Law </w:t>
      </w:r>
      <w:r>
        <w:rPr>
          <w:rFonts w:ascii="Arial" w:hAnsi="Arial" w:cs="Arial"/>
          <w:sz w:val="22"/>
          <w:szCs w:val="22"/>
        </w:rPr>
        <w:t>(</w:t>
      </w:r>
      <w:r w:rsidR="00970302">
        <w:rPr>
          <w:rFonts w:ascii="Arial" w:hAnsi="Arial" w:cs="Arial"/>
          <w:sz w:val="22"/>
          <w:szCs w:val="22"/>
        </w:rPr>
        <w:t>2024</w:t>
      </w:r>
      <w:r>
        <w:rPr>
          <w:rFonts w:ascii="Arial" w:hAnsi="Arial" w:cs="Arial"/>
          <w:sz w:val="22"/>
          <w:szCs w:val="22"/>
        </w:rPr>
        <w:t>) addresses that the object of a case study requires a subject, which refers to</w:t>
      </w:r>
      <w:r w:rsidR="00602283">
        <w:rPr>
          <w:rFonts w:ascii="Arial" w:hAnsi="Arial" w:cs="Arial"/>
          <w:sz w:val="22"/>
          <w:szCs w:val="22"/>
        </w:rPr>
        <w:t xml:space="preserve"> the employment of a specific pedagogy.</w:t>
      </w:r>
      <w:r>
        <w:rPr>
          <w:rFonts w:ascii="Arial" w:hAnsi="Arial" w:cs="Arial"/>
          <w:sz w:val="22"/>
          <w:szCs w:val="22"/>
        </w:rPr>
        <w:t xml:space="preserve"> T</w:t>
      </w:r>
      <w:r w:rsidR="008165D5">
        <w:rPr>
          <w:rFonts w:ascii="Arial" w:hAnsi="Arial" w:cs="Arial"/>
          <w:sz w:val="22"/>
          <w:szCs w:val="22"/>
        </w:rPr>
        <w:t xml:space="preserve">he subject under examination is pupil voice. Pupil voice serves as the lens through which the researcher explores children’s engagement within the context of enhanced provision. </w:t>
      </w:r>
      <w:r>
        <w:rPr>
          <w:rFonts w:ascii="Arial" w:hAnsi="Arial" w:cs="Arial"/>
          <w:sz w:val="22"/>
          <w:szCs w:val="22"/>
        </w:rPr>
        <w:t xml:space="preserve">Therefore, despite limitations, the active participation of the learners in the case study will provide insights into </w:t>
      </w:r>
      <w:r w:rsidR="00AE4521">
        <w:rPr>
          <w:rFonts w:ascii="Arial" w:hAnsi="Arial" w:cs="Arial"/>
          <w:sz w:val="22"/>
          <w:szCs w:val="22"/>
        </w:rPr>
        <w:t>the</w:t>
      </w:r>
      <w:r>
        <w:rPr>
          <w:rFonts w:ascii="Arial" w:hAnsi="Arial" w:cs="Arial"/>
          <w:sz w:val="22"/>
          <w:szCs w:val="22"/>
        </w:rPr>
        <w:t xml:space="preserve"> perspectives and experiences </w:t>
      </w:r>
      <w:r w:rsidR="00AE4521">
        <w:rPr>
          <w:rFonts w:ascii="Arial" w:hAnsi="Arial" w:cs="Arial"/>
          <w:sz w:val="22"/>
          <w:szCs w:val="22"/>
        </w:rPr>
        <w:t xml:space="preserve">of participants </w:t>
      </w:r>
      <w:r>
        <w:rPr>
          <w:rFonts w:ascii="Arial" w:hAnsi="Arial" w:cs="Arial"/>
          <w:sz w:val="22"/>
          <w:szCs w:val="22"/>
        </w:rPr>
        <w:t>within the context of enhance provision.</w:t>
      </w:r>
    </w:p>
    <w:p w14:paraId="10AD7734" w14:textId="77777777" w:rsidR="008165D5" w:rsidRDefault="008165D5" w:rsidP="00F42AEF">
      <w:pPr>
        <w:spacing w:line="480" w:lineRule="auto"/>
        <w:rPr>
          <w:rFonts w:ascii="Arial" w:hAnsi="Arial" w:cs="Arial"/>
          <w:sz w:val="22"/>
          <w:szCs w:val="22"/>
        </w:rPr>
      </w:pPr>
    </w:p>
    <w:p w14:paraId="57A4D02F" w14:textId="4DC5B949" w:rsidR="00F42AEF" w:rsidRDefault="008165D5" w:rsidP="00F42AEF">
      <w:pPr>
        <w:spacing w:line="480" w:lineRule="auto"/>
        <w:rPr>
          <w:rFonts w:ascii="Arial" w:hAnsi="Arial" w:cs="Arial"/>
          <w:sz w:val="22"/>
          <w:szCs w:val="22"/>
        </w:rPr>
      </w:pPr>
      <w:r>
        <w:rPr>
          <w:rFonts w:ascii="Arial" w:hAnsi="Arial" w:cs="Arial"/>
          <w:sz w:val="22"/>
          <w:szCs w:val="22"/>
        </w:rPr>
        <w:t xml:space="preserve">Participants in the case study will include Year 2 children </w:t>
      </w:r>
      <w:r w:rsidR="00AE4521">
        <w:rPr>
          <w:rFonts w:ascii="Arial" w:hAnsi="Arial" w:cs="Arial"/>
          <w:sz w:val="22"/>
          <w:szCs w:val="22"/>
        </w:rPr>
        <w:t>from</w:t>
      </w:r>
      <w:r>
        <w:rPr>
          <w:rFonts w:ascii="Arial" w:hAnsi="Arial" w:cs="Arial"/>
          <w:sz w:val="22"/>
          <w:szCs w:val="22"/>
        </w:rPr>
        <w:t xml:space="preserve"> diverse backgrounds, ensuring representation across various demographics and learning profiles</w:t>
      </w:r>
      <w:r w:rsidR="00970302">
        <w:rPr>
          <w:rFonts w:ascii="Arial" w:hAnsi="Arial" w:cs="Arial"/>
          <w:sz w:val="22"/>
          <w:szCs w:val="22"/>
        </w:rPr>
        <w:t xml:space="preserve">. </w:t>
      </w:r>
      <w:r>
        <w:rPr>
          <w:rFonts w:ascii="Arial" w:hAnsi="Arial" w:cs="Arial"/>
          <w:sz w:val="22"/>
          <w:szCs w:val="22"/>
        </w:rPr>
        <w:t xml:space="preserve">A method used to ensure representative sample could involve purposive sampling, where participants are deliberately selected based on specific criteria to capture a diverse range of perspectives </w:t>
      </w:r>
      <w:r w:rsidR="00970302">
        <w:rPr>
          <w:rFonts w:ascii="Arial" w:hAnsi="Arial" w:cs="Arial"/>
          <w:sz w:val="22"/>
          <w:szCs w:val="22"/>
        </w:rPr>
        <w:t>Campbell, et al, (2020</w:t>
      </w:r>
      <w:r>
        <w:rPr>
          <w:rFonts w:ascii="Arial" w:hAnsi="Arial" w:cs="Arial"/>
          <w:sz w:val="22"/>
          <w:szCs w:val="22"/>
        </w:rPr>
        <w:t xml:space="preserve">). This method enables research to delve into the experiences of different learners to reveal patterns of how pupil voice influences engagement. </w:t>
      </w:r>
      <w:proofErr w:type="gramStart"/>
      <w:r w:rsidR="008F20C7">
        <w:rPr>
          <w:rFonts w:ascii="Arial" w:hAnsi="Arial" w:cs="Arial"/>
          <w:sz w:val="22"/>
          <w:szCs w:val="22"/>
        </w:rPr>
        <w:t>However</w:t>
      </w:r>
      <w:proofErr w:type="gramEnd"/>
      <w:r w:rsidR="00CB2DFF">
        <w:rPr>
          <w:rFonts w:ascii="Arial" w:hAnsi="Arial" w:cs="Arial"/>
          <w:sz w:val="22"/>
          <w:szCs w:val="22"/>
        </w:rPr>
        <w:t xml:space="preserve"> Campbell, et al, (2020</w:t>
      </w:r>
      <w:r w:rsidR="008F20C7">
        <w:rPr>
          <w:rFonts w:ascii="Arial" w:hAnsi="Arial" w:cs="Arial"/>
          <w:sz w:val="22"/>
          <w:szCs w:val="22"/>
        </w:rPr>
        <w:t xml:space="preserve">) outlines concerns, including researcher bias in selecting participants due to the method relying heavily on the researcher’s judgement. </w:t>
      </w:r>
      <w:r w:rsidR="00274BFC">
        <w:rPr>
          <w:rFonts w:ascii="Arial" w:hAnsi="Arial" w:cs="Arial"/>
          <w:sz w:val="22"/>
          <w:szCs w:val="22"/>
        </w:rPr>
        <w:t>Additionally,</w:t>
      </w:r>
      <w:r w:rsidR="00CB2DFF">
        <w:rPr>
          <w:rFonts w:ascii="Arial" w:hAnsi="Arial" w:cs="Arial"/>
          <w:sz w:val="22"/>
          <w:szCs w:val="22"/>
        </w:rPr>
        <w:t xml:space="preserve"> Andrade</w:t>
      </w:r>
      <w:r w:rsidR="00274BFC">
        <w:rPr>
          <w:rFonts w:ascii="Arial" w:hAnsi="Arial" w:cs="Arial"/>
          <w:sz w:val="22"/>
          <w:szCs w:val="22"/>
        </w:rPr>
        <w:t xml:space="preserve"> (</w:t>
      </w:r>
      <w:r w:rsidR="00CB2DFF">
        <w:rPr>
          <w:rFonts w:ascii="Arial" w:hAnsi="Arial" w:cs="Arial"/>
          <w:sz w:val="22"/>
          <w:szCs w:val="22"/>
        </w:rPr>
        <w:t>2021</w:t>
      </w:r>
      <w:r w:rsidR="00274BFC">
        <w:rPr>
          <w:rFonts w:ascii="Arial" w:hAnsi="Arial" w:cs="Arial"/>
          <w:sz w:val="22"/>
          <w:szCs w:val="22"/>
        </w:rPr>
        <w:t>) addresses that purposive sampling may limit the generalisability of findings, as the sample may not represent the broader population.</w:t>
      </w:r>
    </w:p>
    <w:p w14:paraId="3B8CB874" w14:textId="77777777" w:rsidR="00F42AEF" w:rsidRDefault="00F42AEF" w:rsidP="00F42AEF">
      <w:pPr>
        <w:spacing w:line="480" w:lineRule="auto"/>
        <w:rPr>
          <w:rFonts w:ascii="Arial" w:hAnsi="Arial" w:cs="Arial"/>
          <w:sz w:val="22"/>
          <w:szCs w:val="22"/>
        </w:rPr>
      </w:pPr>
    </w:p>
    <w:p w14:paraId="5EBBF48A" w14:textId="48F316FB" w:rsidR="00274BFC" w:rsidRPr="00F42AEF" w:rsidRDefault="00274BFC" w:rsidP="00F42AEF">
      <w:pPr>
        <w:spacing w:line="480" w:lineRule="auto"/>
        <w:rPr>
          <w:rFonts w:ascii="Arial" w:hAnsi="Arial" w:cs="Arial"/>
          <w:sz w:val="22"/>
          <w:szCs w:val="22"/>
        </w:rPr>
      </w:pPr>
      <w:r>
        <w:rPr>
          <w:rFonts w:ascii="Arial" w:hAnsi="Arial" w:cs="Arial"/>
          <w:sz w:val="22"/>
          <w:szCs w:val="22"/>
        </w:rPr>
        <w:t xml:space="preserve">To counter the limitations of purposive sampling, researchers may opt for random sampling, which </w:t>
      </w:r>
      <w:proofErr w:type="spellStart"/>
      <w:r w:rsidR="001F6CC1">
        <w:rPr>
          <w:rFonts w:ascii="Arial" w:hAnsi="Arial" w:cs="Arial"/>
          <w:sz w:val="22"/>
          <w:szCs w:val="22"/>
        </w:rPr>
        <w:t>Elfil</w:t>
      </w:r>
      <w:proofErr w:type="spellEnd"/>
      <w:r w:rsidR="001F6CC1">
        <w:rPr>
          <w:rFonts w:ascii="Arial" w:hAnsi="Arial" w:cs="Arial"/>
          <w:sz w:val="22"/>
          <w:szCs w:val="22"/>
        </w:rPr>
        <w:t xml:space="preserve"> and </w:t>
      </w:r>
      <w:proofErr w:type="spellStart"/>
      <w:r w:rsidR="001F6CC1">
        <w:rPr>
          <w:rFonts w:ascii="Arial" w:hAnsi="Arial" w:cs="Arial"/>
          <w:sz w:val="22"/>
          <w:szCs w:val="22"/>
        </w:rPr>
        <w:t>Nedida</w:t>
      </w:r>
      <w:proofErr w:type="spellEnd"/>
      <w:r w:rsidR="001F6CC1">
        <w:rPr>
          <w:rFonts w:ascii="Arial" w:hAnsi="Arial" w:cs="Arial"/>
          <w:sz w:val="22"/>
          <w:szCs w:val="22"/>
        </w:rPr>
        <w:t xml:space="preserve"> </w:t>
      </w:r>
      <w:r>
        <w:rPr>
          <w:rFonts w:ascii="Arial" w:hAnsi="Arial" w:cs="Arial"/>
          <w:sz w:val="22"/>
          <w:szCs w:val="22"/>
        </w:rPr>
        <w:t>(</w:t>
      </w:r>
      <w:r w:rsidR="001F6CC1">
        <w:rPr>
          <w:rFonts w:ascii="Arial" w:hAnsi="Arial" w:cs="Arial"/>
          <w:sz w:val="22"/>
          <w:szCs w:val="22"/>
        </w:rPr>
        <w:t>2017</w:t>
      </w:r>
      <w:r>
        <w:rPr>
          <w:rFonts w:ascii="Arial" w:hAnsi="Arial" w:cs="Arial"/>
          <w:sz w:val="22"/>
          <w:szCs w:val="22"/>
        </w:rPr>
        <w:t xml:space="preserve">) defines as each member </w:t>
      </w:r>
      <w:r w:rsidR="00AE4521">
        <w:rPr>
          <w:rFonts w:ascii="Arial" w:hAnsi="Arial" w:cs="Arial"/>
          <w:sz w:val="22"/>
          <w:szCs w:val="22"/>
        </w:rPr>
        <w:t>having</w:t>
      </w:r>
      <w:r>
        <w:rPr>
          <w:rFonts w:ascii="Arial" w:hAnsi="Arial" w:cs="Arial"/>
          <w:sz w:val="22"/>
          <w:szCs w:val="22"/>
        </w:rPr>
        <w:t xml:space="preserve"> an equal chance of being selected. </w:t>
      </w:r>
      <w:r w:rsidR="002E0725">
        <w:rPr>
          <w:rFonts w:ascii="Arial" w:hAnsi="Arial" w:cs="Arial"/>
          <w:sz w:val="22"/>
          <w:szCs w:val="22"/>
        </w:rPr>
        <w:t>The method reduces the potential for researcher bias and ensures that the sample is representative of the entire population, increasing the generalisability of the findings (</w:t>
      </w:r>
      <w:r w:rsidR="001F6CC1">
        <w:rPr>
          <w:rFonts w:ascii="Arial" w:hAnsi="Arial" w:cs="Arial"/>
          <w:sz w:val="22"/>
          <w:szCs w:val="22"/>
        </w:rPr>
        <w:t>ibid.</w:t>
      </w:r>
      <w:r w:rsidR="002E0725">
        <w:rPr>
          <w:rFonts w:ascii="Arial" w:hAnsi="Arial" w:cs="Arial"/>
          <w:sz w:val="22"/>
          <w:szCs w:val="22"/>
        </w:rPr>
        <w:t xml:space="preserve">). However, </w:t>
      </w:r>
      <w:r w:rsidR="00B74CFB">
        <w:rPr>
          <w:rFonts w:ascii="Arial" w:hAnsi="Arial" w:cs="Arial"/>
          <w:sz w:val="22"/>
          <w:szCs w:val="22"/>
        </w:rPr>
        <w:t xml:space="preserve">Andrade </w:t>
      </w:r>
      <w:r w:rsidR="002E0725">
        <w:rPr>
          <w:rFonts w:ascii="Arial" w:hAnsi="Arial" w:cs="Arial"/>
          <w:sz w:val="22"/>
          <w:szCs w:val="22"/>
        </w:rPr>
        <w:t>(</w:t>
      </w:r>
      <w:r w:rsidR="00B74CFB">
        <w:rPr>
          <w:rFonts w:ascii="Arial" w:hAnsi="Arial" w:cs="Arial"/>
          <w:sz w:val="22"/>
          <w:szCs w:val="22"/>
        </w:rPr>
        <w:t>2021</w:t>
      </w:r>
      <w:r w:rsidR="002E0725">
        <w:rPr>
          <w:rFonts w:ascii="Arial" w:hAnsi="Arial" w:cs="Arial"/>
          <w:sz w:val="22"/>
          <w:szCs w:val="22"/>
        </w:rPr>
        <w:t xml:space="preserve">) argues that random sampling may not be suitable for exploratory studies as it fails to target specific characteristics that are crucial for understanding the question. </w:t>
      </w:r>
      <w:r w:rsidR="00C23E1A">
        <w:rPr>
          <w:rFonts w:ascii="Arial" w:hAnsi="Arial" w:cs="Arial"/>
          <w:sz w:val="22"/>
          <w:szCs w:val="22"/>
        </w:rPr>
        <w:t xml:space="preserve">To address the limitations of random sampling, </w:t>
      </w:r>
      <w:r w:rsidR="00B74CFB">
        <w:rPr>
          <w:rFonts w:ascii="Arial" w:hAnsi="Arial" w:cs="Arial"/>
          <w:sz w:val="22"/>
          <w:szCs w:val="22"/>
        </w:rPr>
        <w:t xml:space="preserve">Andrade </w:t>
      </w:r>
      <w:r w:rsidR="00C23E1A">
        <w:rPr>
          <w:rFonts w:ascii="Arial" w:hAnsi="Arial" w:cs="Arial"/>
          <w:sz w:val="22"/>
          <w:szCs w:val="22"/>
        </w:rPr>
        <w:t>(</w:t>
      </w:r>
      <w:r w:rsidR="00B74CFB">
        <w:rPr>
          <w:rFonts w:ascii="Arial" w:hAnsi="Arial" w:cs="Arial"/>
          <w:sz w:val="22"/>
          <w:szCs w:val="22"/>
        </w:rPr>
        <w:t>2021</w:t>
      </w:r>
      <w:r w:rsidR="00C23E1A">
        <w:rPr>
          <w:rFonts w:ascii="Arial" w:hAnsi="Arial" w:cs="Arial"/>
          <w:sz w:val="22"/>
          <w:szCs w:val="22"/>
        </w:rPr>
        <w:t xml:space="preserve">) suggests that </w:t>
      </w:r>
      <w:r w:rsidR="00C23E1A">
        <w:rPr>
          <w:rFonts w:ascii="Arial" w:hAnsi="Arial" w:cs="Arial"/>
          <w:sz w:val="22"/>
          <w:szCs w:val="22"/>
        </w:rPr>
        <w:lastRenderedPageBreak/>
        <w:t>researchers should employ a larger sample size. Therefore, for the purpose of exploratory study, a random sampling method will be employed to a group of five children; who will be informed to uphold ethical principles.</w:t>
      </w:r>
    </w:p>
    <w:p w14:paraId="459A7B95" w14:textId="77777777" w:rsidR="00C44E98" w:rsidRPr="00C44E98" w:rsidRDefault="00C44E98" w:rsidP="00C44E98">
      <w:pPr>
        <w:spacing w:line="480" w:lineRule="auto"/>
        <w:rPr>
          <w:rFonts w:ascii="Arial" w:hAnsi="Arial" w:cs="Arial"/>
        </w:rPr>
      </w:pPr>
    </w:p>
    <w:p w14:paraId="599A1FD9" w14:textId="77777777" w:rsidR="00C04770" w:rsidRPr="009A141F" w:rsidRDefault="00C04770" w:rsidP="00C04770">
      <w:pPr>
        <w:spacing w:line="480" w:lineRule="auto"/>
        <w:rPr>
          <w:rFonts w:ascii="Arial" w:hAnsi="Arial" w:cs="Arial"/>
          <w:b/>
          <w:bCs/>
          <w:sz w:val="28"/>
          <w:szCs w:val="28"/>
        </w:rPr>
      </w:pPr>
      <w:r w:rsidRPr="00E60181">
        <w:rPr>
          <w:rFonts w:ascii="Arial" w:hAnsi="Arial" w:cs="Arial"/>
          <w:b/>
          <w:bCs/>
          <w:sz w:val="28"/>
          <w:szCs w:val="28"/>
        </w:rPr>
        <w:t xml:space="preserve">Ethical Considerations </w:t>
      </w:r>
    </w:p>
    <w:p w14:paraId="08C4AB0A" w14:textId="2DA7E007" w:rsidR="00C04770" w:rsidRDefault="000B7F45" w:rsidP="00C04770">
      <w:pPr>
        <w:spacing w:line="480" w:lineRule="auto"/>
        <w:rPr>
          <w:rFonts w:ascii="Arial" w:hAnsi="Arial" w:cs="Arial"/>
          <w:color w:val="000000" w:themeColor="text1"/>
          <w:sz w:val="22"/>
          <w:szCs w:val="22"/>
        </w:rPr>
      </w:pPr>
      <w:r>
        <w:rPr>
          <w:rFonts w:ascii="Arial" w:hAnsi="Arial" w:cs="Arial"/>
          <w:color w:val="000000" w:themeColor="text1"/>
          <w:sz w:val="22"/>
          <w:szCs w:val="22"/>
        </w:rPr>
        <w:t>T</w:t>
      </w:r>
      <w:r w:rsidR="00C04770" w:rsidRPr="00EE6274">
        <w:rPr>
          <w:rFonts w:ascii="Arial" w:hAnsi="Arial" w:cs="Arial"/>
          <w:color w:val="000000" w:themeColor="text1"/>
          <w:sz w:val="22"/>
          <w:szCs w:val="22"/>
        </w:rPr>
        <w:t>he study is underpinned by a rigorous ethical framework</w:t>
      </w:r>
      <w:r w:rsidR="00C04770">
        <w:rPr>
          <w:rFonts w:ascii="Arial" w:hAnsi="Arial" w:cs="Arial"/>
          <w:color w:val="000000" w:themeColor="text1"/>
          <w:sz w:val="22"/>
          <w:szCs w:val="22"/>
        </w:rPr>
        <w:t xml:space="preserve">. Ethics, as defined by Robson (2002) are a set of principles governing conduct, aligning with codes or policies. However, </w:t>
      </w:r>
      <w:proofErr w:type="spellStart"/>
      <w:r w:rsidR="00C04770">
        <w:rPr>
          <w:rFonts w:ascii="Arial" w:hAnsi="Arial" w:cs="Arial"/>
          <w:color w:val="000000" w:themeColor="text1"/>
          <w:sz w:val="22"/>
          <w:szCs w:val="22"/>
        </w:rPr>
        <w:t>Hemrpich</w:t>
      </w:r>
      <w:proofErr w:type="spellEnd"/>
      <w:r w:rsidR="00C04770">
        <w:rPr>
          <w:rFonts w:ascii="Arial" w:hAnsi="Arial" w:cs="Arial"/>
          <w:color w:val="000000" w:themeColor="text1"/>
          <w:sz w:val="22"/>
          <w:szCs w:val="22"/>
        </w:rPr>
        <w:t>, et al, (2012) argues that ethics is governed by personal morals, where individuals should reflect whether certain actions are rational. However, Resnik (2020)</w:t>
      </w:r>
      <w:r>
        <w:rPr>
          <w:rFonts w:ascii="Arial" w:hAnsi="Arial" w:cs="Arial"/>
          <w:color w:val="000000" w:themeColor="text1"/>
          <w:sz w:val="22"/>
          <w:szCs w:val="22"/>
        </w:rPr>
        <w:t xml:space="preserve"> </w:t>
      </w:r>
      <w:r w:rsidR="00C04770">
        <w:rPr>
          <w:rFonts w:ascii="Arial" w:hAnsi="Arial" w:cs="Arial"/>
          <w:color w:val="000000" w:themeColor="text1"/>
          <w:sz w:val="22"/>
          <w:szCs w:val="22"/>
        </w:rPr>
        <w:t>considers how ethics is a combination of morals and behaviours that are dictated by specific national policies; ensuring researchers are aware that their morals align with the policies. Such policies</w:t>
      </w:r>
      <w:r w:rsidR="00C04770" w:rsidRPr="00EE6274">
        <w:rPr>
          <w:rFonts w:ascii="Arial" w:hAnsi="Arial" w:cs="Arial"/>
          <w:color w:val="000000" w:themeColor="text1"/>
          <w:sz w:val="22"/>
          <w:szCs w:val="22"/>
        </w:rPr>
        <w:t xml:space="preserve"> </w:t>
      </w:r>
      <w:r w:rsidR="00C04770">
        <w:rPr>
          <w:rFonts w:ascii="Arial" w:hAnsi="Arial" w:cs="Arial"/>
          <w:color w:val="000000" w:themeColor="text1"/>
          <w:sz w:val="22"/>
          <w:szCs w:val="22"/>
        </w:rPr>
        <w:t>considered in the context of this study include the Welsh Government (WG)’s (2018) General Data Protection Regulations and the Education Workforce Council (EWC) (2023) Code of Conduct. Considering guidelines within the educational context, UNICEF (2023) outlines children’s right to privacy under the United Nations Convention on the Rights of the Child (UNCRC) (1989), which is again emphasised in the British Educational Research Association (BERA) (2018) guidelines. BERA (2018) dictate that researchers should take careful measures to safeguard the privacy of child participants, where a specific process should be followed to obtain consent.</w:t>
      </w:r>
    </w:p>
    <w:p w14:paraId="7BE264FD" w14:textId="77777777" w:rsidR="00C04770" w:rsidRDefault="00C04770" w:rsidP="00C04770">
      <w:pPr>
        <w:spacing w:line="480" w:lineRule="auto"/>
        <w:rPr>
          <w:rFonts w:ascii="Arial" w:hAnsi="Arial" w:cs="Arial"/>
          <w:color w:val="000000" w:themeColor="text1"/>
          <w:sz w:val="22"/>
          <w:szCs w:val="22"/>
        </w:rPr>
      </w:pPr>
    </w:p>
    <w:p w14:paraId="37492D41" w14:textId="2C81EEB4" w:rsidR="00C04770" w:rsidRDefault="00C04770" w:rsidP="00C04770">
      <w:pPr>
        <w:spacing w:line="480" w:lineRule="auto"/>
        <w:rPr>
          <w:rFonts w:ascii="Arial" w:hAnsi="Arial" w:cs="Arial"/>
          <w:color w:val="000000" w:themeColor="text1"/>
          <w:sz w:val="22"/>
          <w:szCs w:val="22"/>
        </w:rPr>
      </w:pPr>
      <w:r>
        <w:rPr>
          <w:rFonts w:ascii="Arial" w:hAnsi="Arial" w:cs="Arial"/>
          <w:color w:val="000000" w:themeColor="text1"/>
          <w:sz w:val="22"/>
          <w:szCs w:val="22"/>
        </w:rPr>
        <w:t xml:space="preserve">To secure pupil assent, a meticulous process has been utilised adhering to BERA and EWC guidelines, where age-appropriate information about the study was presented to pupils, ensuring transparency about the research’s purpose and the voluntary nature of the children’s willingness to participate. Following this, consent forms were distributed to the pupil’s guardians (See Appendix 2), which outlines the right to withdraw at any stage of the research. Pugh (2020) highlights how this process aligns with the principles of participant autonomy, respecting the decision-making capacity of the pupils and their guardians. </w:t>
      </w:r>
      <w:r>
        <w:rPr>
          <w:rFonts w:ascii="Arial" w:hAnsi="Arial" w:cs="Arial"/>
          <w:color w:val="000000" w:themeColor="text1"/>
          <w:sz w:val="22"/>
          <w:szCs w:val="22"/>
        </w:rPr>
        <w:lastRenderedPageBreak/>
        <w:t xml:space="preserve">However, Miller, et al, (2017) and Paquette, et al, (2020) suggests that the process assumes children understand without the time to make an informed decision. Therefore, a participatory approach was used, where there was a period in-between for children to understand before asked a second time, where consent was </w:t>
      </w:r>
      <w:r w:rsidR="000B7F45">
        <w:rPr>
          <w:rFonts w:ascii="Arial" w:hAnsi="Arial" w:cs="Arial"/>
          <w:color w:val="000000" w:themeColor="text1"/>
          <w:sz w:val="22"/>
          <w:szCs w:val="22"/>
        </w:rPr>
        <w:t>required,</w:t>
      </w:r>
      <w:r>
        <w:rPr>
          <w:rFonts w:ascii="Arial" w:hAnsi="Arial" w:cs="Arial"/>
          <w:color w:val="000000" w:themeColor="text1"/>
          <w:sz w:val="22"/>
          <w:szCs w:val="22"/>
        </w:rPr>
        <w:t xml:space="preserve"> and the research begun.</w:t>
      </w:r>
    </w:p>
    <w:p w14:paraId="0D59ED75" w14:textId="77777777" w:rsidR="00C04770" w:rsidRDefault="00C04770" w:rsidP="00C04770">
      <w:pPr>
        <w:spacing w:line="480" w:lineRule="auto"/>
        <w:rPr>
          <w:rFonts w:ascii="Arial" w:hAnsi="Arial" w:cs="Arial"/>
          <w:color w:val="000000" w:themeColor="text1"/>
          <w:sz w:val="22"/>
          <w:szCs w:val="22"/>
        </w:rPr>
      </w:pPr>
    </w:p>
    <w:p w14:paraId="4C0AB526" w14:textId="0FAF4629" w:rsidR="00305BE2" w:rsidRPr="000B7F45" w:rsidRDefault="00C04770" w:rsidP="00C44E98">
      <w:pPr>
        <w:spacing w:line="480" w:lineRule="auto"/>
        <w:rPr>
          <w:rFonts w:ascii="Arial" w:hAnsi="Arial" w:cs="Arial"/>
          <w:color w:val="000000" w:themeColor="text1"/>
          <w:sz w:val="22"/>
          <w:szCs w:val="22"/>
        </w:rPr>
      </w:pPr>
      <w:r>
        <w:rPr>
          <w:rFonts w:ascii="Arial" w:hAnsi="Arial" w:cs="Arial"/>
          <w:color w:val="000000" w:themeColor="text1"/>
          <w:sz w:val="22"/>
          <w:szCs w:val="22"/>
        </w:rPr>
        <w:t xml:space="preserve">Additional measures to safeguard children along with the permission process included the considerations of ensuring confidentiality and anonymity. This involved a commitment to maintaining confidentiality, which Peters (2022) defines as ensuring the identifies of participants are hidden throughout the research. However, </w:t>
      </w:r>
      <w:proofErr w:type="spellStart"/>
      <w:r>
        <w:rPr>
          <w:rFonts w:ascii="Arial" w:hAnsi="Arial" w:cs="Arial"/>
          <w:color w:val="000000" w:themeColor="text1"/>
          <w:sz w:val="22"/>
          <w:szCs w:val="22"/>
        </w:rPr>
        <w:t>Hoft</w:t>
      </w:r>
      <w:proofErr w:type="spellEnd"/>
      <w:r>
        <w:rPr>
          <w:rFonts w:ascii="Arial" w:hAnsi="Arial" w:cs="Arial"/>
          <w:color w:val="000000" w:themeColor="text1"/>
          <w:sz w:val="22"/>
          <w:szCs w:val="22"/>
        </w:rPr>
        <w:t xml:space="preserve"> (2021) considers that whilst the identifies are hidden, individuals or locations may still be identifiable. Therefore, the study will maintain both confidentiality and anonymity, which Saunders, et al, (2015) defines as all aspects of data being unidentifiable. </w:t>
      </w:r>
      <w:proofErr w:type="gramStart"/>
      <w:r>
        <w:rPr>
          <w:rFonts w:ascii="Arial" w:hAnsi="Arial" w:cs="Arial"/>
          <w:sz w:val="22"/>
          <w:szCs w:val="22"/>
        </w:rPr>
        <w:t>The Ethics Form (See Appendix 1),</w:t>
      </w:r>
      <w:proofErr w:type="gramEnd"/>
      <w:r>
        <w:rPr>
          <w:rFonts w:ascii="Arial" w:hAnsi="Arial" w:cs="Arial"/>
          <w:sz w:val="22"/>
          <w:szCs w:val="22"/>
        </w:rPr>
        <w:t xml:space="preserve"> explicitly refers to the aforementioned ethical considerations. It serves as a comprehensive guide for researchers and ethical review boards, affirming the commitment to privacy, confidentiality and anonymity.</w:t>
      </w:r>
    </w:p>
    <w:p w14:paraId="5B6FE660" w14:textId="77777777" w:rsidR="00305BE2" w:rsidRPr="00C44E98" w:rsidRDefault="00305BE2" w:rsidP="00C44E98">
      <w:pPr>
        <w:spacing w:line="480" w:lineRule="auto"/>
        <w:rPr>
          <w:rFonts w:ascii="Arial" w:hAnsi="Arial" w:cs="Arial"/>
        </w:rPr>
      </w:pPr>
    </w:p>
    <w:p w14:paraId="36C8618B" w14:textId="45D1450B" w:rsidR="00AD2F46" w:rsidRPr="00346BE3" w:rsidRDefault="00C44E98" w:rsidP="00AD2F46">
      <w:pPr>
        <w:spacing w:line="480" w:lineRule="auto"/>
        <w:rPr>
          <w:rFonts w:ascii="Arial" w:hAnsi="Arial" w:cs="Arial"/>
          <w:b/>
          <w:bCs/>
          <w:sz w:val="28"/>
          <w:szCs w:val="28"/>
        </w:rPr>
      </w:pPr>
      <w:r w:rsidRPr="00E60181">
        <w:rPr>
          <w:rFonts w:ascii="Arial" w:hAnsi="Arial" w:cs="Arial"/>
          <w:b/>
          <w:bCs/>
          <w:sz w:val="28"/>
          <w:szCs w:val="28"/>
        </w:rPr>
        <w:t xml:space="preserve">Research Methods </w:t>
      </w:r>
    </w:p>
    <w:p w14:paraId="28C1E75A" w14:textId="6C3781ED" w:rsidR="00AD2F46" w:rsidRDefault="001A6BE4" w:rsidP="00AD2F46">
      <w:pPr>
        <w:spacing w:line="480" w:lineRule="auto"/>
        <w:rPr>
          <w:rFonts w:ascii="Arial" w:hAnsi="Arial" w:cs="Arial"/>
          <w:sz w:val="22"/>
          <w:szCs w:val="22"/>
        </w:rPr>
      </w:pPr>
      <w:r>
        <w:rPr>
          <w:rFonts w:ascii="Arial" w:hAnsi="Arial" w:cs="Arial"/>
          <w:sz w:val="22"/>
          <w:szCs w:val="22"/>
        </w:rPr>
        <w:t xml:space="preserve">In conducting research, the selection of appropriate methods is paramount to ensuring the validity and reliability of findings. </w:t>
      </w:r>
      <w:proofErr w:type="spellStart"/>
      <w:r w:rsidR="005D4945">
        <w:rPr>
          <w:rFonts w:ascii="Arial" w:hAnsi="Arial" w:cs="Arial"/>
          <w:sz w:val="22"/>
          <w:szCs w:val="22"/>
        </w:rPr>
        <w:t>Busetto</w:t>
      </w:r>
      <w:proofErr w:type="spellEnd"/>
      <w:r w:rsidR="005D4945">
        <w:rPr>
          <w:rFonts w:ascii="Arial" w:hAnsi="Arial" w:cs="Arial"/>
          <w:sz w:val="22"/>
          <w:szCs w:val="22"/>
        </w:rPr>
        <w:t xml:space="preserve">, et al, </w:t>
      </w:r>
      <w:r>
        <w:rPr>
          <w:rFonts w:ascii="Arial" w:hAnsi="Arial" w:cs="Arial"/>
          <w:sz w:val="22"/>
          <w:szCs w:val="22"/>
        </w:rPr>
        <w:t>(</w:t>
      </w:r>
      <w:r w:rsidR="005D4945">
        <w:rPr>
          <w:rFonts w:ascii="Arial" w:hAnsi="Arial" w:cs="Arial"/>
          <w:sz w:val="22"/>
          <w:szCs w:val="22"/>
        </w:rPr>
        <w:t>2020</w:t>
      </w:r>
      <w:r>
        <w:rPr>
          <w:rFonts w:ascii="Arial" w:hAnsi="Arial" w:cs="Arial"/>
          <w:sz w:val="22"/>
          <w:szCs w:val="22"/>
        </w:rPr>
        <w:t xml:space="preserve">) suggests that </w:t>
      </w:r>
      <w:r w:rsidR="00321119">
        <w:rPr>
          <w:rFonts w:ascii="Arial" w:hAnsi="Arial" w:cs="Arial"/>
          <w:sz w:val="22"/>
          <w:szCs w:val="22"/>
        </w:rPr>
        <w:t>using</w:t>
      </w:r>
      <w:r w:rsidR="00CB2E37">
        <w:rPr>
          <w:rFonts w:ascii="Arial" w:hAnsi="Arial" w:cs="Arial"/>
          <w:sz w:val="22"/>
          <w:szCs w:val="22"/>
        </w:rPr>
        <w:t xml:space="preserve"> a</w:t>
      </w:r>
      <w:r w:rsidR="00D1713B">
        <w:rPr>
          <w:rFonts w:ascii="Arial" w:hAnsi="Arial" w:cs="Arial"/>
          <w:sz w:val="22"/>
          <w:szCs w:val="22"/>
        </w:rPr>
        <w:t xml:space="preserve"> </w:t>
      </w:r>
      <w:r w:rsidR="00CB2E37">
        <w:rPr>
          <w:rFonts w:ascii="Arial" w:hAnsi="Arial" w:cs="Arial"/>
          <w:sz w:val="22"/>
          <w:szCs w:val="22"/>
        </w:rPr>
        <w:t>single research</w:t>
      </w:r>
      <w:r w:rsidR="00321119">
        <w:rPr>
          <w:rFonts w:ascii="Arial" w:hAnsi="Arial" w:cs="Arial"/>
          <w:sz w:val="22"/>
          <w:szCs w:val="22"/>
        </w:rPr>
        <w:t xml:space="preserve"> </w:t>
      </w:r>
      <w:r w:rsidR="00CB2E37">
        <w:rPr>
          <w:rFonts w:ascii="Arial" w:hAnsi="Arial" w:cs="Arial"/>
          <w:sz w:val="22"/>
          <w:szCs w:val="22"/>
        </w:rPr>
        <w:t xml:space="preserve">method </w:t>
      </w:r>
      <w:r w:rsidR="00321119">
        <w:rPr>
          <w:rFonts w:ascii="Arial" w:hAnsi="Arial" w:cs="Arial"/>
          <w:sz w:val="22"/>
          <w:szCs w:val="22"/>
        </w:rPr>
        <w:t xml:space="preserve">as opposed to multiple methods can allow research to have a clear focus, preventing the study from becoming complex. </w:t>
      </w:r>
      <w:r w:rsidR="00D1713B">
        <w:rPr>
          <w:rFonts w:ascii="Arial" w:hAnsi="Arial" w:cs="Arial"/>
          <w:sz w:val="22"/>
          <w:szCs w:val="22"/>
        </w:rPr>
        <w:t xml:space="preserve">However, </w:t>
      </w:r>
      <w:r w:rsidR="005D4945">
        <w:rPr>
          <w:rFonts w:ascii="Arial" w:hAnsi="Arial" w:cs="Arial"/>
          <w:sz w:val="22"/>
          <w:szCs w:val="22"/>
        </w:rPr>
        <w:t xml:space="preserve">Johnson, et al, </w:t>
      </w:r>
      <w:r w:rsidR="00D1713B">
        <w:rPr>
          <w:rFonts w:ascii="Arial" w:hAnsi="Arial" w:cs="Arial"/>
          <w:sz w:val="22"/>
          <w:szCs w:val="22"/>
        </w:rPr>
        <w:t>(</w:t>
      </w:r>
      <w:r w:rsidR="005D4945">
        <w:rPr>
          <w:rFonts w:ascii="Arial" w:hAnsi="Arial" w:cs="Arial"/>
          <w:sz w:val="22"/>
          <w:szCs w:val="22"/>
        </w:rPr>
        <w:t>2017</w:t>
      </w:r>
      <w:r w:rsidR="00D1713B">
        <w:rPr>
          <w:rFonts w:ascii="Arial" w:hAnsi="Arial" w:cs="Arial"/>
          <w:sz w:val="22"/>
          <w:szCs w:val="22"/>
        </w:rPr>
        <w:t>) argues that using multiple research methods enables researchers to triangulate findings, strengthening the credibility and reliability of the research outcomes</w:t>
      </w:r>
      <w:r w:rsidR="00143EBD">
        <w:rPr>
          <w:rFonts w:ascii="Arial" w:hAnsi="Arial" w:cs="Arial"/>
          <w:sz w:val="22"/>
          <w:szCs w:val="22"/>
        </w:rPr>
        <w:t>.</w:t>
      </w:r>
      <w:r w:rsidR="00D1713B">
        <w:rPr>
          <w:rFonts w:ascii="Arial" w:hAnsi="Arial" w:cs="Arial"/>
          <w:sz w:val="22"/>
          <w:szCs w:val="22"/>
        </w:rPr>
        <w:t xml:space="preserve"> </w:t>
      </w:r>
      <w:r w:rsidR="00274FE0">
        <w:rPr>
          <w:rFonts w:ascii="Arial" w:hAnsi="Arial" w:cs="Arial"/>
          <w:sz w:val="22"/>
          <w:szCs w:val="22"/>
        </w:rPr>
        <w:t xml:space="preserve">Valencia </w:t>
      </w:r>
      <w:r w:rsidR="00D1713B">
        <w:rPr>
          <w:rFonts w:ascii="Arial" w:hAnsi="Arial" w:cs="Arial"/>
          <w:sz w:val="22"/>
          <w:szCs w:val="22"/>
        </w:rPr>
        <w:t>(</w:t>
      </w:r>
      <w:r w:rsidR="00274FE0">
        <w:rPr>
          <w:rFonts w:ascii="Arial" w:hAnsi="Arial" w:cs="Arial"/>
          <w:sz w:val="22"/>
          <w:szCs w:val="22"/>
        </w:rPr>
        <w:t>2022</w:t>
      </w:r>
      <w:r w:rsidR="00D1713B">
        <w:rPr>
          <w:rFonts w:ascii="Arial" w:hAnsi="Arial" w:cs="Arial"/>
          <w:sz w:val="22"/>
          <w:szCs w:val="22"/>
        </w:rPr>
        <w:t>) extend</w:t>
      </w:r>
      <w:r w:rsidR="00143EBD">
        <w:rPr>
          <w:rFonts w:ascii="Arial" w:hAnsi="Arial" w:cs="Arial"/>
          <w:sz w:val="22"/>
          <w:szCs w:val="22"/>
        </w:rPr>
        <w:t>s, addressing</w:t>
      </w:r>
      <w:r w:rsidR="00D1713B">
        <w:rPr>
          <w:rFonts w:ascii="Arial" w:hAnsi="Arial" w:cs="Arial"/>
          <w:sz w:val="22"/>
          <w:szCs w:val="22"/>
        </w:rPr>
        <w:t xml:space="preserve"> how employing a </w:t>
      </w:r>
      <w:r w:rsidR="00B9711A">
        <w:rPr>
          <w:rFonts w:ascii="Arial" w:hAnsi="Arial" w:cs="Arial"/>
          <w:sz w:val="22"/>
          <w:szCs w:val="22"/>
        </w:rPr>
        <w:t>variety of methods</w:t>
      </w:r>
      <w:r w:rsidR="00D1713B">
        <w:rPr>
          <w:rFonts w:ascii="Arial" w:hAnsi="Arial" w:cs="Arial"/>
          <w:sz w:val="22"/>
          <w:szCs w:val="22"/>
        </w:rPr>
        <w:t xml:space="preserve"> provides a comprehensive understanding of the research topic, capturing its complexity from various perspectives. </w:t>
      </w:r>
      <w:r w:rsidR="00346BE3">
        <w:rPr>
          <w:rFonts w:ascii="Arial" w:hAnsi="Arial" w:cs="Arial"/>
          <w:sz w:val="22"/>
          <w:szCs w:val="22"/>
        </w:rPr>
        <w:t>Therefore, for the purpose of this study, a combination of different research methods will be utilised.</w:t>
      </w:r>
    </w:p>
    <w:p w14:paraId="50288887" w14:textId="77777777" w:rsidR="00346BE3" w:rsidRDefault="00346BE3" w:rsidP="00AD2F46">
      <w:pPr>
        <w:spacing w:line="480" w:lineRule="auto"/>
        <w:rPr>
          <w:rFonts w:ascii="Arial" w:hAnsi="Arial" w:cs="Arial"/>
          <w:sz w:val="22"/>
          <w:szCs w:val="22"/>
        </w:rPr>
      </w:pPr>
    </w:p>
    <w:p w14:paraId="3365BBC6" w14:textId="37C49ACA" w:rsidR="00346BE3" w:rsidRDefault="00346BE3" w:rsidP="00AD2F46">
      <w:pPr>
        <w:spacing w:line="480" w:lineRule="auto"/>
        <w:rPr>
          <w:rFonts w:ascii="Arial" w:hAnsi="Arial" w:cs="Arial"/>
          <w:sz w:val="22"/>
          <w:szCs w:val="22"/>
        </w:rPr>
      </w:pPr>
      <w:r>
        <w:rPr>
          <w:rFonts w:ascii="Arial" w:hAnsi="Arial" w:cs="Arial"/>
          <w:sz w:val="22"/>
          <w:szCs w:val="22"/>
        </w:rPr>
        <w:t xml:space="preserve">The first method used will be observations. </w:t>
      </w:r>
      <w:r w:rsidR="007B16E7">
        <w:rPr>
          <w:rFonts w:ascii="Arial" w:hAnsi="Arial" w:cs="Arial"/>
          <w:sz w:val="22"/>
          <w:szCs w:val="22"/>
        </w:rPr>
        <w:t xml:space="preserve">Observations, as defined by </w:t>
      </w:r>
      <w:r w:rsidR="00274FE0">
        <w:rPr>
          <w:rFonts w:ascii="Arial" w:hAnsi="Arial" w:cs="Arial"/>
          <w:sz w:val="22"/>
          <w:szCs w:val="22"/>
        </w:rPr>
        <w:t>Smit</w:t>
      </w:r>
      <w:r w:rsidR="008A0847">
        <w:rPr>
          <w:rFonts w:ascii="Arial" w:hAnsi="Arial" w:cs="Arial"/>
          <w:sz w:val="22"/>
          <w:szCs w:val="22"/>
        </w:rPr>
        <w:t xml:space="preserve"> </w:t>
      </w:r>
      <w:r w:rsidR="007B16E7">
        <w:rPr>
          <w:rFonts w:ascii="Arial" w:hAnsi="Arial" w:cs="Arial"/>
          <w:sz w:val="22"/>
          <w:szCs w:val="22"/>
        </w:rPr>
        <w:t>(</w:t>
      </w:r>
      <w:r w:rsidR="00274FE0">
        <w:rPr>
          <w:rFonts w:ascii="Arial" w:hAnsi="Arial" w:cs="Arial"/>
          <w:sz w:val="22"/>
          <w:szCs w:val="22"/>
        </w:rPr>
        <w:t>2018</w:t>
      </w:r>
      <w:r w:rsidR="007B16E7">
        <w:rPr>
          <w:rFonts w:ascii="Arial" w:hAnsi="Arial" w:cs="Arial"/>
          <w:sz w:val="22"/>
          <w:szCs w:val="22"/>
        </w:rPr>
        <w:t xml:space="preserve">), </w:t>
      </w:r>
      <w:r w:rsidR="0037672A">
        <w:rPr>
          <w:rFonts w:ascii="Arial" w:hAnsi="Arial" w:cs="Arial"/>
          <w:sz w:val="22"/>
          <w:szCs w:val="22"/>
        </w:rPr>
        <w:t xml:space="preserve">involves observing and documenting classroom activities, behaviours and interactions. </w:t>
      </w:r>
      <w:r w:rsidR="00274FE0">
        <w:rPr>
          <w:rFonts w:ascii="Arial" w:hAnsi="Arial" w:cs="Arial"/>
          <w:sz w:val="22"/>
          <w:szCs w:val="22"/>
        </w:rPr>
        <w:t>Smit</w:t>
      </w:r>
      <w:r w:rsidR="008A0847">
        <w:rPr>
          <w:rFonts w:ascii="Arial" w:hAnsi="Arial" w:cs="Arial"/>
          <w:sz w:val="22"/>
          <w:szCs w:val="22"/>
        </w:rPr>
        <w:t xml:space="preserve"> </w:t>
      </w:r>
      <w:r w:rsidR="0037672A">
        <w:rPr>
          <w:rFonts w:ascii="Arial" w:hAnsi="Arial" w:cs="Arial"/>
          <w:sz w:val="22"/>
          <w:szCs w:val="22"/>
        </w:rPr>
        <w:t>(</w:t>
      </w:r>
      <w:r w:rsidR="00274FE0">
        <w:rPr>
          <w:rFonts w:ascii="Arial" w:hAnsi="Arial" w:cs="Arial"/>
          <w:sz w:val="22"/>
          <w:szCs w:val="22"/>
        </w:rPr>
        <w:t>2018</w:t>
      </w:r>
      <w:r w:rsidR="0037672A">
        <w:rPr>
          <w:rFonts w:ascii="Arial" w:hAnsi="Arial" w:cs="Arial"/>
          <w:sz w:val="22"/>
          <w:szCs w:val="22"/>
        </w:rPr>
        <w:t xml:space="preserve">) highlight several benefits to using observations to inform research, with </w:t>
      </w:r>
      <w:r w:rsidR="006A18FD">
        <w:rPr>
          <w:rFonts w:ascii="Arial" w:hAnsi="Arial" w:cs="Arial"/>
          <w:sz w:val="22"/>
          <w:szCs w:val="22"/>
        </w:rPr>
        <w:t>one</w:t>
      </w:r>
      <w:r w:rsidR="0037672A">
        <w:rPr>
          <w:rFonts w:ascii="Arial" w:hAnsi="Arial" w:cs="Arial"/>
          <w:sz w:val="22"/>
          <w:szCs w:val="22"/>
        </w:rPr>
        <w:t xml:space="preserve"> being providing an in-depth understanding of the context in which learning </w:t>
      </w:r>
      <w:proofErr w:type="gramStart"/>
      <w:r w:rsidR="0037672A">
        <w:rPr>
          <w:rFonts w:ascii="Arial" w:hAnsi="Arial" w:cs="Arial"/>
          <w:sz w:val="22"/>
          <w:szCs w:val="22"/>
        </w:rPr>
        <w:t>occurs;</w:t>
      </w:r>
      <w:proofErr w:type="gramEnd"/>
      <w:r w:rsidR="0037672A">
        <w:rPr>
          <w:rFonts w:ascii="Arial" w:hAnsi="Arial" w:cs="Arial"/>
          <w:sz w:val="22"/>
          <w:szCs w:val="22"/>
        </w:rPr>
        <w:t xml:space="preserve"> allowing an examination of the dynamics between children and the learning environment. </w:t>
      </w:r>
      <w:proofErr w:type="spellStart"/>
      <w:r w:rsidR="00274FE0">
        <w:rPr>
          <w:rFonts w:ascii="Arial" w:hAnsi="Arial" w:cs="Arial"/>
          <w:sz w:val="22"/>
          <w:szCs w:val="22"/>
        </w:rPr>
        <w:t>Busetto</w:t>
      </w:r>
      <w:proofErr w:type="spellEnd"/>
      <w:r w:rsidR="00274FE0">
        <w:rPr>
          <w:rFonts w:ascii="Arial" w:hAnsi="Arial" w:cs="Arial"/>
          <w:sz w:val="22"/>
          <w:szCs w:val="22"/>
        </w:rPr>
        <w:t xml:space="preserve">, et al, </w:t>
      </w:r>
      <w:r w:rsidR="0037672A">
        <w:rPr>
          <w:rFonts w:ascii="Arial" w:hAnsi="Arial" w:cs="Arial"/>
          <w:sz w:val="22"/>
          <w:szCs w:val="22"/>
        </w:rPr>
        <w:t>(</w:t>
      </w:r>
      <w:r w:rsidR="00274FE0">
        <w:rPr>
          <w:rFonts w:ascii="Arial" w:hAnsi="Arial" w:cs="Arial"/>
          <w:sz w:val="22"/>
          <w:szCs w:val="22"/>
        </w:rPr>
        <w:t>2020</w:t>
      </w:r>
      <w:r w:rsidR="0037672A">
        <w:rPr>
          <w:rFonts w:ascii="Arial" w:hAnsi="Arial" w:cs="Arial"/>
          <w:sz w:val="22"/>
          <w:szCs w:val="22"/>
        </w:rPr>
        <w:t xml:space="preserve">) considers how observations allow researchers to capture authentic behaviours and interactions, providing rich qualitative data that enhances the validity and depth of the study. By directly observing the learner’s engagement and participation in pupil voice activities, researchers can gain insights into the ways in which pupil voice is perceived and experienced. </w:t>
      </w:r>
    </w:p>
    <w:p w14:paraId="38A28F81" w14:textId="77777777" w:rsidR="00CB2E37" w:rsidRDefault="00CB2E37" w:rsidP="00AD2F46">
      <w:pPr>
        <w:spacing w:line="480" w:lineRule="auto"/>
        <w:rPr>
          <w:rFonts w:ascii="Arial" w:hAnsi="Arial" w:cs="Arial"/>
          <w:sz w:val="22"/>
          <w:szCs w:val="22"/>
        </w:rPr>
      </w:pPr>
    </w:p>
    <w:p w14:paraId="6538B239" w14:textId="1ADCCF46" w:rsidR="00CB2E37" w:rsidRDefault="00CB2E37" w:rsidP="00AD2F46">
      <w:pPr>
        <w:spacing w:line="480" w:lineRule="auto"/>
        <w:rPr>
          <w:rFonts w:ascii="Arial" w:hAnsi="Arial" w:cs="Arial"/>
          <w:sz w:val="22"/>
          <w:szCs w:val="22"/>
        </w:rPr>
      </w:pPr>
      <w:r>
        <w:rPr>
          <w:rFonts w:ascii="Arial" w:hAnsi="Arial" w:cs="Arial"/>
          <w:sz w:val="22"/>
          <w:szCs w:val="22"/>
        </w:rPr>
        <w:t>The observation schedule</w:t>
      </w:r>
      <w:r w:rsidR="003A4289">
        <w:rPr>
          <w:rFonts w:ascii="Arial" w:hAnsi="Arial" w:cs="Arial"/>
          <w:sz w:val="22"/>
          <w:szCs w:val="22"/>
        </w:rPr>
        <w:t xml:space="preserve"> (See Appendix 3)</w:t>
      </w:r>
      <w:r>
        <w:rPr>
          <w:rFonts w:ascii="Arial" w:hAnsi="Arial" w:cs="Arial"/>
          <w:sz w:val="22"/>
          <w:szCs w:val="22"/>
        </w:rPr>
        <w:t xml:space="preserve"> allows for notes and specific observations to be recorded. However, </w:t>
      </w:r>
      <w:r w:rsidR="000340B0">
        <w:rPr>
          <w:rFonts w:ascii="Arial" w:hAnsi="Arial" w:cs="Arial"/>
          <w:sz w:val="22"/>
          <w:szCs w:val="22"/>
        </w:rPr>
        <w:t xml:space="preserve">Yates and </w:t>
      </w:r>
      <w:proofErr w:type="spellStart"/>
      <w:r w:rsidR="000340B0">
        <w:rPr>
          <w:rFonts w:ascii="Arial" w:hAnsi="Arial" w:cs="Arial"/>
          <w:sz w:val="22"/>
          <w:szCs w:val="22"/>
        </w:rPr>
        <w:t>Oliveria</w:t>
      </w:r>
      <w:proofErr w:type="spellEnd"/>
      <w:r w:rsidR="000340B0">
        <w:rPr>
          <w:rFonts w:ascii="Arial" w:hAnsi="Arial" w:cs="Arial"/>
          <w:sz w:val="22"/>
          <w:szCs w:val="22"/>
        </w:rPr>
        <w:t xml:space="preserve"> </w:t>
      </w:r>
      <w:r>
        <w:rPr>
          <w:rFonts w:ascii="Arial" w:hAnsi="Arial" w:cs="Arial"/>
          <w:sz w:val="22"/>
          <w:szCs w:val="22"/>
        </w:rPr>
        <w:t>(</w:t>
      </w:r>
      <w:r w:rsidR="000340B0">
        <w:rPr>
          <w:rFonts w:ascii="Arial" w:hAnsi="Arial" w:cs="Arial"/>
          <w:sz w:val="22"/>
          <w:szCs w:val="22"/>
        </w:rPr>
        <w:t>2016</w:t>
      </w:r>
      <w:r>
        <w:rPr>
          <w:rFonts w:ascii="Arial" w:hAnsi="Arial" w:cs="Arial"/>
          <w:sz w:val="22"/>
          <w:szCs w:val="22"/>
        </w:rPr>
        <w:t xml:space="preserve">) acknowledges that such a system may lead to oversights or </w:t>
      </w:r>
      <w:r w:rsidR="003A4289">
        <w:rPr>
          <w:rFonts w:ascii="Arial" w:hAnsi="Arial" w:cs="Arial"/>
          <w:sz w:val="22"/>
          <w:szCs w:val="22"/>
        </w:rPr>
        <w:t>misinterpretations</w:t>
      </w:r>
      <w:r>
        <w:rPr>
          <w:rFonts w:ascii="Arial" w:hAnsi="Arial" w:cs="Arial"/>
          <w:sz w:val="22"/>
          <w:szCs w:val="22"/>
        </w:rPr>
        <w:t xml:space="preserve"> of behaviours. Therefore, the schedule will require the</w:t>
      </w:r>
      <w:r w:rsidR="00C86491">
        <w:rPr>
          <w:rFonts w:ascii="Arial" w:hAnsi="Arial" w:cs="Arial"/>
          <w:sz w:val="22"/>
          <w:szCs w:val="22"/>
        </w:rPr>
        <w:t xml:space="preserve"> </w:t>
      </w:r>
      <w:r>
        <w:rPr>
          <w:rFonts w:ascii="Arial" w:hAnsi="Arial" w:cs="Arial"/>
          <w:sz w:val="22"/>
          <w:szCs w:val="22"/>
        </w:rPr>
        <w:t>identif</w:t>
      </w:r>
      <w:r w:rsidR="00C86491">
        <w:rPr>
          <w:rFonts w:ascii="Arial" w:hAnsi="Arial" w:cs="Arial"/>
          <w:sz w:val="22"/>
          <w:szCs w:val="22"/>
        </w:rPr>
        <w:t>ication of</w:t>
      </w:r>
      <w:r>
        <w:rPr>
          <w:rFonts w:ascii="Arial" w:hAnsi="Arial" w:cs="Arial"/>
          <w:sz w:val="22"/>
          <w:szCs w:val="22"/>
        </w:rPr>
        <w:t xml:space="preserve"> level of </w:t>
      </w:r>
      <w:r w:rsidRPr="005D4945">
        <w:rPr>
          <w:rFonts w:ascii="Arial" w:hAnsi="Arial" w:cs="Arial"/>
          <w:color w:val="000000" w:themeColor="text1"/>
          <w:sz w:val="22"/>
          <w:szCs w:val="22"/>
        </w:rPr>
        <w:t xml:space="preserve">activity. The level of activity scoring will align with the </w:t>
      </w:r>
      <w:r w:rsidR="000340B0">
        <w:rPr>
          <w:rFonts w:ascii="Arial" w:hAnsi="Arial" w:cs="Arial"/>
          <w:color w:val="000000" w:themeColor="text1"/>
          <w:sz w:val="22"/>
          <w:szCs w:val="22"/>
        </w:rPr>
        <w:t>Leuven</w:t>
      </w:r>
      <w:r w:rsidRPr="005D4945">
        <w:rPr>
          <w:rFonts w:ascii="Arial" w:hAnsi="Arial" w:cs="Arial"/>
          <w:color w:val="000000" w:themeColor="text1"/>
          <w:sz w:val="22"/>
          <w:szCs w:val="22"/>
        </w:rPr>
        <w:t xml:space="preserve"> Scale</w:t>
      </w:r>
      <w:r w:rsidR="005D4945" w:rsidRPr="005D4945">
        <w:rPr>
          <w:rFonts w:ascii="Arial" w:hAnsi="Arial" w:cs="Arial"/>
          <w:color w:val="000000" w:themeColor="text1"/>
          <w:sz w:val="22"/>
          <w:szCs w:val="22"/>
        </w:rPr>
        <w:t xml:space="preserve"> of Active Engagement</w:t>
      </w:r>
      <w:r w:rsidR="00143EBD">
        <w:rPr>
          <w:rFonts w:ascii="Arial" w:hAnsi="Arial" w:cs="Arial"/>
          <w:color w:val="000000" w:themeColor="text1"/>
          <w:sz w:val="22"/>
          <w:szCs w:val="22"/>
        </w:rPr>
        <w:t>, where a level 5 means high engagement and level 1 means low engagement</w:t>
      </w:r>
      <w:r w:rsidRPr="005D4945">
        <w:rPr>
          <w:rFonts w:ascii="Arial" w:hAnsi="Arial" w:cs="Arial"/>
          <w:color w:val="000000" w:themeColor="text1"/>
          <w:sz w:val="22"/>
          <w:szCs w:val="22"/>
        </w:rPr>
        <w:t xml:space="preserve"> (</w:t>
      </w:r>
      <w:r w:rsidR="005D4945" w:rsidRPr="005D4945">
        <w:rPr>
          <w:rFonts w:ascii="Arial" w:hAnsi="Arial" w:cs="Arial"/>
          <w:color w:val="000000" w:themeColor="text1"/>
          <w:sz w:val="22"/>
          <w:szCs w:val="22"/>
        </w:rPr>
        <w:t>Estyn, 2019</w:t>
      </w:r>
      <w:r w:rsidRPr="005D4945">
        <w:rPr>
          <w:rFonts w:ascii="Arial" w:hAnsi="Arial" w:cs="Arial"/>
          <w:color w:val="000000" w:themeColor="text1"/>
          <w:sz w:val="22"/>
          <w:szCs w:val="22"/>
        </w:rPr>
        <w:t xml:space="preserve">). Utilising </w:t>
      </w:r>
      <w:r>
        <w:rPr>
          <w:rFonts w:ascii="Arial" w:hAnsi="Arial" w:cs="Arial"/>
          <w:sz w:val="22"/>
          <w:szCs w:val="22"/>
        </w:rPr>
        <w:t>a standardised scoring system ranging from low activit</w:t>
      </w:r>
      <w:r w:rsidR="00AB1288">
        <w:rPr>
          <w:rFonts w:ascii="Arial" w:hAnsi="Arial" w:cs="Arial"/>
          <w:sz w:val="22"/>
          <w:szCs w:val="22"/>
        </w:rPr>
        <w:t>y</w:t>
      </w:r>
      <w:r>
        <w:rPr>
          <w:rFonts w:ascii="Arial" w:hAnsi="Arial" w:cs="Arial"/>
          <w:sz w:val="22"/>
          <w:szCs w:val="22"/>
        </w:rPr>
        <w:t xml:space="preserve"> to intense activity enables consistent evaluation across observations (ibid.). The method facilitates the identification of how children interact with the learning environment. </w:t>
      </w:r>
    </w:p>
    <w:p w14:paraId="0424D046" w14:textId="77777777" w:rsidR="0037672A" w:rsidRDefault="0037672A" w:rsidP="00AD2F46">
      <w:pPr>
        <w:spacing w:line="480" w:lineRule="auto"/>
        <w:rPr>
          <w:rFonts w:ascii="Arial" w:hAnsi="Arial" w:cs="Arial"/>
          <w:sz w:val="22"/>
          <w:szCs w:val="22"/>
        </w:rPr>
      </w:pPr>
    </w:p>
    <w:p w14:paraId="229274FE" w14:textId="66174C36" w:rsidR="004E4D1A" w:rsidRDefault="0037672A" w:rsidP="00AD2F46">
      <w:pPr>
        <w:spacing w:line="480" w:lineRule="auto"/>
        <w:rPr>
          <w:rFonts w:ascii="Arial" w:hAnsi="Arial" w:cs="Arial"/>
          <w:sz w:val="22"/>
          <w:szCs w:val="22"/>
        </w:rPr>
      </w:pPr>
      <w:r>
        <w:rPr>
          <w:rFonts w:ascii="Arial" w:hAnsi="Arial" w:cs="Arial"/>
          <w:sz w:val="22"/>
          <w:szCs w:val="22"/>
        </w:rPr>
        <w:t xml:space="preserve">However, </w:t>
      </w:r>
      <w:r w:rsidR="000340B0">
        <w:rPr>
          <w:rFonts w:ascii="Arial" w:hAnsi="Arial" w:cs="Arial"/>
          <w:sz w:val="22"/>
          <w:szCs w:val="22"/>
        </w:rPr>
        <w:t xml:space="preserve">Hammer, et al, </w:t>
      </w:r>
      <w:r>
        <w:rPr>
          <w:rFonts w:ascii="Arial" w:hAnsi="Arial" w:cs="Arial"/>
          <w:sz w:val="22"/>
          <w:szCs w:val="22"/>
        </w:rPr>
        <w:t>(</w:t>
      </w:r>
      <w:r w:rsidR="000340B0">
        <w:rPr>
          <w:rFonts w:ascii="Arial" w:hAnsi="Arial" w:cs="Arial"/>
          <w:sz w:val="22"/>
          <w:szCs w:val="22"/>
        </w:rPr>
        <w:t>2009</w:t>
      </w:r>
      <w:r>
        <w:rPr>
          <w:rFonts w:ascii="Arial" w:hAnsi="Arial" w:cs="Arial"/>
          <w:sz w:val="22"/>
          <w:szCs w:val="22"/>
        </w:rPr>
        <w:t>) criticises the use of observation, drawing attention to the potential for observer bias, where the presence of the researcher may influence the behaviour of children, leading to inaccurate observations.</w:t>
      </w:r>
      <w:r w:rsidR="000340B0">
        <w:rPr>
          <w:rFonts w:ascii="Arial" w:hAnsi="Arial" w:cs="Arial"/>
          <w:sz w:val="22"/>
          <w:szCs w:val="22"/>
        </w:rPr>
        <w:t xml:space="preserve"> O</w:t>
      </w:r>
      <w:r>
        <w:rPr>
          <w:rFonts w:ascii="Arial" w:hAnsi="Arial" w:cs="Arial"/>
          <w:sz w:val="22"/>
          <w:szCs w:val="22"/>
        </w:rPr>
        <w:t xml:space="preserve">bserver bias </w:t>
      </w:r>
      <w:r w:rsidR="000340B0">
        <w:rPr>
          <w:rFonts w:ascii="Arial" w:hAnsi="Arial" w:cs="Arial"/>
          <w:sz w:val="22"/>
          <w:szCs w:val="22"/>
        </w:rPr>
        <w:t xml:space="preserve">can also present </w:t>
      </w:r>
      <w:r>
        <w:rPr>
          <w:rFonts w:ascii="Arial" w:hAnsi="Arial" w:cs="Arial"/>
          <w:sz w:val="22"/>
          <w:szCs w:val="22"/>
        </w:rPr>
        <w:t>where the researcher anticipate</w:t>
      </w:r>
      <w:r w:rsidR="000340B0">
        <w:rPr>
          <w:rFonts w:ascii="Arial" w:hAnsi="Arial" w:cs="Arial"/>
          <w:sz w:val="22"/>
          <w:szCs w:val="22"/>
        </w:rPr>
        <w:t>s</w:t>
      </w:r>
      <w:r>
        <w:rPr>
          <w:rFonts w:ascii="Arial" w:hAnsi="Arial" w:cs="Arial"/>
          <w:sz w:val="22"/>
          <w:szCs w:val="22"/>
        </w:rPr>
        <w:t xml:space="preserve"> a specific outcome and therefore </w:t>
      </w:r>
      <w:r w:rsidRPr="004E4D1A">
        <w:rPr>
          <w:rFonts w:ascii="Arial" w:hAnsi="Arial" w:cs="Arial"/>
          <w:color w:val="000000" w:themeColor="text1"/>
          <w:sz w:val="22"/>
          <w:szCs w:val="22"/>
        </w:rPr>
        <w:t>search</w:t>
      </w:r>
      <w:r w:rsidR="000340B0">
        <w:rPr>
          <w:rFonts w:ascii="Arial" w:hAnsi="Arial" w:cs="Arial"/>
          <w:color w:val="000000" w:themeColor="text1"/>
          <w:sz w:val="22"/>
          <w:szCs w:val="22"/>
        </w:rPr>
        <w:t>es</w:t>
      </w:r>
      <w:r w:rsidRPr="004E4D1A">
        <w:rPr>
          <w:rFonts w:ascii="Arial" w:hAnsi="Arial" w:cs="Arial"/>
          <w:color w:val="000000" w:themeColor="text1"/>
          <w:sz w:val="22"/>
          <w:szCs w:val="22"/>
        </w:rPr>
        <w:t xml:space="preserve"> for those outcomes. </w:t>
      </w:r>
      <w:r w:rsidR="001A2800" w:rsidRPr="004E4D1A">
        <w:rPr>
          <w:rFonts w:ascii="Arial" w:hAnsi="Arial" w:cs="Arial"/>
          <w:color w:val="000000" w:themeColor="text1"/>
          <w:sz w:val="22"/>
          <w:szCs w:val="22"/>
        </w:rPr>
        <w:t>Moreover</w:t>
      </w:r>
      <w:r w:rsidR="001A2800">
        <w:rPr>
          <w:rFonts w:ascii="Arial" w:hAnsi="Arial" w:cs="Arial"/>
          <w:sz w:val="22"/>
          <w:szCs w:val="22"/>
        </w:rPr>
        <w:t xml:space="preserve">, </w:t>
      </w:r>
      <w:r w:rsidR="008A0847">
        <w:rPr>
          <w:rFonts w:ascii="Arial" w:hAnsi="Arial" w:cs="Arial"/>
          <w:sz w:val="22"/>
          <w:szCs w:val="22"/>
        </w:rPr>
        <w:t xml:space="preserve">Watt </w:t>
      </w:r>
      <w:r w:rsidR="001A2800">
        <w:rPr>
          <w:rFonts w:ascii="Arial" w:hAnsi="Arial" w:cs="Arial"/>
          <w:sz w:val="22"/>
          <w:szCs w:val="22"/>
        </w:rPr>
        <w:t>(</w:t>
      </w:r>
      <w:r w:rsidR="008A0847">
        <w:rPr>
          <w:rFonts w:ascii="Arial" w:hAnsi="Arial" w:cs="Arial"/>
          <w:sz w:val="22"/>
          <w:szCs w:val="22"/>
        </w:rPr>
        <w:t>2010</w:t>
      </w:r>
      <w:r w:rsidR="001A2800">
        <w:rPr>
          <w:rFonts w:ascii="Arial" w:hAnsi="Arial" w:cs="Arial"/>
          <w:sz w:val="22"/>
          <w:szCs w:val="22"/>
        </w:rPr>
        <w:t>) considers how</w:t>
      </w:r>
      <w:r w:rsidR="00C86491">
        <w:rPr>
          <w:rFonts w:ascii="Arial" w:hAnsi="Arial" w:cs="Arial"/>
          <w:sz w:val="22"/>
          <w:szCs w:val="22"/>
        </w:rPr>
        <w:t xml:space="preserve"> </w:t>
      </w:r>
      <w:r w:rsidR="004E4D1A">
        <w:rPr>
          <w:rFonts w:ascii="Arial" w:hAnsi="Arial" w:cs="Arial"/>
          <w:sz w:val="22"/>
          <w:szCs w:val="22"/>
        </w:rPr>
        <w:t>a classroom observation may not be suitable due to the research aiming to gather the children’s perceptions and not the researchers.</w:t>
      </w:r>
    </w:p>
    <w:p w14:paraId="591BC0AB" w14:textId="77777777" w:rsidR="004E4D1A" w:rsidRDefault="004E4D1A" w:rsidP="00AD2F46">
      <w:pPr>
        <w:spacing w:line="480" w:lineRule="auto"/>
        <w:rPr>
          <w:rFonts w:ascii="Arial" w:hAnsi="Arial" w:cs="Arial"/>
          <w:sz w:val="22"/>
          <w:szCs w:val="22"/>
        </w:rPr>
      </w:pPr>
    </w:p>
    <w:p w14:paraId="6E59A67F" w14:textId="24087C8F" w:rsidR="00C86491" w:rsidRDefault="004E4D1A" w:rsidP="00AD2F46">
      <w:pPr>
        <w:spacing w:line="480" w:lineRule="auto"/>
        <w:rPr>
          <w:rFonts w:ascii="Arial" w:hAnsi="Arial" w:cs="Arial"/>
          <w:sz w:val="22"/>
          <w:szCs w:val="22"/>
        </w:rPr>
      </w:pPr>
      <w:r>
        <w:rPr>
          <w:rFonts w:ascii="Arial" w:hAnsi="Arial" w:cs="Arial"/>
          <w:sz w:val="22"/>
          <w:szCs w:val="22"/>
        </w:rPr>
        <w:t>Therefore, to counter such criticisms, semi-structured interviews will also be used to collect data. A semi-structured interview involves a flexible yet guided approach to questioning, allowing researchers to explore participant’s perspectives in depth, allowing the views to guide the questioning whilst maintaining a degree of structure (</w:t>
      </w:r>
      <w:r w:rsidR="008A0847">
        <w:rPr>
          <w:rFonts w:ascii="Arial" w:hAnsi="Arial" w:cs="Arial"/>
          <w:sz w:val="22"/>
          <w:szCs w:val="22"/>
        </w:rPr>
        <w:t>Park, et al, 2016</w:t>
      </w:r>
      <w:r>
        <w:rPr>
          <w:rFonts w:ascii="Arial" w:hAnsi="Arial" w:cs="Arial"/>
          <w:sz w:val="22"/>
          <w:szCs w:val="22"/>
        </w:rPr>
        <w:t xml:space="preserve">). </w:t>
      </w:r>
      <w:r w:rsidR="008A0847">
        <w:rPr>
          <w:rFonts w:ascii="Arial" w:hAnsi="Arial" w:cs="Arial"/>
          <w:sz w:val="22"/>
          <w:szCs w:val="22"/>
        </w:rPr>
        <w:t>I</w:t>
      </w:r>
      <w:r w:rsidR="00294235">
        <w:rPr>
          <w:rFonts w:ascii="Arial" w:hAnsi="Arial" w:cs="Arial"/>
          <w:sz w:val="22"/>
          <w:szCs w:val="22"/>
        </w:rPr>
        <w:t xml:space="preserve">nterviews enable researchers to gather detailed insights from participants, as the open-ended nature of the questions encourages respondents to express their thoughts, feelings and experiences freely (ibid.). There should be an established rapport and trust between the interviewer and participant, creating </w:t>
      </w:r>
      <w:proofErr w:type="spellStart"/>
      <w:proofErr w:type="gramStart"/>
      <w:r w:rsidR="00294235">
        <w:rPr>
          <w:rFonts w:ascii="Arial" w:hAnsi="Arial" w:cs="Arial"/>
          <w:sz w:val="22"/>
          <w:szCs w:val="22"/>
        </w:rPr>
        <w:t>a</w:t>
      </w:r>
      <w:proofErr w:type="spellEnd"/>
      <w:proofErr w:type="gramEnd"/>
      <w:r w:rsidR="00294235">
        <w:rPr>
          <w:rFonts w:ascii="Arial" w:hAnsi="Arial" w:cs="Arial"/>
          <w:sz w:val="22"/>
          <w:szCs w:val="22"/>
        </w:rPr>
        <w:t xml:space="preserve"> environment for open communication (</w:t>
      </w:r>
      <w:r w:rsidR="008A0847">
        <w:rPr>
          <w:rFonts w:ascii="Arial" w:hAnsi="Arial" w:cs="Arial"/>
          <w:sz w:val="22"/>
          <w:szCs w:val="22"/>
        </w:rPr>
        <w:t>Watt, 2010</w:t>
      </w:r>
      <w:r w:rsidR="00294235">
        <w:rPr>
          <w:rFonts w:ascii="Arial" w:hAnsi="Arial" w:cs="Arial"/>
          <w:sz w:val="22"/>
          <w:szCs w:val="22"/>
        </w:rPr>
        <w:t xml:space="preserve">). </w:t>
      </w:r>
    </w:p>
    <w:p w14:paraId="64E998D5" w14:textId="77777777" w:rsidR="00C86491" w:rsidRDefault="00C86491" w:rsidP="00AD2F46">
      <w:pPr>
        <w:spacing w:line="480" w:lineRule="auto"/>
        <w:rPr>
          <w:rFonts w:ascii="Arial" w:hAnsi="Arial" w:cs="Arial"/>
          <w:sz w:val="22"/>
          <w:szCs w:val="22"/>
        </w:rPr>
      </w:pPr>
    </w:p>
    <w:p w14:paraId="0324C505" w14:textId="1A27A2CA" w:rsidR="00294235" w:rsidRDefault="003A4289" w:rsidP="00AD2F46">
      <w:pPr>
        <w:spacing w:line="480" w:lineRule="auto"/>
        <w:rPr>
          <w:rFonts w:ascii="Arial" w:hAnsi="Arial" w:cs="Arial"/>
          <w:sz w:val="22"/>
          <w:szCs w:val="22"/>
        </w:rPr>
      </w:pPr>
      <w:r>
        <w:rPr>
          <w:rFonts w:ascii="Arial" w:hAnsi="Arial" w:cs="Arial"/>
          <w:sz w:val="22"/>
          <w:szCs w:val="22"/>
        </w:rPr>
        <w:t xml:space="preserve">The warm-up questions </w:t>
      </w:r>
      <w:r w:rsidR="00C86491">
        <w:rPr>
          <w:rFonts w:ascii="Arial" w:hAnsi="Arial" w:cs="Arial"/>
          <w:sz w:val="22"/>
          <w:szCs w:val="22"/>
        </w:rPr>
        <w:t xml:space="preserve">will </w:t>
      </w:r>
      <w:r>
        <w:rPr>
          <w:rFonts w:ascii="Arial" w:hAnsi="Arial" w:cs="Arial"/>
          <w:sz w:val="22"/>
          <w:szCs w:val="22"/>
        </w:rPr>
        <w:t xml:space="preserve">serve </w:t>
      </w:r>
      <w:r w:rsidR="00BE7563">
        <w:rPr>
          <w:rFonts w:ascii="Arial" w:hAnsi="Arial" w:cs="Arial"/>
          <w:sz w:val="22"/>
          <w:szCs w:val="22"/>
        </w:rPr>
        <w:t>to</w:t>
      </w:r>
      <w:r>
        <w:rPr>
          <w:rFonts w:ascii="Arial" w:hAnsi="Arial" w:cs="Arial"/>
          <w:sz w:val="22"/>
          <w:szCs w:val="22"/>
        </w:rPr>
        <w:t xml:space="preserve"> establish rapport and ease participants into the interview process</w:t>
      </w:r>
      <w:r w:rsidR="008A0847">
        <w:rPr>
          <w:rFonts w:ascii="Arial" w:hAnsi="Arial" w:cs="Arial"/>
          <w:sz w:val="22"/>
          <w:szCs w:val="22"/>
        </w:rPr>
        <w:t xml:space="preserve">. </w:t>
      </w:r>
      <w:r>
        <w:rPr>
          <w:rFonts w:ascii="Arial" w:hAnsi="Arial" w:cs="Arial"/>
          <w:sz w:val="22"/>
          <w:szCs w:val="22"/>
        </w:rPr>
        <w:t>The interview questions (See Appendix 4) will delve into the child’s experiences and perceptions regarding the enhanced provision allowing for free expression of opinions. The flexibility in questioning accommodates the child’s pace and direction of conversation (</w:t>
      </w:r>
      <w:r w:rsidR="007F075C">
        <w:rPr>
          <w:rFonts w:ascii="Arial" w:hAnsi="Arial" w:cs="Arial"/>
          <w:sz w:val="22"/>
          <w:szCs w:val="22"/>
        </w:rPr>
        <w:t>McIntosh and Morse, 2015</w:t>
      </w:r>
      <w:r>
        <w:rPr>
          <w:rFonts w:ascii="Arial" w:hAnsi="Arial" w:cs="Arial"/>
          <w:sz w:val="22"/>
          <w:szCs w:val="22"/>
        </w:rPr>
        <w:t>). However, the reliance on predetermined questions may constrain exploration of unforeseen topics or issues, potentially limiting the depth of insights gained (</w:t>
      </w:r>
      <w:proofErr w:type="spellStart"/>
      <w:r w:rsidR="007F075C">
        <w:rPr>
          <w:rFonts w:ascii="Arial" w:hAnsi="Arial" w:cs="Arial"/>
          <w:sz w:val="22"/>
          <w:szCs w:val="22"/>
        </w:rPr>
        <w:t>Scanthosh</w:t>
      </w:r>
      <w:proofErr w:type="spellEnd"/>
      <w:r w:rsidR="007F075C">
        <w:rPr>
          <w:rFonts w:ascii="Arial" w:hAnsi="Arial" w:cs="Arial"/>
          <w:sz w:val="22"/>
          <w:szCs w:val="22"/>
        </w:rPr>
        <w:t>, et al, 2021</w:t>
      </w:r>
      <w:r>
        <w:rPr>
          <w:rFonts w:ascii="Arial" w:hAnsi="Arial" w:cs="Arial"/>
          <w:sz w:val="22"/>
          <w:szCs w:val="22"/>
        </w:rPr>
        <w:t xml:space="preserve">). Despite this limitation, the structured approach </w:t>
      </w:r>
      <w:r w:rsidR="00AB1288">
        <w:rPr>
          <w:rFonts w:ascii="Arial" w:hAnsi="Arial" w:cs="Arial"/>
          <w:sz w:val="22"/>
          <w:szCs w:val="22"/>
        </w:rPr>
        <w:t>offers</w:t>
      </w:r>
      <w:r>
        <w:rPr>
          <w:rFonts w:ascii="Arial" w:hAnsi="Arial" w:cs="Arial"/>
          <w:sz w:val="22"/>
          <w:szCs w:val="22"/>
        </w:rPr>
        <w:t xml:space="preserve"> a valuable means of capturing the children’s perspectives on enhanced provision.</w:t>
      </w:r>
    </w:p>
    <w:p w14:paraId="08144F23" w14:textId="77777777" w:rsidR="00294235" w:rsidRDefault="00294235" w:rsidP="00AD2F46">
      <w:pPr>
        <w:spacing w:line="480" w:lineRule="auto"/>
        <w:rPr>
          <w:rFonts w:ascii="Arial" w:hAnsi="Arial" w:cs="Arial"/>
          <w:sz w:val="22"/>
          <w:szCs w:val="22"/>
        </w:rPr>
      </w:pPr>
    </w:p>
    <w:p w14:paraId="39B390A7" w14:textId="4D080427" w:rsidR="009D5EC4" w:rsidRDefault="00294235" w:rsidP="00C44E98">
      <w:pPr>
        <w:spacing w:line="480" w:lineRule="auto"/>
        <w:rPr>
          <w:rFonts w:ascii="Arial" w:hAnsi="Arial" w:cs="Arial"/>
          <w:sz w:val="22"/>
          <w:szCs w:val="22"/>
        </w:rPr>
      </w:pPr>
      <w:r>
        <w:rPr>
          <w:rFonts w:ascii="Arial" w:hAnsi="Arial" w:cs="Arial"/>
          <w:sz w:val="22"/>
          <w:szCs w:val="22"/>
        </w:rPr>
        <w:t xml:space="preserve">However, despite the advantages, semi-structured interviews also present limitations. </w:t>
      </w:r>
      <w:proofErr w:type="spellStart"/>
      <w:r w:rsidR="007F075C">
        <w:rPr>
          <w:rFonts w:ascii="Arial" w:hAnsi="Arial" w:cs="Arial"/>
          <w:sz w:val="22"/>
          <w:szCs w:val="22"/>
        </w:rPr>
        <w:t>Latkin</w:t>
      </w:r>
      <w:proofErr w:type="spellEnd"/>
      <w:r w:rsidR="007F075C">
        <w:rPr>
          <w:rFonts w:ascii="Arial" w:hAnsi="Arial" w:cs="Arial"/>
          <w:sz w:val="22"/>
          <w:szCs w:val="22"/>
        </w:rPr>
        <w:t xml:space="preserve">, et al, </w:t>
      </w:r>
      <w:r>
        <w:rPr>
          <w:rFonts w:ascii="Arial" w:hAnsi="Arial" w:cs="Arial"/>
          <w:sz w:val="22"/>
          <w:szCs w:val="22"/>
        </w:rPr>
        <w:t>(</w:t>
      </w:r>
      <w:r w:rsidR="007F075C">
        <w:rPr>
          <w:rFonts w:ascii="Arial" w:hAnsi="Arial" w:cs="Arial"/>
          <w:sz w:val="22"/>
          <w:szCs w:val="22"/>
        </w:rPr>
        <w:t>2018</w:t>
      </w:r>
      <w:r>
        <w:rPr>
          <w:rFonts w:ascii="Arial" w:hAnsi="Arial" w:cs="Arial"/>
          <w:sz w:val="22"/>
          <w:szCs w:val="22"/>
        </w:rPr>
        <w:t>) identifies a challenge as the potential for desirability bias, where participants may provide responses they believe the researcher desires</w:t>
      </w:r>
      <w:r w:rsidR="00AB1288">
        <w:rPr>
          <w:rFonts w:ascii="Arial" w:hAnsi="Arial" w:cs="Arial"/>
          <w:sz w:val="22"/>
          <w:szCs w:val="22"/>
        </w:rPr>
        <w:t xml:space="preserve">. </w:t>
      </w:r>
      <w:r>
        <w:rPr>
          <w:rFonts w:ascii="Arial" w:hAnsi="Arial" w:cs="Arial"/>
          <w:sz w:val="22"/>
          <w:szCs w:val="22"/>
        </w:rPr>
        <w:t>Semi-structured interviews also rely on participants abilit</w:t>
      </w:r>
      <w:r w:rsidR="00AB1288">
        <w:rPr>
          <w:rFonts w:ascii="Arial" w:hAnsi="Arial" w:cs="Arial"/>
          <w:sz w:val="22"/>
          <w:szCs w:val="22"/>
        </w:rPr>
        <w:t>y</w:t>
      </w:r>
      <w:r>
        <w:rPr>
          <w:rFonts w:ascii="Arial" w:hAnsi="Arial" w:cs="Arial"/>
          <w:sz w:val="22"/>
          <w:szCs w:val="22"/>
        </w:rPr>
        <w:t xml:space="preserve"> to recall the experience accurately, which may be influenced by participant characteristics. </w:t>
      </w:r>
      <w:r w:rsidR="00552174">
        <w:rPr>
          <w:rFonts w:ascii="Arial" w:hAnsi="Arial" w:cs="Arial"/>
          <w:sz w:val="22"/>
          <w:szCs w:val="22"/>
        </w:rPr>
        <w:t xml:space="preserve">In the context of Year 2 children, the characteristics include age and attainment levels. </w:t>
      </w:r>
      <w:r w:rsidR="007F075C">
        <w:rPr>
          <w:rFonts w:ascii="Arial" w:hAnsi="Arial" w:cs="Arial"/>
          <w:sz w:val="22"/>
          <w:szCs w:val="22"/>
        </w:rPr>
        <w:t xml:space="preserve">Therefore, </w:t>
      </w:r>
      <w:r w:rsidR="00552174">
        <w:rPr>
          <w:rFonts w:ascii="Arial" w:hAnsi="Arial" w:cs="Arial"/>
          <w:sz w:val="22"/>
          <w:szCs w:val="22"/>
        </w:rPr>
        <w:t xml:space="preserve">researchers should adopt strategies tailored to accommodate the specific needs of each participant, ensuring equitable representation and meaningful insights. Such ideas involve implementing inclusive analysis framework that </w:t>
      </w:r>
      <w:r w:rsidR="00552174">
        <w:rPr>
          <w:rFonts w:ascii="Arial" w:hAnsi="Arial" w:cs="Arial"/>
          <w:sz w:val="22"/>
          <w:szCs w:val="22"/>
        </w:rPr>
        <w:lastRenderedPageBreak/>
        <w:t xml:space="preserve">acknowledge and address the </w:t>
      </w:r>
      <w:r w:rsidR="00DF792E">
        <w:rPr>
          <w:rFonts w:ascii="Arial" w:hAnsi="Arial" w:cs="Arial"/>
          <w:sz w:val="22"/>
          <w:szCs w:val="22"/>
        </w:rPr>
        <w:t>unique</w:t>
      </w:r>
      <w:r w:rsidR="00552174">
        <w:rPr>
          <w:rFonts w:ascii="Arial" w:hAnsi="Arial" w:cs="Arial"/>
          <w:sz w:val="22"/>
          <w:szCs w:val="22"/>
        </w:rPr>
        <w:t xml:space="preserve"> characteristics of each </w:t>
      </w:r>
      <w:proofErr w:type="gramStart"/>
      <w:r w:rsidR="00552174">
        <w:rPr>
          <w:rFonts w:ascii="Arial" w:hAnsi="Arial" w:cs="Arial"/>
          <w:sz w:val="22"/>
          <w:szCs w:val="22"/>
        </w:rPr>
        <w:t>child;</w:t>
      </w:r>
      <w:proofErr w:type="gramEnd"/>
      <w:r w:rsidR="00552174">
        <w:rPr>
          <w:rFonts w:ascii="Arial" w:hAnsi="Arial" w:cs="Arial"/>
          <w:sz w:val="22"/>
          <w:szCs w:val="22"/>
        </w:rPr>
        <w:t xml:space="preserve"> enhancing the validity and relevance of the research findings and analysis (</w:t>
      </w:r>
      <w:r w:rsidR="007F075C">
        <w:rPr>
          <w:rFonts w:ascii="Arial" w:hAnsi="Arial" w:cs="Arial"/>
          <w:sz w:val="22"/>
          <w:szCs w:val="22"/>
        </w:rPr>
        <w:t>Valencia, 2022</w:t>
      </w:r>
      <w:r w:rsidR="00552174">
        <w:rPr>
          <w:rFonts w:ascii="Arial" w:hAnsi="Arial" w:cs="Arial"/>
          <w:sz w:val="22"/>
          <w:szCs w:val="22"/>
        </w:rPr>
        <w:t xml:space="preserve">). </w:t>
      </w:r>
    </w:p>
    <w:p w14:paraId="64387660" w14:textId="77777777" w:rsidR="009D5EC4" w:rsidRPr="00226CC7" w:rsidRDefault="009D5EC4" w:rsidP="00C44E98">
      <w:pPr>
        <w:spacing w:line="480" w:lineRule="auto"/>
        <w:rPr>
          <w:rFonts w:ascii="Arial" w:hAnsi="Arial" w:cs="Arial"/>
          <w:sz w:val="22"/>
          <w:szCs w:val="22"/>
        </w:rPr>
      </w:pPr>
    </w:p>
    <w:p w14:paraId="6D5B2A99" w14:textId="51DDB7AD" w:rsidR="00C44E98" w:rsidRPr="00E60181" w:rsidRDefault="00C44E98" w:rsidP="00C44E98">
      <w:pPr>
        <w:spacing w:line="480" w:lineRule="auto"/>
        <w:rPr>
          <w:rFonts w:ascii="Arial" w:hAnsi="Arial" w:cs="Arial"/>
          <w:b/>
          <w:bCs/>
          <w:sz w:val="28"/>
          <w:szCs w:val="28"/>
        </w:rPr>
      </w:pPr>
      <w:r w:rsidRPr="00E60181">
        <w:rPr>
          <w:rFonts w:ascii="Arial" w:hAnsi="Arial" w:cs="Arial"/>
          <w:b/>
          <w:bCs/>
          <w:sz w:val="28"/>
          <w:szCs w:val="28"/>
        </w:rPr>
        <w:t>Data Presentation and Analysis Methods (400 words)</w:t>
      </w:r>
    </w:p>
    <w:p w14:paraId="3D2342FA" w14:textId="4F252EAF" w:rsidR="00A26F0E" w:rsidRDefault="00DF792E" w:rsidP="00C44E98">
      <w:pPr>
        <w:spacing w:line="480" w:lineRule="auto"/>
        <w:rPr>
          <w:rFonts w:ascii="Arial" w:hAnsi="Arial" w:cs="Arial"/>
          <w:sz w:val="22"/>
          <w:szCs w:val="22"/>
        </w:rPr>
      </w:pPr>
      <w:r w:rsidRPr="00DF792E">
        <w:rPr>
          <w:rFonts w:ascii="Arial" w:hAnsi="Arial" w:cs="Arial"/>
          <w:sz w:val="22"/>
          <w:szCs w:val="22"/>
        </w:rPr>
        <w:t>Thematic</w:t>
      </w:r>
      <w:r>
        <w:rPr>
          <w:rFonts w:ascii="Arial" w:hAnsi="Arial" w:cs="Arial"/>
          <w:sz w:val="22"/>
          <w:szCs w:val="22"/>
        </w:rPr>
        <w:t xml:space="preserve"> analysis serves as a robust approach for data analysis. This method entails a process of identifying, analysing and reporting patterns or </w:t>
      </w:r>
      <w:r w:rsidR="0097640D">
        <w:rPr>
          <w:rFonts w:ascii="Arial" w:hAnsi="Arial" w:cs="Arial"/>
          <w:sz w:val="22"/>
          <w:szCs w:val="22"/>
        </w:rPr>
        <w:t>themes</w:t>
      </w:r>
      <w:r>
        <w:rPr>
          <w:rFonts w:ascii="Arial" w:hAnsi="Arial" w:cs="Arial"/>
          <w:sz w:val="22"/>
          <w:szCs w:val="22"/>
        </w:rPr>
        <w:t xml:space="preserve"> </w:t>
      </w:r>
      <w:r w:rsidR="00CF7515">
        <w:rPr>
          <w:rFonts w:ascii="Arial" w:hAnsi="Arial" w:cs="Arial"/>
          <w:sz w:val="22"/>
          <w:szCs w:val="22"/>
        </w:rPr>
        <w:t>within</w:t>
      </w:r>
      <w:r>
        <w:rPr>
          <w:rFonts w:ascii="Arial" w:hAnsi="Arial" w:cs="Arial"/>
          <w:sz w:val="22"/>
          <w:szCs w:val="22"/>
        </w:rPr>
        <w:t xml:space="preserve"> the data (</w:t>
      </w:r>
      <w:r w:rsidR="005D308A">
        <w:rPr>
          <w:rFonts w:ascii="Arial" w:hAnsi="Arial" w:cs="Arial"/>
          <w:sz w:val="22"/>
          <w:szCs w:val="22"/>
        </w:rPr>
        <w:t>Naeem, et al, 2023</w:t>
      </w:r>
      <w:r>
        <w:rPr>
          <w:rFonts w:ascii="Arial" w:hAnsi="Arial" w:cs="Arial"/>
          <w:sz w:val="22"/>
          <w:szCs w:val="22"/>
        </w:rPr>
        <w:t xml:space="preserve">). This will facilitate the extraction of patterns from the participants’ perspectives (ibid.). Thematic analysis is characterised by the flexibility and adaptivity of the </w:t>
      </w:r>
      <w:r w:rsidR="00CF7515">
        <w:rPr>
          <w:rFonts w:ascii="Arial" w:hAnsi="Arial" w:cs="Arial"/>
          <w:sz w:val="22"/>
          <w:szCs w:val="22"/>
        </w:rPr>
        <w:t>approach</w:t>
      </w:r>
      <w:r>
        <w:rPr>
          <w:rFonts w:ascii="Arial" w:hAnsi="Arial" w:cs="Arial"/>
          <w:sz w:val="22"/>
          <w:szCs w:val="22"/>
        </w:rPr>
        <w:t xml:space="preserve">, allowing researchers to interpret the </w:t>
      </w:r>
      <w:r w:rsidR="00CF7515">
        <w:rPr>
          <w:rFonts w:ascii="Arial" w:hAnsi="Arial" w:cs="Arial"/>
          <w:sz w:val="22"/>
          <w:szCs w:val="22"/>
        </w:rPr>
        <w:t>narratives</w:t>
      </w:r>
      <w:r>
        <w:rPr>
          <w:rFonts w:ascii="Arial" w:hAnsi="Arial" w:cs="Arial"/>
          <w:sz w:val="22"/>
          <w:szCs w:val="22"/>
        </w:rPr>
        <w:t xml:space="preserve"> of participants (</w:t>
      </w:r>
      <w:r w:rsidR="005D308A">
        <w:rPr>
          <w:rFonts w:ascii="Arial" w:hAnsi="Arial" w:cs="Arial"/>
          <w:sz w:val="22"/>
          <w:szCs w:val="22"/>
        </w:rPr>
        <w:t xml:space="preserve">Kiger and </w:t>
      </w:r>
      <w:proofErr w:type="spellStart"/>
      <w:r w:rsidR="005D308A">
        <w:rPr>
          <w:rFonts w:ascii="Arial" w:hAnsi="Arial" w:cs="Arial"/>
          <w:sz w:val="22"/>
          <w:szCs w:val="22"/>
        </w:rPr>
        <w:t>Varpio</w:t>
      </w:r>
      <w:proofErr w:type="spellEnd"/>
      <w:r w:rsidR="005D308A">
        <w:rPr>
          <w:rFonts w:ascii="Arial" w:hAnsi="Arial" w:cs="Arial"/>
          <w:sz w:val="22"/>
          <w:szCs w:val="22"/>
        </w:rPr>
        <w:t>, 2020</w:t>
      </w:r>
      <w:r>
        <w:rPr>
          <w:rFonts w:ascii="Arial" w:hAnsi="Arial" w:cs="Arial"/>
          <w:sz w:val="22"/>
          <w:szCs w:val="22"/>
        </w:rPr>
        <w:t>).</w:t>
      </w:r>
      <w:r w:rsidR="00CF7515">
        <w:rPr>
          <w:rFonts w:ascii="Arial" w:hAnsi="Arial" w:cs="Arial"/>
          <w:sz w:val="22"/>
          <w:szCs w:val="22"/>
        </w:rPr>
        <w:t xml:space="preserve"> By reviewing and coding observational notes and interview transcripts, researchers can identify recurring ideas, topics and experiences expressed by the participants. </w:t>
      </w:r>
      <w:r w:rsidR="00A6277C">
        <w:rPr>
          <w:rFonts w:ascii="Arial" w:hAnsi="Arial" w:cs="Arial"/>
          <w:sz w:val="22"/>
          <w:szCs w:val="22"/>
        </w:rPr>
        <w:t xml:space="preserve">Rutten </w:t>
      </w:r>
      <w:r w:rsidR="00CF7515">
        <w:rPr>
          <w:rFonts w:ascii="Arial" w:hAnsi="Arial" w:cs="Arial"/>
          <w:sz w:val="22"/>
          <w:szCs w:val="22"/>
        </w:rPr>
        <w:t>(</w:t>
      </w:r>
      <w:r w:rsidR="00A6277C">
        <w:rPr>
          <w:rFonts w:ascii="Arial" w:hAnsi="Arial" w:cs="Arial"/>
          <w:sz w:val="22"/>
          <w:szCs w:val="22"/>
        </w:rPr>
        <w:t>2021</w:t>
      </w:r>
      <w:r w:rsidR="00CF7515">
        <w:rPr>
          <w:rFonts w:ascii="Arial" w:hAnsi="Arial" w:cs="Arial"/>
          <w:sz w:val="22"/>
          <w:szCs w:val="22"/>
        </w:rPr>
        <w:t xml:space="preserve">) highlights how thematic analysis allows the flexibility to either approach the research with the themes selected beforehand, or to select the themes after the data collection. </w:t>
      </w:r>
      <w:proofErr w:type="gramStart"/>
      <w:r w:rsidR="00CF7515">
        <w:rPr>
          <w:rFonts w:ascii="Arial" w:hAnsi="Arial" w:cs="Arial"/>
          <w:sz w:val="22"/>
          <w:szCs w:val="22"/>
        </w:rPr>
        <w:t>For the purpose of</w:t>
      </w:r>
      <w:proofErr w:type="gramEnd"/>
      <w:r w:rsidR="00CF7515">
        <w:rPr>
          <w:rFonts w:ascii="Arial" w:hAnsi="Arial" w:cs="Arial"/>
          <w:sz w:val="22"/>
          <w:szCs w:val="22"/>
        </w:rPr>
        <w:t xml:space="preserve"> the study, the themes will be selected after the data collection. </w:t>
      </w:r>
    </w:p>
    <w:p w14:paraId="3C3CF57B" w14:textId="77777777" w:rsidR="00A26F0E" w:rsidRDefault="00A26F0E" w:rsidP="00C44E98">
      <w:pPr>
        <w:spacing w:line="480" w:lineRule="auto"/>
        <w:rPr>
          <w:rFonts w:ascii="Arial" w:hAnsi="Arial" w:cs="Arial"/>
          <w:sz w:val="22"/>
          <w:szCs w:val="22"/>
        </w:rPr>
      </w:pPr>
    </w:p>
    <w:p w14:paraId="6531613A" w14:textId="65F902D4" w:rsidR="00A26F0E" w:rsidRDefault="00CF7515" w:rsidP="00C44E98">
      <w:pPr>
        <w:spacing w:line="480" w:lineRule="auto"/>
        <w:rPr>
          <w:rFonts w:ascii="Arial" w:hAnsi="Arial" w:cs="Arial"/>
          <w:sz w:val="22"/>
          <w:szCs w:val="22"/>
        </w:rPr>
      </w:pPr>
      <w:r>
        <w:rPr>
          <w:rFonts w:ascii="Arial" w:hAnsi="Arial" w:cs="Arial"/>
          <w:sz w:val="22"/>
          <w:szCs w:val="22"/>
        </w:rPr>
        <w:t xml:space="preserve">However, </w:t>
      </w:r>
      <w:r w:rsidR="002F73EC">
        <w:rPr>
          <w:rFonts w:ascii="Arial" w:hAnsi="Arial" w:cs="Arial"/>
          <w:sz w:val="22"/>
          <w:szCs w:val="22"/>
        </w:rPr>
        <w:t xml:space="preserve">one </w:t>
      </w:r>
      <w:r>
        <w:rPr>
          <w:rFonts w:ascii="Arial" w:hAnsi="Arial" w:cs="Arial"/>
          <w:sz w:val="22"/>
          <w:szCs w:val="22"/>
        </w:rPr>
        <w:t>challenge</w:t>
      </w:r>
      <w:r w:rsidR="002F73EC">
        <w:rPr>
          <w:rFonts w:ascii="Arial" w:hAnsi="Arial" w:cs="Arial"/>
          <w:sz w:val="22"/>
          <w:szCs w:val="22"/>
        </w:rPr>
        <w:t xml:space="preserve"> to thematic analysis</w:t>
      </w:r>
      <w:r>
        <w:rPr>
          <w:rFonts w:ascii="Arial" w:hAnsi="Arial" w:cs="Arial"/>
          <w:sz w:val="22"/>
          <w:szCs w:val="22"/>
        </w:rPr>
        <w:t xml:space="preserve"> includes researchers must preserving the richness and depth of the participants’ narratives whilst also maintaining methodical consistency in the identification and interpretation of the themes (ibid.). </w:t>
      </w:r>
      <w:r w:rsidR="00A26F0E">
        <w:rPr>
          <w:rFonts w:ascii="Arial" w:hAnsi="Arial" w:cs="Arial"/>
          <w:sz w:val="22"/>
          <w:szCs w:val="22"/>
        </w:rPr>
        <w:t>bias and ensure that the analysis accurately reflects the participants experiences. Another challenge is the subjective nature of theme development and interpretation can introduce biases and inconsistencies into the analysis process (</w:t>
      </w:r>
      <w:r w:rsidR="00EB4C23">
        <w:rPr>
          <w:rFonts w:ascii="Arial" w:hAnsi="Arial" w:cs="Arial"/>
          <w:sz w:val="22"/>
          <w:szCs w:val="22"/>
        </w:rPr>
        <w:t>Braun and Clarke, 2023</w:t>
      </w:r>
      <w:r w:rsidR="00A26F0E">
        <w:rPr>
          <w:rFonts w:ascii="Arial" w:hAnsi="Arial" w:cs="Arial"/>
          <w:sz w:val="22"/>
          <w:szCs w:val="22"/>
        </w:rPr>
        <w:t>). Therefore, to enhance the credibility and trustworthiness of the results, the research will employ strategies such as member checking, where the participants will be involved in verifying that the themes taken form the data are accurate (</w:t>
      </w:r>
      <w:proofErr w:type="spellStart"/>
      <w:r w:rsidR="00C10869">
        <w:rPr>
          <w:rFonts w:ascii="Arial" w:hAnsi="Arial" w:cs="Arial"/>
          <w:sz w:val="22"/>
          <w:szCs w:val="22"/>
        </w:rPr>
        <w:t>Birt</w:t>
      </w:r>
      <w:proofErr w:type="spellEnd"/>
      <w:r w:rsidR="00C10869">
        <w:rPr>
          <w:rFonts w:ascii="Arial" w:hAnsi="Arial" w:cs="Arial"/>
          <w:sz w:val="22"/>
          <w:szCs w:val="22"/>
        </w:rPr>
        <w:t>, et al, 2016</w:t>
      </w:r>
      <w:r w:rsidR="00A26F0E">
        <w:rPr>
          <w:rFonts w:ascii="Arial" w:hAnsi="Arial" w:cs="Arial"/>
          <w:sz w:val="22"/>
          <w:szCs w:val="22"/>
        </w:rPr>
        <w:t>).</w:t>
      </w:r>
    </w:p>
    <w:p w14:paraId="72BD82D3" w14:textId="77777777" w:rsidR="0053563D" w:rsidRDefault="0053563D" w:rsidP="00C44E98">
      <w:pPr>
        <w:spacing w:line="480" w:lineRule="auto"/>
        <w:rPr>
          <w:rFonts w:ascii="Arial" w:hAnsi="Arial" w:cs="Arial"/>
          <w:sz w:val="22"/>
          <w:szCs w:val="22"/>
        </w:rPr>
      </w:pPr>
    </w:p>
    <w:p w14:paraId="36A707EE" w14:textId="70A4646A" w:rsidR="009122BC" w:rsidRDefault="00F54555" w:rsidP="00C44E98">
      <w:pPr>
        <w:spacing w:line="480" w:lineRule="auto"/>
        <w:rPr>
          <w:rFonts w:ascii="Arial" w:hAnsi="Arial" w:cs="Arial"/>
          <w:sz w:val="22"/>
          <w:szCs w:val="22"/>
        </w:rPr>
      </w:pPr>
      <w:r>
        <w:rPr>
          <w:rFonts w:ascii="Arial" w:hAnsi="Arial" w:cs="Arial"/>
          <w:sz w:val="22"/>
          <w:szCs w:val="22"/>
        </w:rPr>
        <w:t>Such transparency will allow for there to be rich exploration of the data, which</w:t>
      </w:r>
      <w:r w:rsidR="00C10869">
        <w:rPr>
          <w:rFonts w:ascii="Arial" w:hAnsi="Arial" w:cs="Arial"/>
          <w:sz w:val="22"/>
          <w:szCs w:val="22"/>
        </w:rPr>
        <w:t xml:space="preserve"> Nowell, et al, </w:t>
      </w:r>
      <w:r>
        <w:rPr>
          <w:rFonts w:ascii="Arial" w:hAnsi="Arial" w:cs="Arial"/>
          <w:sz w:val="22"/>
          <w:szCs w:val="22"/>
        </w:rPr>
        <w:t xml:space="preserve"> (</w:t>
      </w:r>
      <w:r w:rsidR="00C10869">
        <w:rPr>
          <w:rFonts w:ascii="Arial" w:hAnsi="Arial" w:cs="Arial"/>
          <w:sz w:val="22"/>
          <w:szCs w:val="22"/>
        </w:rPr>
        <w:t>2017</w:t>
      </w:r>
      <w:r>
        <w:rPr>
          <w:rFonts w:ascii="Arial" w:hAnsi="Arial" w:cs="Arial"/>
          <w:sz w:val="22"/>
          <w:szCs w:val="22"/>
        </w:rPr>
        <w:t xml:space="preserve">) appraises about thematic analysis due to this allowing there to be transferability of </w:t>
      </w:r>
      <w:r>
        <w:rPr>
          <w:rFonts w:ascii="Arial" w:hAnsi="Arial" w:cs="Arial"/>
          <w:sz w:val="22"/>
          <w:szCs w:val="22"/>
        </w:rPr>
        <w:lastRenderedPageBreak/>
        <w:t xml:space="preserve">findings to other contexts or populations. However, </w:t>
      </w:r>
      <w:r w:rsidR="00C10869">
        <w:rPr>
          <w:rFonts w:ascii="Arial" w:hAnsi="Arial" w:cs="Arial"/>
          <w:sz w:val="22"/>
          <w:szCs w:val="22"/>
        </w:rPr>
        <w:t xml:space="preserve">Burchett, et al, </w:t>
      </w:r>
      <w:r>
        <w:rPr>
          <w:rFonts w:ascii="Arial" w:hAnsi="Arial" w:cs="Arial"/>
          <w:sz w:val="22"/>
          <w:szCs w:val="22"/>
        </w:rPr>
        <w:t>(</w:t>
      </w:r>
      <w:r w:rsidR="00C10869">
        <w:rPr>
          <w:rFonts w:ascii="Arial" w:hAnsi="Arial" w:cs="Arial"/>
          <w:sz w:val="22"/>
          <w:szCs w:val="22"/>
        </w:rPr>
        <w:t>2020</w:t>
      </w:r>
      <w:r>
        <w:rPr>
          <w:rFonts w:ascii="Arial" w:hAnsi="Arial" w:cs="Arial"/>
          <w:sz w:val="22"/>
          <w:szCs w:val="22"/>
        </w:rPr>
        <w:t xml:space="preserve">) considers the generalisation of themes may be limited by the specificity of the research context and participant characteristics, undermining the broader applicability of findings. This can also not be guaranteed due to the use of random sampling, where participants will not be chosen based on characteristics. Additionally, </w:t>
      </w:r>
      <w:r w:rsidR="005D308A">
        <w:rPr>
          <w:rFonts w:ascii="Arial" w:hAnsi="Arial" w:cs="Arial"/>
          <w:sz w:val="22"/>
          <w:szCs w:val="22"/>
        </w:rPr>
        <w:t xml:space="preserve">when rigorous methodological procedures are followed, thematic analysis can yield insights that are dependable and confirmable. By adhering to established guidelines for data coding, theme development and interpretation, </w:t>
      </w:r>
      <w:r w:rsidR="001111CE">
        <w:rPr>
          <w:rFonts w:ascii="Arial" w:hAnsi="Arial" w:cs="Arial"/>
          <w:sz w:val="22"/>
          <w:szCs w:val="22"/>
        </w:rPr>
        <w:t xml:space="preserve">O’Connor and Joffe </w:t>
      </w:r>
      <w:r w:rsidR="005D308A">
        <w:rPr>
          <w:rFonts w:ascii="Arial" w:hAnsi="Arial" w:cs="Arial"/>
          <w:sz w:val="22"/>
          <w:szCs w:val="22"/>
        </w:rPr>
        <w:t>(</w:t>
      </w:r>
      <w:r w:rsidR="001111CE">
        <w:rPr>
          <w:rFonts w:ascii="Arial" w:hAnsi="Arial" w:cs="Arial"/>
          <w:sz w:val="22"/>
          <w:szCs w:val="22"/>
        </w:rPr>
        <w:t>2020</w:t>
      </w:r>
      <w:r w:rsidR="005D308A">
        <w:rPr>
          <w:rFonts w:ascii="Arial" w:hAnsi="Arial" w:cs="Arial"/>
          <w:sz w:val="22"/>
          <w:szCs w:val="22"/>
        </w:rPr>
        <w:t>) suggests that researchers can ensure the consistency and reliability of findings.</w:t>
      </w:r>
    </w:p>
    <w:p w14:paraId="2142EDD7" w14:textId="77777777" w:rsidR="00F54555" w:rsidRPr="00E60181" w:rsidRDefault="00F54555" w:rsidP="00C44E98">
      <w:pPr>
        <w:spacing w:line="480" w:lineRule="auto"/>
        <w:rPr>
          <w:rFonts w:ascii="Arial" w:hAnsi="Arial" w:cs="Arial"/>
          <w:sz w:val="22"/>
          <w:szCs w:val="22"/>
        </w:rPr>
      </w:pPr>
    </w:p>
    <w:p w14:paraId="2B41B3B7" w14:textId="129832CC" w:rsidR="00494281" w:rsidRPr="00E60181" w:rsidRDefault="00C44E98" w:rsidP="00C44E98">
      <w:pPr>
        <w:spacing w:line="480" w:lineRule="auto"/>
        <w:rPr>
          <w:rFonts w:ascii="Arial" w:hAnsi="Arial" w:cs="Arial"/>
          <w:b/>
          <w:bCs/>
          <w:sz w:val="28"/>
          <w:szCs w:val="28"/>
        </w:rPr>
      </w:pPr>
      <w:r w:rsidRPr="00E60181">
        <w:rPr>
          <w:rFonts w:ascii="Arial" w:hAnsi="Arial" w:cs="Arial"/>
          <w:b/>
          <w:bCs/>
          <w:sz w:val="28"/>
          <w:szCs w:val="28"/>
        </w:rPr>
        <w:t xml:space="preserve">Results and Discussion </w:t>
      </w:r>
    </w:p>
    <w:p w14:paraId="6FD45CA5" w14:textId="45EAAC42" w:rsidR="00C44E98" w:rsidRPr="00452B54" w:rsidRDefault="006E4064" w:rsidP="00C44E98">
      <w:pPr>
        <w:spacing w:line="480" w:lineRule="auto"/>
        <w:rPr>
          <w:rFonts w:ascii="Arial" w:hAnsi="Arial" w:cs="Arial"/>
          <w:b/>
          <w:bCs/>
        </w:rPr>
      </w:pPr>
      <w:r>
        <w:rPr>
          <w:rFonts w:ascii="Arial" w:hAnsi="Arial" w:cs="Arial"/>
          <w:b/>
          <w:bCs/>
        </w:rPr>
        <w:t>Case Study Overview</w:t>
      </w:r>
    </w:p>
    <w:p w14:paraId="0FF4D0A1" w14:textId="55961992" w:rsidR="00452B54" w:rsidRDefault="00F77B7B" w:rsidP="00C44E98">
      <w:pPr>
        <w:spacing w:line="480" w:lineRule="auto"/>
        <w:rPr>
          <w:rFonts w:ascii="Arial" w:hAnsi="Arial" w:cs="Arial"/>
          <w:sz w:val="22"/>
          <w:szCs w:val="22"/>
        </w:rPr>
      </w:pPr>
      <w:r>
        <w:rPr>
          <w:rFonts w:ascii="Arial" w:hAnsi="Arial" w:cs="Arial"/>
          <w:sz w:val="22"/>
          <w:szCs w:val="22"/>
        </w:rPr>
        <w:t>The collect data, five participants were selected through random sampling, the aim was to achieve diversity and representation within the sample, enhancing the potential for generalisability of findings (</w:t>
      </w:r>
      <w:r w:rsidR="007C1A34">
        <w:rPr>
          <w:rFonts w:ascii="Arial" w:hAnsi="Arial" w:cs="Arial"/>
          <w:sz w:val="22"/>
          <w:szCs w:val="22"/>
        </w:rPr>
        <w:t>Burchett, et al, 2020</w:t>
      </w:r>
      <w:r>
        <w:rPr>
          <w:rFonts w:ascii="Arial" w:hAnsi="Arial" w:cs="Arial"/>
          <w:sz w:val="22"/>
          <w:szCs w:val="22"/>
        </w:rPr>
        <w:t>) Subsequent to participant selection, four observations were conducted</w:t>
      </w:r>
      <w:r w:rsidR="00413B3F">
        <w:rPr>
          <w:rFonts w:ascii="Arial" w:hAnsi="Arial" w:cs="Arial"/>
          <w:sz w:val="22"/>
          <w:szCs w:val="22"/>
        </w:rPr>
        <w:t xml:space="preserve"> </w:t>
      </w:r>
      <w:r w:rsidR="00413B3F" w:rsidRPr="00413B3F">
        <w:rPr>
          <w:rFonts w:ascii="Arial" w:hAnsi="Arial" w:cs="Arial"/>
          <w:color w:val="FF0000"/>
          <w:sz w:val="22"/>
          <w:szCs w:val="22"/>
        </w:rPr>
        <w:t>(</w:t>
      </w:r>
      <w:r w:rsidR="00413B3F" w:rsidRPr="00850353">
        <w:rPr>
          <w:rFonts w:ascii="Arial" w:hAnsi="Arial" w:cs="Arial"/>
          <w:color w:val="000000" w:themeColor="text1"/>
          <w:sz w:val="22"/>
          <w:szCs w:val="22"/>
        </w:rPr>
        <w:t>See Appendix 3</w:t>
      </w:r>
      <w:r w:rsidR="00413B3F">
        <w:rPr>
          <w:rFonts w:ascii="Arial" w:hAnsi="Arial" w:cs="Arial"/>
          <w:sz w:val="22"/>
          <w:szCs w:val="22"/>
        </w:rPr>
        <w:t>)</w:t>
      </w:r>
      <w:r>
        <w:rPr>
          <w:rFonts w:ascii="Arial" w:hAnsi="Arial" w:cs="Arial"/>
          <w:sz w:val="22"/>
          <w:szCs w:val="22"/>
        </w:rPr>
        <w:t>, one per day at different days and times, providing a nuanced perspective on how children engaged with the provision across various times of days. These observations were guided by the Leuven Scale of Active Engagement, a structured tool facilitating consistent evaluation of participant’s engagement level</w:t>
      </w:r>
      <w:r w:rsidR="00413B3F">
        <w:rPr>
          <w:rFonts w:ascii="Arial" w:hAnsi="Arial" w:cs="Arial"/>
          <w:sz w:val="22"/>
          <w:szCs w:val="22"/>
        </w:rPr>
        <w:t xml:space="preserve"> (</w:t>
      </w:r>
      <w:r w:rsidR="007C1A34">
        <w:rPr>
          <w:rFonts w:ascii="Arial" w:hAnsi="Arial" w:cs="Arial"/>
          <w:sz w:val="22"/>
          <w:szCs w:val="22"/>
        </w:rPr>
        <w:t>Estyn, 2019</w:t>
      </w:r>
      <w:r w:rsidR="00413B3F">
        <w:rPr>
          <w:rFonts w:ascii="Arial" w:hAnsi="Arial" w:cs="Arial"/>
          <w:sz w:val="22"/>
          <w:szCs w:val="22"/>
        </w:rPr>
        <w:t>)</w:t>
      </w:r>
      <w:r>
        <w:rPr>
          <w:rFonts w:ascii="Arial" w:hAnsi="Arial" w:cs="Arial"/>
          <w:sz w:val="22"/>
          <w:szCs w:val="22"/>
        </w:rPr>
        <w:t>.</w:t>
      </w:r>
      <w:r w:rsidR="00413B3F">
        <w:rPr>
          <w:rFonts w:ascii="Arial" w:hAnsi="Arial" w:cs="Arial"/>
          <w:sz w:val="22"/>
          <w:szCs w:val="22"/>
        </w:rPr>
        <w:t xml:space="preserve"> Despite </w:t>
      </w:r>
      <w:r w:rsidR="007C1A34">
        <w:rPr>
          <w:rFonts w:ascii="Arial" w:hAnsi="Arial" w:cs="Arial"/>
          <w:sz w:val="22"/>
          <w:szCs w:val="22"/>
        </w:rPr>
        <w:t xml:space="preserve">Watt’s </w:t>
      </w:r>
      <w:r w:rsidR="00413B3F">
        <w:rPr>
          <w:rFonts w:ascii="Arial" w:hAnsi="Arial" w:cs="Arial"/>
          <w:sz w:val="22"/>
          <w:szCs w:val="22"/>
        </w:rPr>
        <w:t>(</w:t>
      </w:r>
      <w:r w:rsidR="007C1A34">
        <w:rPr>
          <w:rFonts w:ascii="Arial" w:hAnsi="Arial" w:cs="Arial"/>
          <w:sz w:val="22"/>
          <w:szCs w:val="22"/>
        </w:rPr>
        <w:t>2010</w:t>
      </w:r>
      <w:r w:rsidR="00413B3F">
        <w:rPr>
          <w:rFonts w:ascii="Arial" w:hAnsi="Arial" w:cs="Arial"/>
          <w:sz w:val="22"/>
          <w:szCs w:val="22"/>
        </w:rPr>
        <w:t xml:space="preserve">) criticisms of observations capturing the researcher’s perceptions instead of the participant’s perspectives, the use of personal observations </w:t>
      </w:r>
      <w:proofErr w:type="gramStart"/>
      <w:r w:rsidR="007C1A34">
        <w:rPr>
          <w:rFonts w:ascii="Arial" w:hAnsi="Arial" w:cs="Arial"/>
          <w:sz w:val="22"/>
          <w:szCs w:val="22"/>
        </w:rPr>
        <w:t>were</w:t>
      </w:r>
      <w:proofErr w:type="gramEnd"/>
      <w:r w:rsidR="00413B3F">
        <w:rPr>
          <w:rFonts w:ascii="Arial" w:hAnsi="Arial" w:cs="Arial"/>
          <w:sz w:val="22"/>
          <w:szCs w:val="22"/>
        </w:rPr>
        <w:t xml:space="preserve"> able to capture engagement behaviours. This dual approach, combining subjective perceptions with objective observations, aimed to triangulate data and ensure the reliability and validity of findings (</w:t>
      </w:r>
      <w:r w:rsidR="007C1A34">
        <w:rPr>
          <w:rFonts w:ascii="Arial" w:hAnsi="Arial" w:cs="Arial"/>
          <w:sz w:val="22"/>
          <w:szCs w:val="22"/>
        </w:rPr>
        <w:t>Park, et al, 2016</w:t>
      </w:r>
      <w:r w:rsidR="00413B3F">
        <w:rPr>
          <w:rFonts w:ascii="Arial" w:hAnsi="Arial" w:cs="Arial"/>
          <w:sz w:val="22"/>
          <w:szCs w:val="22"/>
        </w:rPr>
        <w:t>).</w:t>
      </w:r>
    </w:p>
    <w:p w14:paraId="1294ABFF" w14:textId="77777777" w:rsidR="00413B3F" w:rsidRDefault="00413B3F" w:rsidP="00C44E98">
      <w:pPr>
        <w:spacing w:line="480" w:lineRule="auto"/>
        <w:rPr>
          <w:rFonts w:ascii="Arial" w:hAnsi="Arial" w:cs="Arial"/>
          <w:sz w:val="22"/>
          <w:szCs w:val="22"/>
        </w:rPr>
      </w:pPr>
    </w:p>
    <w:p w14:paraId="78DB13FD" w14:textId="79213FC1" w:rsidR="00413B3F" w:rsidRPr="00452B54" w:rsidRDefault="00413B3F" w:rsidP="00C44E98">
      <w:pPr>
        <w:spacing w:line="480" w:lineRule="auto"/>
        <w:rPr>
          <w:rFonts w:ascii="Arial" w:hAnsi="Arial" w:cs="Arial"/>
          <w:sz w:val="22"/>
          <w:szCs w:val="22"/>
        </w:rPr>
      </w:pPr>
      <w:r>
        <w:rPr>
          <w:rFonts w:ascii="Arial" w:hAnsi="Arial" w:cs="Arial"/>
          <w:sz w:val="22"/>
          <w:szCs w:val="22"/>
        </w:rPr>
        <w:t xml:space="preserve">By aligning observed behaviours with interview responses, the data was corroborated and enriched. Therefore, on the final day of data collection, semi-structured interviews were </w:t>
      </w:r>
      <w:r>
        <w:rPr>
          <w:rFonts w:ascii="Arial" w:hAnsi="Arial" w:cs="Arial"/>
          <w:sz w:val="22"/>
          <w:szCs w:val="22"/>
        </w:rPr>
        <w:lastRenderedPageBreak/>
        <w:t xml:space="preserve">conducted with each participant using a predesigned list of </w:t>
      </w:r>
      <w:r w:rsidRPr="00850353">
        <w:rPr>
          <w:rFonts w:ascii="Arial" w:hAnsi="Arial" w:cs="Arial"/>
          <w:color w:val="000000" w:themeColor="text1"/>
          <w:sz w:val="22"/>
          <w:szCs w:val="22"/>
        </w:rPr>
        <w:t xml:space="preserve">questions (See Appendix 4). The </w:t>
      </w:r>
      <w:r w:rsidR="00A33D89">
        <w:rPr>
          <w:rFonts w:ascii="Arial" w:hAnsi="Arial" w:cs="Arial"/>
          <w:color w:val="000000" w:themeColor="text1"/>
          <w:sz w:val="22"/>
          <w:szCs w:val="22"/>
        </w:rPr>
        <w:t>qualitative</w:t>
      </w:r>
      <w:r>
        <w:rPr>
          <w:rFonts w:ascii="Arial" w:hAnsi="Arial" w:cs="Arial"/>
          <w:color w:val="000000" w:themeColor="text1"/>
          <w:sz w:val="22"/>
          <w:szCs w:val="22"/>
        </w:rPr>
        <w:t xml:space="preserve"> approach allowed for in-depth exploration of participants’ experiences</w:t>
      </w:r>
      <w:r w:rsidR="00850353">
        <w:rPr>
          <w:rFonts w:ascii="Arial" w:hAnsi="Arial" w:cs="Arial"/>
          <w:color w:val="000000" w:themeColor="text1"/>
          <w:sz w:val="22"/>
          <w:szCs w:val="22"/>
        </w:rPr>
        <w:t xml:space="preserve"> and </w:t>
      </w:r>
      <w:r>
        <w:rPr>
          <w:rFonts w:ascii="Arial" w:hAnsi="Arial" w:cs="Arial"/>
          <w:color w:val="000000" w:themeColor="text1"/>
          <w:sz w:val="22"/>
          <w:szCs w:val="22"/>
        </w:rPr>
        <w:t>perceptions towards pupil voice and engagement</w:t>
      </w:r>
      <w:r w:rsidR="00850353">
        <w:rPr>
          <w:rFonts w:ascii="Arial" w:hAnsi="Arial" w:cs="Arial"/>
          <w:color w:val="000000" w:themeColor="text1"/>
          <w:sz w:val="22"/>
          <w:szCs w:val="22"/>
        </w:rPr>
        <w:t xml:space="preserve"> </w:t>
      </w:r>
      <w:r w:rsidR="00AE4521">
        <w:rPr>
          <w:rFonts w:ascii="Arial" w:hAnsi="Arial" w:cs="Arial"/>
          <w:color w:val="000000" w:themeColor="text1"/>
          <w:sz w:val="22"/>
          <w:szCs w:val="22"/>
        </w:rPr>
        <w:t>(</w:t>
      </w:r>
      <w:r w:rsidR="00A33D89">
        <w:rPr>
          <w:rFonts w:ascii="Arial" w:hAnsi="Arial" w:cs="Arial"/>
          <w:color w:val="000000" w:themeColor="text1"/>
          <w:sz w:val="22"/>
          <w:szCs w:val="22"/>
        </w:rPr>
        <w:t>Harris and Brown, 2019</w:t>
      </w:r>
      <w:r w:rsidR="00AE4521">
        <w:rPr>
          <w:rFonts w:ascii="Arial" w:hAnsi="Arial" w:cs="Arial"/>
          <w:color w:val="000000" w:themeColor="text1"/>
          <w:sz w:val="22"/>
          <w:szCs w:val="22"/>
        </w:rPr>
        <w:t>).</w:t>
      </w:r>
    </w:p>
    <w:p w14:paraId="30F6B8DC" w14:textId="77777777" w:rsidR="00452B54" w:rsidRPr="00452B54" w:rsidRDefault="00452B54" w:rsidP="00C44E98">
      <w:pPr>
        <w:spacing w:line="480" w:lineRule="auto"/>
        <w:rPr>
          <w:rFonts w:ascii="Arial" w:hAnsi="Arial" w:cs="Arial"/>
          <w:sz w:val="22"/>
          <w:szCs w:val="22"/>
        </w:rPr>
      </w:pPr>
    </w:p>
    <w:p w14:paraId="50B3AFA6" w14:textId="3482800C" w:rsidR="00923287" w:rsidRDefault="00452B54" w:rsidP="00C44E98">
      <w:pPr>
        <w:spacing w:line="480" w:lineRule="auto"/>
        <w:rPr>
          <w:rFonts w:ascii="Arial" w:hAnsi="Arial" w:cs="Arial"/>
          <w:b/>
          <w:bCs/>
        </w:rPr>
      </w:pPr>
      <w:r w:rsidRPr="00452B54">
        <w:rPr>
          <w:rFonts w:ascii="Arial" w:hAnsi="Arial" w:cs="Arial"/>
          <w:b/>
          <w:bCs/>
        </w:rPr>
        <w:t>Findings</w:t>
      </w:r>
      <w:r w:rsidR="00FB6DA4">
        <w:rPr>
          <w:rFonts w:ascii="Arial" w:hAnsi="Arial" w:cs="Arial"/>
          <w:b/>
          <w:bCs/>
        </w:rPr>
        <w:t xml:space="preserve"> and Analysis</w:t>
      </w:r>
      <w:r w:rsidRPr="00452B54">
        <w:rPr>
          <w:rFonts w:ascii="Arial" w:hAnsi="Arial" w:cs="Arial"/>
          <w:b/>
          <w:bCs/>
        </w:rPr>
        <w:t xml:space="preserve"> </w:t>
      </w:r>
    </w:p>
    <w:p w14:paraId="5A0A32F8" w14:textId="1F95F047" w:rsidR="0092012D" w:rsidRDefault="005A520B" w:rsidP="00923287">
      <w:pPr>
        <w:spacing w:line="480" w:lineRule="auto"/>
        <w:rPr>
          <w:rFonts w:ascii="Arial" w:hAnsi="Arial" w:cs="Arial"/>
          <w:sz w:val="22"/>
          <w:szCs w:val="22"/>
        </w:rPr>
      </w:pPr>
      <w:r>
        <w:rPr>
          <w:rFonts w:ascii="Arial" w:hAnsi="Arial" w:cs="Arial"/>
          <w:sz w:val="22"/>
          <w:szCs w:val="22"/>
        </w:rPr>
        <w:t>On analysing the data collected, the follow</w:t>
      </w:r>
      <w:r w:rsidR="00494281">
        <w:rPr>
          <w:rFonts w:ascii="Arial" w:hAnsi="Arial" w:cs="Arial"/>
          <w:sz w:val="22"/>
          <w:szCs w:val="22"/>
        </w:rPr>
        <w:t>ing</w:t>
      </w:r>
      <w:r>
        <w:rPr>
          <w:rFonts w:ascii="Arial" w:hAnsi="Arial" w:cs="Arial"/>
          <w:sz w:val="22"/>
          <w:szCs w:val="22"/>
        </w:rPr>
        <w:t xml:space="preserve"> themes were extracted:</w:t>
      </w:r>
    </w:p>
    <w:p w14:paraId="6FFDF864" w14:textId="0134F004" w:rsidR="0092012D" w:rsidRDefault="00AB1288" w:rsidP="00923287">
      <w:pPr>
        <w:spacing w:line="480" w:lineRule="auto"/>
        <w:rPr>
          <w:rFonts w:ascii="Arial" w:hAnsi="Arial" w:cs="Arial"/>
          <w:sz w:val="22"/>
          <w:szCs w:val="22"/>
        </w:rPr>
      </w:pPr>
      <w:r>
        <w:rPr>
          <w:rFonts w:ascii="Arial" w:hAnsi="Arial" w:cs="Arial"/>
          <w:noProof/>
          <w:sz w:val="22"/>
          <w:szCs w:val="22"/>
          <w14:ligatures w14:val="standardContextual"/>
        </w:rPr>
        <w:drawing>
          <wp:inline distT="0" distB="0" distL="0" distR="0" wp14:anchorId="66E88C5D" wp14:editId="6E54E2CA">
            <wp:extent cx="5144264" cy="6238754"/>
            <wp:effectExtent l="0" t="0" r="0" b="0"/>
            <wp:docPr id="1150838883"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838883" name="Picture 1" descr="A white sheet with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219839" cy="6330409"/>
                    </a:xfrm>
                    <a:prstGeom prst="rect">
                      <a:avLst/>
                    </a:prstGeom>
                  </pic:spPr>
                </pic:pic>
              </a:graphicData>
            </a:graphic>
          </wp:inline>
        </w:drawing>
      </w:r>
    </w:p>
    <w:p w14:paraId="7E73FA02" w14:textId="59781DE4" w:rsidR="00494281" w:rsidRDefault="00494281" w:rsidP="00923287">
      <w:pPr>
        <w:spacing w:line="480" w:lineRule="auto"/>
        <w:rPr>
          <w:rFonts w:ascii="Arial" w:hAnsi="Arial" w:cs="Arial"/>
          <w:sz w:val="22"/>
          <w:szCs w:val="22"/>
        </w:rPr>
      </w:pPr>
    </w:p>
    <w:p w14:paraId="46B3BD1C" w14:textId="700131AF" w:rsidR="00494281" w:rsidRDefault="00494281" w:rsidP="00923287">
      <w:pPr>
        <w:spacing w:line="480" w:lineRule="auto"/>
        <w:rPr>
          <w:rFonts w:ascii="Arial" w:hAnsi="Arial" w:cs="Arial"/>
          <w:sz w:val="22"/>
          <w:szCs w:val="22"/>
        </w:rPr>
      </w:pPr>
      <w:r>
        <w:rPr>
          <w:rFonts w:ascii="Arial" w:hAnsi="Arial" w:cs="Arial"/>
          <w:sz w:val="22"/>
          <w:szCs w:val="22"/>
        </w:rPr>
        <w:lastRenderedPageBreak/>
        <w:t xml:space="preserve">The first theme, Level of Difficulty, refers to how challenging the participants found the </w:t>
      </w:r>
      <w:r w:rsidR="00850353">
        <w:rPr>
          <w:rFonts w:ascii="Arial" w:hAnsi="Arial" w:cs="Arial"/>
          <w:sz w:val="22"/>
          <w:szCs w:val="22"/>
        </w:rPr>
        <w:t>activities</w:t>
      </w:r>
      <w:r>
        <w:rPr>
          <w:rFonts w:ascii="Arial" w:hAnsi="Arial" w:cs="Arial"/>
          <w:sz w:val="22"/>
          <w:szCs w:val="22"/>
        </w:rPr>
        <w:t xml:space="preserve">. </w:t>
      </w:r>
      <w:r w:rsidR="0092012D">
        <w:rPr>
          <w:rFonts w:ascii="Arial" w:hAnsi="Arial" w:cs="Arial"/>
          <w:sz w:val="22"/>
          <w:szCs w:val="22"/>
        </w:rPr>
        <w:t>As seen in Table 1, in Appendix 6, Child B responded “they were easy! They weren’t that hard”, which evidently suggests that the Level of Difficulty was discussed here, where Child B found the activities easy.</w:t>
      </w:r>
      <w:r w:rsidR="00CC73AF">
        <w:rPr>
          <w:rFonts w:ascii="Arial" w:hAnsi="Arial" w:cs="Arial"/>
          <w:sz w:val="22"/>
          <w:szCs w:val="22"/>
        </w:rPr>
        <w:t xml:space="preserve"> Nally, et al,</w:t>
      </w:r>
      <w:r w:rsidR="0092012D">
        <w:rPr>
          <w:rFonts w:ascii="Arial" w:hAnsi="Arial" w:cs="Arial"/>
          <w:sz w:val="22"/>
          <w:szCs w:val="22"/>
        </w:rPr>
        <w:t xml:space="preserve"> (</w:t>
      </w:r>
      <w:r w:rsidR="00CC73AF">
        <w:rPr>
          <w:rFonts w:ascii="Arial" w:hAnsi="Arial" w:cs="Arial"/>
          <w:sz w:val="22"/>
          <w:szCs w:val="22"/>
        </w:rPr>
        <w:t>2022</w:t>
      </w:r>
      <w:r w:rsidR="0092012D">
        <w:rPr>
          <w:rFonts w:ascii="Arial" w:hAnsi="Arial" w:cs="Arial"/>
          <w:sz w:val="22"/>
          <w:szCs w:val="22"/>
        </w:rPr>
        <w:t xml:space="preserve">) suggests that children are more likely to engage in activities when the activity is perceived within capability of the child. This inclination is driven by </w:t>
      </w:r>
      <w:r w:rsidR="00850353">
        <w:rPr>
          <w:rFonts w:ascii="Arial" w:hAnsi="Arial" w:cs="Arial"/>
          <w:sz w:val="22"/>
          <w:szCs w:val="22"/>
        </w:rPr>
        <w:t>the</w:t>
      </w:r>
      <w:r w:rsidR="0092012D">
        <w:rPr>
          <w:rFonts w:ascii="Arial" w:hAnsi="Arial" w:cs="Arial"/>
          <w:sz w:val="22"/>
          <w:szCs w:val="22"/>
        </w:rPr>
        <w:t xml:space="preserve"> sense of competence and </w:t>
      </w:r>
      <w:r w:rsidR="00CC73AF">
        <w:rPr>
          <w:rFonts w:ascii="Arial" w:hAnsi="Arial" w:cs="Arial"/>
          <w:sz w:val="22"/>
          <w:szCs w:val="22"/>
        </w:rPr>
        <w:t>self-assurance</w:t>
      </w:r>
      <w:r w:rsidR="0092012D">
        <w:rPr>
          <w:rFonts w:ascii="Arial" w:hAnsi="Arial" w:cs="Arial"/>
          <w:sz w:val="22"/>
          <w:szCs w:val="22"/>
        </w:rPr>
        <w:t>, which fosters intrinsic motivation to explore and tackle new challenges (</w:t>
      </w:r>
      <w:r w:rsidR="00CC73AF">
        <w:rPr>
          <w:rFonts w:ascii="Arial" w:hAnsi="Arial" w:cs="Arial"/>
          <w:sz w:val="22"/>
          <w:szCs w:val="22"/>
        </w:rPr>
        <w:t>Broeck, et al, 2017</w:t>
      </w:r>
      <w:r w:rsidR="0092012D">
        <w:rPr>
          <w:rFonts w:ascii="Arial" w:hAnsi="Arial" w:cs="Arial"/>
          <w:sz w:val="22"/>
          <w:szCs w:val="22"/>
        </w:rPr>
        <w:t xml:space="preserve">). However, </w:t>
      </w:r>
      <w:r w:rsidR="00CC73AF">
        <w:rPr>
          <w:rFonts w:ascii="Arial" w:hAnsi="Arial" w:cs="Arial"/>
          <w:sz w:val="22"/>
          <w:szCs w:val="22"/>
        </w:rPr>
        <w:t xml:space="preserve">Broeck, et al, </w:t>
      </w:r>
      <w:r w:rsidR="0092012D">
        <w:rPr>
          <w:rFonts w:ascii="Arial" w:hAnsi="Arial" w:cs="Arial"/>
          <w:sz w:val="22"/>
          <w:szCs w:val="22"/>
        </w:rPr>
        <w:t>(</w:t>
      </w:r>
      <w:r w:rsidR="00CC73AF">
        <w:rPr>
          <w:rFonts w:ascii="Arial" w:hAnsi="Arial" w:cs="Arial"/>
          <w:sz w:val="22"/>
          <w:szCs w:val="22"/>
        </w:rPr>
        <w:t>2017</w:t>
      </w:r>
      <w:r w:rsidR="0092012D">
        <w:rPr>
          <w:rFonts w:ascii="Arial" w:hAnsi="Arial" w:cs="Arial"/>
          <w:sz w:val="22"/>
          <w:szCs w:val="22"/>
        </w:rPr>
        <w:t>) counters than when children are confronted with challenging tasks, children often display heightened level of determination</w:t>
      </w:r>
      <w:r w:rsidR="00850353">
        <w:rPr>
          <w:rFonts w:ascii="Arial" w:hAnsi="Arial" w:cs="Arial"/>
          <w:sz w:val="22"/>
          <w:szCs w:val="22"/>
        </w:rPr>
        <w:t xml:space="preserve"> </w:t>
      </w:r>
      <w:r w:rsidR="0092012D">
        <w:rPr>
          <w:rFonts w:ascii="Arial" w:hAnsi="Arial" w:cs="Arial"/>
          <w:sz w:val="22"/>
          <w:szCs w:val="22"/>
        </w:rPr>
        <w:t>(</w:t>
      </w:r>
      <w:r w:rsidR="00CC73AF">
        <w:rPr>
          <w:rFonts w:ascii="Arial" w:hAnsi="Arial" w:cs="Arial"/>
          <w:sz w:val="22"/>
          <w:szCs w:val="22"/>
        </w:rPr>
        <w:t>Fitzgerald and Maconochie, 2019</w:t>
      </w:r>
      <w:r w:rsidR="0092012D">
        <w:rPr>
          <w:rFonts w:ascii="Arial" w:hAnsi="Arial" w:cs="Arial"/>
          <w:sz w:val="22"/>
          <w:szCs w:val="22"/>
        </w:rPr>
        <w:t xml:space="preserve">). This was evident in Appendix 5, where Child A </w:t>
      </w:r>
      <w:proofErr w:type="gramStart"/>
      <w:r w:rsidR="0092012D">
        <w:rPr>
          <w:rFonts w:ascii="Arial" w:hAnsi="Arial" w:cs="Arial"/>
          <w:sz w:val="22"/>
          <w:szCs w:val="22"/>
        </w:rPr>
        <w:t>stated</w:t>
      </w:r>
      <w:proofErr w:type="gramEnd"/>
      <w:r w:rsidR="0092012D">
        <w:rPr>
          <w:rFonts w:ascii="Arial" w:hAnsi="Arial" w:cs="Arial"/>
          <w:sz w:val="22"/>
          <w:szCs w:val="22"/>
        </w:rPr>
        <w:t xml:space="preserve"> “It was tricky but I got it in the end”</w:t>
      </w:r>
      <w:r w:rsidR="00850353">
        <w:rPr>
          <w:rFonts w:ascii="Arial" w:hAnsi="Arial" w:cs="Arial"/>
          <w:sz w:val="22"/>
          <w:szCs w:val="22"/>
        </w:rPr>
        <w:t>.</w:t>
      </w:r>
    </w:p>
    <w:p w14:paraId="28AB5F6B" w14:textId="77777777" w:rsidR="00CC73AF" w:rsidRDefault="00CC73AF" w:rsidP="00923287">
      <w:pPr>
        <w:spacing w:line="480" w:lineRule="auto"/>
        <w:rPr>
          <w:rFonts w:ascii="Arial" w:hAnsi="Arial" w:cs="Arial"/>
          <w:sz w:val="22"/>
          <w:szCs w:val="22"/>
        </w:rPr>
      </w:pPr>
    </w:p>
    <w:p w14:paraId="0F874F76" w14:textId="7EB2D129" w:rsidR="00CC73AF" w:rsidRDefault="00CC73AF" w:rsidP="00923287">
      <w:pPr>
        <w:spacing w:line="480" w:lineRule="auto"/>
        <w:rPr>
          <w:rFonts w:ascii="Arial" w:hAnsi="Arial" w:cs="Arial"/>
          <w:sz w:val="22"/>
          <w:szCs w:val="22"/>
        </w:rPr>
      </w:pPr>
      <w:r>
        <w:rPr>
          <w:rFonts w:ascii="Arial" w:hAnsi="Arial" w:cs="Arial"/>
          <w:sz w:val="22"/>
          <w:szCs w:val="22"/>
        </w:rPr>
        <w:t xml:space="preserve">Child A in Appendix 5 also highlighted the joy of working with others when expressing “I got to solve it with my friends” this allowed for another theme to emerge, which is Level of Interaction. This theme relates to how children interacted with others during these </w:t>
      </w:r>
      <w:proofErr w:type="gramStart"/>
      <w:r>
        <w:rPr>
          <w:rFonts w:ascii="Arial" w:hAnsi="Arial" w:cs="Arial"/>
          <w:sz w:val="22"/>
          <w:szCs w:val="22"/>
        </w:rPr>
        <w:t>activities;</w:t>
      </w:r>
      <w:proofErr w:type="gramEnd"/>
      <w:r w:rsidR="00850353">
        <w:rPr>
          <w:rFonts w:ascii="Arial" w:hAnsi="Arial" w:cs="Arial"/>
          <w:sz w:val="22"/>
          <w:szCs w:val="22"/>
        </w:rPr>
        <w:t xml:space="preserve"> </w:t>
      </w:r>
      <w:r>
        <w:rPr>
          <w:rFonts w:ascii="Arial" w:hAnsi="Arial" w:cs="Arial"/>
          <w:sz w:val="22"/>
          <w:szCs w:val="22"/>
        </w:rPr>
        <w:t>with friends or an adult. It can also refer to if children worked independently or expressed to not wanting to work with other children.</w:t>
      </w:r>
      <w:r w:rsidR="00A33D89">
        <w:rPr>
          <w:rFonts w:ascii="Arial" w:hAnsi="Arial" w:cs="Arial"/>
          <w:sz w:val="22"/>
          <w:szCs w:val="22"/>
        </w:rPr>
        <w:t xml:space="preserve"> Over</w:t>
      </w:r>
      <w:r>
        <w:rPr>
          <w:rFonts w:ascii="Arial" w:hAnsi="Arial" w:cs="Arial"/>
          <w:sz w:val="22"/>
          <w:szCs w:val="22"/>
        </w:rPr>
        <w:t xml:space="preserve"> </w:t>
      </w:r>
      <w:r w:rsidR="00BF2904">
        <w:rPr>
          <w:rFonts w:ascii="Arial" w:hAnsi="Arial" w:cs="Arial"/>
          <w:sz w:val="22"/>
          <w:szCs w:val="22"/>
        </w:rPr>
        <w:t>(</w:t>
      </w:r>
      <w:r w:rsidR="00A33D89">
        <w:rPr>
          <w:rFonts w:ascii="Arial" w:hAnsi="Arial" w:cs="Arial"/>
          <w:sz w:val="22"/>
          <w:szCs w:val="22"/>
        </w:rPr>
        <w:t>2016</w:t>
      </w:r>
      <w:r w:rsidR="00BF2904">
        <w:rPr>
          <w:rFonts w:ascii="Arial" w:hAnsi="Arial" w:cs="Arial"/>
          <w:sz w:val="22"/>
          <w:szCs w:val="22"/>
        </w:rPr>
        <w:t xml:space="preserve">) highlights how social interactions among children not only enhance motivation, but also fosters belonging and </w:t>
      </w:r>
      <w:proofErr w:type="gramStart"/>
      <w:r w:rsidR="00BF2904">
        <w:rPr>
          <w:rFonts w:ascii="Arial" w:hAnsi="Arial" w:cs="Arial"/>
          <w:sz w:val="22"/>
          <w:szCs w:val="22"/>
        </w:rPr>
        <w:t>cooperation;</w:t>
      </w:r>
      <w:proofErr w:type="gramEnd"/>
      <w:r w:rsidR="00BF2904">
        <w:rPr>
          <w:rFonts w:ascii="Arial" w:hAnsi="Arial" w:cs="Arial"/>
          <w:sz w:val="22"/>
          <w:szCs w:val="22"/>
        </w:rPr>
        <w:t xml:space="preserve"> enriching the overall engagement and learning experience. However, </w:t>
      </w:r>
      <w:r w:rsidR="00A33D89">
        <w:rPr>
          <w:rFonts w:ascii="Arial" w:hAnsi="Arial" w:cs="Arial"/>
          <w:sz w:val="22"/>
          <w:szCs w:val="22"/>
        </w:rPr>
        <w:t xml:space="preserve">UNICEF </w:t>
      </w:r>
      <w:r w:rsidR="00BF2904">
        <w:rPr>
          <w:rFonts w:ascii="Arial" w:hAnsi="Arial" w:cs="Arial"/>
          <w:sz w:val="22"/>
          <w:szCs w:val="22"/>
        </w:rPr>
        <w:t>(</w:t>
      </w:r>
      <w:r w:rsidR="00A33D89">
        <w:rPr>
          <w:rFonts w:ascii="Arial" w:hAnsi="Arial" w:cs="Arial"/>
          <w:sz w:val="22"/>
          <w:szCs w:val="22"/>
        </w:rPr>
        <w:t>2018</w:t>
      </w:r>
      <w:r w:rsidR="00BF2904">
        <w:rPr>
          <w:rFonts w:ascii="Arial" w:hAnsi="Arial" w:cs="Arial"/>
          <w:sz w:val="22"/>
          <w:szCs w:val="22"/>
        </w:rPr>
        <w:t xml:space="preserve">) counters that children benefit from solitary activities, fostering autonomy and self-directed learning. </w:t>
      </w:r>
    </w:p>
    <w:p w14:paraId="6EE0E617" w14:textId="77777777" w:rsidR="00BF2904" w:rsidRDefault="00BF2904" w:rsidP="00923287">
      <w:pPr>
        <w:spacing w:line="480" w:lineRule="auto"/>
        <w:rPr>
          <w:rFonts w:ascii="Arial" w:hAnsi="Arial" w:cs="Arial"/>
          <w:sz w:val="22"/>
          <w:szCs w:val="22"/>
        </w:rPr>
      </w:pPr>
    </w:p>
    <w:p w14:paraId="1025C542" w14:textId="59EC66CD" w:rsidR="00BF2904" w:rsidRDefault="00BF2904" w:rsidP="00923287">
      <w:pPr>
        <w:spacing w:line="480" w:lineRule="auto"/>
        <w:rPr>
          <w:rFonts w:ascii="Arial" w:hAnsi="Arial" w:cs="Arial"/>
          <w:sz w:val="22"/>
          <w:szCs w:val="22"/>
        </w:rPr>
      </w:pPr>
      <w:r>
        <w:rPr>
          <w:rFonts w:ascii="Arial" w:hAnsi="Arial" w:cs="Arial"/>
          <w:sz w:val="22"/>
          <w:szCs w:val="22"/>
        </w:rPr>
        <w:t xml:space="preserve">However, each child is different and whilst some may prefer to work with others, some may </w:t>
      </w:r>
      <w:proofErr w:type="gramStart"/>
      <w:r>
        <w:rPr>
          <w:rFonts w:ascii="Arial" w:hAnsi="Arial" w:cs="Arial"/>
          <w:sz w:val="22"/>
          <w:szCs w:val="22"/>
        </w:rPr>
        <w:t>not;</w:t>
      </w:r>
      <w:proofErr w:type="gramEnd"/>
      <w:r>
        <w:rPr>
          <w:rFonts w:ascii="Arial" w:hAnsi="Arial" w:cs="Arial"/>
          <w:sz w:val="22"/>
          <w:szCs w:val="22"/>
        </w:rPr>
        <w:t xml:space="preserve"> which is why it is important to gather children’s opinions. Therefore, another theme was selected, which was ‘Perceptions of Activities’. This theme aims to explore all opinions children have on the experience. Such ideas can include “the rainbow challenges were fun” as seen from Child A in Appendix 5, or “all of them were very creative” which was said by Child D in Appendix 8. </w:t>
      </w:r>
      <w:r w:rsidR="00A33D89">
        <w:rPr>
          <w:rFonts w:ascii="Arial" w:hAnsi="Arial" w:cs="Arial"/>
          <w:sz w:val="22"/>
          <w:szCs w:val="22"/>
        </w:rPr>
        <w:t xml:space="preserve">Mascardri, et al, </w:t>
      </w:r>
      <w:r>
        <w:rPr>
          <w:rFonts w:ascii="Arial" w:hAnsi="Arial" w:cs="Arial"/>
          <w:sz w:val="22"/>
          <w:szCs w:val="22"/>
        </w:rPr>
        <w:t>(</w:t>
      </w:r>
      <w:r w:rsidR="00A33D89">
        <w:rPr>
          <w:rFonts w:ascii="Arial" w:hAnsi="Arial" w:cs="Arial"/>
          <w:sz w:val="22"/>
          <w:szCs w:val="22"/>
        </w:rPr>
        <w:t>2021</w:t>
      </w:r>
      <w:r>
        <w:rPr>
          <w:rFonts w:ascii="Arial" w:hAnsi="Arial" w:cs="Arial"/>
          <w:sz w:val="22"/>
          <w:szCs w:val="22"/>
        </w:rPr>
        <w:t xml:space="preserve">) outlines that it is crucial to solicit children’s perceptions on activities as it empowers them to express their preferences, interests and </w:t>
      </w:r>
      <w:r>
        <w:rPr>
          <w:rFonts w:ascii="Arial" w:hAnsi="Arial" w:cs="Arial"/>
          <w:sz w:val="22"/>
          <w:szCs w:val="22"/>
        </w:rPr>
        <w:lastRenderedPageBreak/>
        <w:t>concerns, promoting autonomy, ownership and agency in their learning experiences.</w:t>
      </w:r>
      <w:r w:rsidR="006B5DED">
        <w:rPr>
          <w:rFonts w:ascii="Arial" w:hAnsi="Arial" w:cs="Arial"/>
          <w:sz w:val="22"/>
          <w:szCs w:val="22"/>
        </w:rPr>
        <w:t xml:space="preserve"> However, whilst children may articulate a positive perception of activities, they may withhold their true feelings and </w:t>
      </w:r>
      <w:r w:rsidR="00850353">
        <w:rPr>
          <w:rFonts w:ascii="Arial" w:hAnsi="Arial" w:cs="Arial"/>
          <w:sz w:val="22"/>
          <w:szCs w:val="22"/>
        </w:rPr>
        <w:t xml:space="preserve">not </w:t>
      </w:r>
      <w:r w:rsidR="006B5DED">
        <w:rPr>
          <w:rFonts w:ascii="Arial" w:hAnsi="Arial" w:cs="Arial"/>
          <w:sz w:val="22"/>
          <w:szCs w:val="22"/>
        </w:rPr>
        <w:t>address exactly how they feel (</w:t>
      </w:r>
      <w:r w:rsidR="00A33D89">
        <w:rPr>
          <w:rFonts w:ascii="Arial" w:hAnsi="Arial" w:cs="Arial"/>
          <w:sz w:val="22"/>
          <w:szCs w:val="22"/>
        </w:rPr>
        <w:t>Fitzgerald and Maconochie, 2019</w:t>
      </w:r>
      <w:r w:rsidR="006B5DED">
        <w:rPr>
          <w:rFonts w:ascii="Arial" w:hAnsi="Arial" w:cs="Arial"/>
          <w:sz w:val="22"/>
          <w:szCs w:val="22"/>
        </w:rPr>
        <w:t>).</w:t>
      </w:r>
    </w:p>
    <w:p w14:paraId="5CC99467" w14:textId="77777777" w:rsidR="006B5DED" w:rsidRDefault="006B5DED" w:rsidP="00923287">
      <w:pPr>
        <w:spacing w:line="480" w:lineRule="auto"/>
        <w:rPr>
          <w:rFonts w:ascii="Arial" w:hAnsi="Arial" w:cs="Arial"/>
          <w:sz w:val="22"/>
          <w:szCs w:val="22"/>
        </w:rPr>
      </w:pPr>
    </w:p>
    <w:p w14:paraId="26428C83" w14:textId="5CB72C3A" w:rsidR="00452B54" w:rsidRDefault="006B5DED" w:rsidP="00C44E98">
      <w:pPr>
        <w:spacing w:line="480" w:lineRule="auto"/>
        <w:rPr>
          <w:rFonts w:ascii="Arial" w:hAnsi="Arial" w:cs="Arial"/>
          <w:sz w:val="22"/>
          <w:szCs w:val="22"/>
        </w:rPr>
      </w:pPr>
      <w:r>
        <w:rPr>
          <w:rFonts w:ascii="Arial" w:hAnsi="Arial" w:cs="Arial"/>
          <w:sz w:val="22"/>
          <w:szCs w:val="22"/>
        </w:rPr>
        <w:t>Therefore, the final theme identified was Feelings. This theme examines the emotion</w:t>
      </w:r>
      <w:r w:rsidR="00850353">
        <w:rPr>
          <w:rFonts w:ascii="Arial" w:hAnsi="Arial" w:cs="Arial"/>
          <w:sz w:val="22"/>
          <w:szCs w:val="22"/>
        </w:rPr>
        <w:t xml:space="preserve">s </w:t>
      </w:r>
      <w:r>
        <w:rPr>
          <w:rFonts w:ascii="Arial" w:hAnsi="Arial" w:cs="Arial"/>
          <w:sz w:val="22"/>
          <w:szCs w:val="22"/>
        </w:rPr>
        <w:t xml:space="preserve"> children identified from these activities. For example, Child C in Appendix 7 was ‘Happy!”, </w:t>
      </w:r>
      <w:proofErr w:type="gramStart"/>
      <w:r>
        <w:rPr>
          <w:rFonts w:ascii="Arial" w:hAnsi="Arial" w:cs="Arial"/>
          <w:sz w:val="22"/>
          <w:szCs w:val="22"/>
        </w:rPr>
        <w:t>whereas,</w:t>
      </w:r>
      <w:proofErr w:type="gramEnd"/>
      <w:r>
        <w:rPr>
          <w:rFonts w:ascii="Arial" w:hAnsi="Arial" w:cs="Arial"/>
          <w:sz w:val="22"/>
          <w:szCs w:val="22"/>
        </w:rPr>
        <w:t xml:space="preserve"> Child E in Appendix 9 was “embarrassed about sharing my ideas”. </w:t>
      </w:r>
      <w:r w:rsidR="00CF34C9">
        <w:rPr>
          <w:rFonts w:ascii="Arial" w:hAnsi="Arial" w:cs="Arial"/>
          <w:sz w:val="22"/>
          <w:szCs w:val="22"/>
        </w:rPr>
        <w:t xml:space="preserve">Dowling </w:t>
      </w:r>
      <w:r>
        <w:rPr>
          <w:rFonts w:ascii="Arial" w:hAnsi="Arial" w:cs="Arial"/>
          <w:sz w:val="22"/>
          <w:szCs w:val="22"/>
        </w:rPr>
        <w:t>(</w:t>
      </w:r>
      <w:r w:rsidR="00CF34C9">
        <w:rPr>
          <w:rFonts w:ascii="Arial" w:hAnsi="Arial" w:cs="Arial"/>
          <w:sz w:val="22"/>
          <w:szCs w:val="22"/>
        </w:rPr>
        <w:t>2014</w:t>
      </w:r>
      <w:r>
        <w:rPr>
          <w:rFonts w:ascii="Arial" w:hAnsi="Arial" w:cs="Arial"/>
          <w:sz w:val="22"/>
          <w:szCs w:val="22"/>
        </w:rPr>
        <w:t xml:space="preserve">) outlines how emotions play a vital role in enhancing engagement by fostering a conducive learning atmosphere characterised by enthusiasm, curiosity and intrinsic motivation. Therefore, </w:t>
      </w:r>
      <w:r w:rsidR="00A33D89">
        <w:rPr>
          <w:rFonts w:ascii="Arial" w:hAnsi="Arial" w:cs="Arial"/>
          <w:sz w:val="22"/>
          <w:szCs w:val="22"/>
        </w:rPr>
        <w:t xml:space="preserve">Mascardri, et al, </w:t>
      </w:r>
      <w:r>
        <w:rPr>
          <w:rFonts w:ascii="Arial" w:hAnsi="Arial" w:cs="Arial"/>
          <w:sz w:val="22"/>
          <w:szCs w:val="22"/>
        </w:rPr>
        <w:t>(</w:t>
      </w:r>
      <w:r w:rsidR="00A33D89">
        <w:rPr>
          <w:rFonts w:ascii="Arial" w:hAnsi="Arial" w:cs="Arial"/>
          <w:sz w:val="22"/>
          <w:szCs w:val="22"/>
        </w:rPr>
        <w:t>2021</w:t>
      </w:r>
      <w:r>
        <w:rPr>
          <w:rFonts w:ascii="Arial" w:hAnsi="Arial" w:cs="Arial"/>
          <w:sz w:val="22"/>
          <w:szCs w:val="22"/>
        </w:rPr>
        <w:t>) addresses that children experiences anxiety may disengage or experience diminished motivation.</w:t>
      </w:r>
    </w:p>
    <w:p w14:paraId="1DED63B1" w14:textId="77777777" w:rsidR="00923287" w:rsidRPr="00452B54" w:rsidRDefault="00923287" w:rsidP="00C44E98">
      <w:pPr>
        <w:spacing w:line="480" w:lineRule="auto"/>
        <w:rPr>
          <w:rFonts w:ascii="Arial" w:hAnsi="Arial" w:cs="Arial"/>
          <w:sz w:val="22"/>
          <w:szCs w:val="22"/>
        </w:rPr>
      </w:pPr>
    </w:p>
    <w:p w14:paraId="69C2B6A8" w14:textId="00CB6563" w:rsidR="00452B54" w:rsidRPr="00452B54" w:rsidRDefault="00452B54" w:rsidP="00C44E98">
      <w:pPr>
        <w:spacing w:line="480" w:lineRule="auto"/>
        <w:rPr>
          <w:rFonts w:ascii="Arial" w:hAnsi="Arial" w:cs="Arial"/>
          <w:b/>
          <w:bCs/>
        </w:rPr>
      </w:pPr>
      <w:r w:rsidRPr="00452B54">
        <w:rPr>
          <w:rFonts w:ascii="Arial" w:hAnsi="Arial" w:cs="Arial"/>
          <w:b/>
          <w:bCs/>
        </w:rPr>
        <w:t>Discussion of Research Findings</w:t>
      </w:r>
    </w:p>
    <w:p w14:paraId="7507FE05" w14:textId="459DACD2" w:rsidR="00442B37" w:rsidRDefault="006B5D99" w:rsidP="00E01DC5">
      <w:pPr>
        <w:spacing w:line="480" w:lineRule="auto"/>
        <w:rPr>
          <w:rFonts w:ascii="Arial" w:hAnsi="Arial" w:cs="Arial"/>
          <w:sz w:val="22"/>
          <w:szCs w:val="22"/>
        </w:rPr>
      </w:pPr>
      <w:r>
        <w:rPr>
          <w:rFonts w:ascii="Arial" w:hAnsi="Arial" w:cs="Arial"/>
          <w:sz w:val="22"/>
          <w:szCs w:val="22"/>
        </w:rPr>
        <w:t xml:space="preserve">The analysis of learner perceptions regarding pupil voice and engagement reveals several key themes, each of which offers insight into the dynamics of student participation in educational practices. </w:t>
      </w:r>
      <w:r w:rsidR="00E01DC5">
        <w:rPr>
          <w:rFonts w:ascii="Arial" w:hAnsi="Arial" w:cs="Arial"/>
          <w:sz w:val="22"/>
          <w:szCs w:val="22"/>
        </w:rPr>
        <w:t>Firstly, the data revealed varying perception</w:t>
      </w:r>
      <w:r w:rsidR="00850353">
        <w:rPr>
          <w:rFonts w:ascii="Arial" w:hAnsi="Arial" w:cs="Arial"/>
          <w:sz w:val="22"/>
          <w:szCs w:val="22"/>
        </w:rPr>
        <w:t>s</w:t>
      </w:r>
      <w:r w:rsidR="00E01DC5">
        <w:rPr>
          <w:rFonts w:ascii="Arial" w:hAnsi="Arial" w:cs="Arial"/>
          <w:sz w:val="22"/>
          <w:szCs w:val="22"/>
        </w:rPr>
        <w:t xml:space="preserve"> of the level of difficulty</w:t>
      </w:r>
      <w:r w:rsidR="00850353">
        <w:rPr>
          <w:rFonts w:ascii="Arial" w:hAnsi="Arial" w:cs="Arial"/>
          <w:sz w:val="22"/>
          <w:szCs w:val="22"/>
        </w:rPr>
        <w:t xml:space="preserve"> </w:t>
      </w:r>
      <w:r w:rsidR="00E01DC5">
        <w:rPr>
          <w:rFonts w:ascii="Arial" w:hAnsi="Arial" w:cs="Arial"/>
          <w:sz w:val="22"/>
          <w:szCs w:val="22"/>
        </w:rPr>
        <w:t xml:space="preserve">among children. Whilst some children found the tasks “tricky but okay in the end” (See Appendix 5), others perceived them as “easy” (See Appendix 6). This suggests that children’s experiences of challenge and difficulty are subjective and may vary based on individual </w:t>
      </w:r>
      <w:r w:rsidR="00850353">
        <w:rPr>
          <w:rFonts w:ascii="Arial" w:hAnsi="Arial" w:cs="Arial"/>
          <w:sz w:val="22"/>
          <w:szCs w:val="22"/>
        </w:rPr>
        <w:t>needs</w:t>
      </w:r>
      <w:r w:rsidR="00422E56">
        <w:rPr>
          <w:rFonts w:ascii="Arial" w:hAnsi="Arial" w:cs="Arial"/>
          <w:sz w:val="22"/>
          <w:szCs w:val="22"/>
        </w:rPr>
        <w:t xml:space="preserve">. </w:t>
      </w:r>
      <w:r w:rsidR="00850353">
        <w:rPr>
          <w:rFonts w:ascii="Arial" w:hAnsi="Arial" w:cs="Arial"/>
          <w:sz w:val="22"/>
          <w:szCs w:val="22"/>
        </w:rPr>
        <w:t>C</w:t>
      </w:r>
      <w:r w:rsidR="00422E56">
        <w:rPr>
          <w:rFonts w:ascii="Arial" w:hAnsi="Arial" w:cs="Arial"/>
          <w:sz w:val="22"/>
          <w:szCs w:val="22"/>
        </w:rPr>
        <w:t xml:space="preserve">hildren’s perceptions of task difficulty directly impact their engagement and motivation, as suggested by Bates </w:t>
      </w:r>
      <w:r w:rsidR="00850353">
        <w:rPr>
          <w:rFonts w:ascii="Arial" w:hAnsi="Arial" w:cs="Arial"/>
          <w:sz w:val="22"/>
          <w:szCs w:val="22"/>
        </w:rPr>
        <w:t>(</w:t>
      </w:r>
      <w:r w:rsidR="00422E56">
        <w:rPr>
          <w:rFonts w:ascii="Arial" w:hAnsi="Arial" w:cs="Arial"/>
          <w:sz w:val="22"/>
          <w:szCs w:val="22"/>
        </w:rPr>
        <w:t xml:space="preserve">2019). Tasks perceived as manageable and within one’s capabilities are more likely to elicit intrinsic motivation and perseverance (Nally, et al, 2022), </w:t>
      </w:r>
      <w:proofErr w:type="gramStart"/>
      <w:r w:rsidR="00422E56">
        <w:rPr>
          <w:rFonts w:ascii="Arial" w:hAnsi="Arial" w:cs="Arial"/>
          <w:sz w:val="22"/>
          <w:szCs w:val="22"/>
        </w:rPr>
        <w:t>whereas,</w:t>
      </w:r>
      <w:proofErr w:type="gramEnd"/>
      <w:r w:rsidR="00422E56">
        <w:rPr>
          <w:rFonts w:ascii="Arial" w:hAnsi="Arial" w:cs="Arial"/>
          <w:sz w:val="22"/>
          <w:szCs w:val="22"/>
        </w:rPr>
        <w:t xml:space="preserve"> tasks perceived as too challenging or too easy may lead to disengagement, Therefore, the data highlights the need of a balance of challenge on enhance provision to ensure children are being both challenge</w:t>
      </w:r>
      <w:r w:rsidR="00850353">
        <w:rPr>
          <w:rFonts w:ascii="Arial" w:hAnsi="Arial" w:cs="Arial"/>
          <w:sz w:val="22"/>
          <w:szCs w:val="22"/>
        </w:rPr>
        <w:t>d</w:t>
      </w:r>
      <w:r w:rsidR="00422E56">
        <w:rPr>
          <w:rFonts w:ascii="Arial" w:hAnsi="Arial" w:cs="Arial"/>
          <w:sz w:val="22"/>
          <w:szCs w:val="22"/>
        </w:rPr>
        <w:t xml:space="preserve"> and accommodated for in their learning. One such strategy to support this could include the utilisation of a supporting adult working with children on the challenges.</w:t>
      </w:r>
    </w:p>
    <w:p w14:paraId="3381C7D2" w14:textId="77777777" w:rsidR="00422E56" w:rsidRDefault="00422E56" w:rsidP="00E01DC5">
      <w:pPr>
        <w:spacing w:line="480" w:lineRule="auto"/>
        <w:rPr>
          <w:rFonts w:ascii="Arial" w:hAnsi="Arial" w:cs="Arial"/>
          <w:sz w:val="22"/>
          <w:szCs w:val="22"/>
        </w:rPr>
      </w:pPr>
    </w:p>
    <w:p w14:paraId="47365786" w14:textId="34C42AB4" w:rsidR="00422E56" w:rsidRDefault="00422E56" w:rsidP="00E01DC5">
      <w:pPr>
        <w:spacing w:line="480" w:lineRule="auto"/>
        <w:rPr>
          <w:rFonts w:ascii="Arial" w:hAnsi="Arial" w:cs="Arial"/>
          <w:sz w:val="22"/>
          <w:szCs w:val="22"/>
        </w:rPr>
      </w:pPr>
      <w:r>
        <w:rPr>
          <w:rFonts w:ascii="Arial" w:hAnsi="Arial" w:cs="Arial"/>
          <w:sz w:val="22"/>
          <w:szCs w:val="22"/>
        </w:rPr>
        <w:t xml:space="preserve">Such ideas link to Vygotsky’s idea of scaffolding (Aubrey and Riley, 2019). The data also highlighted the importance of social interactions in shaping children’s engagement with enhanced provision. This was analysed within the ‘levels of interaction’ theme, where children expressed enjoyment in working as a team and being creative with one another. Observations also revealed children encouraging one another to join in </w:t>
      </w:r>
      <w:r w:rsidR="002C3CAD">
        <w:rPr>
          <w:rFonts w:ascii="Arial" w:hAnsi="Arial" w:cs="Arial"/>
          <w:sz w:val="22"/>
          <w:szCs w:val="22"/>
        </w:rPr>
        <w:t xml:space="preserve">or </w:t>
      </w:r>
      <w:r>
        <w:rPr>
          <w:rFonts w:ascii="Arial" w:hAnsi="Arial" w:cs="Arial"/>
          <w:sz w:val="22"/>
          <w:szCs w:val="22"/>
        </w:rPr>
        <w:t>work together</w:t>
      </w:r>
      <w:r w:rsidR="002C3CAD">
        <w:rPr>
          <w:rFonts w:ascii="Arial" w:hAnsi="Arial" w:cs="Arial"/>
          <w:sz w:val="22"/>
          <w:szCs w:val="22"/>
        </w:rPr>
        <w:t xml:space="preserve"> as well as seeking the approval or praise of adults on the work that has been completed. This suggests that collaborative working experiences foster a sense of belonging, cooperation and mutual support among children (</w:t>
      </w:r>
      <w:r w:rsidR="00BF3450">
        <w:rPr>
          <w:rFonts w:ascii="Arial" w:hAnsi="Arial" w:cs="Arial"/>
          <w:sz w:val="22"/>
          <w:szCs w:val="22"/>
        </w:rPr>
        <w:t>Allen, et al, 2021</w:t>
      </w:r>
      <w:r w:rsidR="002C3CAD">
        <w:rPr>
          <w:rFonts w:ascii="Arial" w:hAnsi="Arial" w:cs="Arial"/>
          <w:sz w:val="22"/>
          <w:szCs w:val="22"/>
        </w:rPr>
        <w:t>). Social interactions not only enhance motivation but also promote cognitive development and critical thinking skills through peer discussion and collaboration in mixed abilities (</w:t>
      </w:r>
      <w:r w:rsidR="00BF3450">
        <w:rPr>
          <w:rFonts w:ascii="Arial" w:hAnsi="Arial" w:cs="Arial"/>
          <w:sz w:val="22"/>
          <w:szCs w:val="22"/>
        </w:rPr>
        <w:t>Xu, et al, 2023</w:t>
      </w:r>
      <w:r w:rsidR="002C3CAD">
        <w:rPr>
          <w:rFonts w:ascii="Arial" w:hAnsi="Arial" w:cs="Arial"/>
          <w:sz w:val="22"/>
          <w:szCs w:val="22"/>
        </w:rPr>
        <w:t xml:space="preserve">). </w:t>
      </w:r>
    </w:p>
    <w:p w14:paraId="0AF5173D" w14:textId="77777777" w:rsidR="002C3CAD" w:rsidRDefault="002C3CAD" w:rsidP="00E01DC5">
      <w:pPr>
        <w:spacing w:line="480" w:lineRule="auto"/>
        <w:rPr>
          <w:rFonts w:ascii="Arial" w:hAnsi="Arial" w:cs="Arial"/>
          <w:sz w:val="22"/>
          <w:szCs w:val="22"/>
        </w:rPr>
      </w:pPr>
    </w:p>
    <w:p w14:paraId="63AA6807" w14:textId="60EE8916" w:rsidR="00452B54" w:rsidRDefault="002C3CAD" w:rsidP="00C44E98">
      <w:pPr>
        <w:spacing w:line="480" w:lineRule="auto"/>
        <w:rPr>
          <w:rFonts w:ascii="Arial" w:hAnsi="Arial" w:cs="Arial"/>
          <w:sz w:val="22"/>
          <w:szCs w:val="22"/>
        </w:rPr>
      </w:pPr>
      <w:r>
        <w:rPr>
          <w:rFonts w:ascii="Arial" w:hAnsi="Arial" w:cs="Arial"/>
          <w:sz w:val="22"/>
          <w:szCs w:val="22"/>
        </w:rPr>
        <w:t>However, some children (See Appendix 9) expressed disinterest in working with others. children’s perception</w:t>
      </w:r>
      <w:r w:rsidR="00BF3450">
        <w:rPr>
          <w:rFonts w:ascii="Arial" w:hAnsi="Arial" w:cs="Arial"/>
          <w:sz w:val="22"/>
          <w:szCs w:val="22"/>
        </w:rPr>
        <w:t xml:space="preserve">s are </w:t>
      </w:r>
      <w:r>
        <w:rPr>
          <w:rFonts w:ascii="Arial" w:hAnsi="Arial" w:cs="Arial"/>
          <w:sz w:val="22"/>
          <w:szCs w:val="22"/>
        </w:rPr>
        <w:t>crucial in shaping their learning experiences</w:t>
      </w:r>
      <w:r w:rsidR="00BF3450">
        <w:rPr>
          <w:rFonts w:ascii="Arial" w:hAnsi="Arial" w:cs="Arial"/>
          <w:sz w:val="22"/>
          <w:szCs w:val="22"/>
        </w:rPr>
        <w:t xml:space="preserve">. </w:t>
      </w:r>
      <w:r>
        <w:rPr>
          <w:rFonts w:ascii="Arial" w:hAnsi="Arial" w:cs="Arial"/>
          <w:sz w:val="22"/>
          <w:szCs w:val="22"/>
        </w:rPr>
        <w:t>Other perceptions gathered from the data included children finding the activities ‘fun’ and enjoying creating the activities themselves, which was evident by the level of excitement and engagement observed. This indicates that pupil agency and autonomy are key factors in fostering engagement and intrinsic motivation (</w:t>
      </w:r>
      <w:r w:rsidR="00BF3450">
        <w:rPr>
          <w:rFonts w:ascii="Arial" w:hAnsi="Arial" w:cs="Arial"/>
          <w:sz w:val="22"/>
          <w:szCs w:val="22"/>
        </w:rPr>
        <w:t>Ryan and Deci, 2020</w:t>
      </w:r>
      <w:r>
        <w:rPr>
          <w:rFonts w:ascii="Arial" w:hAnsi="Arial" w:cs="Arial"/>
          <w:sz w:val="22"/>
          <w:szCs w:val="22"/>
        </w:rPr>
        <w:t xml:space="preserve">). When children feel empowered to make choices and express their preferences, they are more likely to be actively involved in learning activities and take ownership of their learning process (Mascardi, et al, 2021). </w:t>
      </w:r>
    </w:p>
    <w:p w14:paraId="755A4311" w14:textId="77777777" w:rsidR="002C3CAD" w:rsidRDefault="002C3CAD" w:rsidP="00C44E98">
      <w:pPr>
        <w:spacing w:line="480" w:lineRule="auto"/>
        <w:rPr>
          <w:rFonts w:ascii="Arial" w:hAnsi="Arial" w:cs="Arial"/>
          <w:sz w:val="22"/>
          <w:szCs w:val="22"/>
        </w:rPr>
      </w:pPr>
    </w:p>
    <w:p w14:paraId="00666E71" w14:textId="4878EEE2" w:rsidR="002C3CAD" w:rsidRDefault="002C3CAD" w:rsidP="00C44E98">
      <w:pPr>
        <w:spacing w:line="480" w:lineRule="auto"/>
        <w:rPr>
          <w:rFonts w:ascii="Arial" w:hAnsi="Arial" w:cs="Arial"/>
          <w:sz w:val="22"/>
          <w:szCs w:val="22"/>
        </w:rPr>
      </w:pPr>
      <w:r>
        <w:rPr>
          <w:rFonts w:ascii="Arial" w:hAnsi="Arial" w:cs="Arial"/>
          <w:sz w:val="22"/>
          <w:szCs w:val="22"/>
        </w:rPr>
        <w:t xml:space="preserve">Not only it is important to gather children’s perceptions of the </w:t>
      </w:r>
      <w:proofErr w:type="gramStart"/>
      <w:r>
        <w:rPr>
          <w:rFonts w:ascii="Arial" w:hAnsi="Arial" w:cs="Arial"/>
          <w:sz w:val="22"/>
          <w:szCs w:val="22"/>
        </w:rPr>
        <w:t>activities, but</w:t>
      </w:r>
      <w:proofErr w:type="gramEnd"/>
      <w:r>
        <w:rPr>
          <w:rFonts w:ascii="Arial" w:hAnsi="Arial" w:cs="Arial"/>
          <w:sz w:val="22"/>
          <w:szCs w:val="22"/>
        </w:rPr>
        <w:t xml:space="preserve"> is was also vital to gather how the children felt about their involvement. Therefore, the last theme</w:t>
      </w:r>
      <w:r w:rsidR="005E0C7B">
        <w:rPr>
          <w:rFonts w:ascii="Arial" w:hAnsi="Arial" w:cs="Arial"/>
          <w:sz w:val="22"/>
          <w:szCs w:val="22"/>
        </w:rPr>
        <w:t>,</w:t>
      </w:r>
      <w:r>
        <w:rPr>
          <w:rFonts w:ascii="Arial" w:hAnsi="Arial" w:cs="Arial"/>
          <w:sz w:val="22"/>
          <w:szCs w:val="22"/>
        </w:rPr>
        <w:t xml:space="preserve"> feelings, provided insights into children’s emotional responses to experiences. Children expressed feeling </w:t>
      </w:r>
      <w:r w:rsidR="005E0C7B">
        <w:rPr>
          <w:rFonts w:ascii="Arial" w:hAnsi="Arial" w:cs="Arial"/>
          <w:sz w:val="22"/>
          <w:szCs w:val="22"/>
        </w:rPr>
        <w:t>g</w:t>
      </w:r>
      <w:r>
        <w:rPr>
          <w:rFonts w:ascii="Arial" w:hAnsi="Arial" w:cs="Arial"/>
          <w:sz w:val="22"/>
          <w:szCs w:val="22"/>
        </w:rPr>
        <w:t>ood, excited and happy about their ideas being chosen as an activit</w:t>
      </w:r>
      <w:r w:rsidR="005E0C7B">
        <w:rPr>
          <w:rFonts w:ascii="Arial" w:hAnsi="Arial" w:cs="Arial"/>
          <w:sz w:val="22"/>
          <w:szCs w:val="22"/>
        </w:rPr>
        <w:t>y</w:t>
      </w:r>
      <w:r>
        <w:rPr>
          <w:rFonts w:ascii="Arial" w:hAnsi="Arial" w:cs="Arial"/>
          <w:sz w:val="22"/>
          <w:szCs w:val="22"/>
        </w:rPr>
        <w:t xml:space="preserve"> and liked to receive approval and praise from adults</w:t>
      </w:r>
      <w:r w:rsidR="005E0C7B">
        <w:rPr>
          <w:rFonts w:ascii="Arial" w:hAnsi="Arial" w:cs="Arial"/>
          <w:sz w:val="22"/>
          <w:szCs w:val="22"/>
        </w:rPr>
        <w:t>.</w:t>
      </w:r>
      <w:r w:rsidR="00A450F6">
        <w:rPr>
          <w:rFonts w:ascii="Arial" w:hAnsi="Arial" w:cs="Arial"/>
          <w:sz w:val="22"/>
          <w:szCs w:val="22"/>
        </w:rPr>
        <w:t xml:space="preserve"> (</w:t>
      </w:r>
      <w:proofErr w:type="spellStart"/>
      <w:r w:rsidR="00BF3450">
        <w:rPr>
          <w:rFonts w:ascii="Arial" w:hAnsi="Arial" w:cs="Arial"/>
          <w:sz w:val="22"/>
          <w:szCs w:val="22"/>
        </w:rPr>
        <w:t>Halty</w:t>
      </w:r>
      <w:proofErr w:type="spellEnd"/>
      <w:r w:rsidR="00BF3450">
        <w:rPr>
          <w:rFonts w:ascii="Arial" w:hAnsi="Arial" w:cs="Arial"/>
          <w:sz w:val="22"/>
          <w:szCs w:val="22"/>
        </w:rPr>
        <w:t>, et al, 2021</w:t>
      </w:r>
      <w:r w:rsidR="00A450F6">
        <w:rPr>
          <w:rFonts w:ascii="Arial" w:hAnsi="Arial" w:cs="Arial"/>
          <w:sz w:val="22"/>
          <w:szCs w:val="22"/>
        </w:rPr>
        <w:t xml:space="preserve">) suggests that </w:t>
      </w:r>
      <w:r w:rsidR="005E0C7B">
        <w:rPr>
          <w:rFonts w:ascii="Arial" w:hAnsi="Arial" w:cs="Arial"/>
          <w:sz w:val="22"/>
          <w:szCs w:val="22"/>
        </w:rPr>
        <w:t>positive</w:t>
      </w:r>
      <w:r w:rsidR="00A450F6">
        <w:rPr>
          <w:rFonts w:ascii="Arial" w:hAnsi="Arial" w:cs="Arial"/>
          <w:sz w:val="22"/>
          <w:szCs w:val="22"/>
        </w:rPr>
        <w:t xml:space="preserve"> emotions are closely linked to student engagement and academic achievement. When learners </w:t>
      </w:r>
      <w:r w:rsidR="00A450F6">
        <w:rPr>
          <w:rFonts w:ascii="Arial" w:hAnsi="Arial" w:cs="Arial"/>
          <w:sz w:val="22"/>
          <w:szCs w:val="22"/>
        </w:rPr>
        <w:lastRenderedPageBreak/>
        <w:t>experience positive emotions such as joy</w:t>
      </w:r>
      <w:r w:rsidR="005E0C7B">
        <w:rPr>
          <w:rFonts w:ascii="Arial" w:hAnsi="Arial" w:cs="Arial"/>
          <w:sz w:val="22"/>
          <w:szCs w:val="22"/>
        </w:rPr>
        <w:t xml:space="preserve"> </w:t>
      </w:r>
      <w:r w:rsidR="00A450F6">
        <w:rPr>
          <w:rFonts w:ascii="Arial" w:hAnsi="Arial" w:cs="Arial"/>
          <w:sz w:val="22"/>
          <w:szCs w:val="22"/>
        </w:rPr>
        <w:t>and pride in their accomplishments, they are more likely to be motivated</w:t>
      </w:r>
      <w:r w:rsidR="005E0C7B">
        <w:rPr>
          <w:rFonts w:ascii="Arial" w:hAnsi="Arial" w:cs="Arial"/>
          <w:sz w:val="22"/>
          <w:szCs w:val="22"/>
        </w:rPr>
        <w:t xml:space="preserve"> and </w:t>
      </w:r>
      <w:r w:rsidR="00A450F6">
        <w:rPr>
          <w:rFonts w:ascii="Arial" w:hAnsi="Arial" w:cs="Arial"/>
          <w:sz w:val="22"/>
          <w:szCs w:val="22"/>
        </w:rPr>
        <w:t>focussed and</w:t>
      </w:r>
      <w:r w:rsidR="005E0C7B">
        <w:rPr>
          <w:rFonts w:ascii="Arial" w:hAnsi="Arial" w:cs="Arial"/>
          <w:sz w:val="22"/>
          <w:szCs w:val="22"/>
        </w:rPr>
        <w:t xml:space="preserve"> </w:t>
      </w:r>
      <w:r w:rsidR="00A450F6">
        <w:rPr>
          <w:rFonts w:ascii="Arial" w:hAnsi="Arial" w:cs="Arial"/>
          <w:sz w:val="22"/>
          <w:szCs w:val="22"/>
        </w:rPr>
        <w:t>in learning experiences (</w:t>
      </w:r>
      <w:r w:rsidR="00BF3450">
        <w:rPr>
          <w:rFonts w:ascii="Arial" w:hAnsi="Arial" w:cs="Arial"/>
          <w:sz w:val="22"/>
          <w:szCs w:val="22"/>
        </w:rPr>
        <w:t>Ryan and Deci, 2020</w:t>
      </w:r>
      <w:r w:rsidR="00A450F6">
        <w:rPr>
          <w:rFonts w:ascii="Arial" w:hAnsi="Arial" w:cs="Arial"/>
          <w:sz w:val="22"/>
          <w:szCs w:val="22"/>
        </w:rPr>
        <w:t xml:space="preserve">). </w:t>
      </w:r>
    </w:p>
    <w:p w14:paraId="41B72C79" w14:textId="77777777" w:rsidR="002C3CAD" w:rsidRDefault="002C3CAD" w:rsidP="00C44E98">
      <w:pPr>
        <w:spacing w:line="480" w:lineRule="auto"/>
        <w:rPr>
          <w:rFonts w:ascii="Arial" w:hAnsi="Arial" w:cs="Arial"/>
          <w:sz w:val="22"/>
          <w:szCs w:val="22"/>
        </w:rPr>
      </w:pPr>
    </w:p>
    <w:p w14:paraId="2AF0C8BE" w14:textId="77777777" w:rsidR="00BF3450" w:rsidRPr="00452B54" w:rsidRDefault="00BF3450" w:rsidP="00C44E98">
      <w:pPr>
        <w:spacing w:line="480" w:lineRule="auto"/>
        <w:rPr>
          <w:rFonts w:ascii="Arial" w:hAnsi="Arial" w:cs="Arial"/>
          <w:sz w:val="22"/>
          <w:szCs w:val="22"/>
        </w:rPr>
      </w:pPr>
    </w:p>
    <w:p w14:paraId="7CC18EF8" w14:textId="77777777" w:rsidR="00644463" w:rsidRDefault="00C44E98" w:rsidP="00C44E98">
      <w:pPr>
        <w:spacing w:line="480" w:lineRule="auto"/>
        <w:rPr>
          <w:rFonts w:ascii="Arial" w:hAnsi="Arial" w:cs="Arial"/>
          <w:b/>
          <w:bCs/>
          <w:sz w:val="28"/>
          <w:szCs w:val="28"/>
        </w:rPr>
      </w:pPr>
      <w:r w:rsidRPr="00E60181">
        <w:rPr>
          <w:rFonts w:ascii="Arial" w:hAnsi="Arial" w:cs="Arial"/>
          <w:b/>
          <w:bCs/>
          <w:sz w:val="28"/>
          <w:szCs w:val="28"/>
        </w:rPr>
        <w:t xml:space="preserve">Conclusions </w:t>
      </w:r>
    </w:p>
    <w:p w14:paraId="38F4A599" w14:textId="40A944E0" w:rsidR="00644463" w:rsidRDefault="00644463" w:rsidP="00C44E98">
      <w:pPr>
        <w:spacing w:line="480" w:lineRule="auto"/>
        <w:rPr>
          <w:rFonts w:ascii="Arial" w:hAnsi="Arial" w:cs="Arial"/>
          <w:sz w:val="22"/>
          <w:szCs w:val="22"/>
        </w:rPr>
      </w:pPr>
      <w:r>
        <w:rPr>
          <w:rFonts w:ascii="Arial" w:hAnsi="Arial" w:cs="Arial"/>
          <w:sz w:val="22"/>
          <w:szCs w:val="22"/>
        </w:rPr>
        <w:t>The findings of this study support the ideas of</w:t>
      </w:r>
      <w:r w:rsidR="00A3798E">
        <w:rPr>
          <w:rFonts w:ascii="Arial" w:hAnsi="Arial" w:cs="Arial"/>
          <w:sz w:val="22"/>
          <w:szCs w:val="22"/>
        </w:rPr>
        <w:t xml:space="preserve"> Wood (2011</w:t>
      </w:r>
      <w:r>
        <w:rPr>
          <w:rFonts w:ascii="Arial" w:hAnsi="Arial" w:cs="Arial"/>
          <w:sz w:val="22"/>
          <w:szCs w:val="22"/>
        </w:rPr>
        <w:t>)</w:t>
      </w:r>
      <w:r w:rsidR="00A3798E">
        <w:rPr>
          <w:rFonts w:ascii="Arial" w:hAnsi="Arial" w:cs="Arial"/>
          <w:sz w:val="22"/>
          <w:szCs w:val="22"/>
        </w:rPr>
        <w:t xml:space="preserve"> and Conner (2022)</w:t>
      </w:r>
      <w:r>
        <w:rPr>
          <w:rFonts w:ascii="Arial" w:hAnsi="Arial" w:cs="Arial"/>
          <w:sz w:val="22"/>
          <w:szCs w:val="22"/>
        </w:rPr>
        <w:t xml:space="preserve">, that pupil voice </w:t>
      </w:r>
      <w:r w:rsidR="00A3798E">
        <w:rPr>
          <w:rFonts w:ascii="Arial" w:hAnsi="Arial" w:cs="Arial"/>
          <w:sz w:val="22"/>
          <w:szCs w:val="22"/>
        </w:rPr>
        <w:t xml:space="preserve">is central to </w:t>
      </w:r>
      <w:r w:rsidR="00A554F6">
        <w:rPr>
          <w:rFonts w:ascii="Arial" w:hAnsi="Arial" w:cs="Arial"/>
          <w:sz w:val="22"/>
          <w:szCs w:val="22"/>
        </w:rPr>
        <w:t xml:space="preserve">improving children’s engagement. The study also revealed that pupil voice empowers children and improves children emotional and social development regarding confidence in their own learning. The research methods employed effectively addressed the research question by providing rich data on learner’s perceptions. These methods demonstrated both reliability and validity, as they allowed for in-depth exploration of children’s experiences and perspectives, ensuring consistency in data collection and interpretation. </w:t>
      </w:r>
    </w:p>
    <w:p w14:paraId="352EE22D" w14:textId="77777777" w:rsidR="00A554F6" w:rsidRDefault="00A554F6" w:rsidP="00C44E98">
      <w:pPr>
        <w:spacing w:line="480" w:lineRule="auto"/>
        <w:rPr>
          <w:rFonts w:ascii="Arial" w:hAnsi="Arial" w:cs="Arial"/>
          <w:sz w:val="22"/>
          <w:szCs w:val="22"/>
        </w:rPr>
      </w:pPr>
    </w:p>
    <w:p w14:paraId="553DDAB0" w14:textId="0E08DB76" w:rsidR="00A554F6" w:rsidRPr="00644463" w:rsidRDefault="00A554F6" w:rsidP="00C44E98">
      <w:pPr>
        <w:spacing w:line="480" w:lineRule="auto"/>
        <w:rPr>
          <w:rFonts w:ascii="Arial" w:hAnsi="Arial" w:cs="Arial"/>
          <w:sz w:val="22"/>
          <w:szCs w:val="22"/>
        </w:rPr>
      </w:pPr>
      <w:r>
        <w:rPr>
          <w:rFonts w:ascii="Arial" w:hAnsi="Arial" w:cs="Arial"/>
          <w:sz w:val="22"/>
          <w:szCs w:val="22"/>
        </w:rPr>
        <w:t xml:space="preserve">Thematic analysis proved to be an appropriate analytical approach, allowing for the identification of recurring themes in the data, enhancing the understanding of the learner’s perceptions. Whilst other qualitative methods such as focus groups or surveys could have been utilised, thematic analysis was suitable for this study due to the flexibility and ability to capture insights from each individual interview. </w:t>
      </w:r>
      <w:r w:rsidR="005E0C7B">
        <w:rPr>
          <w:rFonts w:ascii="Arial" w:hAnsi="Arial" w:cs="Arial"/>
          <w:sz w:val="22"/>
          <w:szCs w:val="22"/>
        </w:rPr>
        <w:t>Overall,</w:t>
      </w:r>
      <w:r>
        <w:rPr>
          <w:rFonts w:ascii="Arial" w:hAnsi="Arial" w:cs="Arial"/>
          <w:sz w:val="22"/>
          <w:szCs w:val="22"/>
        </w:rPr>
        <w:t xml:space="preserve"> the finding </w:t>
      </w:r>
      <w:proofErr w:type="gramStart"/>
      <w:r>
        <w:rPr>
          <w:rFonts w:ascii="Arial" w:hAnsi="Arial" w:cs="Arial"/>
          <w:sz w:val="22"/>
          <w:szCs w:val="22"/>
        </w:rPr>
        <w:t>are</w:t>
      </w:r>
      <w:proofErr w:type="gramEnd"/>
      <w:r>
        <w:rPr>
          <w:rFonts w:ascii="Arial" w:hAnsi="Arial" w:cs="Arial"/>
          <w:sz w:val="22"/>
          <w:szCs w:val="22"/>
        </w:rPr>
        <w:t xml:space="preserve"> confirmable, dependable and transferable, as they offer valuable insights into </w:t>
      </w:r>
      <w:r w:rsidR="005E0C7B">
        <w:rPr>
          <w:rFonts w:ascii="Arial" w:hAnsi="Arial" w:cs="Arial"/>
          <w:sz w:val="22"/>
          <w:szCs w:val="22"/>
        </w:rPr>
        <w:t>the role</w:t>
      </w:r>
      <w:r>
        <w:rPr>
          <w:rFonts w:ascii="Arial" w:hAnsi="Arial" w:cs="Arial"/>
          <w:sz w:val="22"/>
          <w:szCs w:val="22"/>
        </w:rPr>
        <w:t xml:space="preserve"> of pupil voice in shaping children’s engagement and learning experiences, which can inform educational practice beyond the context of this study.</w:t>
      </w:r>
    </w:p>
    <w:p w14:paraId="36480785" w14:textId="77777777" w:rsidR="00644463" w:rsidRPr="00644463" w:rsidRDefault="00644463" w:rsidP="00C44E98">
      <w:pPr>
        <w:spacing w:line="480" w:lineRule="auto"/>
        <w:rPr>
          <w:rFonts w:ascii="Arial" w:hAnsi="Arial" w:cs="Arial"/>
          <w:sz w:val="22"/>
          <w:szCs w:val="22"/>
        </w:rPr>
      </w:pPr>
    </w:p>
    <w:p w14:paraId="4A93A655" w14:textId="04555808" w:rsidR="00C44E98" w:rsidRPr="00E60181" w:rsidRDefault="00C44E98" w:rsidP="00C44E98">
      <w:pPr>
        <w:spacing w:line="480" w:lineRule="auto"/>
        <w:rPr>
          <w:rFonts w:ascii="Arial" w:hAnsi="Arial" w:cs="Arial"/>
          <w:b/>
          <w:bCs/>
          <w:sz w:val="28"/>
          <w:szCs w:val="28"/>
        </w:rPr>
      </w:pPr>
      <w:r w:rsidRPr="00E60181">
        <w:rPr>
          <w:rFonts w:ascii="Arial" w:hAnsi="Arial" w:cs="Arial"/>
          <w:b/>
          <w:bCs/>
          <w:sz w:val="28"/>
          <w:szCs w:val="28"/>
        </w:rPr>
        <w:t xml:space="preserve">Recommendations </w:t>
      </w:r>
    </w:p>
    <w:p w14:paraId="060B7B41" w14:textId="50FF6319" w:rsidR="003C631D" w:rsidRDefault="00A450F6" w:rsidP="00C44E98">
      <w:pPr>
        <w:spacing w:line="480" w:lineRule="auto"/>
        <w:rPr>
          <w:rFonts w:ascii="Arial" w:hAnsi="Arial" w:cs="Arial"/>
          <w:sz w:val="22"/>
          <w:szCs w:val="22"/>
        </w:rPr>
      </w:pPr>
      <w:r>
        <w:rPr>
          <w:rFonts w:ascii="Arial" w:hAnsi="Arial" w:cs="Arial"/>
          <w:sz w:val="22"/>
          <w:szCs w:val="22"/>
        </w:rPr>
        <w:t>The analysis of the data provide</w:t>
      </w:r>
      <w:r w:rsidR="005E0C7B">
        <w:rPr>
          <w:rFonts w:ascii="Arial" w:hAnsi="Arial" w:cs="Arial"/>
          <w:sz w:val="22"/>
          <w:szCs w:val="22"/>
        </w:rPr>
        <w:t>d</w:t>
      </w:r>
      <w:r>
        <w:rPr>
          <w:rFonts w:ascii="Arial" w:hAnsi="Arial" w:cs="Arial"/>
          <w:sz w:val="22"/>
          <w:szCs w:val="22"/>
        </w:rPr>
        <w:t xml:space="preserve"> valuable insights into the importance of pupil voice in shaping children’s engagement and learning experiences within enhanced provision.</w:t>
      </w:r>
      <w:r w:rsidR="003C631D">
        <w:rPr>
          <w:rFonts w:ascii="Arial" w:hAnsi="Arial" w:cs="Arial"/>
          <w:sz w:val="22"/>
          <w:szCs w:val="22"/>
        </w:rPr>
        <w:t xml:space="preserve"> </w:t>
      </w:r>
      <w:r w:rsidR="005E0C7B">
        <w:rPr>
          <w:rFonts w:ascii="Arial" w:hAnsi="Arial" w:cs="Arial"/>
          <w:sz w:val="22"/>
          <w:szCs w:val="22"/>
        </w:rPr>
        <w:t>T</w:t>
      </w:r>
      <w:r w:rsidR="003C631D">
        <w:rPr>
          <w:rFonts w:ascii="Arial" w:hAnsi="Arial" w:cs="Arial"/>
          <w:sz w:val="22"/>
          <w:szCs w:val="22"/>
        </w:rPr>
        <w:t xml:space="preserve">here are several key recommendations that can inform future practice and enhance my </w:t>
      </w:r>
      <w:r w:rsidR="003C631D">
        <w:rPr>
          <w:rFonts w:ascii="Arial" w:hAnsi="Arial" w:cs="Arial"/>
          <w:sz w:val="22"/>
          <w:szCs w:val="22"/>
        </w:rPr>
        <w:lastRenderedPageBreak/>
        <w:t>professional learning.</w:t>
      </w:r>
      <w:r w:rsidR="005E0C7B">
        <w:rPr>
          <w:rFonts w:ascii="Arial" w:hAnsi="Arial" w:cs="Arial"/>
          <w:sz w:val="22"/>
          <w:szCs w:val="22"/>
        </w:rPr>
        <w:t xml:space="preserve"> </w:t>
      </w:r>
      <w:r w:rsidR="003C631D">
        <w:rPr>
          <w:rFonts w:ascii="Arial" w:hAnsi="Arial" w:cs="Arial"/>
          <w:sz w:val="22"/>
          <w:szCs w:val="22"/>
        </w:rPr>
        <w:t>Firstly, by recognising that children may have varying perceptions of task difficulty, social interactions and emotional responses to learning experiences, it is vital to tailor instructional strategies to meet the diverse needs of learners. One strategy identified includ</w:t>
      </w:r>
      <w:r w:rsidR="005E0C7B">
        <w:rPr>
          <w:rFonts w:ascii="Arial" w:hAnsi="Arial" w:cs="Arial"/>
          <w:sz w:val="22"/>
          <w:szCs w:val="22"/>
        </w:rPr>
        <w:t>es</w:t>
      </w:r>
      <w:r w:rsidR="003C631D">
        <w:rPr>
          <w:rFonts w:ascii="Arial" w:hAnsi="Arial" w:cs="Arial"/>
          <w:sz w:val="22"/>
          <w:szCs w:val="22"/>
        </w:rPr>
        <w:t xml:space="preserve"> the use of an adult as a supporting body on </w:t>
      </w:r>
      <w:r w:rsidR="005E0C7B">
        <w:rPr>
          <w:rFonts w:ascii="Arial" w:hAnsi="Arial" w:cs="Arial"/>
          <w:sz w:val="22"/>
          <w:szCs w:val="22"/>
        </w:rPr>
        <w:t xml:space="preserve">provision. </w:t>
      </w:r>
      <w:r w:rsidR="003C631D">
        <w:rPr>
          <w:rFonts w:ascii="Arial" w:hAnsi="Arial" w:cs="Arial"/>
          <w:sz w:val="22"/>
          <w:szCs w:val="22"/>
        </w:rPr>
        <w:t xml:space="preserve">However, this would take away from the idea of these tasks being </w:t>
      </w:r>
      <w:r w:rsidR="00644463">
        <w:rPr>
          <w:rFonts w:ascii="Arial" w:hAnsi="Arial" w:cs="Arial"/>
          <w:sz w:val="22"/>
          <w:szCs w:val="22"/>
        </w:rPr>
        <w:t>independent</w:t>
      </w:r>
      <w:r w:rsidR="003C631D">
        <w:rPr>
          <w:rFonts w:ascii="Arial" w:hAnsi="Arial" w:cs="Arial"/>
          <w:sz w:val="22"/>
          <w:szCs w:val="22"/>
        </w:rPr>
        <w:t xml:space="preserve"> and led by the learners. Therefore, another strategy would be to differentiate the provision activities, providing scaffolding or challenge to the </w:t>
      </w:r>
      <w:r w:rsidR="00644463">
        <w:rPr>
          <w:rFonts w:ascii="Arial" w:hAnsi="Arial" w:cs="Arial"/>
          <w:sz w:val="22"/>
          <w:szCs w:val="22"/>
        </w:rPr>
        <w:t>different</w:t>
      </w:r>
      <w:r w:rsidR="003C631D">
        <w:rPr>
          <w:rFonts w:ascii="Arial" w:hAnsi="Arial" w:cs="Arial"/>
          <w:sz w:val="22"/>
          <w:szCs w:val="22"/>
        </w:rPr>
        <w:t xml:space="preserve"> abilities. </w:t>
      </w:r>
    </w:p>
    <w:p w14:paraId="3DB4809A" w14:textId="77777777" w:rsidR="00644463" w:rsidRDefault="00644463" w:rsidP="00C44E98">
      <w:pPr>
        <w:spacing w:line="480" w:lineRule="auto"/>
        <w:rPr>
          <w:rFonts w:ascii="Arial" w:hAnsi="Arial" w:cs="Arial"/>
          <w:sz w:val="22"/>
          <w:szCs w:val="22"/>
        </w:rPr>
      </w:pPr>
    </w:p>
    <w:p w14:paraId="25E0FF99" w14:textId="0811F994" w:rsidR="00C44E98" w:rsidRDefault="00644463" w:rsidP="00C44E98">
      <w:pPr>
        <w:spacing w:line="480" w:lineRule="auto"/>
        <w:rPr>
          <w:rFonts w:ascii="Arial" w:hAnsi="Arial" w:cs="Arial"/>
          <w:sz w:val="22"/>
          <w:szCs w:val="22"/>
        </w:rPr>
      </w:pPr>
      <w:r>
        <w:rPr>
          <w:rFonts w:ascii="Arial" w:hAnsi="Arial" w:cs="Arial"/>
          <w:sz w:val="22"/>
          <w:szCs w:val="22"/>
        </w:rPr>
        <w:t xml:space="preserve">Moreover, the data highlighted the importance of learner agency and autonomy in promoting engagement and intrinsic motivation. By empowering children to make choices and express their preferences and interests, I will be able to foster a sense of ownership and investment in the children’s learning process. This may involve involving children in decision-making processes more frequently, such as allowing them to select the class topic. This frequent implementation of children making decisions and having a say in their learning journey, will not only be </w:t>
      </w:r>
      <w:r w:rsidR="005E0C7B">
        <w:rPr>
          <w:rFonts w:ascii="Arial" w:hAnsi="Arial" w:cs="Arial"/>
          <w:sz w:val="22"/>
          <w:szCs w:val="22"/>
        </w:rPr>
        <w:t>empower children</w:t>
      </w:r>
      <w:r>
        <w:rPr>
          <w:rFonts w:ascii="Arial" w:hAnsi="Arial" w:cs="Arial"/>
          <w:sz w:val="22"/>
          <w:szCs w:val="22"/>
        </w:rPr>
        <w:t xml:space="preserve"> to make decisions, but </w:t>
      </w:r>
      <w:r w:rsidR="005E0C7B">
        <w:rPr>
          <w:rFonts w:ascii="Arial" w:hAnsi="Arial" w:cs="Arial"/>
          <w:sz w:val="22"/>
          <w:szCs w:val="22"/>
        </w:rPr>
        <w:t>will allow children</w:t>
      </w:r>
      <w:r>
        <w:rPr>
          <w:rFonts w:ascii="Arial" w:hAnsi="Arial" w:cs="Arial"/>
          <w:sz w:val="22"/>
          <w:szCs w:val="22"/>
        </w:rPr>
        <w:t xml:space="preserve"> grow up to capable, informed and confident contributors of society. </w:t>
      </w:r>
    </w:p>
    <w:p w14:paraId="0441EF69" w14:textId="77777777" w:rsidR="005E0C7B" w:rsidRDefault="005E0C7B" w:rsidP="00C44E98">
      <w:pPr>
        <w:spacing w:line="480" w:lineRule="auto"/>
        <w:rPr>
          <w:rFonts w:ascii="Arial" w:hAnsi="Arial" w:cs="Arial"/>
          <w:sz w:val="22"/>
          <w:szCs w:val="22"/>
        </w:rPr>
      </w:pPr>
    </w:p>
    <w:p w14:paraId="04EDC3AA" w14:textId="77777777" w:rsidR="004B6280" w:rsidRDefault="004B6280" w:rsidP="00C44E98">
      <w:pPr>
        <w:spacing w:line="480" w:lineRule="auto"/>
        <w:rPr>
          <w:rFonts w:ascii="Arial" w:hAnsi="Arial" w:cs="Arial"/>
          <w:sz w:val="22"/>
          <w:szCs w:val="22"/>
        </w:rPr>
      </w:pPr>
    </w:p>
    <w:p w14:paraId="04A9819B" w14:textId="77777777" w:rsidR="004B6280" w:rsidRDefault="004B6280" w:rsidP="00C44E98">
      <w:pPr>
        <w:spacing w:line="480" w:lineRule="auto"/>
        <w:rPr>
          <w:rFonts w:ascii="Arial" w:hAnsi="Arial" w:cs="Arial"/>
          <w:sz w:val="22"/>
          <w:szCs w:val="22"/>
        </w:rPr>
      </w:pPr>
    </w:p>
    <w:p w14:paraId="58D33187" w14:textId="77777777" w:rsidR="004B6280" w:rsidRDefault="004B6280" w:rsidP="00C44E98">
      <w:pPr>
        <w:spacing w:line="480" w:lineRule="auto"/>
        <w:rPr>
          <w:rFonts w:ascii="Arial" w:hAnsi="Arial" w:cs="Arial"/>
          <w:sz w:val="22"/>
          <w:szCs w:val="22"/>
        </w:rPr>
      </w:pPr>
    </w:p>
    <w:p w14:paraId="174BEB39" w14:textId="77777777" w:rsidR="004B6280" w:rsidRDefault="004B6280" w:rsidP="00C44E98">
      <w:pPr>
        <w:spacing w:line="480" w:lineRule="auto"/>
        <w:rPr>
          <w:rFonts w:ascii="Arial" w:hAnsi="Arial" w:cs="Arial"/>
          <w:sz w:val="22"/>
          <w:szCs w:val="22"/>
        </w:rPr>
      </w:pPr>
    </w:p>
    <w:p w14:paraId="491EF772" w14:textId="77777777" w:rsidR="004B6280" w:rsidRDefault="004B6280" w:rsidP="00C44E98">
      <w:pPr>
        <w:spacing w:line="480" w:lineRule="auto"/>
        <w:rPr>
          <w:rFonts w:ascii="Arial" w:hAnsi="Arial" w:cs="Arial"/>
          <w:sz w:val="22"/>
          <w:szCs w:val="22"/>
        </w:rPr>
      </w:pPr>
    </w:p>
    <w:p w14:paraId="78292E1B" w14:textId="77777777" w:rsidR="004B6280" w:rsidRDefault="004B6280" w:rsidP="00C44E98">
      <w:pPr>
        <w:spacing w:line="480" w:lineRule="auto"/>
        <w:rPr>
          <w:rFonts w:ascii="Arial" w:hAnsi="Arial" w:cs="Arial"/>
          <w:sz w:val="22"/>
          <w:szCs w:val="22"/>
        </w:rPr>
      </w:pPr>
    </w:p>
    <w:p w14:paraId="07FE8E1A" w14:textId="77777777" w:rsidR="004B6280" w:rsidRDefault="004B6280" w:rsidP="00C44E98">
      <w:pPr>
        <w:spacing w:line="480" w:lineRule="auto"/>
        <w:rPr>
          <w:rFonts w:ascii="Arial" w:hAnsi="Arial" w:cs="Arial"/>
          <w:sz w:val="22"/>
          <w:szCs w:val="22"/>
        </w:rPr>
      </w:pPr>
    </w:p>
    <w:p w14:paraId="0D97CFA0" w14:textId="77777777" w:rsidR="004B6280" w:rsidRDefault="004B6280" w:rsidP="00C44E98">
      <w:pPr>
        <w:spacing w:line="480" w:lineRule="auto"/>
        <w:rPr>
          <w:rFonts w:ascii="Arial" w:hAnsi="Arial" w:cs="Arial"/>
          <w:sz w:val="22"/>
          <w:szCs w:val="22"/>
        </w:rPr>
      </w:pPr>
    </w:p>
    <w:p w14:paraId="1CE3C632" w14:textId="77777777" w:rsidR="004B6280" w:rsidRDefault="004B6280" w:rsidP="00C44E98">
      <w:pPr>
        <w:spacing w:line="480" w:lineRule="auto"/>
        <w:rPr>
          <w:rFonts w:ascii="Arial" w:hAnsi="Arial" w:cs="Arial"/>
          <w:sz w:val="22"/>
          <w:szCs w:val="22"/>
        </w:rPr>
      </w:pPr>
    </w:p>
    <w:p w14:paraId="021C0FE2" w14:textId="77777777" w:rsidR="004B6280" w:rsidRPr="00A554F6" w:rsidRDefault="004B6280" w:rsidP="00C44E98">
      <w:pPr>
        <w:spacing w:line="480" w:lineRule="auto"/>
        <w:rPr>
          <w:rFonts w:ascii="Arial" w:hAnsi="Arial" w:cs="Arial"/>
          <w:sz w:val="22"/>
          <w:szCs w:val="22"/>
        </w:rPr>
      </w:pPr>
    </w:p>
    <w:p w14:paraId="5FAE98A2" w14:textId="5C0D613F" w:rsidR="00C44E98" w:rsidRPr="00E60181" w:rsidRDefault="00C44E98" w:rsidP="00C44E98">
      <w:pPr>
        <w:spacing w:line="480" w:lineRule="auto"/>
        <w:rPr>
          <w:rFonts w:ascii="Arial" w:hAnsi="Arial" w:cs="Arial"/>
          <w:b/>
          <w:bCs/>
          <w:sz w:val="28"/>
          <w:szCs w:val="28"/>
        </w:rPr>
      </w:pPr>
      <w:r w:rsidRPr="00E60181">
        <w:rPr>
          <w:rFonts w:ascii="Arial" w:hAnsi="Arial" w:cs="Arial"/>
          <w:b/>
          <w:bCs/>
          <w:sz w:val="28"/>
          <w:szCs w:val="28"/>
        </w:rPr>
        <w:lastRenderedPageBreak/>
        <w:t>Reference List:</w:t>
      </w:r>
    </w:p>
    <w:p w14:paraId="6857E13F" w14:textId="2B2D6EE5" w:rsidR="00251B7E" w:rsidRDefault="00251B7E" w:rsidP="00C546B1">
      <w:pPr>
        <w:rPr>
          <w:rFonts w:ascii="Arial" w:hAnsi="Arial" w:cs="Arial"/>
          <w:color w:val="000000" w:themeColor="text1"/>
          <w:sz w:val="22"/>
          <w:szCs w:val="22"/>
        </w:rPr>
      </w:pPr>
      <w:r>
        <w:rPr>
          <w:rFonts w:ascii="Arial" w:hAnsi="Arial" w:cs="Arial"/>
          <w:color w:val="000000" w:themeColor="text1"/>
          <w:sz w:val="22"/>
          <w:szCs w:val="22"/>
        </w:rPr>
        <w:t xml:space="preserve">Allen, K., Kern, M., </w:t>
      </w:r>
      <w:proofErr w:type="spellStart"/>
      <w:r>
        <w:rPr>
          <w:rFonts w:ascii="Arial" w:hAnsi="Arial" w:cs="Arial"/>
          <w:color w:val="000000" w:themeColor="text1"/>
          <w:sz w:val="22"/>
          <w:szCs w:val="22"/>
        </w:rPr>
        <w:t>Rozek</w:t>
      </w:r>
      <w:proofErr w:type="spellEnd"/>
      <w:r>
        <w:rPr>
          <w:rFonts w:ascii="Arial" w:hAnsi="Arial" w:cs="Arial"/>
          <w:color w:val="000000" w:themeColor="text1"/>
          <w:sz w:val="22"/>
          <w:szCs w:val="22"/>
        </w:rPr>
        <w:t xml:space="preserve">, C., </w:t>
      </w:r>
      <w:proofErr w:type="spellStart"/>
      <w:r>
        <w:rPr>
          <w:rFonts w:ascii="Arial" w:hAnsi="Arial" w:cs="Arial"/>
          <w:color w:val="000000" w:themeColor="text1"/>
          <w:sz w:val="22"/>
          <w:szCs w:val="22"/>
        </w:rPr>
        <w:t>McInereney</w:t>
      </w:r>
      <w:proofErr w:type="spellEnd"/>
      <w:r>
        <w:rPr>
          <w:rFonts w:ascii="Arial" w:hAnsi="Arial" w:cs="Arial"/>
          <w:color w:val="000000" w:themeColor="text1"/>
          <w:sz w:val="22"/>
          <w:szCs w:val="22"/>
        </w:rPr>
        <w:t xml:space="preserve">, D. and </w:t>
      </w:r>
      <w:proofErr w:type="spellStart"/>
      <w:r>
        <w:rPr>
          <w:rFonts w:ascii="Arial" w:hAnsi="Arial" w:cs="Arial"/>
          <w:color w:val="000000" w:themeColor="text1"/>
          <w:sz w:val="22"/>
          <w:szCs w:val="22"/>
        </w:rPr>
        <w:t>Slavich</w:t>
      </w:r>
      <w:proofErr w:type="spellEnd"/>
      <w:r>
        <w:rPr>
          <w:rFonts w:ascii="Arial" w:hAnsi="Arial" w:cs="Arial"/>
          <w:color w:val="000000" w:themeColor="text1"/>
          <w:sz w:val="22"/>
          <w:szCs w:val="22"/>
        </w:rPr>
        <w:t xml:space="preserve">, G. (2021) ‘Belonging: A Review of Conceptual Issues, an Integrative Framework and Directions for Future Research’ </w:t>
      </w:r>
      <w:r w:rsidRPr="00251B7E">
        <w:rPr>
          <w:rFonts w:ascii="Arial" w:hAnsi="Arial" w:cs="Arial"/>
          <w:i/>
          <w:iCs/>
          <w:color w:val="000000" w:themeColor="text1"/>
          <w:sz w:val="22"/>
          <w:szCs w:val="22"/>
        </w:rPr>
        <w:t>Research of Social Groups</w:t>
      </w:r>
      <w:r>
        <w:rPr>
          <w:rFonts w:ascii="Arial" w:hAnsi="Arial" w:cs="Arial"/>
          <w:color w:val="000000" w:themeColor="text1"/>
          <w:sz w:val="22"/>
          <w:szCs w:val="22"/>
        </w:rPr>
        <w:t>. Vol. 73, No. 1, pp. 87-102.</w:t>
      </w:r>
    </w:p>
    <w:p w14:paraId="71AD15F6" w14:textId="77777777" w:rsidR="00251B7E" w:rsidRDefault="00251B7E" w:rsidP="00C546B1">
      <w:pPr>
        <w:rPr>
          <w:rFonts w:ascii="Arial" w:hAnsi="Arial" w:cs="Arial"/>
          <w:color w:val="000000" w:themeColor="text1"/>
          <w:sz w:val="22"/>
          <w:szCs w:val="22"/>
        </w:rPr>
      </w:pPr>
    </w:p>
    <w:p w14:paraId="5341B680" w14:textId="0E691DE8" w:rsidR="00CB2DFF" w:rsidRDefault="00CB2DFF" w:rsidP="00C546B1">
      <w:pPr>
        <w:rPr>
          <w:rFonts w:ascii="Arial" w:hAnsi="Arial" w:cs="Arial"/>
          <w:color w:val="000000" w:themeColor="text1"/>
          <w:sz w:val="22"/>
          <w:szCs w:val="22"/>
        </w:rPr>
      </w:pPr>
      <w:r>
        <w:rPr>
          <w:rFonts w:ascii="Arial" w:hAnsi="Arial" w:cs="Arial"/>
          <w:color w:val="000000" w:themeColor="text1"/>
          <w:sz w:val="22"/>
          <w:szCs w:val="22"/>
        </w:rPr>
        <w:t xml:space="preserve">Andrade, C. (2021) ‘The Inconvenient Truth About Convenience and Purposive Samples’ </w:t>
      </w:r>
      <w:r w:rsidRPr="001F6CC1">
        <w:rPr>
          <w:rFonts w:ascii="Arial" w:hAnsi="Arial" w:cs="Arial"/>
          <w:i/>
          <w:iCs/>
          <w:color w:val="000000" w:themeColor="text1"/>
          <w:sz w:val="22"/>
          <w:szCs w:val="22"/>
        </w:rPr>
        <w:t xml:space="preserve">Journal </w:t>
      </w:r>
      <w:r w:rsidR="001F6CC1" w:rsidRPr="001F6CC1">
        <w:rPr>
          <w:rFonts w:ascii="Arial" w:hAnsi="Arial" w:cs="Arial"/>
          <w:i/>
          <w:iCs/>
          <w:color w:val="000000" w:themeColor="text1"/>
          <w:sz w:val="22"/>
          <w:szCs w:val="22"/>
        </w:rPr>
        <w:t>of Psychological Medicine</w:t>
      </w:r>
      <w:r w:rsidR="001F6CC1">
        <w:rPr>
          <w:rFonts w:ascii="Arial" w:hAnsi="Arial" w:cs="Arial"/>
          <w:color w:val="000000" w:themeColor="text1"/>
          <w:sz w:val="22"/>
          <w:szCs w:val="22"/>
        </w:rPr>
        <w:t>. Vol. 43, No. 1 pp, 86-88.</w:t>
      </w:r>
    </w:p>
    <w:p w14:paraId="2A5DEAB8" w14:textId="77777777" w:rsidR="00100DB3" w:rsidRDefault="00100DB3" w:rsidP="00C546B1">
      <w:pPr>
        <w:rPr>
          <w:rFonts w:ascii="Arial" w:hAnsi="Arial" w:cs="Arial"/>
          <w:color w:val="000000" w:themeColor="text1"/>
          <w:sz w:val="22"/>
          <w:szCs w:val="22"/>
        </w:rPr>
      </w:pPr>
    </w:p>
    <w:p w14:paraId="28294393" w14:textId="5212353E" w:rsidR="00100DB3" w:rsidRPr="00100DB3" w:rsidRDefault="00100DB3" w:rsidP="00C546B1">
      <w:pPr>
        <w:rPr>
          <w:rFonts w:ascii="Arial" w:hAnsi="Arial" w:cs="Arial"/>
          <w:color w:val="000000" w:themeColor="text1"/>
          <w:sz w:val="21"/>
          <w:szCs w:val="21"/>
        </w:rPr>
      </w:pPr>
      <w:r w:rsidRPr="00100DB3">
        <w:rPr>
          <w:rFonts w:ascii="Arial" w:hAnsi="Arial" w:cs="Arial"/>
          <w:color w:val="000000"/>
          <w:sz w:val="22"/>
          <w:szCs w:val="22"/>
        </w:rPr>
        <w:t>Aubrey, K. and Riley, A. (2019)</w:t>
      </w:r>
      <w:r w:rsidRPr="00100DB3">
        <w:rPr>
          <w:rStyle w:val="apple-converted-space"/>
          <w:rFonts w:ascii="Arial" w:hAnsi="Arial" w:cs="Arial"/>
          <w:color w:val="000000"/>
          <w:sz w:val="22"/>
          <w:szCs w:val="22"/>
        </w:rPr>
        <w:t> </w:t>
      </w:r>
      <w:r w:rsidRPr="00100DB3">
        <w:rPr>
          <w:rFonts w:ascii="Arial" w:hAnsi="Arial" w:cs="Arial"/>
          <w:i/>
          <w:iCs/>
          <w:color w:val="000000"/>
          <w:sz w:val="22"/>
          <w:szCs w:val="22"/>
        </w:rPr>
        <w:t>Understanding and Using Educational Theories.</w:t>
      </w:r>
      <w:r w:rsidRPr="00100DB3">
        <w:rPr>
          <w:rStyle w:val="apple-converted-space"/>
          <w:rFonts w:ascii="Arial" w:hAnsi="Arial" w:cs="Arial"/>
          <w:color w:val="000000"/>
          <w:sz w:val="22"/>
          <w:szCs w:val="22"/>
        </w:rPr>
        <w:t> </w:t>
      </w:r>
      <w:r w:rsidRPr="00100DB3">
        <w:rPr>
          <w:rFonts w:ascii="Arial" w:hAnsi="Arial" w:cs="Arial"/>
          <w:color w:val="000000"/>
          <w:sz w:val="22"/>
          <w:szCs w:val="22"/>
        </w:rPr>
        <w:t>(Second Edition). London: Sage. </w:t>
      </w:r>
    </w:p>
    <w:p w14:paraId="657AAB67" w14:textId="77777777" w:rsidR="00CB2DFF" w:rsidRDefault="00CB2DFF" w:rsidP="00C546B1">
      <w:pPr>
        <w:rPr>
          <w:rFonts w:ascii="Arial" w:hAnsi="Arial" w:cs="Arial"/>
          <w:color w:val="000000" w:themeColor="text1"/>
          <w:sz w:val="22"/>
          <w:szCs w:val="22"/>
        </w:rPr>
      </w:pPr>
    </w:p>
    <w:p w14:paraId="4D2B8723" w14:textId="1B0337A6" w:rsidR="00AC36A8" w:rsidRDefault="00AC36A8" w:rsidP="00C546B1">
      <w:pPr>
        <w:rPr>
          <w:rFonts w:ascii="Arial" w:hAnsi="Arial" w:cs="Arial"/>
          <w:color w:val="000000" w:themeColor="text1"/>
          <w:sz w:val="22"/>
          <w:szCs w:val="22"/>
        </w:rPr>
      </w:pPr>
      <w:proofErr w:type="spellStart"/>
      <w:r w:rsidRPr="002F478B">
        <w:rPr>
          <w:rFonts w:ascii="Arial" w:hAnsi="Arial" w:cs="Arial"/>
          <w:color w:val="000000" w:themeColor="text1"/>
          <w:sz w:val="22"/>
          <w:szCs w:val="22"/>
        </w:rPr>
        <w:t>Bassot</w:t>
      </w:r>
      <w:proofErr w:type="spellEnd"/>
      <w:r w:rsidRPr="002F478B">
        <w:rPr>
          <w:rFonts w:ascii="Arial" w:hAnsi="Arial" w:cs="Arial"/>
          <w:color w:val="000000" w:themeColor="text1"/>
          <w:sz w:val="22"/>
          <w:szCs w:val="22"/>
        </w:rPr>
        <w:t xml:space="preserve">, B. (2020) </w:t>
      </w:r>
      <w:r w:rsidRPr="002F478B">
        <w:rPr>
          <w:rFonts w:ascii="Arial" w:hAnsi="Arial" w:cs="Arial"/>
          <w:i/>
          <w:iCs/>
          <w:color w:val="000000" w:themeColor="text1"/>
          <w:sz w:val="22"/>
          <w:szCs w:val="22"/>
        </w:rPr>
        <w:t>The Reflective Journal.</w:t>
      </w:r>
      <w:r w:rsidRPr="002F478B">
        <w:rPr>
          <w:rFonts w:ascii="Arial" w:hAnsi="Arial" w:cs="Arial"/>
          <w:color w:val="000000" w:themeColor="text1"/>
          <w:sz w:val="22"/>
          <w:szCs w:val="22"/>
        </w:rPr>
        <w:t xml:space="preserve"> (3</w:t>
      </w:r>
      <w:r w:rsidRPr="002F478B">
        <w:rPr>
          <w:rFonts w:ascii="Arial" w:hAnsi="Arial" w:cs="Arial"/>
          <w:color w:val="000000" w:themeColor="text1"/>
          <w:sz w:val="22"/>
          <w:szCs w:val="22"/>
          <w:vertAlign w:val="superscript"/>
        </w:rPr>
        <w:t>rd</w:t>
      </w:r>
      <w:r w:rsidRPr="002F478B">
        <w:rPr>
          <w:rFonts w:ascii="Arial" w:hAnsi="Arial" w:cs="Arial"/>
          <w:color w:val="000000" w:themeColor="text1"/>
          <w:sz w:val="22"/>
          <w:szCs w:val="22"/>
        </w:rPr>
        <w:t xml:space="preserve"> </w:t>
      </w:r>
      <w:proofErr w:type="spellStart"/>
      <w:r w:rsidRPr="002F478B">
        <w:rPr>
          <w:rFonts w:ascii="Arial" w:hAnsi="Arial" w:cs="Arial"/>
          <w:color w:val="000000" w:themeColor="text1"/>
          <w:sz w:val="22"/>
          <w:szCs w:val="22"/>
        </w:rPr>
        <w:t>Edn</w:t>
      </w:r>
      <w:proofErr w:type="spellEnd"/>
      <w:r w:rsidRPr="002F478B">
        <w:rPr>
          <w:rFonts w:ascii="Arial" w:hAnsi="Arial" w:cs="Arial"/>
          <w:color w:val="000000" w:themeColor="text1"/>
          <w:sz w:val="22"/>
          <w:szCs w:val="22"/>
        </w:rPr>
        <w:t>). London: Red Globe Press.</w:t>
      </w:r>
    </w:p>
    <w:p w14:paraId="7A3E69E8" w14:textId="77777777" w:rsidR="00100DB3" w:rsidRPr="00100DB3" w:rsidRDefault="00100DB3" w:rsidP="00C546B1">
      <w:pPr>
        <w:rPr>
          <w:rFonts w:ascii="Arial" w:hAnsi="Arial" w:cs="Arial"/>
          <w:color w:val="000000" w:themeColor="text1"/>
          <w:sz w:val="21"/>
          <w:szCs w:val="21"/>
        </w:rPr>
      </w:pPr>
    </w:p>
    <w:p w14:paraId="794A9E07" w14:textId="6FAAD81F" w:rsidR="00100DB3" w:rsidRPr="00100DB3" w:rsidRDefault="00100DB3" w:rsidP="00C546B1">
      <w:pPr>
        <w:rPr>
          <w:rFonts w:ascii="Arial" w:hAnsi="Arial" w:cs="Arial"/>
          <w:color w:val="000000"/>
          <w:sz w:val="22"/>
          <w:szCs w:val="22"/>
        </w:rPr>
      </w:pPr>
      <w:r w:rsidRPr="00100DB3">
        <w:rPr>
          <w:rFonts w:ascii="Arial" w:hAnsi="Arial" w:cs="Arial"/>
          <w:color w:val="000000"/>
          <w:sz w:val="22"/>
          <w:szCs w:val="22"/>
        </w:rPr>
        <w:t>Bates, B. (2019)</w:t>
      </w:r>
      <w:r w:rsidRPr="00100DB3">
        <w:rPr>
          <w:rStyle w:val="apple-converted-space"/>
          <w:rFonts w:ascii="Arial" w:hAnsi="Arial" w:cs="Arial"/>
          <w:color w:val="000000"/>
          <w:sz w:val="22"/>
          <w:szCs w:val="22"/>
        </w:rPr>
        <w:t> </w:t>
      </w:r>
      <w:r w:rsidRPr="00100DB3">
        <w:rPr>
          <w:rFonts w:ascii="Arial" w:hAnsi="Arial" w:cs="Arial"/>
          <w:i/>
          <w:iCs/>
          <w:color w:val="000000"/>
          <w:sz w:val="22"/>
          <w:szCs w:val="22"/>
        </w:rPr>
        <w:t>Learning Theories Simplified</w:t>
      </w:r>
      <w:r w:rsidRPr="00100DB3">
        <w:rPr>
          <w:rFonts w:ascii="Arial" w:hAnsi="Arial" w:cs="Arial"/>
          <w:color w:val="000000"/>
          <w:sz w:val="22"/>
          <w:szCs w:val="22"/>
        </w:rPr>
        <w:t>. (Second Edition). London: Sage.</w:t>
      </w:r>
    </w:p>
    <w:p w14:paraId="1655CB25" w14:textId="77777777" w:rsidR="00AC36A8" w:rsidRDefault="00AC36A8" w:rsidP="00C546B1">
      <w:pPr>
        <w:rPr>
          <w:rFonts w:ascii="Arial" w:hAnsi="Arial" w:cs="Arial"/>
          <w:sz w:val="22"/>
          <w:szCs w:val="22"/>
        </w:rPr>
      </w:pPr>
    </w:p>
    <w:p w14:paraId="4DC43954" w14:textId="19EC3910" w:rsidR="00C546B1" w:rsidRDefault="00C546B1" w:rsidP="00C546B1">
      <w:pPr>
        <w:rPr>
          <w:rFonts w:ascii="Arial" w:hAnsi="Arial" w:cs="Arial"/>
          <w:sz w:val="22"/>
          <w:szCs w:val="22"/>
        </w:rPr>
      </w:pPr>
      <w:r w:rsidRPr="00C546B1">
        <w:rPr>
          <w:rFonts w:ascii="Arial" w:hAnsi="Arial" w:cs="Arial"/>
          <w:sz w:val="22"/>
          <w:szCs w:val="22"/>
        </w:rPr>
        <w:t xml:space="preserve">BERA (2018) </w:t>
      </w:r>
      <w:r w:rsidRPr="00C546B1">
        <w:rPr>
          <w:rFonts w:ascii="Arial" w:hAnsi="Arial" w:cs="Arial"/>
          <w:i/>
          <w:iCs/>
          <w:sz w:val="22"/>
          <w:szCs w:val="22"/>
        </w:rPr>
        <w:t>Ethical Guidelines for Educational Research</w:t>
      </w:r>
      <w:r w:rsidRPr="00C546B1">
        <w:rPr>
          <w:rFonts w:ascii="Arial" w:hAnsi="Arial" w:cs="Arial"/>
          <w:sz w:val="22"/>
          <w:szCs w:val="22"/>
        </w:rPr>
        <w:t>. (Fourth Edition). London: BERA.</w:t>
      </w:r>
    </w:p>
    <w:p w14:paraId="2AA904AC" w14:textId="77777777" w:rsidR="00C10869" w:rsidRDefault="00C10869" w:rsidP="00C546B1">
      <w:pPr>
        <w:rPr>
          <w:rFonts w:ascii="Arial" w:hAnsi="Arial" w:cs="Arial"/>
          <w:sz w:val="22"/>
          <w:szCs w:val="22"/>
        </w:rPr>
      </w:pPr>
    </w:p>
    <w:p w14:paraId="764D2889" w14:textId="6ADA495E" w:rsidR="00C10869" w:rsidRDefault="00C10869" w:rsidP="00C546B1">
      <w:pPr>
        <w:rPr>
          <w:rFonts w:ascii="Arial" w:hAnsi="Arial" w:cs="Arial"/>
          <w:sz w:val="22"/>
          <w:szCs w:val="22"/>
        </w:rPr>
      </w:pPr>
      <w:proofErr w:type="spellStart"/>
      <w:r>
        <w:rPr>
          <w:rFonts w:ascii="Arial" w:hAnsi="Arial" w:cs="Arial"/>
          <w:sz w:val="22"/>
          <w:szCs w:val="22"/>
        </w:rPr>
        <w:t>Birt</w:t>
      </w:r>
      <w:proofErr w:type="spellEnd"/>
      <w:r>
        <w:rPr>
          <w:rFonts w:ascii="Arial" w:hAnsi="Arial" w:cs="Arial"/>
          <w:sz w:val="22"/>
          <w:szCs w:val="22"/>
        </w:rPr>
        <w:t xml:space="preserve">, L., Scott, S., Cavers, D., Campbell, C. and Walter, F. (2016) ‘Member Checking: A Tool to Enhance Trustworthiness or Merely a Nod to Validation?’ </w:t>
      </w:r>
      <w:r w:rsidRPr="00C10869">
        <w:rPr>
          <w:rFonts w:ascii="Arial" w:hAnsi="Arial" w:cs="Arial"/>
          <w:i/>
          <w:iCs/>
          <w:sz w:val="22"/>
          <w:szCs w:val="22"/>
        </w:rPr>
        <w:t>Quality Health Research</w:t>
      </w:r>
      <w:r>
        <w:rPr>
          <w:rFonts w:ascii="Arial" w:hAnsi="Arial" w:cs="Arial"/>
          <w:sz w:val="22"/>
          <w:szCs w:val="22"/>
        </w:rPr>
        <w:t>. Vol. 26, No. 13, pp. 1802-1811.</w:t>
      </w:r>
    </w:p>
    <w:p w14:paraId="7798A23F" w14:textId="77777777" w:rsidR="00166FBE" w:rsidRDefault="00166FBE" w:rsidP="00C546B1">
      <w:pPr>
        <w:rPr>
          <w:rFonts w:ascii="Arial" w:hAnsi="Arial" w:cs="Arial"/>
          <w:sz w:val="22"/>
          <w:szCs w:val="22"/>
        </w:rPr>
      </w:pPr>
    </w:p>
    <w:p w14:paraId="3BEFDD35" w14:textId="6D31C67D" w:rsidR="00166FBE" w:rsidRDefault="00166FBE" w:rsidP="00C546B1">
      <w:pPr>
        <w:rPr>
          <w:rFonts w:ascii="Arial" w:hAnsi="Arial" w:cs="Arial"/>
          <w:sz w:val="22"/>
          <w:szCs w:val="22"/>
        </w:rPr>
      </w:pPr>
      <w:proofErr w:type="spellStart"/>
      <w:r>
        <w:rPr>
          <w:rFonts w:ascii="Arial" w:hAnsi="Arial" w:cs="Arial"/>
          <w:sz w:val="22"/>
          <w:szCs w:val="22"/>
        </w:rPr>
        <w:t>Bremner</w:t>
      </w:r>
      <w:proofErr w:type="spellEnd"/>
      <w:r>
        <w:rPr>
          <w:rFonts w:ascii="Arial" w:hAnsi="Arial" w:cs="Arial"/>
          <w:sz w:val="22"/>
          <w:szCs w:val="22"/>
        </w:rPr>
        <w:t xml:space="preserve">, N., Sakata, N. and Cameron, L. (2022) ‘The Outcomes of Learner-Centred Pedagogy: A Systematic Review’ </w:t>
      </w:r>
      <w:r w:rsidRPr="00F832AD">
        <w:rPr>
          <w:rFonts w:ascii="Arial" w:hAnsi="Arial" w:cs="Arial"/>
          <w:i/>
          <w:iCs/>
          <w:sz w:val="22"/>
          <w:szCs w:val="22"/>
        </w:rPr>
        <w:t>International Journal of Educational Development.</w:t>
      </w:r>
      <w:r>
        <w:rPr>
          <w:rFonts w:ascii="Arial" w:hAnsi="Arial" w:cs="Arial"/>
          <w:sz w:val="22"/>
          <w:szCs w:val="22"/>
        </w:rPr>
        <w:t xml:space="preserve"> Vol. 94, No. </w:t>
      </w:r>
      <w:r w:rsidR="00F832AD">
        <w:rPr>
          <w:rFonts w:ascii="Arial" w:hAnsi="Arial" w:cs="Arial"/>
          <w:sz w:val="22"/>
          <w:szCs w:val="22"/>
        </w:rPr>
        <w:t>10, pp. 1-28.</w:t>
      </w:r>
    </w:p>
    <w:p w14:paraId="453DF2B0" w14:textId="77777777" w:rsidR="00EB4C23" w:rsidRDefault="00EB4C23" w:rsidP="00C546B1">
      <w:pPr>
        <w:rPr>
          <w:rFonts w:ascii="Arial" w:hAnsi="Arial" w:cs="Arial"/>
          <w:sz w:val="22"/>
          <w:szCs w:val="22"/>
        </w:rPr>
      </w:pPr>
    </w:p>
    <w:p w14:paraId="73584D83" w14:textId="27FE8C44" w:rsidR="00EB4C23" w:rsidRDefault="00EB4C23" w:rsidP="00C546B1">
      <w:pPr>
        <w:rPr>
          <w:rFonts w:ascii="Arial" w:hAnsi="Arial" w:cs="Arial"/>
          <w:sz w:val="22"/>
          <w:szCs w:val="22"/>
        </w:rPr>
      </w:pPr>
      <w:r>
        <w:rPr>
          <w:rFonts w:ascii="Arial" w:hAnsi="Arial" w:cs="Arial"/>
          <w:sz w:val="22"/>
          <w:szCs w:val="22"/>
        </w:rPr>
        <w:t xml:space="preserve">Braun, V. and Clarke, V. (2023) ‘Toward Good Practice in Thematic Analysis: Avoiding Common Problems and Becoming a Knowing Researcher’ </w:t>
      </w:r>
      <w:r w:rsidR="00C10869" w:rsidRPr="00C10869">
        <w:rPr>
          <w:rFonts w:ascii="Arial" w:hAnsi="Arial" w:cs="Arial"/>
          <w:i/>
          <w:iCs/>
          <w:sz w:val="22"/>
          <w:szCs w:val="22"/>
        </w:rPr>
        <w:t>International</w:t>
      </w:r>
      <w:r w:rsidRPr="00C10869">
        <w:rPr>
          <w:rFonts w:ascii="Arial" w:hAnsi="Arial" w:cs="Arial"/>
          <w:i/>
          <w:iCs/>
          <w:sz w:val="22"/>
          <w:szCs w:val="22"/>
        </w:rPr>
        <w:t xml:space="preserve"> Journal of Transgender Health</w:t>
      </w:r>
      <w:r>
        <w:rPr>
          <w:rFonts w:ascii="Arial" w:hAnsi="Arial" w:cs="Arial"/>
          <w:sz w:val="22"/>
          <w:szCs w:val="22"/>
        </w:rPr>
        <w:t>. Vol. 24, No.</w:t>
      </w:r>
      <w:r w:rsidR="00C10869">
        <w:rPr>
          <w:rFonts w:ascii="Arial" w:hAnsi="Arial" w:cs="Arial"/>
          <w:sz w:val="22"/>
          <w:szCs w:val="22"/>
        </w:rPr>
        <w:t xml:space="preserve"> 1, pp. 1-6.</w:t>
      </w:r>
    </w:p>
    <w:p w14:paraId="23E72716" w14:textId="77777777" w:rsidR="00507C8F" w:rsidRDefault="00507C8F" w:rsidP="00C546B1">
      <w:pPr>
        <w:rPr>
          <w:rFonts w:ascii="Arial" w:hAnsi="Arial" w:cs="Arial"/>
          <w:sz w:val="22"/>
          <w:szCs w:val="22"/>
        </w:rPr>
      </w:pPr>
    </w:p>
    <w:p w14:paraId="431677FD" w14:textId="45E3B7AF" w:rsidR="00507C8F" w:rsidRDefault="00507C8F" w:rsidP="00C546B1">
      <w:pPr>
        <w:rPr>
          <w:rFonts w:ascii="Arial" w:hAnsi="Arial" w:cs="Arial"/>
          <w:sz w:val="22"/>
          <w:szCs w:val="22"/>
        </w:rPr>
      </w:pPr>
      <w:r>
        <w:rPr>
          <w:rFonts w:ascii="Arial" w:hAnsi="Arial" w:cs="Arial"/>
          <w:sz w:val="22"/>
          <w:szCs w:val="22"/>
        </w:rPr>
        <w:t xml:space="preserve">Broeck, A., Ferris, D. and </w:t>
      </w:r>
      <w:proofErr w:type="spellStart"/>
      <w:r>
        <w:rPr>
          <w:rFonts w:ascii="Arial" w:hAnsi="Arial" w:cs="Arial"/>
          <w:sz w:val="22"/>
          <w:szCs w:val="22"/>
        </w:rPr>
        <w:t>Rossen</w:t>
      </w:r>
      <w:proofErr w:type="spellEnd"/>
      <w:r>
        <w:rPr>
          <w:rFonts w:ascii="Arial" w:hAnsi="Arial" w:cs="Arial"/>
          <w:sz w:val="22"/>
          <w:szCs w:val="22"/>
        </w:rPr>
        <w:t xml:space="preserve">, C. (2016) ‘A Review of Self-Determination Theory’s Basic </w:t>
      </w:r>
      <w:r w:rsidR="00E91EE7">
        <w:rPr>
          <w:rFonts w:ascii="Arial" w:hAnsi="Arial" w:cs="Arial"/>
          <w:sz w:val="22"/>
          <w:szCs w:val="22"/>
        </w:rPr>
        <w:t>Phycological</w:t>
      </w:r>
      <w:r>
        <w:rPr>
          <w:rFonts w:ascii="Arial" w:hAnsi="Arial" w:cs="Arial"/>
          <w:sz w:val="22"/>
          <w:szCs w:val="22"/>
        </w:rPr>
        <w:t xml:space="preserve"> Needs at Work’ </w:t>
      </w:r>
      <w:r w:rsidRPr="00E91EE7">
        <w:rPr>
          <w:rFonts w:ascii="Arial" w:hAnsi="Arial" w:cs="Arial"/>
          <w:i/>
          <w:iCs/>
          <w:sz w:val="22"/>
          <w:szCs w:val="22"/>
        </w:rPr>
        <w:t>Journal of Management</w:t>
      </w:r>
      <w:r>
        <w:rPr>
          <w:rFonts w:ascii="Arial" w:hAnsi="Arial" w:cs="Arial"/>
          <w:sz w:val="22"/>
          <w:szCs w:val="22"/>
        </w:rPr>
        <w:t>. Vol. 42, No. 5, pp.</w:t>
      </w:r>
      <w:r w:rsidR="00E91EE7">
        <w:rPr>
          <w:rFonts w:ascii="Arial" w:hAnsi="Arial" w:cs="Arial"/>
          <w:sz w:val="22"/>
          <w:szCs w:val="22"/>
        </w:rPr>
        <w:t xml:space="preserve"> 1-20.</w:t>
      </w:r>
    </w:p>
    <w:p w14:paraId="4E8DE8FD" w14:textId="77777777" w:rsidR="00285070" w:rsidRDefault="00285070" w:rsidP="00C546B1">
      <w:pPr>
        <w:rPr>
          <w:rFonts w:ascii="Arial" w:hAnsi="Arial" w:cs="Arial"/>
          <w:sz w:val="22"/>
          <w:szCs w:val="22"/>
        </w:rPr>
      </w:pPr>
    </w:p>
    <w:p w14:paraId="0FACD183" w14:textId="567266E7" w:rsidR="00285070" w:rsidRDefault="00285070" w:rsidP="00C546B1">
      <w:pPr>
        <w:rPr>
          <w:rFonts w:ascii="Arial" w:hAnsi="Arial" w:cs="Arial"/>
          <w:sz w:val="22"/>
          <w:szCs w:val="22"/>
        </w:rPr>
      </w:pPr>
      <w:r>
        <w:rPr>
          <w:rFonts w:ascii="Arial" w:hAnsi="Arial" w:cs="Arial"/>
          <w:sz w:val="22"/>
          <w:szCs w:val="22"/>
        </w:rPr>
        <w:t>Broom, C. (2015) ‘Empowering Students: Pedagogy that Benefits Educators and Learners’</w:t>
      </w:r>
      <w:r w:rsidR="001111CE">
        <w:rPr>
          <w:rFonts w:ascii="Arial" w:hAnsi="Arial" w:cs="Arial"/>
          <w:sz w:val="22"/>
          <w:szCs w:val="22"/>
        </w:rPr>
        <w:t xml:space="preserve"> </w:t>
      </w:r>
      <w:r w:rsidRPr="00285070">
        <w:rPr>
          <w:rFonts w:ascii="Arial" w:hAnsi="Arial" w:cs="Arial"/>
          <w:i/>
          <w:iCs/>
          <w:sz w:val="22"/>
          <w:szCs w:val="22"/>
        </w:rPr>
        <w:t xml:space="preserve">Citizenship, Social and </w:t>
      </w:r>
      <w:proofErr w:type="spellStart"/>
      <w:r w:rsidRPr="00285070">
        <w:rPr>
          <w:rFonts w:ascii="Arial" w:hAnsi="Arial" w:cs="Arial"/>
          <w:i/>
          <w:iCs/>
          <w:sz w:val="22"/>
          <w:szCs w:val="22"/>
        </w:rPr>
        <w:t>Economics</w:t>
      </w:r>
      <w:proofErr w:type="spellEnd"/>
      <w:r w:rsidRPr="00285070">
        <w:rPr>
          <w:rFonts w:ascii="Arial" w:hAnsi="Arial" w:cs="Arial"/>
          <w:i/>
          <w:iCs/>
          <w:sz w:val="22"/>
          <w:szCs w:val="22"/>
        </w:rPr>
        <w:t xml:space="preserve"> Education</w:t>
      </w:r>
      <w:r>
        <w:rPr>
          <w:rFonts w:ascii="Arial" w:hAnsi="Arial" w:cs="Arial"/>
          <w:sz w:val="22"/>
          <w:szCs w:val="22"/>
        </w:rPr>
        <w:t>. Vol. 14, No. 2, pp. 1-12.</w:t>
      </w:r>
    </w:p>
    <w:p w14:paraId="735ABE6A" w14:textId="77777777" w:rsidR="001111CE" w:rsidRDefault="001111CE" w:rsidP="00C546B1">
      <w:pPr>
        <w:rPr>
          <w:rFonts w:ascii="Arial" w:hAnsi="Arial" w:cs="Arial"/>
          <w:sz w:val="22"/>
          <w:szCs w:val="22"/>
        </w:rPr>
      </w:pPr>
    </w:p>
    <w:p w14:paraId="0E2DBD18" w14:textId="2A7EBC85" w:rsidR="001111CE" w:rsidRDefault="001111CE" w:rsidP="00C546B1">
      <w:pPr>
        <w:rPr>
          <w:rFonts w:ascii="Arial" w:hAnsi="Arial" w:cs="Arial"/>
          <w:sz w:val="22"/>
          <w:szCs w:val="22"/>
        </w:rPr>
      </w:pPr>
      <w:r>
        <w:rPr>
          <w:rFonts w:ascii="Arial" w:hAnsi="Arial" w:cs="Arial"/>
          <w:sz w:val="22"/>
          <w:szCs w:val="22"/>
        </w:rPr>
        <w:t xml:space="preserve">Burchett, H., </w:t>
      </w:r>
      <w:proofErr w:type="spellStart"/>
      <w:r>
        <w:rPr>
          <w:rFonts w:ascii="Arial" w:hAnsi="Arial" w:cs="Arial"/>
          <w:sz w:val="22"/>
          <w:szCs w:val="22"/>
        </w:rPr>
        <w:t>Kneale</w:t>
      </w:r>
      <w:proofErr w:type="spellEnd"/>
      <w:r>
        <w:rPr>
          <w:rFonts w:ascii="Arial" w:hAnsi="Arial" w:cs="Arial"/>
          <w:sz w:val="22"/>
          <w:szCs w:val="22"/>
        </w:rPr>
        <w:t xml:space="preserve">, D., Blanchard, L. and Thomas, J. (2020) ‘When Assessing Generalisability, Focusing on Differences in Population or Setting Alone is Insufficient’ </w:t>
      </w:r>
      <w:r w:rsidRPr="001111CE">
        <w:rPr>
          <w:rFonts w:ascii="Arial" w:hAnsi="Arial" w:cs="Arial"/>
          <w:i/>
          <w:iCs/>
          <w:sz w:val="22"/>
          <w:szCs w:val="22"/>
        </w:rPr>
        <w:t>Trials Journals.</w:t>
      </w:r>
      <w:r>
        <w:rPr>
          <w:rFonts w:ascii="Arial" w:hAnsi="Arial" w:cs="Arial"/>
          <w:sz w:val="22"/>
          <w:szCs w:val="22"/>
        </w:rPr>
        <w:t xml:space="preserve"> Vol. 21, No. 286, No. 20-41.</w:t>
      </w:r>
    </w:p>
    <w:p w14:paraId="017A9772" w14:textId="77777777" w:rsidR="005D4945" w:rsidRDefault="005D4945" w:rsidP="00C546B1">
      <w:pPr>
        <w:rPr>
          <w:rFonts w:ascii="Arial" w:hAnsi="Arial" w:cs="Arial"/>
          <w:sz w:val="22"/>
          <w:szCs w:val="22"/>
        </w:rPr>
      </w:pPr>
    </w:p>
    <w:p w14:paraId="365A9D42" w14:textId="2D56F9E4" w:rsidR="005D4945" w:rsidRDefault="005D4945" w:rsidP="00C546B1">
      <w:pPr>
        <w:rPr>
          <w:rFonts w:ascii="Arial" w:hAnsi="Arial" w:cs="Arial"/>
          <w:sz w:val="22"/>
          <w:szCs w:val="22"/>
        </w:rPr>
      </w:pPr>
      <w:proofErr w:type="spellStart"/>
      <w:r>
        <w:rPr>
          <w:rFonts w:ascii="Arial" w:hAnsi="Arial" w:cs="Arial"/>
          <w:sz w:val="22"/>
          <w:szCs w:val="22"/>
        </w:rPr>
        <w:t>Busetto</w:t>
      </w:r>
      <w:proofErr w:type="spellEnd"/>
      <w:r>
        <w:rPr>
          <w:rFonts w:ascii="Arial" w:hAnsi="Arial" w:cs="Arial"/>
          <w:sz w:val="22"/>
          <w:szCs w:val="22"/>
        </w:rPr>
        <w:t xml:space="preserve">, L., Wick, W. </w:t>
      </w:r>
      <w:proofErr w:type="spellStart"/>
      <w:r>
        <w:rPr>
          <w:rFonts w:ascii="Arial" w:hAnsi="Arial" w:cs="Arial"/>
          <w:sz w:val="22"/>
          <w:szCs w:val="22"/>
        </w:rPr>
        <w:t>Gumbinger</w:t>
      </w:r>
      <w:proofErr w:type="spellEnd"/>
      <w:r>
        <w:rPr>
          <w:rFonts w:ascii="Arial" w:hAnsi="Arial" w:cs="Arial"/>
          <w:sz w:val="22"/>
          <w:szCs w:val="22"/>
        </w:rPr>
        <w:t xml:space="preserve">, C. (2020) ‘How to Use and Assess Qualitative Research Methods’ </w:t>
      </w:r>
      <w:r w:rsidRPr="005D4945">
        <w:rPr>
          <w:rFonts w:ascii="Arial" w:hAnsi="Arial" w:cs="Arial"/>
          <w:i/>
          <w:iCs/>
          <w:sz w:val="22"/>
          <w:szCs w:val="22"/>
        </w:rPr>
        <w:t>Neurological Research and Practice</w:t>
      </w:r>
      <w:r>
        <w:rPr>
          <w:rFonts w:ascii="Arial" w:hAnsi="Arial" w:cs="Arial"/>
          <w:sz w:val="22"/>
          <w:szCs w:val="22"/>
        </w:rPr>
        <w:t>. Vol. 2, No. 14, pp. 20-28.</w:t>
      </w:r>
    </w:p>
    <w:p w14:paraId="6E7517E7" w14:textId="77777777" w:rsidR="00970302" w:rsidRDefault="00970302" w:rsidP="00C546B1">
      <w:pPr>
        <w:rPr>
          <w:rFonts w:ascii="Arial" w:hAnsi="Arial" w:cs="Arial"/>
          <w:sz w:val="22"/>
          <w:szCs w:val="22"/>
        </w:rPr>
      </w:pPr>
    </w:p>
    <w:p w14:paraId="5F2C897E" w14:textId="78D9B63B" w:rsidR="00970302" w:rsidRDefault="00970302" w:rsidP="00C546B1">
      <w:pPr>
        <w:rPr>
          <w:rFonts w:ascii="Arial" w:hAnsi="Arial" w:cs="Arial"/>
          <w:sz w:val="22"/>
          <w:szCs w:val="22"/>
        </w:rPr>
      </w:pPr>
      <w:r>
        <w:rPr>
          <w:rFonts w:ascii="Arial" w:hAnsi="Arial" w:cs="Arial"/>
          <w:sz w:val="22"/>
          <w:szCs w:val="22"/>
        </w:rPr>
        <w:t xml:space="preserve">Campbell, S., Greenwood, M., Prior, S., Shearer, T., </w:t>
      </w:r>
      <w:proofErr w:type="spellStart"/>
      <w:r>
        <w:rPr>
          <w:rFonts w:ascii="Arial" w:hAnsi="Arial" w:cs="Arial"/>
          <w:sz w:val="22"/>
          <w:szCs w:val="22"/>
        </w:rPr>
        <w:t>Walkem</w:t>
      </w:r>
      <w:proofErr w:type="spellEnd"/>
      <w:r>
        <w:rPr>
          <w:rFonts w:ascii="Arial" w:hAnsi="Arial" w:cs="Arial"/>
          <w:sz w:val="22"/>
          <w:szCs w:val="22"/>
        </w:rPr>
        <w:t xml:space="preserve">, K., Young, S., </w:t>
      </w:r>
      <w:proofErr w:type="spellStart"/>
      <w:r>
        <w:rPr>
          <w:rFonts w:ascii="Arial" w:hAnsi="Arial" w:cs="Arial"/>
          <w:sz w:val="22"/>
          <w:szCs w:val="22"/>
        </w:rPr>
        <w:t>Bywaters</w:t>
      </w:r>
      <w:proofErr w:type="spellEnd"/>
      <w:r>
        <w:rPr>
          <w:rFonts w:ascii="Arial" w:hAnsi="Arial" w:cs="Arial"/>
          <w:sz w:val="22"/>
          <w:szCs w:val="22"/>
        </w:rPr>
        <w:t xml:space="preserve">, D. and Walker, K. (2020) ‘Purposive Sampling: Complex or Simple? Research Case Examples’ </w:t>
      </w:r>
      <w:r w:rsidRPr="00970302">
        <w:rPr>
          <w:rFonts w:ascii="Arial" w:hAnsi="Arial" w:cs="Arial"/>
          <w:i/>
          <w:iCs/>
          <w:sz w:val="22"/>
          <w:szCs w:val="22"/>
        </w:rPr>
        <w:t>Journal of Research in Nursing</w:t>
      </w:r>
      <w:r>
        <w:rPr>
          <w:rFonts w:ascii="Arial" w:hAnsi="Arial" w:cs="Arial"/>
          <w:sz w:val="22"/>
          <w:szCs w:val="22"/>
        </w:rPr>
        <w:t>. Vol. 25, No. 8, pp 652-661.</w:t>
      </w:r>
    </w:p>
    <w:p w14:paraId="4798E451" w14:textId="77777777" w:rsidR="00285070" w:rsidRDefault="00285070" w:rsidP="00C546B1">
      <w:pPr>
        <w:rPr>
          <w:rFonts w:ascii="Arial" w:hAnsi="Arial" w:cs="Arial"/>
          <w:sz w:val="22"/>
          <w:szCs w:val="22"/>
        </w:rPr>
      </w:pPr>
    </w:p>
    <w:p w14:paraId="5DA1BDA8" w14:textId="3E977D7A" w:rsidR="00285070" w:rsidRDefault="00285070" w:rsidP="00C546B1">
      <w:pPr>
        <w:rPr>
          <w:rFonts w:ascii="Arial" w:hAnsi="Arial" w:cs="Arial"/>
          <w:sz w:val="22"/>
          <w:szCs w:val="22"/>
        </w:rPr>
      </w:pPr>
      <w:r>
        <w:rPr>
          <w:rFonts w:ascii="Arial" w:hAnsi="Arial" w:cs="Arial"/>
          <w:sz w:val="22"/>
          <w:szCs w:val="22"/>
        </w:rPr>
        <w:t xml:space="preserve">Conner, J. (2022) ‘The Relationship Between Student Voice and Student Engagement in Urban High Schools’ </w:t>
      </w:r>
      <w:r w:rsidRPr="00285070">
        <w:rPr>
          <w:rFonts w:ascii="Arial" w:hAnsi="Arial" w:cs="Arial"/>
          <w:i/>
          <w:iCs/>
          <w:sz w:val="22"/>
          <w:szCs w:val="22"/>
        </w:rPr>
        <w:t>National Library of Medicine</w:t>
      </w:r>
      <w:r>
        <w:rPr>
          <w:rFonts w:ascii="Arial" w:hAnsi="Arial" w:cs="Arial"/>
          <w:sz w:val="22"/>
          <w:szCs w:val="22"/>
        </w:rPr>
        <w:t>. Vol. 54, No. 5, pp. 755-774.</w:t>
      </w:r>
    </w:p>
    <w:p w14:paraId="71D15660" w14:textId="77777777" w:rsidR="00371793" w:rsidRDefault="00371793" w:rsidP="00C546B1">
      <w:pPr>
        <w:rPr>
          <w:rFonts w:ascii="Arial" w:hAnsi="Arial" w:cs="Arial"/>
          <w:sz w:val="22"/>
          <w:szCs w:val="22"/>
        </w:rPr>
      </w:pPr>
    </w:p>
    <w:p w14:paraId="18C8CB6E" w14:textId="661D2D09" w:rsidR="00371793" w:rsidRDefault="00371793" w:rsidP="00C546B1">
      <w:pPr>
        <w:rPr>
          <w:rFonts w:ascii="Arial" w:hAnsi="Arial" w:cs="Arial"/>
          <w:sz w:val="22"/>
          <w:szCs w:val="22"/>
        </w:rPr>
      </w:pPr>
      <w:r>
        <w:rPr>
          <w:rFonts w:ascii="Arial" w:hAnsi="Arial" w:cs="Arial"/>
          <w:sz w:val="22"/>
          <w:szCs w:val="22"/>
        </w:rPr>
        <w:t xml:space="preserve">Crowe, S., </w:t>
      </w:r>
      <w:proofErr w:type="spellStart"/>
      <w:r>
        <w:rPr>
          <w:rFonts w:ascii="Arial" w:hAnsi="Arial" w:cs="Arial"/>
          <w:sz w:val="22"/>
          <w:szCs w:val="22"/>
        </w:rPr>
        <w:t>Cresswell</w:t>
      </w:r>
      <w:proofErr w:type="spellEnd"/>
      <w:r>
        <w:rPr>
          <w:rFonts w:ascii="Arial" w:hAnsi="Arial" w:cs="Arial"/>
          <w:sz w:val="22"/>
          <w:szCs w:val="22"/>
        </w:rPr>
        <w:t xml:space="preserve">, K., Robertson, A., </w:t>
      </w:r>
      <w:proofErr w:type="spellStart"/>
      <w:r>
        <w:rPr>
          <w:rFonts w:ascii="Arial" w:hAnsi="Arial" w:cs="Arial"/>
          <w:sz w:val="22"/>
          <w:szCs w:val="22"/>
        </w:rPr>
        <w:t>Huby</w:t>
      </w:r>
      <w:proofErr w:type="spellEnd"/>
      <w:r>
        <w:rPr>
          <w:rFonts w:ascii="Arial" w:hAnsi="Arial" w:cs="Arial"/>
          <w:sz w:val="22"/>
          <w:szCs w:val="22"/>
        </w:rPr>
        <w:t xml:space="preserve">, G., Avery, A. and Sheikh, A. (2011) ‘The Case Study Approach’ </w:t>
      </w:r>
      <w:r w:rsidRPr="00371793">
        <w:rPr>
          <w:rFonts w:ascii="Arial" w:hAnsi="Arial" w:cs="Arial"/>
          <w:i/>
          <w:iCs/>
          <w:sz w:val="22"/>
          <w:szCs w:val="22"/>
        </w:rPr>
        <w:t>BMC Medical Research Methodology</w:t>
      </w:r>
      <w:r>
        <w:rPr>
          <w:rFonts w:ascii="Arial" w:hAnsi="Arial" w:cs="Arial"/>
          <w:sz w:val="22"/>
          <w:szCs w:val="22"/>
        </w:rPr>
        <w:t>. Vol. 100, No. 11, p. 37.</w:t>
      </w:r>
    </w:p>
    <w:p w14:paraId="54CA1242" w14:textId="77777777" w:rsidR="002F0492" w:rsidRDefault="002F0492" w:rsidP="00C546B1">
      <w:pPr>
        <w:rPr>
          <w:rFonts w:ascii="Arial" w:hAnsi="Arial" w:cs="Arial"/>
          <w:sz w:val="22"/>
          <w:szCs w:val="22"/>
        </w:rPr>
      </w:pPr>
    </w:p>
    <w:p w14:paraId="01AB7765" w14:textId="48599C7C" w:rsidR="002F0492" w:rsidRDefault="002F0492" w:rsidP="00C546B1">
      <w:pPr>
        <w:rPr>
          <w:rFonts w:ascii="Arial" w:hAnsi="Arial" w:cs="Arial"/>
          <w:sz w:val="22"/>
          <w:szCs w:val="22"/>
        </w:rPr>
      </w:pPr>
      <w:r>
        <w:rPr>
          <w:rFonts w:ascii="Arial" w:hAnsi="Arial" w:cs="Arial"/>
          <w:sz w:val="22"/>
          <w:szCs w:val="22"/>
        </w:rPr>
        <w:t xml:space="preserve">Department for Education (2010) </w:t>
      </w:r>
      <w:r w:rsidRPr="002F0492">
        <w:rPr>
          <w:rFonts w:ascii="Arial" w:hAnsi="Arial" w:cs="Arial"/>
          <w:i/>
          <w:iCs/>
          <w:sz w:val="22"/>
          <w:szCs w:val="22"/>
        </w:rPr>
        <w:t>The Importance of Teaching</w:t>
      </w:r>
      <w:r>
        <w:rPr>
          <w:rFonts w:ascii="Arial" w:hAnsi="Arial" w:cs="Arial"/>
          <w:sz w:val="22"/>
          <w:szCs w:val="22"/>
        </w:rPr>
        <w:t>. London: Crown.</w:t>
      </w:r>
    </w:p>
    <w:p w14:paraId="069F4124" w14:textId="77777777" w:rsidR="00CF34C9" w:rsidRDefault="00CF34C9" w:rsidP="00C546B1">
      <w:pPr>
        <w:rPr>
          <w:rFonts w:ascii="Arial" w:hAnsi="Arial" w:cs="Arial"/>
          <w:sz w:val="22"/>
          <w:szCs w:val="22"/>
        </w:rPr>
      </w:pPr>
    </w:p>
    <w:p w14:paraId="65433AA5" w14:textId="7CDE7638" w:rsidR="00CF34C9" w:rsidRPr="00C546B1" w:rsidRDefault="00CF34C9" w:rsidP="00C546B1">
      <w:pPr>
        <w:rPr>
          <w:rFonts w:ascii="Arial" w:hAnsi="Arial" w:cs="Arial"/>
          <w:sz w:val="22"/>
          <w:szCs w:val="22"/>
        </w:rPr>
      </w:pPr>
      <w:r>
        <w:rPr>
          <w:rFonts w:ascii="Arial" w:hAnsi="Arial" w:cs="Arial"/>
          <w:sz w:val="22"/>
          <w:szCs w:val="22"/>
        </w:rPr>
        <w:t xml:space="preserve">Dowling, M. (2014) </w:t>
      </w:r>
      <w:r w:rsidRPr="00CF34C9">
        <w:rPr>
          <w:rFonts w:ascii="Arial" w:hAnsi="Arial" w:cs="Arial"/>
          <w:i/>
          <w:iCs/>
          <w:sz w:val="22"/>
          <w:szCs w:val="22"/>
        </w:rPr>
        <w:t>Young Children’s Emotional, Social and Emotional Development.</w:t>
      </w:r>
      <w:r>
        <w:rPr>
          <w:rFonts w:ascii="Arial" w:hAnsi="Arial" w:cs="Arial"/>
          <w:sz w:val="22"/>
          <w:szCs w:val="22"/>
        </w:rPr>
        <w:t xml:space="preserve"> (Fourth Edition). London: Sage.</w:t>
      </w:r>
    </w:p>
    <w:p w14:paraId="302ECDF0" w14:textId="77777777" w:rsidR="00C546B1" w:rsidRDefault="00C546B1" w:rsidP="00C546B1">
      <w:pPr>
        <w:rPr>
          <w:rFonts w:ascii="Arial" w:hAnsi="Arial" w:cs="Arial"/>
          <w:sz w:val="22"/>
          <w:szCs w:val="22"/>
        </w:rPr>
      </w:pPr>
    </w:p>
    <w:p w14:paraId="41EE75F9" w14:textId="7BD83323" w:rsidR="00C546B1" w:rsidRDefault="00C546B1" w:rsidP="00C546B1">
      <w:pPr>
        <w:rPr>
          <w:rFonts w:ascii="Arial" w:hAnsi="Arial" w:cs="Arial"/>
          <w:sz w:val="22"/>
          <w:szCs w:val="22"/>
        </w:rPr>
      </w:pPr>
      <w:r>
        <w:rPr>
          <w:rFonts w:ascii="Arial" w:hAnsi="Arial" w:cs="Arial"/>
          <w:sz w:val="22"/>
          <w:szCs w:val="22"/>
        </w:rPr>
        <w:t xml:space="preserve">Education Workforce Council (2023) </w:t>
      </w:r>
      <w:r w:rsidRPr="00C546B1">
        <w:rPr>
          <w:rFonts w:ascii="Arial" w:hAnsi="Arial" w:cs="Arial"/>
          <w:i/>
          <w:iCs/>
          <w:sz w:val="22"/>
          <w:szCs w:val="22"/>
        </w:rPr>
        <w:t>Cod</w:t>
      </w:r>
      <w:r>
        <w:rPr>
          <w:rFonts w:ascii="Arial" w:hAnsi="Arial" w:cs="Arial"/>
          <w:i/>
          <w:iCs/>
          <w:sz w:val="22"/>
          <w:szCs w:val="22"/>
        </w:rPr>
        <w:t>e</w:t>
      </w:r>
      <w:r w:rsidRPr="00C546B1">
        <w:rPr>
          <w:rFonts w:ascii="Arial" w:hAnsi="Arial" w:cs="Arial"/>
          <w:i/>
          <w:iCs/>
          <w:sz w:val="22"/>
          <w:szCs w:val="22"/>
        </w:rPr>
        <w:t xml:space="preserve"> of Professional Conduct and Practice for Registrants with the Education Workforce Council (EWC).</w:t>
      </w:r>
      <w:r>
        <w:rPr>
          <w:rFonts w:ascii="Arial" w:hAnsi="Arial" w:cs="Arial"/>
          <w:sz w:val="22"/>
          <w:szCs w:val="22"/>
        </w:rPr>
        <w:t xml:space="preserve">  Cardiff: EWC.</w:t>
      </w:r>
    </w:p>
    <w:p w14:paraId="3AA07FD9" w14:textId="77777777" w:rsidR="001F6CC1" w:rsidRDefault="001F6CC1" w:rsidP="00C546B1">
      <w:pPr>
        <w:rPr>
          <w:rFonts w:ascii="Arial" w:hAnsi="Arial" w:cs="Arial"/>
          <w:sz w:val="22"/>
          <w:szCs w:val="22"/>
        </w:rPr>
      </w:pPr>
    </w:p>
    <w:p w14:paraId="7BEC85B5" w14:textId="2847A116" w:rsidR="001F6CC1" w:rsidRDefault="001F6CC1" w:rsidP="00C546B1">
      <w:pPr>
        <w:rPr>
          <w:rFonts w:ascii="Arial" w:hAnsi="Arial" w:cs="Arial"/>
          <w:sz w:val="22"/>
          <w:szCs w:val="22"/>
        </w:rPr>
      </w:pPr>
      <w:proofErr w:type="spellStart"/>
      <w:r>
        <w:rPr>
          <w:rFonts w:ascii="Arial" w:hAnsi="Arial" w:cs="Arial"/>
          <w:sz w:val="22"/>
          <w:szCs w:val="22"/>
        </w:rPr>
        <w:t>Elfil</w:t>
      </w:r>
      <w:proofErr w:type="spellEnd"/>
      <w:r>
        <w:rPr>
          <w:rFonts w:ascii="Arial" w:hAnsi="Arial" w:cs="Arial"/>
          <w:sz w:val="22"/>
          <w:szCs w:val="22"/>
        </w:rPr>
        <w:t xml:space="preserve">, M. and </w:t>
      </w:r>
      <w:proofErr w:type="spellStart"/>
      <w:r>
        <w:rPr>
          <w:rFonts w:ascii="Arial" w:hAnsi="Arial" w:cs="Arial"/>
          <w:sz w:val="22"/>
          <w:szCs w:val="22"/>
        </w:rPr>
        <w:t>Negida</w:t>
      </w:r>
      <w:proofErr w:type="spellEnd"/>
      <w:r>
        <w:rPr>
          <w:rFonts w:ascii="Arial" w:hAnsi="Arial" w:cs="Arial"/>
          <w:sz w:val="22"/>
          <w:szCs w:val="22"/>
        </w:rPr>
        <w:t>, A. (2017)’ Sampling Methods in Clinical Research; An Educational R</w:t>
      </w:r>
      <w:r w:rsidR="00D77B4E">
        <w:rPr>
          <w:rFonts w:ascii="Arial" w:hAnsi="Arial" w:cs="Arial"/>
          <w:sz w:val="22"/>
          <w:szCs w:val="22"/>
        </w:rPr>
        <w:t xml:space="preserve">eview’ </w:t>
      </w:r>
      <w:r w:rsidR="00D77B4E" w:rsidRPr="00D77B4E">
        <w:rPr>
          <w:rFonts w:ascii="Arial" w:hAnsi="Arial" w:cs="Arial"/>
          <w:i/>
          <w:iCs/>
          <w:sz w:val="22"/>
          <w:szCs w:val="22"/>
        </w:rPr>
        <w:t>Academic Emergency Medicine</w:t>
      </w:r>
      <w:r w:rsidR="00D77B4E">
        <w:rPr>
          <w:rFonts w:ascii="Arial" w:hAnsi="Arial" w:cs="Arial"/>
          <w:sz w:val="22"/>
          <w:szCs w:val="22"/>
        </w:rPr>
        <w:t>. Vol. 5, No. 2, p 52.</w:t>
      </w:r>
    </w:p>
    <w:p w14:paraId="3A98C7F4" w14:textId="77777777" w:rsidR="007C1A34" w:rsidRDefault="007C1A34" w:rsidP="00C546B1">
      <w:pPr>
        <w:rPr>
          <w:rFonts w:ascii="Arial" w:hAnsi="Arial" w:cs="Arial"/>
          <w:sz w:val="22"/>
          <w:szCs w:val="22"/>
        </w:rPr>
      </w:pPr>
    </w:p>
    <w:p w14:paraId="149A7BCC" w14:textId="6E23B60E" w:rsidR="007C1A34" w:rsidRDefault="007C1A34" w:rsidP="00C546B1">
      <w:pPr>
        <w:rPr>
          <w:rFonts w:ascii="Arial" w:hAnsi="Arial" w:cs="Arial"/>
          <w:sz w:val="22"/>
          <w:szCs w:val="22"/>
        </w:rPr>
      </w:pPr>
      <w:r>
        <w:rPr>
          <w:rFonts w:ascii="Arial" w:hAnsi="Arial" w:cs="Arial"/>
          <w:sz w:val="22"/>
          <w:szCs w:val="22"/>
        </w:rPr>
        <w:t xml:space="preserve">Estyn (2019) </w:t>
      </w:r>
      <w:r w:rsidRPr="007C1A34">
        <w:rPr>
          <w:rFonts w:ascii="Arial" w:hAnsi="Arial" w:cs="Arial"/>
          <w:i/>
          <w:iCs/>
          <w:sz w:val="22"/>
          <w:szCs w:val="22"/>
        </w:rPr>
        <w:t>Using Research Findings and Action Research to Improve Teaching</w:t>
      </w:r>
      <w:r>
        <w:rPr>
          <w:rFonts w:ascii="Arial" w:hAnsi="Arial" w:cs="Arial"/>
          <w:sz w:val="22"/>
          <w:szCs w:val="22"/>
        </w:rPr>
        <w:t xml:space="preserve">. Available at: </w:t>
      </w:r>
      <w:r w:rsidRPr="007C1A34">
        <w:rPr>
          <w:rFonts w:ascii="Arial" w:hAnsi="Arial" w:cs="Arial"/>
          <w:sz w:val="22"/>
          <w:szCs w:val="22"/>
        </w:rPr>
        <w:t>https://www.estyn.gov.wales/effective-practice/using-research-findings-and-action-research-improve-teaching</w:t>
      </w:r>
      <w:r>
        <w:rPr>
          <w:rFonts w:ascii="Arial" w:hAnsi="Arial" w:cs="Arial"/>
          <w:sz w:val="22"/>
          <w:szCs w:val="22"/>
        </w:rPr>
        <w:t xml:space="preserve"> (Accessed on Saturday 4th May 2024.</w:t>
      </w:r>
    </w:p>
    <w:p w14:paraId="0DC8CA74" w14:textId="77777777" w:rsidR="00262C73" w:rsidRDefault="00262C73" w:rsidP="00C546B1">
      <w:pPr>
        <w:rPr>
          <w:rFonts w:ascii="Arial" w:hAnsi="Arial" w:cs="Arial"/>
          <w:sz w:val="22"/>
          <w:szCs w:val="22"/>
        </w:rPr>
      </w:pPr>
    </w:p>
    <w:p w14:paraId="18226886" w14:textId="77777777" w:rsidR="00262C73" w:rsidRDefault="00262C73" w:rsidP="00262C73">
      <w:pPr>
        <w:rPr>
          <w:rFonts w:ascii="Arial" w:hAnsi="Arial" w:cs="Arial"/>
          <w:sz w:val="22"/>
          <w:szCs w:val="22"/>
        </w:rPr>
      </w:pPr>
      <w:r>
        <w:rPr>
          <w:rFonts w:ascii="Arial" w:hAnsi="Arial" w:cs="Arial"/>
          <w:sz w:val="22"/>
          <w:szCs w:val="22"/>
        </w:rPr>
        <w:t xml:space="preserve">Estyn (2023) </w:t>
      </w:r>
      <w:r w:rsidRPr="00AC36A8">
        <w:rPr>
          <w:rFonts w:ascii="Arial" w:hAnsi="Arial" w:cs="Arial"/>
          <w:i/>
          <w:iCs/>
          <w:sz w:val="22"/>
          <w:szCs w:val="22"/>
        </w:rPr>
        <w:t>A Report on School X</w:t>
      </w:r>
      <w:r>
        <w:rPr>
          <w:rFonts w:ascii="Arial" w:hAnsi="Arial" w:cs="Arial"/>
          <w:sz w:val="22"/>
          <w:szCs w:val="22"/>
        </w:rPr>
        <w:t>. Swansea: Estyn.</w:t>
      </w:r>
    </w:p>
    <w:p w14:paraId="6236A5FE" w14:textId="77777777" w:rsidR="00100DB3" w:rsidRDefault="00100DB3" w:rsidP="00262C73">
      <w:pPr>
        <w:rPr>
          <w:rFonts w:ascii="Arial" w:hAnsi="Arial" w:cs="Arial"/>
          <w:sz w:val="22"/>
          <w:szCs w:val="22"/>
        </w:rPr>
      </w:pPr>
    </w:p>
    <w:p w14:paraId="1FB08369" w14:textId="007044D5" w:rsidR="00100DB3" w:rsidRPr="00100DB3" w:rsidRDefault="00100DB3" w:rsidP="00100DB3">
      <w:pPr>
        <w:suppressAutoHyphens/>
        <w:rPr>
          <w:rFonts w:ascii="Arial" w:hAnsi="Arial" w:cs="Arial"/>
          <w:color w:val="000000"/>
          <w:sz w:val="22"/>
          <w:szCs w:val="22"/>
        </w:rPr>
      </w:pPr>
      <w:r w:rsidRPr="00100DB3">
        <w:rPr>
          <w:rFonts w:ascii="Arial" w:hAnsi="Arial" w:cs="Arial"/>
          <w:color w:val="000000"/>
          <w:sz w:val="22"/>
          <w:szCs w:val="22"/>
        </w:rPr>
        <w:t>Fitzgerald, D. and Maconochie, H. (2019)</w:t>
      </w:r>
      <w:r w:rsidRPr="00100DB3">
        <w:rPr>
          <w:rStyle w:val="apple-converted-space"/>
          <w:rFonts w:ascii="Arial" w:hAnsi="Arial" w:cs="Arial"/>
          <w:color w:val="000000"/>
          <w:sz w:val="22"/>
          <w:szCs w:val="22"/>
        </w:rPr>
        <w:t> </w:t>
      </w:r>
      <w:r w:rsidRPr="00100DB3">
        <w:rPr>
          <w:rFonts w:ascii="Arial" w:hAnsi="Arial" w:cs="Arial"/>
          <w:i/>
          <w:iCs/>
          <w:color w:val="000000"/>
          <w:sz w:val="22"/>
          <w:szCs w:val="22"/>
        </w:rPr>
        <w:t>Early Childhood Studies – A Students Guide.</w:t>
      </w:r>
      <w:r w:rsidRPr="00100DB3">
        <w:rPr>
          <w:rStyle w:val="apple-converted-space"/>
          <w:rFonts w:ascii="Arial" w:hAnsi="Arial" w:cs="Arial"/>
          <w:color w:val="000000"/>
          <w:sz w:val="22"/>
          <w:szCs w:val="22"/>
        </w:rPr>
        <w:t> </w:t>
      </w:r>
      <w:r w:rsidRPr="00100DB3">
        <w:rPr>
          <w:rFonts w:ascii="Arial" w:hAnsi="Arial" w:cs="Arial"/>
          <w:color w:val="000000"/>
          <w:sz w:val="22"/>
          <w:szCs w:val="22"/>
        </w:rPr>
        <w:t>London: Sage.</w:t>
      </w:r>
    </w:p>
    <w:p w14:paraId="78853F1E" w14:textId="77777777" w:rsidR="00285070" w:rsidRDefault="00285070" w:rsidP="00C546B1">
      <w:pPr>
        <w:rPr>
          <w:rFonts w:ascii="Arial" w:hAnsi="Arial" w:cs="Arial"/>
          <w:sz w:val="22"/>
          <w:szCs w:val="22"/>
        </w:rPr>
      </w:pPr>
    </w:p>
    <w:p w14:paraId="06E0B9CE" w14:textId="5740B06C" w:rsidR="00285070" w:rsidRDefault="00285070" w:rsidP="00C546B1">
      <w:pPr>
        <w:rPr>
          <w:rFonts w:ascii="Arial" w:hAnsi="Arial" w:cs="Arial"/>
          <w:sz w:val="22"/>
          <w:szCs w:val="22"/>
        </w:rPr>
      </w:pPr>
      <w:proofErr w:type="spellStart"/>
      <w:r>
        <w:rPr>
          <w:rFonts w:ascii="Arial" w:hAnsi="Arial" w:cs="Arial"/>
          <w:sz w:val="22"/>
          <w:szCs w:val="22"/>
        </w:rPr>
        <w:t>Gablinske</w:t>
      </w:r>
      <w:proofErr w:type="spellEnd"/>
      <w:r>
        <w:rPr>
          <w:rFonts w:ascii="Arial" w:hAnsi="Arial" w:cs="Arial"/>
          <w:sz w:val="22"/>
          <w:szCs w:val="22"/>
        </w:rPr>
        <w:t xml:space="preserve">, P. (2014) ‘A Case Study of Student and Teacher Relationships and the Effect on Student Learning’ </w:t>
      </w:r>
      <w:r w:rsidRPr="00285070">
        <w:rPr>
          <w:rFonts w:ascii="Arial" w:hAnsi="Arial" w:cs="Arial"/>
          <w:i/>
          <w:iCs/>
          <w:sz w:val="22"/>
          <w:szCs w:val="22"/>
        </w:rPr>
        <w:t>Research of Digital Commons.</w:t>
      </w:r>
      <w:r>
        <w:rPr>
          <w:rFonts w:ascii="Arial" w:hAnsi="Arial" w:cs="Arial"/>
          <w:sz w:val="22"/>
          <w:szCs w:val="22"/>
        </w:rPr>
        <w:t xml:space="preserve"> Vol. 1, No. 1, pp. 1-32.</w:t>
      </w:r>
    </w:p>
    <w:p w14:paraId="0DEFC1E5" w14:textId="77777777" w:rsidR="00285070" w:rsidRDefault="00285070" w:rsidP="00C546B1">
      <w:pPr>
        <w:rPr>
          <w:rFonts w:ascii="Arial" w:hAnsi="Arial" w:cs="Arial"/>
          <w:sz w:val="22"/>
          <w:szCs w:val="22"/>
        </w:rPr>
      </w:pPr>
    </w:p>
    <w:p w14:paraId="67691079" w14:textId="29071776" w:rsidR="00285070" w:rsidRDefault="00285070" w:rsidP="00C546B1">
      <w:pPr>
        <w:rPr>
          <w:rFonts w:ascii="Arial" w:hAnsi="Arial" w:cs="Arial"/>
          <w:sz w:val="22"/>
          <w:szCs w:val="22"/>
        </w:rPr>
      </w:pPr>
      <w:r>
        <w:rPr>
          <w:rFonts w:ascii="Arial" w:hAnsi="Arial" w:cs="Arial"/>
          <w:sz w:val="22"/>
          <w:szCs w:val="22"/>
        </w:rPr>
        <w:t xml:space="preserve">Goldberg, J., </w:t>
      </w:r>
      <w:proofErr w:type="spellStart"/>
      <w:r>
        <w:rPr>
          <w:rFonts w:ascii="Arial" w:hAnsi="Arial" w:cs="Arial"/>
          <w:sz w:val="22"/>
          <w:szCs w:val="22"/>
        </w:rPr>
        <w:t>Sklad</w:t>
      </w:r>
      <w:proofErr w:type="spellEnd"/>
      <w:r>
        <w:rPr>
          <w:rFonts w:ascii="Arial" w:hAnsi="Arial" w:cs="Arial"/>
          <w:sz w:val="22"/>
          <w:szCs w:val="22"/>
        </w:rPr>
        <w:t xml:space="preserve">, M., </w:t>
      </w:r>
      <w:proofErr w:type="spellStart"/>
      <w:r>
        <w:rPr>
          <w:rFonts w:ascii="Arial" w:hAnsi="Arial" w:cs="Arial"/>
          <w:sz w:val="22"/>
          <w:szCs w:val="22"/>
        </w:rPr>
        <w:t>Elfrink</w:t>
      </w:r>
      <w:proofErr w:type="spellEnd"/>
      <w:r>
        <w:rPr>
          <w:rFonts w:ascii="Arial" w:hAnsi="Arial" w:cs="Arial"/>
          <w:sz w:val="22"/>
          <w:szCs w:val="22"/>
        </w:rPr>
        <w:t xml:space="preserve">, T., </w:t>
      </w:r>
      <w:proofErr w:type="spellStart"/>
      <w:r>
        <w:rPr>
          <w:rFonts w:ascii="Arial" w:hAnsi="Arial" w:cs="Arial"/>
          <w:sz w:val="22"/>
          <w:szCs w:val="22"/>
        </w:rPr>
        <w:t>Schreurs</w:t>
      </w:r>
      <w:proofErr w:type="spellEnd"/>
      <w:r>
        <w:rPr>
          <w:rFonts w:ascii="Arial" w:hAnsi="Arial" w:cs="Arial"/>
          <w:sz w:val="22"/>
          <w:szCs w:val="22"/>
        </w:rPr>
        <w:t xml:space="preserve">, K., </w:t>
      </w:r>
      <w:proofErr w:type="spellStart"/>
      <w:r>
        <w:rPr>
          <w:rFonts w:ascii="Arial" w:hAnsi="Arial" w:cs="Arial"/>
          <w:sz w:val="22"/>
          <w:szCs w:val="22"/>
        </w:rPr>
        <w:t>Bohlmeijer</w:t>
      </w:r>
      <w:proofErr w:type="spellEnd"/>
      <w:r>
        <w:rPr>
          <w:rFonts w:ascii="Arial" w:hAnsi="Arial" w:cs="Arial"/>
          <w:sz w:val="22"/>
          <w:szCs w:val="22"/>
        </w:rPr>
        <w:t xml:space="preserve">, E. and Clarke, A. (2019) ‘Effectiveness of Interventions Adopting a Whole School Approach to Enhancing Social and Emotional Development: A Meta-Analysis’ </w:t>
      </w:r>
      <w:r w:rsidRPr="00285070">
        <w:rPr>
          <w:rFonts w:ascii="Arial" w:hAnsi="Arial" w:cs="Arial"/>
          <w:i/>
          <w:iCs/>
          <w:sz w:val="22"/>
          <w:szCs w:val="22"/>
        </w:rPr>
        <w:t>European Journal of Psychology of Education</w:t>
      </w:r>
      <w:r>
        <w:rPr>
          <w:rFonts w:ascii="Arial" w:hAnsi="Arial" w:cs="Arial"/>
          <w:sz w:val="22"/>
          <w:szCs w:val="22"/>
        </w:rPr>
        <w:t>. Vol. 34, No. 1, pp. 755-782.</w:t>
      </w:r>
    </w:p>
    <w:p w14:paraId="4AB9287F" w14:textId="77777777" w:rsidR="00BF3450" w:rsidRDefault="00BF3450" w:rsidP="00C546B1">
      <w:pPr>
        <w:rPr>
          <w:rFonts w:ascii="Arial" w:hAnsi="Arial" w:cs="Arial"/>
          <w:sz w:val="22"/>
          <w:szCs w:val="22"/>
        </w:rPr>
      </w:pPr>
    </w:p>
    <w:p w14:paraId="67156D7D" w14:textId="0E92B1E8" w:rsidR="00BF3450" w:rsidRDefault="00BF3450" w:rsidP="00C546B1">
      <w:pPr>
        <w:rPr>
          <w:rFonts w:ascii="Arial" w:hAnsi="Arial" w:cs="Arial"/>
          <w:sz w:val="22"/>
          <w:szCs w:val="22"/>
        </w:rPr>
      </w:pPr>
      <w:proofErr w:type="spellStart"/>
      <w:r>
        <w:rPr>
          <w:rFonts w:ascii="Arial" w:hAnsi="Arial" w:cs="Arial"/>
          <w:sz w:val="22"/>
          <w:szCs w:val="22"/>
        </w:rPr>
        <w:t>Halty</w:t>
      </w:r>
      <w:proofErr w:type="spellEnd"/>
      <w:r>
        <w:rPr>
          <w:rFonts w:ascii="Arial" w:hAnsi="Arial" w:cs="Arial"/>
          <w:sz w:val="22"/>
          <w:szCs w:val="22"/>
        </w:rPr>
        <w:t xml:space="preserve">, M., </w:t>
      </w:r>
      <w:proofErr w:type="spellStart"/>
      <w:r>
        <w:rPr>
          <w:rFonts w:ascii="Arial" w:hAnsi="Arial" w:cs="Arial"/>
          <w:sz w:val="22"/>
          <w:szCs w:val="22"/>
        </w:rPr>
        <w:t>Salanova</w:t>
      </w:r>
      <w:proofErr w:type="spellEnd"/>
      <w:r>
        <w:rPr>
          <w:rFonts w:ascii="Arial" w:hAnsi="Arial" w:cs="Arial"/>
          <w:sz w:val="22"/>
          <w:szCs w:val="22"/>
        </w:rPr>
        <w:t xml:space="preserve">, M. </w:t>
      </w:r>
      <w:proofErr w:type="spellStart"/>
      <w:r>
        <w:rPr>
          <w:rFonts w:ascii="Arial" w:hAnsi="Arial" w:cs="Arial"/>
          <w:sz w:val="22"/>
          <w:szCs w:val="22"/>
        </w:rPr>
        <w:t>Llorens</w:t>
      </w:r>
      <w:proofErr w:type="spellEnd"/>
      <w:r>
        <w:rPr>
          <w:rFonts w:ascii="Arial" w:hAnsi="Arial" w:cs="Arial"/>
          <w:sz w:val="22"/>
          <w:szCs w:val="22"/>
        </w:rPr>
        <w:t xml:space="preserve">, S. and Wilmar, S. (2021) ‘Linking Positive Emotions and Academic Performance: The Mediated Role of Academic Psychological Capital and Academic Engagement’ </w:t>
      </w:r>
      <w:r w:rsidRPr="00BF3450">
        <w:rPr>
          <w:rFonts w:ascii="Arial" w:hAnsi="Arial" w:cs="Arial"/>
          <w:i/>
          <w:iCs/>
          <w:sz w:val="22"/>
          <w:szCs w:val="22"/>
        </w:rPr>
        <w:t>Current Psychology</w:t>
      </w:r>
      <w:r>
        <w:rPr>
          <w:rFonts w:ascii="Arial" w:hAnsi="Arial" w:cs="Arial"/>
          <w:sz w:val="22"/>
          <w:szCs w:val="22"/>
        </w:rPr>
        <w:t>. Vol. 40, No. 4, pp. 2938-2947.</w:t>
      </w:r>
    </w:p>
    <w:p w14:paraId="14E77422" w14:textId="77777777" w:rsidR="000340B0" w:rsidRDefault="000340B0" w:rsidP="00C546B1">
      <w:pPr>
        <w:rPr>
          <w:rFonts w:ascii="Arial" w:hAnsi="Arial" w:cs="Arial"/>
          <w:sz w:val="22"/>
          <w:szCs w:val="22"/>
        </w:rPr>
      </w:pPr>
    </w:p>
    <w:p w14:paraId="6F36DABD" w14:textId="337CADAE" w:rsidR="000340B0" w:rsidRDefault="000340B0" w:rsidP="00C546B1">
      <w:pPr>
        <w:rPr>
          <w:rFonts w:ascii="Arial" w:hAnsi="Arial" w:cs="Arial"/>
          <w:sz w:val="22"/>
          <w:szCs w:val="22"/>
        </w:rPr>
      </w:pPr>
      <w:r>
        <w:rPr>
          <w:rFonts w:ascii="Arial" w:hAnsi="Arial" w:cs="Arial"/>
          <w:sz w:val="22"/>
          <w:szCs w:val="22"/>
        </w:rPr>
        <w:t xml:space="preserve">Hammer, G., </w:t>
      </w:r>
      <w:proofErr w:type="spellStart"/>
      <w:r>
        <w:rPr>
          <w:rFonts w:ascii="Arial" w:hAnsi="Arial" w:cs="Arial"/>
          <w:sz w:val="22"/>
          <w:szCs w:val="22"/>
        </w:rPr>
        <w:t>Prel</w:t>
      </w:r>
      <w:proofErr w:type="spellEnd"/>
      <w:r>
        <w:rPr>
          <w:rFonts w:ascii="Arial" w:hAnsi="Arial" w:cs="Arial"/>
          <w:sz w:val="22"/>
          <w:szCs w:val="22"/>
        </w:rPr>
        <w:t xml:space="preserve">, </w:t>
      </w:r>
      <w:proofErr w:type="spellStart"/>
      <w:r>
        <w:rPr>
          <w:rFonts w:ascii="Arial" w:hAnsi="Arial" w:cs="Arial"/>
          <w:sz w:val="22"/>
          <w:szCs w:val="22"/>
        </w:rPr>
        <w:t>J.and</w:t>
      </w:r>
      <w:proofErr w:type="spellEnd"/>
      <w:r>
        <w:rPr>
          <w:rFonts w:ascii="Arial" w:hAnsi="Arial" w:cs="Arial"/>
          <w:sz w:val="22"/>
          <w:szCs w:val="22"/>
        </w:rPr>
        <w:t xml:space="preserve"> </w:t>
      </w:r>
      <w:proofErr w:type="spellStart"/>
      <w:r>
        <w:rPr>
          <w:rFonts w:ascii="Arial" w:hAnsi="Arial" w:cs="Arial"/>
          <w:sz w:val="22"/>
          <w:szCs w:val="22"/>
        </w:rPr>
        <w:t>Blettner</w:t>
      </w:r>
      <w:proofErr w:type="spellEnd"/>
      <w:r>
        <w:rPr>
          <w:rFonts w:ascii="Arial" w:hAnsi="Arial" w:cs="Arial"/>
          <w:sz w:val="22"/>
          <w:szCs w:val="22"/>
        </w:rPr>
        <w:t xml:space="preserve">, M. (2009) ‘Avoiding Bias in Observational Studies’ </w:t>
      </w:r>
      <w:r w:rsidRPr="000340B0">
        <w:rPr>
          <w:rFonts w:ascii="Arial" w:hAnsi="Arial" w:cs="Arial"/>
          <w:i/>
          <w:iCs/>
          <w:sz w:val="22"/>
          <w:szCs w:val="22"/>
        </w:rPr>
        <w:t>Human Health Research</w:t>
      </w:r>
      <w:r>
        <w:rPr>
          <w:rFonts w:ascii="Arial" w:hAnsi="Arial" w:cs="Arial"/>
          <w:sz w:val="22"/>
          <w:szCs w:val="22"/>
        </w:rPr>
        <w:t>. Vol. 106, No. 41, pp. 664-668.</w:t>
      </w:r>
    </w:p>
    <w:p w14:paraId="75169905" w14:textId="77777777" w:rsidR="00A33D89" w:rsidRDefault="00A33D89" w:rsidP="00C546B1">
      <w:pPr>
        <w:rPr>
          <w:rFonts w:ascii="Arial" w:hAnsi="Arial" w:cs="Arial"/>
          <w:sz w:val="22"/>
          <w:szCs w:val="22"/>
        </w:rPr>
      </w:pPr>
    </w:p>
    <w:p w14:paraId="3BBB8F88" w14:textId="616FBD56" w:rsidR="00A33D89" w:rsidRDefault="00A33D89" w:rsidP="00C546B1">
      <w:pPr>
        <w:rPr>
          <w:rFonts w:ascii="Arial" w:hAnsi="Arial" w:cs="Arial"/>
          <w:sz w:val="22"/>
          <w:szCs w:val="22"/>
        </w:rPr>
      </w:pPr>
      <w:r>
        <w:rPr>
          <w:rFonts w:ascii="Arial" w:hAnsi="Arial" w:cs="Arial"/>
          <w:sz w:val="22"/>
          <w:szCs w:val="22"/>
        </w:rPr>
        <w:t xml:space="preserve">Harris, L. and Brown, G. (2019) ‘Mixing interview and Questionnaire Methods: Practical Problems in Aligning Data’ </w:t>
      </w:r>
      <w:r w:rsidRPr="00A33D89">
        <w:rPr>
          <w:rFonts w:ascii="Arial" w:hAnsi="Arial" w:cs="Arial"/>
          <w:i/>
          <w:iCs/>
          <w:sz w:val="22"/>
          <w:szCs w:val="22"/>
        </w:rPr>
        <w:t>Practical Assessment, Research and Evaluation</w:t>
      </w:r>
      <w:r>
        <w:rPr>
          <w:rFonts w:ascii="Arial" w:hAnsi="Arial" w:cs="Arial"/>
          <w:sz w:val="22"/>
          <w:szCs w:val="22"/>
        </w:rPr>
        <w:t>. Vol. 15, No. 15, pp. 1-18.</w:t>
      </w:r>
    </w:p>
    <w:p w14:paraId="0ED81090" w14:textId="77777777" w:rsidR="00970302" w:rsidRDefault="00970302" w:rsidP="00C546B1">
      <w:pPr>
        <w:rPr>
          <w:rFonts w:ascii="Arial" w:hAnsi="Arial" w:cs="Arial"/>
          <w:sz w:val="22"/>
          <w:szCs w:val="22"/>
        </w:rPr>
      </w:pPr>
    </w:p>
    <w:p w14:paraId="28A331CC" w14:textId="02CA04D5" w:rsidR="00970302" w:rsidRDefault="00970302" w:rsidP="00C546B1">
      <w:pPr>
        <w:rPr>
          <w:rFonts w:ascii="Arial" w:hAnsi="Arial" w:cs="Arial"/>
          <w:sz w:val="22"/>
          <w:szCs w:val="22"/>
        </w:rPr>
      </w:pPr>
      <w:r>
        <w:rPr>
          <w:rFonts w:ascii="Arial" w:hAnsi="Arial" w:cs="Arial"/>
          <w:sz w:val="22"/>
          <w:szCs w:val="22"/>
        </w:rPr>
        <w:t xml:space="preserve">Harvard Law (2024) </w:t>
      </w:r>
      <w:r w:rsidRPr="00970302">
        <w:rPr>
          <w:rFonts w:ascii="Arial" w:hAnsi="Arial" w:cs="Arial"/>
          <w:i/>
          <w:iCs/>
          <w:sz w:val="22"/>
          <w:szCs w:val="22"/>
        </w:rPr>
        <w:t>The Case Study Teaching Method.</w:t>
      </w:r>
      <w:r>
        <w:rPr>
          <w:rFonts w:ascii="Arial" w:hAnsi="Arial" w:cs="Arial"/>
          <w:sz w:val="22"/>
          <w:szCs w:val="22"/>
        </w:rPr>
        <w:t xml:space="preserve"> Available at: </w:t>
      </w:r>
      <w:r w:rsidRPr="00970302">
        <w:rPr>
          <w:rFonts w:ascii="Arial" w:hAnsi="Arial" w:cs="Arial"/>
          <w:sz w:val="22"/>
          <w:szCs w:val="22"/>
        </w:rPr>
        <w:t>https://casestudies.law.harvard.edu/the-case-study-teaching-method/</w:t>
      </w:r>
      <w:r>
        <w:rPr>
          <w:rFonts w:ascii="Arial" w:hAnsi="Arial" w:cs="Arial"/>
          <w:sz w:val="22"/>
          <w:szCs w:val="22"/>
        </w:rPr>
        <w:t xml:space="preserve"> (Accessed on 4</w:t>
      </w:r>
      <w:r w:rsidRPr="00970302">
        <w:rPr>
          <w:rFonts w:ascii="Arial" w:hAnsi="Arial" w:cs="Arial"/>
          <w:sz w:val="22"/>
          <w:szCs w:val="22"/>
          <w:vertAlign w:val="superscript"/>
        </w:rPr>
        <w:t>th</w:t>
      </w:r>
      <w:r>
        <w:rPr>
          <w:rFonts w:ascii="Arial" w:hAnsi="Arial" w:cs="Arial"/>
          <w:sz w:val="22"/>
          <w:szCs w:val="22"/>
        </w:rPr>
        <w:t xml:space="preserve"> May 2024).</w:t>
      </w:r>
    </w:p>
    <w:p w14:paraId="075F745C" w14:textId="77777777" w:rsidR="00C546B1" w:rsidRDefault="00C546B1" w:rsidP="00C546B1">
      <w:pPr>
        <w:rPr>
          <w:rFonts w:ascii="Arial" w:hAnsi="Arial" w:cs="Arial"/>
          <w:sz w:val="22"/>
          <w:szCs w:val="22"/>
        </w:rPr>
      </w:pPr>
    </w:p>
    <w:p w14:paraId="300FAD5C" w14:textId="743098B6" w:rsidR="000C6351" w:rsidRDefault="000C6351" w:rsidP="00C546B1">
      <w:pPr>
        <w:rPr>
          <w:rFonts w:ascii="Arial" w:hAnsi="Arial" w:cs="Arial"/>
          <w:sz w:val="22"/>
          <w:szCs w:val="22"/>
        </w:rPr>
      </w:pPr>
      <w:proofErr w:type="spellStart"/>
      <w:r w:rsidRPr="000C6351">
        <w:rPr>
          <w:rFonts w:ascii="Arial" w:hAnsi="Arial" w:cs="Arial"/>
          <w:sz w:val="22"/>
          <w:szCs w:val="22"/>
        </w:rPr>
        <w:t>Hemprich</w:t>
      </w:r>
      <w:proofErr w:type="spellEnd"/>
      <w:r>
        <w:rPr>
          <w:rFonts w:ascii="Arial" w:hAnsi="Arial" w:cs="Arial"/>
          <w:sz w:val="22"/>
          <w:szCs w:val="22"/>
        </w:rPr>
        <w:t xml:space="preserve">, A., Pausch, N., </w:t>
      </w:r>
      <w:proofErr w:type="spellStart"/>
      <w:r>
        <w:rPr>
          <w:rFonts w:ascii="Arial" w:hAnsi="Arial" w:cs="Arial"/>
          <w:sz w:val="22"/>
          <w:szCs w:val="22"/>
        </w:rPr>
        <w:t>Pitak-Arnnop</w:t>
      </w:r>
      <w:proofErr w:type="spellEnd"/>
      <w:r>
        <w:rPr>
          <w:rFonts w:ascii="Arial" w:hAnsi="Arial" w:cs="Arial"/>
          <w:sz w:val="22"/>
          <w:szCs w:val="22"/>
        </w:rPr>
        <w:t xml:space="preserve">, P. and </w:t>
      </w:r>
      <w:proofErr w:type="spellStart"/>
      <w:r>
        <w:rPr>
          <w:rFonts w:ascii="Arial" w:hAnsi="Arial" w:cs="Arial"/>
          <w:sz w:val="22"/>
          <w:szCs w:val="22"/>
        </w:rPr>
        <w:t>Dhanuthai</w:t>
      </w:r>
      <w:proofErr w:type="spellEnd"/>
      <w:r>
        <w:rPr>
          <w:rFonts w:ascii="Arial" w:hAnsi="Arial" w:cs="Arial"/>
          <w:sz w:val="22"/>
          <w:szCs w:val="22"/>
        </w:rPr>
        <w:t xml:space="preserve">, K. (2012) ‘Morality, Ethics, Norms and Research Misconduct’ </w:t>
      </w:r>
      <w:r w:rsidRPr="000C6351">
        <w:rPr>
          <w:rFonts w:ascii="Arial" w:hAnsi="Arial" w:cs="Arial"/>
          <w:i/>
          <w:iCs/>
          <w:sz w:val="22"/>
          <w:szCs w:val="22"/>
        </w:rPr>
        <w:t>Journal of Conservative Dentistry.</w:t>
      </w:r>
      <w:r>
        <w:rPr>
          <w:rFonts w:ascii="Arial" w:hAnsi="Arial" w:cs="Arial"/>
          <w:sz w:val="22"/>
          <w:szCs w:val="22"/>
        </w:rPr>
        <w:t xml:space="preserve"> Vol. 15, No. 1, pp. 92-93.</w:t>
      </w:r>
    </w:p>
    <w:p w14:paraId="5F12A5BB" w14:textId="77777777" w:rsidR="0008288E" w:rsidRDefault="0008288E" w:rsidP="00C546B1">
      <w:pPr>
        <w:rPr>
          <w:rFonts w:ascii="Arial" w:hAnsi="Arial" w:cs="Arial"/>
          <w:sz w:val="22"/>
          <w:szCs w:val="22"/>
        </w:rPr>
      </w:pPr>
    </w:p>
    <w:p w14:paraId="0E726F07" w14:textId="5D60C2C9" w:rsidR="0008288E" w:rsidRDefault="0008288E" w:rsidP="00C546B1">
      <w:pPr>
        <w:rPr>
          <w:rFonts w:ascii="Arial" w:hAnsi="Arial" w:cs="Arial"/>
          <w:sz w:val="22"/>
          <w:szCs w:val="22"/>
        </w:rPr>
      </w:pPr>
      <w:proofErr w:type="spellStart"/>
      <w:r>
        <w:rPr>
          <w:rFonts w:ascii="Arial" w:hAnsi="Arial" w:cs="Arial"/>
          <w:sz w:val="22"/>
          <w:szCs w:val="22"/>
        </w:rPr>
        <w:t>Hoft</w:t>
      </w:r>
      <w:proofErr w:type="spellEnd"/>
      <w:r>
        <w:rPr>
          <w:rFonts w:ascii="Arial" w:hAnsi="Arial" w:cs="Arial"/>
          <w:sz w:val="22"/>
          <w:szCs w:val="22"/>
        </w:rPr>
        <w:t xml:space="preserve">, J. (2021) ‘Anonymity and Confidentiality’ </w:t>
      </w:r>
      <w:r w:rsidRPr="0008288E">
        <w:rPr>
          <w:rFonts w:ascii="Arial" w:hAnsi="Arial" w:cs="Arial"/>
          <w:i/>
          <w:iCs/>
          <w:sz w:val="22"/>
          <w:szCs w:val="22"/>
        </w:rPr>
        <w:t>The Encyclopaedia of Research Methods in Criminology and Criminal Justice</w:t>
      </w:r>
      <w:r>
        <w:rPr>
          <w:rFonts w:ascii="Arial" w:hAnsi="Arial" w:cs="Arial"/>
          <w:sz w:val="22"/>
          <w:szCs w:val="22"/>
        </w:rPr>
        <w:t xml:space="preserve">. Vol. 41, No. 1, </w:t>
      </w:r>
      <w:r w:rsidR="00F832AD">
        <w:rPr>
          <w:rFonts w:ascii="Arial" w:hAnsi="Arial" w:cs="Arial"/>
          <w:sz w:val="22"/>
          <w:szCs w:val="22"/>
        </w:rPr>
        <w:t>pp</w:t>
      </w:r>
      <w:r>
        <w:rPr>
          <w:rFonts w:ascii="Arial" w:hAnsi="Arial" w:cs="Arial"/>
          <w:sz w:val="22"/>
          <w:szCs w:val="22"/>
        </w:rPr>
        <w:t>. 10-12.</w:t>
      </w:r>
    </w:p>
    <w:p w14:paraId="5C10ADF5" w14:textId="77777777" w:rsidR="00F832AD" w:rsidRDefault="00F832AD" w:rsidP="00C546B1">
      <w:pPr>
        <w:rPr>
          <w:rFonts w:ascii="Arial" w:hAnsi="Arial" w:cs="Arial"/>
          <w:sz w:val="22"/>
          <w:szCs w:val="22"/>
        </w:rPr>
      </w:pPr>
    </w:p>
    <w:p w14:paraId="078F84E8" w14:textId="5652A03E" w:rsidR="00F832AD" w:rsidRDefault="00F832AD" w:rsidP="00C546B1">
      <w:pPr>
        <w:rPr>
          <w:rFonts w:ascii="Arial" w:hAnsi="Arial" w:cs="Arial"/>
          <w:sz w:val="22"/>
          <w:szCs w:val="22"/>
        </w:rPr>
      </w:pPr>
      <w:proofErr w:type="spellStart"/>
      <w:r>
        <w:rPr>
          <w:rFonts w:ascii="Arial" w:hAnsi="Arial" w:cs="Arial"/>
          <w:sz w:val="22"/>
          <w:szCs w:val="22"/>
        </w:rPr>
        <w:t>Holquist</w:t>
      </w:r>
      <w:proofErr w:type="spellEnd"/>
      <w:r>
        <w:rPr>
          <w:rFonts w:ascii="Arial" w:hAnsi="Arial" w:cs="Arial"/>
          <w:sz w:val="22"/>
          <w:szCs w:val="22"/>
        </w:rPr>
        <w:t xml:space="preserve">, S., Mitra, D. and Wright, N. (2023) ‘What is Student Voice Anyway? The Intersection of Student Voice Practices and Shared Leadership’ </w:t>
      </w:r>
      <w:r w:rsidRPr="00F832AD">
        <w:rPr>
          <w:rFonts w:ascii="Arial" w:hAnsi="Arial" w:cs="Arial"/>
          <w:i/>
          <w:iCs/>
          <w:sz w:val="22"/>
          <w:szCs w:val="22"/>
        </w:rPr>
        <w:t>Educational Administration Journals</w:t>
      </w:r>
      <w:r>
        <w:rPr>
          <w:rFonts w:ascii="Arial" w:hAnsi="Arial" w:cs="Arial"/>
          <w:sz w:val="22"/>
          <w:szCs w:val="22"/>
        </w:rPr>
        <w:t>. Vol. 59, No. 4, pp. 1-33.</w:t>
      </w:r>
    </w:p>
    <w:p w14:paraId="6D243420" w14:textId="77777777" w:rsidR="00970302" w:rsidRDefault="00970302" w:rsidP="00C546B1">
      <w:pPr>
        <w:rPr>
          <w:rFonts w:ascii="Arial" w:hAnsi="Arial" w:cs="Arial"/>
          <w:sz w:val="22"/>
          <w:szCs w:val="22"/>
        </w:rPr>
      </w:pPr>
    </w:p>
    <w:p w14:paraId="4909D2A1" w14:textId="6C2D0234" w:rsidR="00970302" w:rsidRDefault="00970302" w:rsidP="00C546B1">
      <w:pPr>
        <w:rPr>
          <w:rFonts w:ascii="Arial" w:hAnsi="Arial" w:cs="Arial"/>
          <w:sz w:val="22"/>
          <w:szCs w:val="22"/>
        </w:rPr>
      </w:pPr>
      <w:r>
        <w:rPr>
          <w:rFonts w:ascii="Arial" w:hAnsi="Arial" w:cs="Arial"/>
          <w:sz w:val="22"/>
          <w:szCs w:val="22"/>
        </w:rPr>
        <w:lastRenderedPageBreak/>
        <w:t xml:space="preserve">Hyett, N., Kenny, D. and Swift, V. (2014) ‘Methodology or Method? A Critical Review of Qualitative Case Study Reports’ </w:t>
      </w:r>
      <w:r w:rsidRPr="00970302">
        <w:rPr>
          <w:rFonts w:ascii="Arial" w:hAnsi="Arial" w:cs="Arial"/>
          <w:i/>
          <w:iCs/>
          <w:sz w:val="22"/>
          <w:szCs w:val="22"/>
        </w:rPr>
        <w:t xml:space="preserve">International Journal of Qualitative </w:t>
      </w:r>
      <w:r>
        <w:rPr>
          <w:rFonts w:ascii="Arial" w:hAnsi="Arial" w:cs="Arial"/>
          <w:i/>
          <w:iCs/>
          <w:sz w:val="22"/>
          <w:szCs w:val="22"/>
        </w:rPr>
        <w:t>S</w:t>
      </w:r>
      <w:r w:rsidRPr="00970302">
        <w:rPr>
          <w:rFonts w:ascii="Arial" w:hAnsi="Arial" w:cs="Arial"/>
          <w:i/>
          <w:iCs/>
          <w:sz w:val="22"/>
          <w:szCs w:val="22"/>
        </w:rPr>
        <w:t>tudies in Health and Well-being</w:t>
      </w:r>
      <w:r>
        <w:rPr>
          <w:rFonts w:ascii="Arial" w:hAnsi="Arial" w:cs="Arial"/>
          <w:sz w:val="22"/>
          <w:szCs w:val="22"/>
        </w:rPr>
        <w:t>. Vol. 9, No. 10, pp. 34-42.</w:t>
      </w:r>
    </w:p>
    <w:p w14:paraId="38950150" w14:textId="77777777" w:rsidR="005D4945" w:rsidRDefault="005D4945" w:rsidP="00C546B1">
      <w:pPr>
        <w:rPr>
          <w:rFonts w:ascii="Arial" w:hAnsi="Arial" w:cs="Arial"/>
          <w:sz w:val="22"/>
          <w:szCs w:val="22"/>
        </w:rPr>
      </w:pPr>
    </w:p>
    <w:p w14:paraId="4E471286" w14:textId="01C72190" w:rsidR="005D4945" w:rsidRDefault="005D4945" w:rsidP="00C546B1">
      <w:pPr>
        <w:rPr>
          <w:rFonts w:ascii="Arial" w:hAnsi="Arial" w:cs="Arial"/>
          <w:sz w:val="22"/>
          <w:szCs w:val="22"/>
        </w:rPr>
      </w:pPr>
      <w:r>
        <w:rPr>
          <w:rFonts w:ascii="Arial" w:hAnsi="Arial" w:cs="Arial"/>
          <w:sz w:val="22"/>
          <w:szCs w:val="22"/>
        </w:rPr>
        <w:t xml:space="preserve">Johnson, M., O’Hara, R., Hirst, E., </w:t>
      </w:r>
      <w:proofErr w:type="spellStart"/>
      <w:r>
        <w:rPr>
          <w:rFonts w:ascii="Arial" w:hAnsi="Arial" w:cs="Arial"/>
          <w:sz w:val="22"/>
          <w:szCs w:val="22"/>
        </w:rPr>
        <w:t>Weyman</w:t>
      </w:r>
      <w:proofErr w:type="spellEnd"/>
      <w:r>
        <w:rPr>
          <w:rFonts w:ascii="Arial" w:hAnsi="Arial" w:cs="Arial"/>
          <w:sz w:val="22"/>
          <w:szCs w:val="22"/>
        </w:rPr>
        <w:t xml:space="preserve">, A., Turner, J., Mason, S., Quinn, T., Shewan, J. and Siriwardena, A. (2017) ‘Multiple Triangulation and </w:t>
      </w:r>
      <w:r w:rsidR="00274FE0">
        <w:rPr>
          <w:rFonts w:ascii="Arial" w:hAnsi="Arial" w:cs="Arial"/>
          <w:sz w:val="22"/>
          <w:szCs w:val="22"/>
        </w:rPr>
        <w:t xml:space="preserve">Collaborative </w:t>
      </w:r>
      <w:r>
        <w:rPr>
          <w:rFonts w:ascii="Arial" w:hAnsi="Arial" w:cs="Arial"/>
          <w:sz w:val="22"/>
          <w:szCs w:val="22"/>
        </w:rPr>
        <w:t>Research Using Qualitative Methods to Explore Decision Making in</w:t>
      </w:r>
      <w:r w:rsidR="00274FE0">
        <w:rPr>
          <w:rFonts w:ascii="Arial" w:hAnsi="Arial" w:cs="Arial"/>
          <w:sz w:val="22"/>
          <w:szCs w:val="22"/>
        </w:rPr>
        <w:t xml:space="preserve"> </w:t>
      </w:r>
      <w:proofErr w:type="gramStart"/>
      <w:r>
        <w:rPr>
          <w:rFonts w:ascii="Arial" w:hAnsi="Arial" w:cs="Arial"/>
          <w:sz w:val="22"/>
          <w:szCs w:val="22"/>
        </w:rPr>
        <w:t>Pre Hospital</w:t>
      </w:r>
      <w:proofErr w:type="gramEnd"/>
      <w:r>
        <w:rPr>
          <w:rFonts w:ascii="Arial" w:hAnsi="Arial" w:cs="Arial"/>
          <w:sz w:val="22"/>
          <w:szCs w:val="22"/>
        </w:rPr>
        <w:t xml:space="preserve"> Emergency Care’ </w:t>
      </w:r>
      <w:r w:rsidRPr="005D4945">
        <w:rPr>
          <w:rFonts w:ascii="Arial" w:hAnsi="Arial" w:cs="Arial"/>
          <w:i/>
          <w:iCs/>
          <w:sz w:val="22"/>
          <w:szCs w:val="22"/>
        </w:rPr>
        <w:t>BMC Medical Research Methodology</w:t>
      </w:r>
      <w:r>
        <w:rPr>
          <w:rFonts w:ascii="Arial" w:hAnsi="Arial" w:cs="Arial"/>
          <w:sz w:val="22"/>
          <w:szCs w:val="22"/>
        </w:rPr>
        <w:t>. Vol. 17, No. 11, pp. 1-20.</w:t>
      </w:r>
    </w:p>
    <w:p w14:paraId="0E8D5F83" w14:textId="77777777" w:rsidR="005D308A" w:rsidRDefault="005D308A" w:rsidP="00C546B1">
      <w:pPr>
        <w:rPr>
          <w:rFonts w:ascii="Arial" w:hAnsi="Arial" w:cs="Arial"/>
          <w:sz w:val="22"/>
          <w:szCs w:val="22"/>
        </w:rPr>
      </w:pPr>
    </w:p>
    <w:p w14:paraId="6ED11E61" w14:textId="0D7A5817" w:rsidR="005D308A" w:rsidRDefault="005D308A" w:rsidP="00C546B1">
      <w:pPr>
        <w:rPr>
          <w:rFonts w:ascii="Arial" w:hAnsi="Arial" w:cs="Arial"/>
          <w:sz w:val="22"/>
          <w:szCs w:val="22"/>
        </w:rPr>
      </w:pPr>
      <w:r>
        <w:rPr>
          <w:rFonts w:ascii="Arial" w:hAnsi="Arial" w:cs="Arial"/>
          <w:sz w:val="22"/>
          <w:szCs w:val="22"/>
        </w:rPr>
        <w:t xml:space="preserve">Kiger, M. and </w:t>
      </w:r>
      <w:proofErr w:type="spellStart"/>
      <w:r>
        <w:rPr>
          <w:rFonts w:ascii="Arial" w:hAnsi="Arial" w:cs="Arial"/>
          <w:sz w:val="22"/>
          <w:szCs w:val="22"/>
        </w:rPr>
        <w:t>Varpio</w:t>
      </w:r>
      <w:proofErr w:type="spellEnd"/>
      <w:r>
        <w:rPr>
          <w:rFonts w:ascii="Arial" w:hAnsi="Arial" w:cs="Arial"/>
          <w:sz w:val="22"/>
          <w:szCs w:val="22"/>
        </w:rPr>
        <w:t xml:space="preserve">, L. (2020) ‘Thematic Analysis of Qualitative Date’ </w:t>
      </w:r>
      <w:r w:rsidRPr="005D308A">
        <w:rPr>
          <w:rFonts w:ascii="Arial" w:hAnsi="Arial" w:cs="Arial"/>
          <w:i/>
          <w:iCs/>
          <w:sz w:val="22"/>
          <w:szCs w:val="22"/>
        </w:rPr>
        <w:t>Guide to Biotechnology Research</w:t>
      </w:r>
      <w:r>
        <w:rPr>
          <w:rFonts w:ascii="Arial" w:hAnsi="Arial" w:cs="Arial"/>
          <w:sz w:val="22"/>
          <w:szCs w:val="22"/>
        </w:rPr>
        <w:t>. Vol. 42, No. 8, pp. 846-854.</w:t>
      </w:r>
    </w:p>
    <w:p w14:paraId="75F6D05D" w14:textId="77777777" w:rsidR="0069775A" w:rsidRDefault="0069775A" w:rsidP="00C546B1">
      <w:pPr>
        <w:rPr>
          <w:rFonts w:ascii="Arial" w:hAnsi="Arial" w:cs="Arial"/>
          <w:sz w:val="22"/>
          <w:szCs w:val="22"/>
        </w:rPr>
      </w:pPr>
    </w:p>
    <w:p w14:paraId="797002FF" w14:textId="2ABF0E61" w:rsidR="0069775A" w:rsidRDefault="0069775A" w:rsidP="00C546B1">
      <w:pPr>
        <w:rPr>
          <w:rFonts w:ascii="Arial" w:hAnsi="Arial" w:cs="Arial"/>
          <w:sz w:val="22"/>
          <w:szCs w:val="22"/>
        </w:rPr>
      </w:pPr>
      <w:r>
        <w:rPr>
          <w:rFonts w:ascii="Arial" w:hAnsi="Arial" w:cs="Arial"/>
          <w:sz w:val="22"/>
          <w:szCs w:val="22"/>
        </w:rPr>
        <w:t>Knight, C. and Crick, T. (2022) ‘Inclusive Education in Wales: Interpreting Discourses of Values and Practice Using Critical Policy Analysis’</w:t>
      </w:r>
      <w:r w:rsidR="00262C73">
        <w:rPr>
          <w:rFonts w:ascii="Arial" w:hAnsi="Arial" w:cs="Arial"/>
          <w:sz w:val="22"/>
          <w:szCs w:val="22"/>
        </w:rPr>
        <w:t xml:space="preserve"> </w:t>
      </w:r>
      <w:r w:rsidR="00262C73" w:rsidRPr="00262C73">
        <w:rPr>
          <w:rFonts w:ascii="Arial" w:hAnsi="Arial" w:cs="Arial"/>
          <w:i/>
          <w:iCs/>
          <w:sz w:val="22"/>
          <w:szCs w:val="22"/>
        </w:rPr>
        <w:t>ECNU Review of Education.</w:t>
      </w:r>
      <w:r w:rsidR="00262C73">
        <w:rPr>
          <w:rFonts w:ascii="Arial" w:hAnsi="Arial" w:cs="Arial"/>
          <w:sz w:val="22"/>
          <w:szCs w:val="22"/>
        </w:rPr>
        <w:t xml:space="preserve"> Vol. 5, No. 2, pp. 1-22.</w:t>
      </w:r>
    </w:p>
    <w:p w14:paraId="68117E1D" w14:textId="77777777" w:rsidR="007F075C" w:rsidRDefault="007F075C" w:rsidP="00C546B1">
      <w:pPr>
        <w:rPr>
          <w:rFonts w:ascii="Arial" w:hAnsi="Arial" w:cs="Arial"/>
          <w:sz w:val="22"/>
          <w:szCs w:val="22"/>
        </w:rPr>
      </w:pPr>
    </w:p>
    <w:p w14:paraId="20CD1DEF" w14:textId="66189CA9" w:rsidR="007F075C" w:rsidRDefault="007F075C" w:rsidP="00C546B1">
      <w:pPr>
        <w:rPr>
          <w:rFonts w:ascii="Arial" w:hAnsi="Arial" w:cs="Arial"/>
          <w:sz w:val="22"/>
          <w:szCs w:val="22"/>
        </w:rPr>
      </w:pPr>
      <w:proofErr w:type="spellStart"/>
      <w:r>
        <w:rPr>
          <w:rFonts w:ascii="Arial" w:hAnsi="Arial" w:cs="Arial"/>
          <w:sz w:val="22"/>
          <w:szCs w:val="22"/>
        </w:rPr>
        <w:t>Latkin</w:t>
      </w:r>
      <w:proofErr w:type="spellEnd"/>
      <w:r>
        <w:rPr>
          <w:rFonts w:ascii="Arial" w:hAnsi="Arial" w:cs="Arial"/>
          <w:sz w:val="22"/>
          <w:szCs w:val="22"/>
        </w:rPr>
        <w:t>, C., Edwards, C., Rothwell, M. and Tobin, K. (2018) ‘The Relationship Between Social Desirability Bias and Self-Reports of Health, Substance Use</w:t>
      </w:r>
      <w:r w:rsidR="00487975">
        <w:rPr>
          <w:rFonts w:ascii="Arial" w:hAnsi="Arial" w:cs="Arial"/>
          <w:sz w:val="22"/>
          <w:szCs w:val="22"/>
        </w:rPr>
        <w:t xml:space="preserve"> and Social Network Factors Among Urban Substance Users in Baltimore, Maryland’ </w:t>
      </w:r>
      <w:r w:rsidR="00487975" w:rsidRPr="00487975">
        <w:rPr>
          <w:rFonts w:ascii="Arial" w:hAnsi="Arial" w:cs="Arial"/>
          <w:i/>
          <w:iCs/>
          <w:sz w:val="22"/>
          <w:szCs w:val="22"/>
        </w:rPr>
        <w:t>Behaviour Research</w:t>
      </w:r>
      <w:r w:rsidR="00487975">
        <w:rPr>
          <w:rFonts w:ascii="Arial" w:hAnsi="Arial" w:cs="Arial"/>
          <w:sz w:val="22"/>
          <w:szCs w:val="22"/>
        </w:rPr>
        <w:t>. Vol. 73, No. 1, pp. 133-136.</w:t>
      </w:r>
    </w:p>
    <w:p w14:paraId="017F3194" w14:textId="77777777" w:rsidR="00100DB3" w:rsidRDefault="00100DB3" w:rsidP="00C546B1">
      <w:pPr>
        <w:rPr>
          <w:rFonts w:ascii="Arial" w:hAnsi="Arial" w:cs="Arial"/>
          <w:sz w:val="22"/>
          <w:szCs w:val="22"/>
        </w:rPr>
      </w:pPr>
    </w:p>
    <w:p w14:paraId="44413414" w14:textId="6A38583D" w:rsidR="00100DB3" w:rsidRPr="00100DB3" w:rsidRDefault="00100DB3" w:rsidP="00100DB3">
      <w:pPr>
        <w:suppressAutoHyphens/>
        <w:rPr>
          <w:rFonts w:ascii="Arial" w:hAnsi="Arial" w:cs="Arial"/>
          <w:color w:val="000000"/>
          <w:sz w:val="22"/>
          <w:szCs w:val="22"/>
        </w:rPr>
      </w:pPr>
      <w:proofErr w:type="spellStart"/>
      <w:r w:rsidRPr="00100DB3">
        <w:rPr>
          <w:rFonts w:ascii="Arial" w:hAnsi="Arial" w:cs="Arial"/>
          <w:color w:val="000000"/>
          <w:sz w:val="22"/>
          <w:szCs w:val="22"/>
        </w:rPr>
        <w:t>MacBlain</w:t>
      </w:r>
      <w:proofErr w:type="spellEnd"/>
      <w:r w:rsidRPr="00100DB3">
        <w:rPr>
          <w:rFonts w:ascii="Arial" w:hAnsi="Arial" w:cs="Arial"/>
          <w:color w:val="000000"/>
          <w:sz w:val="22"/>
          <w:szCs w:val="22"/>
        </w:rPr>
        <w:t>, S. (2018)</w:t>
      </w:r>
      <w:r w:rsidRPr="00100DB3">
        <w:rPr>
          <w:rStyle w:val="apple-converted-space"/>
          <w:rFonts w:ascii="Arial" w:hAnsi="Arial" w:cs="Arial"/>
          <w:color w:val="000000"/>
          <w:sz w:val="22"/>
          <w:szCs w:val="22"/>
        </w:rPr>
        <w:t> </w:t>
      </w:r>
      <w:r w:rsidRPr="00100DB3">
        <w:rPr>
          <w:rFonts w:ascii="Arial" w:hAnsi="Arial" w:cs="Arial"/>
          <w:i/>
          <w:iCs/>
          <w:color w:val="000000"/>
          <w:sz w:val="22"/>
          <w:szCs w:val="22"/>
        </w:rPr>
        <w:t>Learning Theories for Early Years Practitioners</w:t>
      </w:r>
      <w:r w:rsidRPr="00100DB3">
        <w:rPr>
          <w:rFonts w:ascii="Arial" w:hAnsi="Arial" w:cs="Arial"/>
          <w:color w:val="000000"/>
          <w:sz w:val="22"/>
          <w:szCs w:val="22"/>
        </w:rPr>
        <w:t>. London: Sage.</w:t>
      </w:r>
    </w:p>
    <w:p w14:paraId="6E939D1B" w14:textId="77777777" w:rsidR="00CF34C9" w:rsidRDefault="00CF34C9" w:rsidP="00C546B1">
      <w:pPr>
        <w:rPr>
          <w:rFonts w:ascii="Arial" w:hAnsi="Arial" w:cs="Arial"/>
          <w:sz w:val="22"/>
          <w:szCs w:val="22"/>
        </w:rPr>
      </w:pPr>
    </w:p>
    <w:p w14:paraId="670CAEE3" w14:textId="27EE4CED" w:rsidR="00CF34C9" w:rsidRDefault="00CF34C9" w:rsidP="00C546B1">
      <w:pPr>
        <w:rPr>
          <w:rFonts w:ascii="Arial" w:hAnsi="Arial" w:cs="Arial"/>
          <w:sz w:val="22"/>
          <w:szCs w:val="22"/>
        </w:rPr>
      </w:pPr>
      <w:proofErr w:type="spellStart"/>
      <w:r>
        <w:rPr>
          <w:rFonts w:ascii="Arial" w:hAnsi="Arial" w:cs="Arial"/>
          <w:sz w:val="22"/>
          <w:szCs w:val="22"/>
        </w:rPr>
        <w:t>Mascadri</w:t>
      </w:r>
      <w:proofErr w:type="spellEnd"/>
      <w:r>
        <w:rPr>
          <w:rFonts w:ascii="Arial" w:hAnsi="Arial" w:cs="Arial"/>
          <w:sz w:val="22"/>
          <w:szCs w:val="22"/>
        </w:rPr>
        <w:t xml:space="preserve">, J., Brownlee, J., Johansson, E., Scholes, L. Walker, S. and Berthelsen, D. (2021) ‘Children’s Perspectives on Why and When Teachers Listen to their Ideas: Exploring  Opportunities for Participation in Early Years of School’ </w:t>
      </w:r>
      <w:r w:rsidRPr="00CF34C9">
        <w:rPr>
          <w:rFonts w:ascii="Arial" w:hAnsi="Arial" w:cs="Arial"/>
          <w:i/>
          <w:iCs/>
          <w:sz w:val="22"/>
          <w:szCs w:val="22"/>
        </w:rPr>
        <w:t>International Journal of Educational Research</w:t>
      </w:r>
      <w:r>
        <w:rPr>
          <w:rFonts w:ascii="Arial" w:hAnsi="Arial" w:cs="Arial"/>
          <w:sz w:val="22"/>
          <w:szCs w:val="22"/>
        </w:rPr>
        <w:t>. Vol. 107, No. 10, pp. 1-12.</w:t>
      </w:r>
    </w:p>
    <w:p w14:paraId="2F5DA66F" w14:textId="77777777" w:rsidR="00E91EE7" w:rsidRDefault="00E91EE7" w:rsidP="00C546B1">
      <w:pPr>
        <w:rPr>
          <w:rFonts w:ascii="Arial" w:hAnsi="Arial" w:cs="Arial"/>
          <w:sz w:val="22"/>
          <w:szCs w:val="22"/>
        </w:rPr>
      </w:pPr>
    </w:p>
    <w:p w14:paraId="00E7FA39" w14:textId="12F9D2FD" w:rsidR="00E91EE7" w:rsidRDefault="00E91EE7" w:rsidP="00C546B1">
      <w:pPr>
        <w:rPr>
          <w:rFonts w:ascii="Arial" w:hAnsi="Arial" w:cs="Arial"/>
          <w:sz w:val="22"/>
          <w:szCs w:val="22"/>
        </w:rPr>
      </w:pPr>
      <w:r>
        <w:rPr>
          <w:rFonts w:ascii="Arial" w:hAnsi="Arial" w:cs="Arial"/>
          <w:sz w:val="22"/>
          <w:szCs w:val="22"/>
        </w:rPr>
        <w:t xml:space="preserve">Marshall, C. (2017) ‘Montessori Education: A Review of the Evidence Base’ </w:t>
      </w:r>
      <w:r w:rsidRPr="00E91EE7">
        <w:rPr>
          <w:rFonts w:ascii="Arial" w:hAnsi="Arial" w:cs="Arial"/>
          <w:i/>
          <w:iCs/>
          <w:sz w:val="22"/>
          <w:szCs w:val="22"/>
        </w:rPr>
        <w:t>Science of Learning</w:t>
      </w:r>
      <w:r>
        <w:rPr>
          <w:rFonts w:ascii="Arial" w:hAnsi="Arial" w:cs="Arial"/>
          <w:sz w:val="22"/>
          <w:szCs w:val="22"/>
        </w:rPr>
        <w:t>. Vol. 2, No. 11, pp. 24-28.</w:t>
      </w:r>
    </w:p>
    <w:p w14:paraId="330867DF" w14:textId="77777777" w:rsidR="00487975" w:rsidRDefault="00487975" w:rsidP="00C546B1">
      <w:pPr>
        <w:rPr>
          <w:rFonts w:ascii="Arial" w:hAnsi="Arial" w:cs="Arial"/>
          <w:sz w:val="22"/>
          <w:szCs w:val="22"/>
        </w:rPr>
      </w:pPr>
    </w:p>
    <w:p w14:paraId="738D9FD8" w14:textId="51B1784A" w:rsidR="00487975" w:rsidRDefault="00487975" w:rsidP="00C546B1">
      <w:pPr>
        <w:rPr>
          <w:rFonts w:ascii="Arial" w:hAnsi="Arial" w:cs="Arial"/>
          <w:sz w:val="22"/>
          <w:szCs w:val="22"/>
        </w:rPr>
      </w:pPr>
      <w:r>
        <w:rPr>
          <w:rFonts w:ascii="Arial" w:hAnsi="Arial" w:cs="Arial"/>
          <w:sz w:val="22"/>
          <w:szCs w:val="22"/>
        </w:rPr>
        <w:t xml:space="preserve">McIntosh, M. and Morse, J. (2015) ‘Situating and Constructing Diversity in Semi-Structured Interviews’ </w:t>
      </w:r>
      <w:r w:rsidRPr="00487975">
        <w:rPr>
          <w:rFonts w:ascii="Arial" w:hAnsi="Arial" w:cs="Arial"/>
          <w:i/>
          <w:iCs/>
          <w:sz w:val="22"/>
          <w:szCs w:val="22"/>
        </w:rPr>
        <w:t>Global Qualitative Nursing Research</w:t>
      </w:r>
      <w:r>
        <w:rPr>
          <w:rFonts w:ascii="Arial" w:hAnsi="Arial" w:cs="Arial"/>
          <w:sz w:val="22"/>
          <w:szCs w:val="22"/>
        </w:rPr>
        <w:t>. Vol. 2, No. 23, pp. 10-14.</w:t>
      </w:r>
    </w:p>
    <w:p w14:paraId="2C944BFC" w14:textId="77777777" w:rsidR="009E2260" w:rsidRDefault="009E2260" w:rsidP="00C546B1">
      <w:pPr>
        <w:rPr>
          <w:rFonts w:ascii="Arial" w:hAnsi="Arial" w:cs="Arial"/>
          <w:sz w:val="22"/>
          <w:szCs w:val="22"/>
        </w:rPr>
      </w:pPr>
    </w:p>
    <w:p w14:paraId="71106E55" w14:textId="750368B4" w:rsidR="009E2260" w:rsidRDefault="009E2260" w:rsidP="00C546B1">
      <w:pPr>
        <w:rPr>
          <w:rFonts w:ascii="Arial" w:hAnsi="Arial" w:cs="Arial"/>
          <w:sz w:val="22"/>
          <w:szCs w:val="22"/>
        </w:rPr>
      </w:pPr>
      <w:r>
        <w:rPr>
          <w:rFonts w:ascii="Arial" w:hAnsi="Arial" w:cs="Arial"/>
          <w:sz w:val="22"/>
          <w:szCs w:val="22"/>
        </w:rPr>
        <w:t xml:space="preserve">Miller, V., </w:t>
      </w:r>
      <w:proofErr w:type="spellStart"/>
      <w:r>
        <w:rPr>
          <w:rFonts w:ascii="Arial" w:hAnsi="Arial" w:cs="Arial"/>
          <w:sz w:val="22"/>
          <w:szCs w:val="22"/>
        </w:rPr>
        <w:t>Feudtner</w:t>
      </w:r>
      <w:proofErr w:type="spellEnd"/>
      <w:r>
        <w:rPr>
          <w:rFonts w:ascii="Arial" w:hAnsi="Arial" w:cs="Arial"/>
          <w:sz w:val="22"/>
          <w:szCs w:val="22"/>
        </w:rPr>
        <w:t xml:space="preserve">, C. and Jawad, A. (2017) ‘Children’s Decision-Making Involvement about Research Participation: Associations with Perceived Fairness and Self-Efficacy’’ </w:t>
      </w:r>
      <w:r w:rsidRPr="009E2260">
        <w:rPr>
          <w:rFonts w:ascii="Arial" w:hAnsi="Arial" w:cs="Arial"/>
          <w:i/>
          <w:iCs/>
          <w:sz w:val="22"/>
          <w:szCs w:val="22"/>
        </w:rPr>
        <w:t>Journal of Research Human Resource Ethics.</w:t>
      </w:r>
      <w:r>
        <w:rPr>
          <w:rFonts w:ascii="Arial" w:hAnsi="Arial" w:cs="Arial"/>
          <w:sz w:val="22"/>
          <w:szCs w:val="22"/>
        </w:rPr>
        <w:t xml:space="preserve"> Vol. 12, No. 2, pp. 87-96.</w:t>
      </w:r>
    </w:p>
    <w:p w14:paraId="6DB7D259" w14:textId="77777777" w:rsidR="005D308A" w:rsidRDefault="005D308A" w:rsidP="00C546B1">
      <w:pPr>
        <w:rPr>
          <w:rFonts w:ascii="Arial" w:hAnsi="Arial" w:cs="Arial"/>
          <w:sz w:val="22"/>
          <w:szCs w:val="22"/>
        </w:rPr>
      </w:pPr>
    </w:p>
    <w:p w14:paraId="64928800" w14:textId="39E62041" w:rsidR="005D308A" w:rsidRDefault="005D308A" w:rsidP="00C546B1">
      <w:pPr>
        <w:rPr>
          <w:rFonts w:ascii="Arial" w:hAnsi="Arial" w:cs="Arial"/>
          <w:sz w:val="22"/>
          <w:szCs w:val="22"/>
        </w:rPr>
      </w:pPr>
      <w:r>
        <w:rPr>
          <w:rFonts w:ascii="Arial" w:hAnsi="Arial" w:cs="Arial"/>
          <w:sz w:val="22"/>
          <w:szCs w:val="22"/>
        </w:rPr>
        <w:t xml:space="preserve">Naeem, M., </w:t>
      </w:r>
      <w:proofErr w:type="spellStart"/>
      <w:r>
        <w:rPr>
          <w:rFonts w:ascii="Arial" w:hAnsi="Arial" w:cs="Arial"/>
          <w:sz w:val="22"/>
          <w:szCs w:val="22"/>
        </w:rPr>
        <w:t>Ozuem</w:t>
      </w:r>
      <w:proofErr w:type="spellEnd"/>
      <w:r>
        <w:rPr>
          <w:rFonts w:ascii="Arial" w:hAnsi="Arial" w:cs="Arial"/>
          <w:sz w:val="22"/>
          <w:szCs w:val="22"/>
        </w:rPr>
        <w:t xml:space="preserve">, W., Silvia, R. (2023) ‘A Step-by-Step Process of Thematic Analysis to Develop a Conceptual Model in Qualitative Research’ </w:t>
      </w:r>
      <w:r w:rsidRPr="005D308A">
        <w:rPr>
          <w:rFonts w:ascii="Arial" w:hAnsi="Arial" w:cs="Arial"/>
          <w:i/>
          <w:iCs/>
          <w:sz w:val="22"/>
          <w:szCs w:val="22"/>
        </w:rPr>
        <w:t>International Journal of Qualitative Methods</w:t>
      </w:r>
      <w:r>
        <w:rPr>
          <w:rFonts w:ascii="Arial" w:hAnsi="Arial" w:cs="Arial"/>
          <w:sz w:val="22"/>
          <w:szCs w:val="22"/>
        </w:rPr>
        <w:t>. Vol. 22, No. 1, pp. 1-20.</w:t>
      </w:r>
    </w:p>
    <w:p w14:paraId="1F4234B5" w14:textId="77777777" w:rsidR="00C10869" w:rsidRDefault="00C10869" w:rsidP="00C546B1">
      <w:pPr>
        <w:rPr>
          <w:rFonts w:ascii="Arial" w:hAnsi="Arial" w:cs="Arial"/>
          <w:sz w:val="22"/>
          <w:szCs w:val="22"/>
        </w:rPr>
      </w:pPr>
    </w:p>
    <w:p w14:paraId="526A3885" w14:textId="3AD6F7A5" w:rsidR="00CC73AF" w:rsidRDefault="00CC73AF" w:rsidP="00C546B1">
      <w:pPr>
        <w:rPr>
          <w:rFonts w:ascii="Arial" w:hAnsi="Arial" w:cs="Arial"/>
          <w:sz w:val="22"/>
          <w:szCs w:val="22"/>
        </w:rPr>
      </w:pPr>
      <w:r>
        <w:rPr>
          <w:rFonts w:ascii="Arial" w:hAnsi="Arial" w:cs="Arial"/>
          <w:sz w:val="22"/>
          <w:szCs w:val="22"/>
        </w:rPr>
        <w:t xml:space="preserve">Nally, S., </w:t>
      </w:r>
      <w:proofErr w:type="spellStart"/>
      <w:r>
        <w:rPr>
          <w:rFonts w:ascii="Arial" w:hAnsi="Arial" w:cs="Arial"/>
          <w:sz w:val="22"/>
          <w:szCs w:val="22"/>
        </w:rPr>
        <w:t>Ridgers</w:t>
      </w:r>
      <w:proofErr w:type="spellEnd"/>
      <w:r>
        <w:rPr>
          <w:rFonts w:ascii="Arial" w:hAnsi="Arial" w:cs="Arial"/>
          <w:sz w:val="22"/>
          <w:szCs w:val="22"/>
        </w:rPr>
        <w:t xml:space="preserve">, N., Gallagher, A., Murphy, M., Salmon, J. and Carlin, A. (2022) ‘”When You Move </w:t>
      </w:r>
      <w:proofErr w:type="gramStart"/>
      <w:r>
        <w:rPr>
          <w:rFonts w:ascii="Arial" w:hAnsi="Arial" w:cs="Arial"/>
          <w:sz w:val="22"/>
          <w:szCs w:val="22"/>
        </w:rPr>
        <w:t>you</w:t>
      </w:r>
      <w:proofErr w:type="gramEnd"/>
      <w:r>
        <w:rPr>
          <w:rFonts w:ascii="Arial" w:hAnsi="Arial" w:cs="Arial"/>
          <w:sz w:val="22"/>
          <w:szCs w:val="22"/>
        </w:rPr>
        <w:t xml:space="preserve"> Have Fun”: Perceived Barriers: And Facilitators of Physical Activity From a Child’s Perspective’ </w:t>
      </w:r>
      <w:r w:rsidRPr="00CC73AF">
        <w:rPr>
          <w:rFonts w:ascii="Arial" w:hAnsi="Arial" w:cs="Arial"/>
          <w:i/>
          <w:iCs/>
          <w:sz w:val="22"/>
          <w:szCs w:val="22"/>
        </w:rPr>
        <w:t>Frontiers in Sports Activity</w:t>
      </w:r>
      <w:r>
        <w:rPr>
          <w:rFonts w:ascii="Arial" w:hAnsi="Arial" w:cs="Arial"/>
          <w:sz w:val="22"/>
          <w:szCs w:val="22"/>
        </w:rPr>
        <w:t>. Vol. 4, No. 7, pp. 78-92.</w:t>
      </w:r>
    </w:p>
    <w:p w14:paraId="3AFF4080" w14:textId="77777777" w:rsidR="00CC73AF" w:rsidRDefault="00CC73AF" w:rsidP="00C546B1">
      <w:pPr>
        <w:rPr>
          <w:rFonts w:ascii="Arial" w:hAnsi="Arial" w:cs="Arial"/>
          <w:sz w:val="22"/>
          <w:szCs w:val="22"/>
        </w:rPr>
      </w:pPr>
    </w:p>
    <w:p w14:paraId="19FBDB93" w14:textId="2547B055" w:rsidR="00C10869" w:rsidRDefault="00C10869" w:rsidP="00C546B1">
      <w:pPr>
        <w:rPr>
          <w:rFonts w:ascii="Arial" w:hAnsi="Arial" w:cs="Arial"/>
          <w:sz w:val="22"/>
          <w:szCs w:val="22"/>
        </w:rPr>
      </w:pPr>
      <w:r>
        <w:rPr>
          <w:rFonts w:ascii="Arial" w:hAnsi="Arial" w:cs="Arial"/>
          <w:sz w:val="22"/>
          <w:szCs w:val="22"/>
        </w:rPr>
        <w:t xml:space="preserve">Nowell, L., Norris, J. and Moules, N. (2017) ‘Thematic Analysis: Striving to Meet the Trustworthiness Criteria’ </w:t>
      </w:r>
      <w:r w:rsidRPr="00C10869">
        <w:rPr>
          <w:rFonts w:ascii="Arial" w:hAnsi="Arial" w:cs="Arial"/>
          <w:i/>
          <w:iCs/>
          <w:sz w:val="22"/>
          <w:szCs w:val="22"/>
        </w:rPr>
        <w:t>International Journal of Qualitative Methods</w:t>
      </w:r>
      <w:r>
        <w:rPr>
          <w:rFonts w:ascii="Arial" w:hAnsi="Arial" w:cs="Arial"/>
          <w:sz w:val="22"/>
          <w:szCs w:val="22"/>
        </w:rPr>
        <w:t>. Vol. 16, No. 1, pp. 10-17.</w:t>
      </w:r>
    </w:p>
    <w:p w14:paraId="1A947994" w14:textId="77777777" w:rsidR="00AC36A8" w:rsidRDefault="00AC36A8" w:rsidP="00C546B1">
      <w:pPr>
        <w:rPr>
          <w:rFonts w:ascii="Arial" w:hAnsi="Arial" w:cs="Arial"/>
          <w:sz w:val="22"/>
          <w:szCs w:val="22"/>
        </w:rPr>
      </w:pPr>
    </w:p>
    <w:p w14:paraId="6990DD5A" w14:textId="36098E88" w:rsidR="00AC36A8" w:rsidRDefault="00AC36A8" w:rsidP="00C546B1">
      <w:pPr>
        <w:rPr>
          <w:rFonts w:ascii="Arial" w:hAnsi="Arial" w:cs="Arial"/>
          <w:sz w:val="22"/>
          <w:szCs w:val="22"/>
        </w:rPr>
      </w:pPr>
      <w:r>
        <w:rPr>
          <w:rFonts w:ascii="Arial" w:hAnsi="Arial" w:cs="Arial"/>
          <w:sz w:val="22"/>
          <w:szCs w:val="22"/>
        </w:rPr>
        <w:t xml:space="preserve">O’Brien, S., McNamara, G. and Skerritt, C. (2021) ‘Students as Coresearchers in a School Evaluation Process’ </w:t>
      </w:r>
      <w:r w:rsidRPr="00AC36A8">
        <w:rPr>
          <w:rFonts w:ascii="Arial" w:hAnsi="Arial" w:cs="Arial"/>
          <w:i/>
          <w:iCs/>
          <w:sz w:val="22"/>
          <w:szCs w:val="22"/>
        </w:rPr>
        <w:t>Improving Schools</w:t>
      </w:r>
      <w:r>
        <w:rPr>
          <w:rFonts w:ascii="Arial" w:hAnsi="Arial" w:cs="Arial"/>
          <w:sz w:val="22"/>
          <w:szCs w:val="22"/>
        </w:rPr>
        <w:t>. Vol. 25, No 1, pp. 1-22.</w:t>
      </w:r>
    </w:p>
    <w:p w14:paraId="2A046B43" w14:textId="77777777" w:rsidR="001111CE" w:rsidRDefault="001111CE" w:rsidP="00C546B1">
      <w:pPr>
        <w:rPr>
          <w:rFonts w:ascii="Arial" w:hAnsi="Arial" w:cs="Arial"/>
          <w:sz w:val="22"/>
          <w:szCs w:val="22"/>
        </w:rPr>
      </w:pPr>
    </w:p>
    <w:p w14:paraId="6A0A778A" w14:textId="6337C571" w:rsidR="001111CE" w:rsidRDefault="001111CE" w:rsidP="00C546B1">
      <w:pPr>
        <w:rPr>
          <w:rFonts w:ascii="Arial" w:hAnsi="Arial" w:cs="Arial"/>
          <w:sz w:val="22"/>
          <w:szCs w:val="22"/>
        </w:rPr>
      </w:pPr>
      <w:r>
        <w:rPr>
          <w:rFonts w:ascii="Arial" w:hAnsi="Arial" w:cs="Arial"/>
          <w:sz w:val="22"/>
          <w:szCs w:val="22"/>
        </w:rPr>
        <w:lastRenderedPageBreak/>
        <w:t>O’Connor, C. and Joffe, H. (2020) ‘Intercoder Reliability in Qualitative Research: Debates and Practical Guidelines’ International Journal of Qualitative Methods. Vol.19, No. 1, pp. 1-18.</w:t>
      </w:r>
    </w:p>
    <w:p w14:paraId="7C069EAD" w14:textId="45129A4F" w:rsidR="00A33D89" w:rsidRDefault="00A33D89" w:rsidP="00C546B1">
      <w:pPr>
        <w:rPr>
          <w:rFonts w:ascii="Arial" w:hAnsi="Arial" w:cs="Arial"/>
          <w:sz w:val="22"/>
          <w:szCs w:val="22"/>
        </w:rPr>
      </w:pPr>
      <w:r>
        <w:rPr>
          <w:rFonts w:ascii="Arial" w:hAnsi="Arial" w:cs="Arial"/>
          <w:sz w:val="22"/>
          <w:szCs w:val="22"/>
        </w:rPr>
        <w:t xml:space="preserve">Over, H. (2016) ‘The Origins of Belonging: Social Motivation in Infants and Young Children’ </w:t>
      </w:r>
      <w:r w:rsidRPr="00A33D89">
        <w:rPr>
          <w:rFonts w:ascii="Arial" w:hAnsi="Arial" w:cs="Arial"/>
          <w:i/>
          <w:iCs/>
          <w:sz w:val="22"/>
          <w:szCs w:val="22"/>
        </w:rPr>
        <w:t>The Royal Society Publishing</w:t>
      </w:r>
      <w:r>
        <w:rPr>
          <w:rFonts w:ascii="Arial" w:hAnsi="Arial" w:cs="Arial"/>
          <w:sz w:val="22"/>
          <w:szCs w:val="22"/>
        </w:rPr>
        <w:t>. Vol. 19, No. 371, pp. 16-86.</w:t>
      </w:r>
    </w:p>
    <w:p w14:paraId="389D177E" w14:textId="77777777" w:rsidR="007C1A34" w:rsidRDefault="007C1A34" w:rsidP="00C546B1">
      <w:pPr>
        <w:rPr>
          <w:rFonts w:ascii="Arial" w:hAnsi="Arial" w:cs="Arial"/>
          <w:sz w:val="22"/>
          <w:szCs w:val="22"/>
        </w:rPr>
      </w:pPr>
    </w:p>
    <w:p w14:paraId="41189E35" w14:textId="7E14CBFB" w:rsidR="007C1A34" w:rsidRDefault="007C1A34" w:rsidP="00C546B1">
      <w:pPr>
        <w:rPr>
          <w:rFonts w:ascii="Arial" w:hAnsi="Arial" w:cs="Arial"/>
          <w:sz w:val="22"/>
          <w:szCs w:val="22"/>
        </w:rPr>
      </w:pPr>
      <w:r>
        <w:rPr>
          <w:rFonts w:ascii="Arial" w:hAnsi="Arial" w:cs="Arial"/>
          <w:sz w:val="22"/>
          <w:szCs w:val="22"/>
        </w:rPr>
        <w:t xml:space="preserve">Park, N., Chun, M. and Lee, J. (2016) ‘Revisiting Individual Creativity Assessment: Triangulation in Subjective and Objective Assessment Methods’ </w:t>
      </w:r>
      <w:r w:rsidRPr="007C1A34">
        <w:rPr>
          <w:rFonts w:ascii="Arial" w:hAnsi="Arial" w:cs="Arial"/>
          <w:i/>
          <w:iCs/>
          <w:sz w:val="22"/>
          <w:szCs w:val="22"/>
        </w:rPr>
        <w:t>Creativity Research Journal</w:t>
      </w:r>
      <w:r>
        <w:rPr>
          <w:rFonts w:ascii="Arial" w:hAnsi="Arial" w:cs="Arial"/>
          <w:sz w:val="22"/>
          <w:szCs w:val="22"/>
        </w:rPr>
        <w:t>. Vol. 28, No. 1, pp. 1-10.</w:t>
      </w:r>
    </w:p>
    <w:p w14:paraId="2B14E054" w14:textId="77777777" w:rsidR="009E2260" w:rsidRDefault="009E2260" w:rsidP="00C546B1">
      <w:pPr>
        <w:rPr>
          <w:rFonts w:ascii="Arial" w:hAnsi="Arial" w:cs="Arial"/>
          <w:sz w:val="22"/>
          <w:szCs w:val="22"/>
        </w:rPr>
      </w:pPr>
    </w:p>
    <w:p w14:paraId="15887292" w14:textId="71464EEE" w:rsidR="009E2260" w:rsidRDefault="009E2260" w:rsidP="00C546B1">
      <w:pPr>
        <w:rPr>
          <w:rFonts w:ascii="Arial" w:hAnsi="Arial" w:cs="Arial"/>
          <w:sz w:val="22"/>
          <w:szCs w:val="22"/>
        </w:rPr>
      </w:pPr>
      <w:r>
        <w:rPr>
          <w:rFonts w:ascii="Arial" w:hAnsi="Arial" w:cs="Arial"/>
          <w:sz w:val="22"/>
          <w:szCs w:val="22"/>
        </w:rPr>
        <w:t xml:space="preserve">Paquette, E. </w:t>
      </w:r>
      <w:proofErr w:type="spellStart"/>
      <w:r>
        <w:rPr>
          <w:rFonts w:ascii="Arial" w:hAnsi="Arial" w:cs="Arial"/>
          <w:sz w:val="22"/>
          <w:szCs w:val="22"/>
        </w:rPr>
        <w:t>Palac</w:t>
      </w:r>
      <w:proofErr w:type="spellEnd"/>
      <w:r>
        <w:rPr>
          <w:rFonts w:ascii="Arial" w:hAnsi="Arial" w:cs="Arial"/>
          <w:sz w:val="22"/>
          <w:szCs w:val="22"/>
        </w:rPr>
        <w:t xml:space="preserve">, H., Bair, E., Schultz, B., </w:t>
      </w:r>
      <w:proofErr w:type="spellStart"/>
      <w:r>
        <w:rPr>
          <w:rFonts w:ascii="Arial" w:hAnsi="Arial" w:cs="Arial"/>
          <w:sz w:val="22"/>
          <w:szCs w:val="22"/>
        </w:rPr>
        <w:t>Stenquist</w:t>
      </w:r>
      <w:proofErr w:type="spellEnd"/>
      <w:r>
        <w:rPr>
          <w:rFonts w:ascii="Arial" w:hAnsi="Arial" w:cs="Arial"/>
          <w:sz w:val="22"/>
          <w:szCs w:val="22"/>
        </w:rPr>
        <w:t xml:space="preserve">, N., </w:t>
      </w:r>
      <w:proofErr w:type="spellStart"/>
      <w:r>
        <w:rPr>
          <w:rFonts w:ascii="Arial" w:hAnsi="Arial" w:cs="Arial"/>
          <w:sz w:val="22"/>
          <w:szCs w:val="22"/>
        </w:rPr>
        <w:t>Shikla</w:t>
      </w:r>
      <w:proofErr w:type="spellEnd"/>
      <w:r>
        <w:rPr>
          <w:rFonts w:ascii="Arial" w:hAnsi="Arial" w:cs="Arial"/>
          <w:sz w:val="22"/>
          <w:szCs w:val="22"/>
        </w:rPr>
        <w:t xml:space="preserve">, A. and Joffe, S. (2020) ‘The Importance of Engaging Children in Research Decision-Making: A Preliminary Mixed-Methods Study’ </w:t>
      </w:r>
      <w:r w:rsidRPr="009E2260">
        <w:rPr>
          <w:rFonts w:ascii="Arial" w:hAnsi="Arial" w:cs="Arial"/>
          <w:i/>
          <w:iCs/>
          <w:sz w:val="22"/>
          <w:szCs w:val="22"/>
        </w:rPr>
        <w:t>Ethics and Human Resources</w:t>
      </w:r>
      <w:r>
        <w:rPr>
          <w:rFonts w:ascii="Arial" w:hAnsi="Arial" w:cs="Arial"/>
          <w:sz w:val="22"/>
          <w:szCs w:val="22"/>
        </w:rPr>
        <w:t>. Vol. 43, No. 3, pp. 12-20.</w:t>
      </w:r>
    </w:p>
    <w:p w14:paraId="7B92AE30" w14:textId="77777777" w:rsidR="00CE4511" w:rsidRDefault="00CE4511" w:rsidP="00C546B1">
      <w:pPr>
        <w:rPr>
          <w:rFonts w:ascii="Arial" w:hAnsi="Arial" w:cs="Arial"/>
          <w:sz w:val="22"/>
          <w:szCs w:val="22"/>
        </w:rPr>
      </w:pPr>
    </w:p>
    <w:p w14:paraId="12875A28" w14:textId="2CFE6969" w:rsidR="00CE4511" w:rsidRDefault="00CE4511" w:rsidP="00C546B1">
      <w:pPr>
        <w:rPr>
          <w:rFonts w:ascii="Arial" w:hAnsi="Arial" w:cs="Arial"/>
          <w:sz w:val="22"/>
          <w:szCs w:val="22"/>
        </w:rPr>
      </w:pPr>
      <w:r>
        <w:rPr>
          <w:rFonts w:ascii="Arial" w:hAnsi="Arial" w:cs="Arial"/>
          <w:sz w:val="22"/>
          <w:szCs w:val="22"/>
        </w:rPr>
        <w:t>Peters, O. (</w:t>
      </w:r>
      <w:r w:rsidR="0005438F">
        <w:rPr>
          <w:rFonts w:ascii="Arial" w:hAnsi="Arial" w:cs="Arial"/>
          <w:sz w:val="22"/>
          <w:szCs w:val="22"/>
        </w:rPr>
        <w:t xml:space="preserve">2022) </w:t>
      </w:r>
      <w:r w:rsidR="0005438F" w:rsidRPr="0005438F">
        <w:rPr>
          <w:rFonts w:ascii="Arial" w:hAnsi="Arial" w:cs="Arial"/>
          <w:i/>
          <w:iCs/>
          <w:sz w:val="22"/>
          <w:szCs w:val="22"/>
        </w:rPr>
        <w:t>Encyclopaedia of Global Bioethics.</w:t>
      </w:r>
      <w:r w:rsidR="0005438F">
        <w:rPr>
          <w:rFonts w:ascii="Arial" w:hAnsi="Arial" w:cs="Arial"/>
          <w:sz w:val="22"/>
          <w:szCs w:val="22"/>
        </w:rPr>
        <w:t xml:space="preserve"> Basingstoke: Springer.</w:t>
      </w:r>
    </w:p>
    <w:p w14:paraId="506922CC" w14:textId="77777777" w:rsidR="00371793" w:rsidRDefault="00371793" w:rsidP="00C546B1">
      <w:pPr>
        <w:rPr>
          <w:rFonts w:ascii="Arial" w:hAnsi="Arial" w:cs="Arial"/>
          <w:sz w:val="22"/>
          <w:szCs w:val="22"/>
        </w:rPr>
      </w:pPr>
    </w:p>
    <w:p w14:paraId="0950FA88" w14:textId="76EB657F" w:rsidR="00371793" w:rsidRDefault="00371793" w:rsidP="00C546B1">
      <w:pPr>
        <w:rPr>
          <w:rFonts w:ascii="Arial" w:hAnsi="Arial" w:cs="Arial"/>
          <w:sz w:val="22"/>
          <w:szCs w:val="22"/>
        </w:rPr>
      </w:pPr>
      <w:r>
        <w:rPr>
          <w:rFonts w:ascii="Arial" w:hAnsi="Arial" w:cs="Arial"/>
          <w:sz w:val="22"/>
          <w:szCs w:val="22"/>
        </w:rPr>
        <w:t xml:space="preserve">Priya, A. (2020) ‘Case Study Methodology of Qualitative Research: Key Attributes and Navigating the Conundrums in its Application’ </w:t>
      </w:r>
      <w:r w:rsidRPr="00371793">
        <w:rPr>
          <w:rFonts w:ascii="Arial" w:hAnsi="Arial" w:cs="Arial"/>
          <w:i/>
          <w:iCs/>
          <w:sz w:val="22"/>
          <w:szCs w:val="22"/>
        </w:rPr>
        <w:t>Journal Indexing and Metrics</w:t>
      </w:r>
      <w:r>
        <w:rPr>
          <w:rFonts w:ascii="Arial" w:hAnsi="Arial" w:cs="Arial"/>
          <w:sz w:val="22"/>
          <w:szCs w:val="22"/>
        </w:rPr>
        <w:t>. Vol. 70, No. 1 pp, 1-18.</w:t>
      </w:r>
    </w:p>
    <w:p w14:paraId="42A834CC" w14:textId="77777777" w:rsidR="009E2260" w:rsidRDefault="009E2260" w:rsidP="00C546B1">
      <w:pPr>
        <w:rPr>
          <w:rFonts w:ascii="Arial" w:hAnsi="Arial" w:cs="Arial"/>
          <w:sz w:val="22"/>
          <w:szCs w:val="22"/>
        </w:rPr>
      </w:pPr>
    </w:p>
    <w:p w14:paraId="3E30D939" w14:textId="170B7656" w:rsidR="009E2260" w:rsidRDefault="009E2260" w:rsidP="00C546B1">
      <w:pPr>
        <w:rPr>
          <w:rFonts w:ascii="Arial" w:hAnsi="Arial" w:cs="Arial"/>
          <w:sz w:val="22"/>
          <w:szCs w:val="22"/>
        </w:rPr>
      </w:pPr>
      <w:r>
        <w:rPr>
          <w:rFonts w:ascii="Arial" w:hAnsi="Arial" w:cs="Arial"/>
          <w:sz w:val="22"/>
          <w:szCs w:val="22"/>
        </w:rPr>
        <w:t xml:space="preserve">Pugh, J. (2020) </w:t>
      </w:r>
      <w:r w:rsidRPr="009E2260">
        <w:rPr>
          <w:rFonts w:ascii="Arial" w:hAnsi="Arial" w:cs="Arial"/>
          <w:i/>
          <w:iCs/>
          <w:sz w:val="22"/>
          <w:szCs w:val="22"/>
        </w:rPr>
        <w:t>Autonomy, Rationality and Contemporary Bioethics.</w:t>
      </w:r>
      <w:r>
        <w:rPr>
          <w:rFonts w:ascii="Arial" w:hAnsi="Arial" w:cs="Arial"/>
          <w:sz w:val="22"/>
          <w:szCs w:val="22"/>
        </w:rPr>
        <w:t xml:space="preserve"> Oxford: Oxford University Press.</w:t>
      </w:r>
    </w:p>
    <w:p w14:paraId="0D93C236" w14:textId="77777777" w:rsidR="00507C8F" w:rsidRDefault="00507C8F" w:rsidP="00C546B1">
      <w:pPr>
        <w:rPr>
          <w:rFonts w:ascii="Arial" w:hAnsi="Arial" w:cs="Arial"/>
          <w:sz w:val="22"/>
          <w:szCs w:val="22"/>
        </w:rPr>
      </w:pPr>
    </w:p>
    <w:p w14:paraId="068FE94A" w14:textId="448FFA2B" w:rsidR="00507C8F" w:rsidRDefault="00507C8F" w:rsidP="00C546B1">
      <w:pPr>
        <w:rPr>
          <w:rFonts w:ascii="Arial" w:hAnsi="Arial" w:cs="Arial"/>
          <w:sz w:val="22"/>
          <w:szCs w:val="22"/>
        </w:rPr>
      </w:pPr>
      <w:r>
        <w:rPr>
          <w:rFonts w:ascii="Arial" w:hAnsi="Arial" w:cs="Arial"/>
          <w:sz w:val="22"/>
          <w:szCs w:val="22"/>
        </w:rPr>
        <w:t xml:space="preserve">Quaye, A. (2019) ‘Children’s Active Participation in Decision-Making Processes During Hospitalisation: An Observational Study’ </w:t>
      </w:r>
      <w:r w:rsidRPr="00507C8F">
        <w:rPr>
          <w:rFonts w:ascii="Arial" w:hAnsi="Arial" w:cs="Arial"/>
          <w:i/>
          <w:iCs/>
          <w:sz w:val="22"/>
          <w:szCs w:val="22"/>
        </w:rPr>
        <w:t>Journal of Clinical Nursing</w:t>
      </w:r>
      <w:r>
        <w:rPr>
          <w:rFonts w:ascii="Arial" w:hAnsi="Arial" w:cs="Arial"/>
          <w:sz w:val="22"/>
          <w:szCs w:val="22"/>
        </w:rPr>
        <w:t>. Vol. 28. No. 23, pp. 4525-4537.</w:t>
      </w:r>
    </w:p>
    <w:p w14:paraId="39565D26" w14:textId="77777777" w:rsidR="00C546B1" w:rsidRDefault="00C546B1" w:rsidP="00C546B1">
      <w:pPr>
        <w:rPr>
          <w:rFonts w:ascii="Arial" w:hAnsi="Arial" w:cs="Arial"/>
          <w:sz w:val="22"/>
          <w:szCs w:val="22"/>
        </w:rPr>
      </w:pPr>
    </w:p>
    <w:p w14:paraId="5D29E208" w14:textId="42D40BEC" w:rsidR="00C546B1" w:rsidRDefault="00C546B1" w:rsidP="00C546B1">
      <w:pPr>
        <w:rPr>
          <w:rFonts w:ascii="Arial" w:hAnsi="Arial" w:cs="Arial"/>
          <w:sz w:val="22"/>
          <w:szCs w:val="22"/>
        </w:rPr>
      </w:pPr>
      <w:r>
        <w:rPr>
          <w:rFonts w:ascii="Arial" w:hAnsi="Arial" w:cs="Arial"/>
          <w:sz w:val="22"/>
          <w:szCs w:val="22"/>
        </w:rPr>
        <w:t xml:space="preserve">Resnik, D. (2020) ‘What is Ethics in Research and Why is it Important?’ </w:t>
      </w:r>
      <w:r w:rsidRPr="00C546B1">
        <w:rPr>
          <w:rFonts w:ascii="Arial" w:hAnsi="Arial" w:cs="Arial"/>
          <w:i/>
          <w:iCs/>
          <w:sz w:val="22"/>
          <w:szCs w:val="22"/>
        </w:rPr>
        <w:t>National Research of Environmental Health Sciences</w:t>
      </w:r>
      <w:r>
        <w:rPr>
          <w:rFonts w:ascii="Arial" w:hAnsi="Arial" w:cs="Arial"/>
          <w:sz w:val="22"/>
          <w:szCs w:val="22"/>
        </w:rPr>
        <w:t>. Vol. 1, No. 1, pp. 1-22.</w:t>
      </w:r>
    </w:p>
    <w:p w14:paraId="70DEAFA0" w14:textId="77777777" w:rsidR="000C6351" w:rsidRDefault="000C6351" w:rsidP="00C546B1">
      <w:pPr>
        <w:rPr>
          <w:rFonts w:ascii="Arial" w:hAnsi="Arial" w:cs="Arial"/>
          <w:sz w:val="22"/>
          <w:szCs w:val="22"/>
        </w:rPr>
      </w:pPr>
    </w:p>
    <w:p w14:paraId="0772F219" w14:textId="42DE1963" w:rsidR="000C6351" w:rsidRDefault="000C6351" w:rsidP="00C546B1">
      <w:pPr>
        <w:rPr>
          <w:rFonts w:ascii="Arial" w:hAnsi="Arial" w:cs="Arial"/>
          <w:sz w:val="22"/>
          <w:szCs w:val="22"/>
        </w:rPr>
      </w:pPr>
      <w:r>
        <w:rPr>
          <w:rFonts w:ascii="Arial" w:hAnsi="Arial" w:cs="Arial"/>
          <w:sz w:val="22"/>
          <w:szCs w:val="22"/>
        </w:rPr>
        <w:t xml:space="preserve">Robson, C. (2022) </w:t>
      </w:r>
      <w:r w:rsidRPr="000C6351">
        <w:rPr>
          <w:rFonts w:ascii="Arial" w:hAnsi="Arial" w:cs="Arial"/>
          <w:i/>
          <w:iCs/>
          <w:sz w:val="22"/>
          <w:szCs w:val="22"/>
        </w:rPr>
        <w:t xml:space="preserve">Real World Research: A Resource for Social Scientists and Practitioner-Researchers. </w:t>
      </w:r>
      <w:r>
        <w:rPr>
          <w:rFonts w:ascii="Arial" w:hAnsi="Arial" w:cs="Arial"/>
          <w:sz w:val="22"/>
          <w:szCs w:val="22"/>
        </w:rPr>
        <w:t>(Second Edition). Oxford: Blackwell Publishers Limited.</w:t>
      </w:r>
    </w:p>
    <w:p w14:paraId="70C20823" w14:textId="77777777" w:rsidR="00A6277C" w:rsidRDefault="00A6277C" w:rsidP="00C546B1">
      <w:pPr>
        <w:rPr>
          <w:rFonts w:ascii="Arial" w:hAnsi="Arial" w:cs="Arial"/>
          <w:sz w:val="22"/>
          <w:szCs w:val="22"/>
        </w:rPr>
      </w:pPr>
    </w:p>
    <w:p w14:paraId="6253E46F" w14:textId="521F3BBB" w:rsidR="00A6277C" w:rsidRDefault="00A6277C" w:rsidP="00C546B1">
      <w:pPr>
        <w:rPr>
          <w:rFonts w:ascii="Arial" w:hAnsi="Arial" w:cs="Arial"/>
          <w:sz w:val="22"/>
          <w:szCs w:val="22"/>
        </w:rPr>
      </w:pPr>
      <w:r>
        <w:rPr>
          <w:rFonts w:ascii="Arial" w:hAnsi="Arial" w:cs="Arial"/>
          <w:sz w:val="22"/>
          <w:szCs w:val="22"/>
        </w:rPr>
        <w:t xml:space="preserve">Rutten, L. (2021) ‘Toward a Theory of Action for Practitioner Inquiry as Professional Development in Preservice Teacher Education’ </w:t>
      </w:r>
      <w:r w:rsidRPr="00A6277C">
        <w:rPr>
          <w:rFonts w:ascii="Arial" w:hAnsi="Arial" w:cs="Arial"/>
          <w:i/>
          <w:iCs/>
          <w:sz w:val="22"/>
          <w:szCs w:val="22"/>
        </w:rPr>
        <w:t>Teaching and Teacher Education</w:t>
      </w:r>
      <w:r>
        <w:rPr>
          <w:rFonts w:ascii="Arial" w:hAnsi="Arial" w:cs="Arial"/>
          <w:sz w:val="22"/>
          <w:szCs w:val="22"/>
        </w:rPr>
        <w:t>. Vol. 97, No. 21, pp. 10-31.</w:t>
      </w:r>
    </w:p>
    <w:p w14:paraId="544AF3E1" w14:textId="77777777" w:rsidR="00BF3450" w:rsidRDefault="00BF3450" w:rsidP="00C546B1">
      <w:pPr>
        <w:rPr>
          <w:rFonts w:ascii="Arial" w:hAnsi="Arial" w:cs="Arial"/>
          <w:sz w:val="22"/>
          <w:szCs w:val="22"/>
        </w:rPr>
      </w:pPr>
    </w:p>
    <w:p w14:paraId="385FFA15" w14:textId="4D9B5D36" w:rsidR="00BF3450" w:rsidRDefault="00BF3450" w:rsidP="00C546B1">
      <w:pPr>
        <w:rPr>
          <w:rFonts w:ascii="Arial" w:hAnsi="Arial" w:cs="Arial"/>
          <w:sz w:val="22"/>
          <w:szCs w:val="22"/>
        </w:rPr>
      </w:pPr>
      <w:r>
        <w:rPr>
          <w:rFonts w:ascii="Arial" w:hAnsi="Arial" w:cs="Arial"/>
          <w:sz w:val="22"/>
          <w:szCs w:val="22"/>
        </w:rPr>
        <w:t xml:space="preserve">Ryan, R. and Deci, E. (2020) ‘Intrinsic and Extrinsic Motivation from a Self-Determination Theory Perspective: Definitions, Theory, Practices and Future Directions’ </w:t>
      </w:r>
      <w:r w:rsidRPr="00BF3450">
        <w:rPr>
          <w:rFonts w:ascii="Arial" w:hAnsi="Arial" w:cs="Arial"/>
          <w:i/>
          <w:iCs/>
          <w:sz w:val="22"/>
          <w:szCs w:val="22"/>
        </w:rPr>
        <w:t>Contemporary Educational Theory</w:t>
      </w:r>
      <w:r>
        <w:rPr>
          <w:rFonts w:ascii="Arial" w:hAnsi="Arial" w:cs="Arial"/>
          <w:sz w:val="22"/>
          <w:szCs w:val="22"/>
        </w:rPr>
        <w:t>. Vol. 10, No. 6, pp. 1-18.</w:t>
      </w:r>
    </w:p>
    <w:p w14:paraId="5E84BD69" w14:textId="77777777" w:rsidR="00487975" w:rsidRDefault="00487975" w:rsidP="00C546B1">
      <w:pPr>
        <w:rPr>
          <w:rFonts w:ascii="Arial" w:hAnsi="Arial" w:cs="Arial"/>
          <w:sz w:val="22"/>
          <w:szCs w:val="22"/>
        </w:rPr>
      </w:pPr>
    </w:p>
    <w:p w14:paraId="6E98F701" w14:textId="3E4C3AC4" w:rsidR="00487975" w:rsidRDefault="00487975" w:rsidP="00C546B1">
      <w:pPr>
        <w:rPr>
          <w:rFonts w:ascii="Arial" w:hAnsi="Arial" w:cs="Arial"/>
          <w:sz w:val="22"/>
          <w:szCs w:val="22"/>
        </w:rPr>
      </w:pPr>
      <w:r>
        <w:rPr>
          <w:rFonts w:ascii="Arial" w:hAnsi="Arial" w:cs="Arial"/>
          <w:sz w:val="22"/>
          <w:szCs w:val="22"/>
        </w:rPr>
        <w:t xml:space="preserve">Santhosh, L., Rojas, J. and Lyons, P. (2021) ‘Zooming into Focus Groups: Strategies for Qualitative Research in the Era of Social Distancing’ </w:t>
      </w:r>
      <w:r w:rsidRPr="00487975">
        <w:rPr>
          <w:rFonts w:ascii="Arial" w:hAnsi="Arial" w:cs="Arial"/>
          <w:i/>
          <w:iCs/>
          <w:sz w:val="22"/>
          <w:szCs w:val="22"/>
        </w:rPr>
        <w:t>ATS Scholar</w:t>
      </w:r>
      <w:r>
        <w:rPr>
          <w:rFonts w:ascii="Arial" w:hAnsi="Arial" w:cs="Arial"/>
          <w:sz w:val="22"/>
          <w:szCs w:val="22"/>
        </w:rPr>
        <w:t>. Vol. 2, No. 2, pp. 176-184.</w:t>
      </w:r>
    </w:p>
    <w:p w14:paraId="3812F5B8" w14:textId="77777777" w:rsidR="0008288E" w:rsidRDefault="0008288E" w:rsidP="00C546B1">
      <w:pPr>
        <w:rPr>
          <w:rFonts w:ascii="Arial" w:hAnsi="Arial" w:cs="Arial"/>
          <w:sz w:val="22"/>
          <w:szCs w:val="22"/>
        </w:rPr>
      </w:pPr>
    </w:p>
    <w:p w14:paraId="493FE8A5" w14:textId="0E122639" w:rsidR="0008288E" w:rsidRDefault="0008288E" w:rsidP="00C546B1">
      <w:pPr>
        <w:rPr>
          <w:rFonts w:ascii="Arial" w:hAnsi="Arial" w:cs="Arial"/>
          <w:sz w:val="22"/>
          <w:szCs w:val="22"/>
        </w:rPr>
      </w:pPr>
      <w:r>
        <w:rPr>
          <w:rFonts w:ascii="Arial" w:hAnsi="Arial" w:cs="Arial"/>
          <w:sz w:val="22"/>
          <w:szCs w:val="22"/>
        </w:rPr>
        <w:t xml:space="preserve">Saunders, B., Kitzinger, J. and Kitzinger, C. (2015) ‘Anonymising Interview Data: Challenges and Compromise in Practice’ </w:t>
      </w:r>
      <w:r w:rsidRPr="0008288E">
        <w:rPr>
          <w:rFonts w:ascii="Arial" w:hAnsi="Arial" w:cs="Arial"/>
          <w:i/>
          <w:iCs/>
          <w:sz w:val="22"/>
          <w:szCs w:val="22"/>
        </w:rPr>
        <w:t>Sage Journals</w:t>
      </w:r>
      <w:r>
        <w:rPr>
          <w:rFonts w:ascii="Arial" w:hAnsi="Arial" w:cs="Arial"/>
          <w:sz w:val="22"/>
          <w:szCs w:val="22"/>
        </w:rPr>
        <w:t>. Vol. 15, No. 5, pp. 616-632.</w:t>
      </w:r>
    </w:p>
    <w:p w14:paraId="36F1617B" w14:textId="77777777" w:rsidR="00E91EE7" w:rsidRDefault="00E91EE7" w:rsidP="00C546B1">
      <w:pPr>
        <w:rPr>
          <w:rFonts w:ascii="Arial" w:hAnsi="Arial" w:cs="Arial"/>
          <w:sz w:val="22"/>
          <w:szCs w:val="22"/>
        </w:rPr>
      </w:pPr>
    </w:p>
    <w:p w14:paraId="51085A95" w14:textId="54FB4388" w:rsidR="00E91EE7" w:rsidRDefault="00E91EE7" w:rsidP="00C546B1">
      <w:pPr>
        <w:rPr>
          <w:rFonts w:ascii="Arial" w:hAnsi="Arial" w:cs="Arial"/>
          <w:sz w:val="22"/>
          <w:szCs w:val="22"/>
        </w:rPr>
      </w:pPr>
      <w:r>
        <w:rPr>
          <w:rFonts w:ascii="Arial" w:hAnsi="Arial" w:cs="Arial"/>
          <w:sz w:val="22"/>
          <w:szCs w:val="22"/>
        </w:rPr>
        <w:t>Shah, R. (2019) ‘Child Centred Education</w:t>
      </w:r>
      <w:r w:rsidR="00371793">
        <w:rPr>
          <w:rFonts w:ascii="Arial" w:hAnsi="Arial" w:cs="Arial"/>
          <w:sz w:val="22"/>
          <w:szCs w:val="22"/>
        </w:rPr>
        <w:t xml:space="preserve">: Criticisms’ </w:t>
      </w:r>
      <w:r w:rsidR="00371793" w:rsidRPr="00371793">
        <w:rPr>
          <w:rFonts w:ascii="Arial" w:hAnsi="Arial" w:cs="Arial"/>
          <w:i/>
          <w:iCs/>
          <w:sz w:val="22"/>
          <w:szCs w:val="22"/>
        </w:rPr>
        <w:t>International Journals of Education</w:t>
      </w:r>
      <w:r w:rsidR="00371793">
        <w:rPr>
          <w:rFonts w:ascii="Arial" w:hAnsi="Arial" w:cs="Arial"/>
          <w:sz w:val="22"/>
          <w:szCs w:val="22"/>
        </w:rPr>
        <w:t>. Vol. 8, No. 1, pp. 22-37.</w:t>
      </w:r>
    </w:p>
    <w:p w14:paraId="63830973" w14:textId="77777777" w:rsidR="002F0492" w:rsidRDefault="002F0492" w:rsidP="00C546B1">
      <w:pPr>
        <w:rPr>
          <w:rFonts w:ascii="Arial" w:hAnsi="Arial" w:cs="Arial"/>
          <w:sz w:val="22"/>
          <w:szCs w:val="22"/>
        </w:rPr>
      </w:pPr>
    </w:p>
    <w:p w14:paraId="08433130" w14:textId="6340DA78" w:rsidR="002F0492" w:rsidRDefault="002F0492" w:rsidP="00C546B1">
      <w:pPr>
        <w:rPr>
          <w:rFonts w:ascii="Arial" w:hAnsi="Arial" w:cs="Arial"/>
          <w:sz w:val="22"/>
          <w:szCs w:val="22"/>
        </w:rPr>
      </w:pPr>
      <w:r>
        <w:rPr>
          <w:rFonts w:ascii="Arial" w:hAnsi="Arial" w:cs="Arial"/>
          <w:sz w:val="22"/>
          <w:szCs w:val="22"/>
        </w:rPr>
        <w:t xml:space="preserve">Skerritt, C., Brown, M. and O’Hara, J. (2023) ‘Students Voice and Classroom Practice: How Students are Consulted in Contexts without Traditions of Student Voice’ </w:t>
      </w:r>
      <w:r w:rsidRPr="002F0492">
        <w:rPr>
          <w:rFonts w:ascii="Arial" w:hAnsi="Arial" w:cs="Arial"/>
          <w:i/>
          <w:iCs/>
          <w:sz w:val="22"/>
          <w:szCs w:val="22"/>
        </w:rPr>
        <w:t>Pedagogy, Culture and Society</w:t>
      </w:r>
      <w:r>
        <w:rPr>
          <w:rFonts w:ascii="Arial" w:hAnsi="Arial" w:cs="Arial"/>
          <w:sz w:val="22"/>
          <w:szCs w:val="22"/>
        </w:rPr>
        <w:t>. Vol. 31, no. 5, p. 955-974.</w:t>
      </w:r>
    </w:p>
    <w:p w14:paraId="08779B9C" w14:textId="77777777" w:rsidR="000340B0" w:rsidRDefault="000340B0" w:rsidP="00C546B1">
      <w:pPr>
        <w:rPr>
          <w:rFonts w:ascii="Arial" w:hAnsi="Arial" w:cs="Arial"/>
          <w:sz w:val="22"/>
          <w:szCs w:val="22"/>
        </w:rPr>
      </w:pPr>
    </w:p>
    <w:p w14:paraId="698C0556" w14:textId="417B1646" w:rsidR="000340B0" w:rsidRDefault="000340B0" w:rsidP="00C546B1">
      <w:pPr>
        <w:rPr>
          <w:rFonts w:ascii="Arial" w:hAnsi="Arial" w:cs="Arial"/>
          <w:sz w:val="22"/>
          <w:szCs w:val="22"/>
        </w:rPr>
      </w:pPr>
      <w:r>
        <w:rPr>
          <w:rFonts w:ascii="Arial" w:hAnsi="Arial" w:cs="Arial"/>
          <w:sz w:val="22"/>
          <w:szCs w:val="22"/>
        </w:rPr>
        <w:lastRenderedPageBreak/>
        <w:t xml:space="preserve">Smit, B. (2018) ‘Observations in Qualitative Inquiry: When What You See is Not What You See’ </w:t>
      </w:r>
      <w:r w:rsidRPr="000340B0">
        <w:rPr>
          <w:rFonts w:ascii="Arial" w:hAnsi="Arial" w:cs="Arial"/>
          <w:i/>
          <w:iCs/>
          <w:sz w:val="22"/>
          <w:szCs w:val="22"/>
        </w:rPr>
        <w:t>International Journal of Qualitative Methods</w:t>
      </w:r>
      <w:r>
        <w:rPr>
          <w:rFonts w:ascii="Arial" w:hAnsi="Arial" w:cs="Arial"/>
          <w:sz w:val="22"/>
          <w:szCs w:val="22"/>
        </w:rPr>
        <w:t>. Vol. 1, No. 1, pp. 1-13.</w:t>
      </w:r>
    </w:p>
    <w:p w14:paraId="4706AE3A" w14:textId="77777777" w:rsidR="00262C73" w:rsidRDefault="00262C73" w:rsidP="00C546B1">
      <w:pPr>
        <w:rPr>
          <w:rFonts w:ascii="Arial" w:hAnsi="Arial" w:cs="Arial"/>
          <w:sz w:val="22"/>
          <w:szCs w:val="22"/>
        </w:rPr>
      </w:pPr>
    </w:p>
    <w:p w14:paraId="2989B870" w14:textId="3CC96354" w:rsidR="00262C73" w:rsidRDefault="00262C73" w:rsidP="00C546B1">
      <w:pPr>
        <w:rPr>
          <w:rFonts w:ascii="Arial" w:hAnsi="Arial" w:cs="Arial"/>
          <w:sz w:val="22"/>
          <w:szCs w:val="22"/>
        </w:rPr>
      </w:pPr>
      <w:r>
        <w:rPr>
          <w:rFonts w:ascii="Arial" w:hAnsi="Arial" w:cs="Arial"/>
          <w:sz w:val="22"/>
          <w:szCs w:val="22"/>
        </w:rPr>
        <w:t xml:space="preserve">Thomas, H., Duggan, B., McAlister-Wilson, S., Roberts, L., Research, A. and </w:t>
      </w:r>
      <w:proofErr w:type="spellStart"/>
      <w:r>
        <w:rPr>
          <w:rFonts w:ascii="Arial" w:hAnsi="Arial" w:cs="Arial"/>
          <w:sz w:val="22"/>
          <w:szCs w:val="22"/>
        </w:rPr>
        <w:t>Sinnema</w:t>
      </w:r>
      <w:proofErr w:type="spellEnd"/>
      <w:r>
        <w:rPr>
          <w:rFonts w:ascii="Arial" w:hAnsi="Arial" w:cs="Arial"/>
          <w:sz w:val="22"/>
          <w:szCs w:val="22"/>
        </w:rPr>
        <w:t xml:space="preserve">, C. (2023) </w:t>
      </w:r>
      <w:r w:rsidRPr="00262C73">
        <w:rPr>
          <w:rFonts w:ascii="Arial" w:hAnsi="Arial" w:cs="Arial"/>
          <w:i/>
          <w:iCs/>
          <w:sz w:val="22"/>
          <w:szCs w:val="22"/>
        </w:rPr>
        <w:t>Research on the Early Implementation of Curriculum for Wales: Wave 2 Report.</w:t>
      </w:r>
      <w:r>
        <w:rPr>
          <w:rFonts w:ascii="Arial" w:hAnsi="Arial" w:cs="Arial"/>
          <w:sz w:val="22"/>
          <w:szCs w:val="22"/>
        </w:rPr>
        <w:t xml:space="preserve"> Cardiff: Crown.</w:t>
      </w:r>
    </w:p>
    <w:p w14:paraId="65F99A79" w14:textId="77777777" w:rsidR="00A33D89" w:rsidRDefault="00A33D89" w:rsidP="00C546B1">
      <w:pPr>
        <w:rPr>
          <w:rFonts w:ascii="Arial" w:hAnsi="Arial" w:cs="Arial"/>
          <w:sz w:val="22"/>
          <w:szCs w:val="22"/>
        </w:rPr>
      </w:pPr>
    </w:p>
    <w:p w14:paraId="509ECBA3" w14:textId="72C715C5" w:rsidR="00A33D89" w:rsidRDefault="00A33D89" w:rsidP="00C546B1">
      <w:pPr>
        <w:rPr>
          <w:rFonts w:ascii="Arial" w:hAnsi="Arial" w:cs="Arial"/>
          <w:sz w:val="22"/>
          <w:szCs w:val="22"/>
        </w:rPr>
      </w:pPr>
      <w:r>
        <w:rPr>
          <w:rFonts w:ascii="Arial" w:hAnsi="Arial" w:cs="Arial"/>
          <w:sz w:val="22"/>
          <w:szCs w:val="22"/>
        </w:rPr>
        <w:t xml:space="preserve">UNICEF (2018) </w:t>
      </w:r>
      <w:r w:rsidRPr="00A33D89">
        <w:rPr>
          <w:rFonts w:ascii="Arial" w:hAnsi="Arial" w:cs="Arial"/>
          <w:i/>
          <w:iCs/>
          <w:sz w:val="22"/>
          <w:szCs w:val="22"/>
        </w:rPr>
        <w:t>Learning Through Play</w:t>
      </w:r>
      <w:r>
        <w:rPr>
          <w:rFonts w:ascii="Arial" w:hAnsi="Arial" w:cs="Arial"/>
          <w:sz w:val="22"/>
          <w:szCs w:val="22"/>
        </w:rPr>
        <w:t xml:space="preserve">. Available at: </w:t>
      </w:r>
      <w:r w:rsidRPr="00A33D89">
        <w:rPr>
          <w:rFonts w:ascii="Arial" w:hAnsi="Arial" w:cs="Arial"/>
          <w:sz w:val="22"/>
          <w:szCs w:val="22"/>
        </w:rPr>
        <w:t>https://www.unicef.org/sites/default/files/2018-12/UNICEF-Lego-Foundation-Learning-through-Play.pdf</w:t>
      </w:r>
      <w:r>
        <w:rPr>
          <w:rFonts w:ascii="Arial" w:hAnsi="Arial" w:cs="Arial"/>
          <w:sz w:val="22"/>
          <w:szCs w:val="22"/>
        </w:rPr>
        <w:t xml:space="preserve"> (Accessed on 6th May 2024).</w:t>
      </w:r>
    </w:p>
    <w:p w14:paraId="7FF1B891" w14:textId="77777777" w:rsidR="00C546B1" w:rsidRDefault="00C546B1" w:rsidP="00C546B1">
      <w:pPr>
        <w:rPr>
          <w:rFonts w:ascii="Arial" w:hAnsi="Arial" w:cs="Arial"/>
          <w:sz w:val="22"/>
          <w:szCs w:val="22"/>
        </w:rPr>
      </w:pPr>
    </w:p>
    <w:p w14:paraId="4F90D8EB" w14:textId="07BA3B56" w:rsidR="00C546B1" w:rsidRDefault="00C546B1" w:rsidP="00C546B1">
      <w:pPr>
        <w:rPr>
          <w:rFonts w:ascii="Arial" w:hAnsi="Arial" w:cs="Arial"/>
          <w:sz w:val="22"/>
          <w:szCs w:val="22"/>
        </w:rPr>
      </w:pPr>
      <w:r>
        <w:rPr>
          <w:rFonts w:ascii="Arial" w:hAnsi="Arial" w:cs="Arial"/>
          <w:sz w:val="22"/>
          <w:szCs w:val="22"/>
        </w:rPr>
        <w:t xml:space="preserve">UNICEF (2023) </w:t>
      </w:r>
      <w:r w:rsidRPr="00C546B1">
        <w:rPr>
          <w:rFonts w:ascii="Arial" w:hAnsi="Arial" w:cs="Arial"/>
          <w:i/>
          <w:iCs/>
          <w:sz w:val="22"/>
          <w:szCs w:val="22"/>
        </w:rPr>
        <w:t>How we Protect Children’s Rights.</w:t>
      </w:r>
      <w:r>
        <w:rPr>
          <w:rFonts w:ascii="Arial" w:hAnsi="Arial" w:cs="Arial"/>
          <w:sz w:val="22"/>
          <w:szCs w:val="22"/>
        </w:rPr>
        <w:t xml:space="preserve"> Available at: </w:t>
      </w:r>
      <w:r w:rsidRPr="00C546B1">
        <w:rPr>
          <w:rFonts w:ascii="Arial" w:hAnsi="Arial" w:cs="Arial"/>
          <w:sz w:val="22"/>
          <w:szCs w:val="22"/>
        </w:rPr>
        <w:t>https://www.unicef.org.uk/what-we-do/un-convention-child-rights/</w:t>
      </w:r>
      <w:r>
        <w:rPr>
          <w:rFonts w:ascii="Arial" w:hAnsi="Arial" w:cs="Arial"/>
          <w:sz w:val="22"/>
          <w:szCs w:val="22"/>
        </w:rPr>
        <w:t xml:space="preserve"> (Accessed on 29</w:t>
      </w:r>
      <w:r w:rsidRPr="00C546B1">
        <w:rPr>
          <w:rFonts w:ascii="Arial" w:hAnsi="Arial" w:cs="Arial"/>
          <w:sz w:val="22"/>
          <w:szCs w:val="22"/>
          <w:vertAlign w:val="superscript"/>
        </w:rPr>
        <w:t>th</w:t>
      </w:r>
      <w:r>
        <w:rPr>
          <w:rFonts w:ascii="Arial" w:hAnsi="Arial" w:cs="Arial"/>
          <w:sz w:val="22"/>
          <w:szCs w:val="22"/>
        </w:rPr>
        <w:t xml:space="preserve"> March 2024). </w:t>
      </w:r>
    </w:p>
    <w:p w14:paraId="1BF96E44" w14:textId="77777777" w:rsidR="000340B0" w:rsidRDefault="000340B0" w:rsidP="00C546B1">
      <w:pPr>
        <w:rPr>
          <w:rFonts w:ascii="Arial" w:hAnsi="Arial" w:cs="Arial"/>
          <w:sz w:val="22"/>
          <w:szCs w:val="22"/>
        </w:rPr>
      </w:pPr>
    </w:p>
    <w:p w14:paraId="0B96D6DB" w14:textId="530FA36B" w:rsidR="000340B0" w:rsidRDefault="000340B0" w:rsidP="00C546B1">
      <w:pPr>
        <w:rPr>
          <w:rFonts w:ascii="Arial" w:hAnsi="Arial" w:cs="Arial"/>
          <w:sz w:val="22"/>
          <w:szCs w:val="22"/>
        </w:rPr>
      </w:pPr>
      <w:r>
        <w:rPr>
          <w:rFonts w:ascii="Arial" w:hAnsi="Arial" w:cs="Arial"/>
          <w:sz w:val="22"/>
          <w:szCs w:val="22"/>
        </w:rPr>
        <w:t>Valencia, M. (2022) ‘Principles, Scope and Limitations of the Methodological Triangulation’</w:t>
      </w:r>
      <w:r w:rsidR="008A0847">
        <w:rPr>
          <w:rFonts w:ascii="Arial" w:hAnsi="Arial" w:cs="Arial"/>
          <w:sz w:val="22"/>
          <w:szCs w:val="22"/>
        </w:rPr>
        <w:t xml:space="preserve"> </w:t>
      </w:r>
      <w:r w:rsidR="008A0847" w:rsidRPr="008A0847">
        <w:rPr>
          <w:rFonts w:ascii="Arial" w:hAnsi="Arial" w:cs="Arial"/>
          <w:i/>
          <w:iCs/>
          <w:sz w:val="22"/>
          <w:szCs w:val="22"/>
        </w:rPr>
        <w:t>Methodological Triangulation</w:t>
      </w:r>
      <w:r>
        <w:rPr>
          <w:rFonts w:ascii="Arial" w:hAnsi="Arial" w:cs="Arial"/>
          <w:sz w:val="22"/>
          <w:szCs w:val="22"/>
        </w:rPr>
        <w:t>. Vol. 40, No. 2, p. 3.</w:t>
      </w:r>
    </w:p>
    <w:p w14:paraId="5EC4E14C" w14:textId="77777777" w:rsidR="007C1A34" w:rsidRDefault="007C1A34" w:rsidP="00C546B1">
      <w:pPr>
        <w:rPr>
          <w:rFonts w:ascii="Arial" w:hAnsi="Arial" w:cs="Arial"/>
          <w:sz w:val="22"/>
          <w:szCs w:val="22"/>
        </w:rPr>
      </w:pPr>
    </w:p>
    <w:p w14:paraId="31943272" w14:textId="5D0920EC" w:rsidR="007C1A34" w:rsidRDefault="007C1A34" w:rsidP="00C546B1">
      <w:pPr>
        <w:rPr>
          <w:rFonts w:ascii="Arial" w:hAnsi="Arial" w:cs="Arial"/>
          <w:sz w:val="22"/>
          <w:szCs w:val="22"/>
        </w:rPr>
      </w:pPr>
      <w:r>
        <w:rPr>
          <w:rFonts w:ascii="Arial" w:hAnsi="Arial" w:cs="Arial"/>
          <w:sz w:val="22"/>
          <w:szCs w:val="22"/>
        </w:rPr>
        <w:t xml:space="preserve">Watts, J. (2010) ‘Ethical and Practical Challenges of Participant Observation in Sensitive Health Research’ </w:t>
      </w:r>
      <w:r w:rsidRPr="007C1A34">
        <w:rPr>
          <w:rFonts w:ascii="Arial" w:hAnsi="Arial" w:cs="Arial"/>
          <w:i/>
          <w:iCs/>
          <w:sz w:val="22"/>
          <w:szCs w:val="22"/>
        </w:rPr>
        <w:t>Faculty of Health and Social Care</w:t>
      </w:r>
      <w:r>
        <w:rPr>
          <w:rFonts w:ascii="Arial" w:hAnsi="Arial" w:cs="Arial"/>
          <w:sz w:val="22"/>
          <w:szCs w:val="22"/>
        </w:rPr>
        <w:t>. Vol. 1, No. 1, pp. 1-13.</w:t>
      </w:r>
    </w:p>
    <w:p w14:paraId="721C589E" w14:textId="77777777" w:rsidR="00C546B1" w:rsidRDefault="00C546B1" w:rsidP="00C546B1">
      <w:pPr>
        <w:rPr>
          <w:rFonts w:ascii="Arial" w:hAnsi="Arial" w:cs="Arial"/>
          <w:sz w:val="22"/>
          <w:szCs w:val="22"/>
        </w:rPr>
      </w:pPr>
    </w:p>
    <w:p w14:paraId="5C19CE3A" w14:textId="1039C863" w:rsidR="002257E3" w:rsidRDefault="002257E3" w:rsidP="00C546B1">
      <w:pPr>
        <w:rPr>
          <w:rFonts w:ascii="Arial" w:hAnsi="Arial" w:cs="Arial"/>
          <w:sz w:val="22"/>
          <w:szCs w:val="22"/>
        </w:rPr>
      </w:pPr>
      <w:r>
        <w:rPr>
          <w:rFonts w:ascii="Arial" w:hAnsi="Arial" w:cs="Arial"/>
          <w:sz w:val="22"/>
          <w:szCs w:val="22"/>
        </w:rPr>
        <w:t xml:space="preserve">Welsh Government (a) (2015) </w:t>
      </w:r>
      <w:r w:rsidRPr="002257E3">
        <w:rPr>
          <w:rFonts w:ascii="Arial" w:hAnsi="Arial" w:cs="Arial"/>
          <w:i/>
          <w:iCs/>
          <w:sz w:val="22"/>
          <w:szCs w:val="22"/>
        </w:rPr>
        <w:t>National Model for Regional Working</w:t>
      </w:r>
      <w:r>
        <w:rPr>
          <w:rFonts w:ascii="Arial" w:hAnsi="Arial" w:cs="Arial"/>
          <w:sz w:val="22"/>
          <w:szCs w:val="22"/>
        </w:rPr>
        <w:t>. Cardiff: Crown.</w:t>
      </w:r>
    </w:p>
    <w:p w14:paraId="2749DB6F" w14:textId="77777777" w:rsidR="002257E3" w:rsidRDefault="002257E3" w:rsidP="00C546B1">
      <w:pPr>
        <w:rPr>
          <w:rFonts w:ascii="Arial" w:hAnsi="Arial" w:cs="Arial"/>
          <w:sz w:val="22"/>
          <w:szCs w:val="22"/>
        </w:rPr>
      </w:pPr>
    </w:p>
    <w:p w14:paraId="16454551" w14:textId="332B1943" w:rsidR="002257E3" w:rsidRDefault="002257E3" w:rsidP="00C546B1">
      <w:pPr>
        <w:rPr>
          <w:rFonts w:ascii="Arial" w:hAnsi="Arial" w:cs="Arial"/>
          <w:sz w:val="22"/>
          <w:szCs w:val="22"/>
        </w:rPr>
      </w:pPr>
      <w:r>
        <w:rPr>
          <w:rFonts w:ascii="Arial" w:hAnsi="Arial" w:cs="Arial"/>
          <w:sz w:val="22"/>
          <w:szCs w:val="22"/>
        </w:rPr>
        <w:t xml:space="preserve">Welsh Government (b) (2015) </w:t>
      </w:r>
      <w:r w:rsidRPr="002257E3">
        <w:rPr>
          <w:rFonts w:ascii="Arial" w:hAnsi="Arial" w:cs="Arial"/>
          <w:i/>
          <w:iCs/>
          <w:sz w:val="22"/>
          <w:szCs w:val="22"/>
        </w:rPr>
        <w:t>Well-Being of Future Generations Act (2015</w:t>
      </w:r>
      <w:r>
        <w:rPr>
          <w:rFonts w:ascii="Arial" w:hAnsi="Arial" w:cs="Arial"/>
          <w:sz w:val="22"/>
          <w:szCs w:val="22"/>
        </w:rPr>
        <w:t>). Cardiff: Crown.</w:t>
      </w:r>
    </w:p>
    <w:p w14:paraId="33CC1CD6" w14:textId="77777777" w:rsidR="002257E3" w:rsidRDefault="002257E3" w:rsidP="00C546B1">
      <w:pPr>
        <w:rPr>
          <w:rFonts w:ascii="Arial" w:hAnsi="Arial" w:cs="Arial"/>
          <w:sz w:val="22"/>
          <w:szCs w:val="22"/>
        </w:rPr>
      </w:pPr>
    </w:p>
    <w:p w14:paraId="134FF9DF" w14:textId="690BB409" w:rsidR="00C546B1" w:rsidRDefault="00C546B1" w:rsidP="00C546B1">
      <w:pPr>
        <w:rPr>
          <w:rFonts w:ascii="Arial" w:hAnsi="Arial" w:cs="Arial"/>
          <w:sz w:val="22"/>
          <w:szCs w:val="22"/>
        </w:rPr>
      </w:pPr>
      <w:r>
        <w:rPr>
          <w:rFonts w:ascii="Arial" w:hAnsi="Arial" w:cs="Arial"/>
          <w:sz w:val="22"/>
          <w:szCs w:val="22"/>
        </w:rPr>
        <w:t xml:space="preserve">Welsh Government (2018) </w:t>
      </w:r>
      <w:r w:rsidRPr="00C546B1">
        <w:rPr>
          <w:rFonts w:ascii="Arial" w:hAnsi="Arial" w:cs="Arial"/>
          <w:i/>
          <w:iCs/>
          <w:sz w:val="22"/>
          <w:szCs w:val="22"/>
        </w:rPr>
        <w:t>General Data Protection Regulation (GDPR) 2018</w:t>
      </w:r>
      <w:r>
        <w:rPr>
          <w:rFonts w:ascii="Arial" w:hAnsi="Arial" w:cs="Arial"/>
          <w:sz w:val="22"/>
          <w:szCs w:val="22"/>
        </w:rPr>
        <w:t>. Cardiff: Crown.</w:t>
      </w:r>
    </w:p>
    <w:p w14:paraId="4379960D" w14:textId="77777777" w:rsidR="002257E3" w:rsidRDefault="002257E3" w:rsidP="00C546B1">
      <w:pPr>
        <w:rPr>
          <w:rFonts w:ascii="Arial" w:hAnsi="Arial" w:cs="Arial"/>
          <w:sz w:val="22"/>
          <w:szCs w:val="22"/>
        </w:rPr>
      </w:pPr>
    </w:p>
    <w:p w14:paraId="48CE95B1" w14:textId="1E21AC86" w:rsidR="002257E3" w:rsidRDefault="002257E3" w:rsidP="00C546B1">
      <w:pPr>
        <w:rPr>
          <w:rFonts w:ascii="Arial" w:hAnsi="Arial" w:cs="Arial"/>
          <w:sz w:val="22"/>
          <w:szCs w:val="22"/>
        </w:rPr>
      </w:pPr>
      <w:r>
        <w:rPr>
          <w:rFonts w:ascii="Arial" w:hAnsi="Arial" w:cs="Arial"/>
          <w:sz w:val="22"/>
          <w:szCs w:val="22"/>
        </w:rPr>
        <w:t xml:space="preserve">Welsh Government (2022) </w:t>
      </w:r>
      <w:r w:rsidRPr="002257E3">
        <w:rPr>
          <w:rFonts w:ascii="Arial" w:hAnsi="Arial" w:cs="Arial"/>
          <w:i/>
          <w:iCs/>
          <w:sz w:val="22"/>
          <w:szCs w:val="22"/>
        </w:rPr>
        <w:t>Curriculum for Wales</w:t>
      </w:r>
      <w:r>
        <w:rPr>
          <w:rFonts w:ascii="Arial" w:hAnsi="Arial" w:cs="Arial"/>
          <w:sz w:val="22"/>
          <w:szCs w:val="22"/>
        </w:rPr>
        <w:t>. Cardiff: Crown.</w:t>
      </w:r>
    </w:p>
    <w:p w14:paraId="01F6B526" w14:textId="77777777" w:rsidR="00AC36A8" w:rsidRDefault="00AC36A8" w:rsidP="00C546B1">
      <w:pPr>
        <w:rPr>
          <w:rFonts w:ascii="Arial" w:hAnsi="Arial" w:cs="Arial"/>
          <w:sz w:val="22"/>
          <w:szCs w:val="22"/>
        </w:rPr>
      </w:pPr>
    </w:p>
    <w:p w14:paraId="7FC1CFFA" w14:textId="77777777" w:rsidR="00AC36A8" w:rsidRDefault="00AC36A8" w:rsidP="00AC36A8">
      <w:pPr>
        <w:rPr>
          <w:rFonts w:ascii="Arial" w:hAnsi="Arial" w:cs="Arial"/>
          <w:sz w:val="22"/>
          <w:szCs w:val="22"/>
        </w:rPr>
      </w:pPr>
      <w:r w:rsidRPr="00AC36A8">
        <w:rPr>
          <w:rFonts w:ascii="Arial" w:hAnsi="Arial" w:cs="Arial"/>
          <w:sz w:val="22"/>
          <w:szCs w:val="22"/>
        </w:rPr>
        <w:t xml:space="preserve">Wood, M. (2011) ‘Closer to the Ground: Pupil Voice and the Development of Knowledge about Schools’ </w:t>
      </w:r>
      <w:r w:rsidRPr="00AC36A8">
        <w:rPr>
          <w:rFonts w:ascii="Arial" w:hAnsi="Arial" w:cs="Arial"/>
          <w:i/>
          <w:iCs/>
          <w:sz w:val="22"/>
          <w:szCs w:val="22"/>
        </w:rPr>
        <w:t>Journal of Qualitative</w:t>
      </w:r>
      <w:r w:rsidRPr="00AC36A8">
        <w:rPr>
          <w:rFonts w:ascii="Arial" w:hAnsi="Arial" w:cs="Arial"/>
          <w:sz w:val="22"/>
          <w:szCs w:val="22"/>
        </w:rPr>
        <w:t xml:space="preserve"> </w:t>
      </w:r>
      <w:r w:rsidRPr="00AC36A8">
        <w:rPr>
          <w:rFonts w:ascii="Arial" w:hAnsi="Arial" w:cs="Arial"/>
          <w:i/>
          <w:iCs/>
          <w:sz w:val="22"/>
          <w:szCs w:val="22"/>
        </w:rPr>
        <w:t>Inquiry</w:t>
      </w:r>
      <w:r w:rsidRPr="00AC36A8">
        <w:rPr>
          <w:rFonts w:ascii="Arial" w:hAnsi="Arial" w:cs="Arial"/>
          <w:sz w:val="22"/>
          <w:szCs w:val="22"/>
        </w:rPr>
        <w:t>. Vol. 2, No. 1, pp. 1-15.</w:t>
      </w:r>
    </w:p>
    <w:p w14:paraId="15ABAF15" w14:textId="77777777" w:rsidR="00BF3450" w:rsidRDefault="00BF3450" w:rsidP="00AC36A8">
      <w:pPr>
        <w:rPr>
          <w:rFonts w:ascii="Arial" w:hAnsi="Arial" w:cs="Arial"/>
          <w:sz w:val="22"/>
          <w:szCs w:val="22"/>
        </w:rPr>
      </w:pPr>
    </w:p>
    <w:p w14:paraId="1DFCC583" w14:textId="32616433" w:rsidR="00BF3450" w:rsidRDefault="00BF3450" w:rsidP="00AC36A8">
      <w:pPr>
        <w:rPr>
          <w:rFonts w:ascii="Arial" w:hAnsi="Arial" w:cs="Arial"/>
          <w:sz w:val="22"/>
          <w:szCs w:val="22"/>
        </w:rPr>
      </w:pPr>
      <w:r>
        <w:rPr>
          <w:rFonts w:ascii="Arial" w:hAnsi="Arial" w:cs="Arial"/>
          <w:sz w:val="22"/>
          <w:szCs w:val="22"/>
        </w:rPr>
        <w:t xml:space="preserve">Xi, E., Wang, E. and Wang. Q. (2023) ‘The Effectiveness of Collaborative Problem Solving in Promoting Students’ Critical Thinking: A Meta-Analysis Based on Empirical Literature’ </w:t>
      </w:r>
      <w:r w:rsidRPr="00BF3450">
        <w:rPr>
          <w:rFonts w:ascii="Arial" w:hAnsi="Arial" w:cs="Arial"/>
          <w:i/>
          <w:iCs/>
          <w:sz w:val="22"/>
          <w:szCs w:val="22"/>
        </w:rPr>
        <w:t>Humanities and Social Science Communications</w:t>
      </w:r>
      <w:r>
        <w:rPr>
          <w:rFonts w:ascii="Arial" w:hAnsi="Arial" w:cs="Arial"/>
          <w:sz w:val="22"/>
          <w:szCs w:val="22"/>
        </w:rPr>
        <w:t>. Vol. 10, No. 16, pp. 13-14.</w:t>
      </w:r>
    </w:p>
    <w:p w14:paraId="4A039DA5" w14:textId="77777777" w:rsidR="000340B0" w:rsidRDefault="000340B0" w:rsidP="00AC36A8">
      <w:pPr>
        <w:rPr>
          <w:rFonts w:ascii="Arial" w:hAnsi="Arial" w:cs="Arial"/>
          <w:sz w:val="22"/>
          <w:szCs w:val="22"/>
        </w:rPr>
      </w:pPr>
    </w:p>
    <w:p w14:paraId="784E0036" w14:textId="6040962D" w:rsidR="000340B0" w:rsidRPr="00AC36A8" w:rsidRDefault="000340B0" w:rsidP="00AC36A8">
      <w:pPr>
        <w:rPr>
          <w:rFonts w:ascii="Arial" w:hAnsi="Arial" w:cs="Arial"/>
          <w:sz w:val="22"/>
          <w:szCs w:val="22"/>
        </w:rPr>
      </w:pPr>
      <w:r>
        <w:rPr>
          <w:rFonts w:ascii="Arial" w:hAnsi="Arial" w:cs="Arial"/>
          <w:sz w:val="22"/>
          <w:szCs w:val="22"/>
        </w:rPr>
        <w:t xml:space="preserve">Yates, F. and </w:t>
      </w:r>
      <w:proofErr w:type="spellStart"/>
      <w:r>
        <w:rPr>
          <w:rFonts w:ascii="Arial" w:hAnsi="Arial" w:cs="Arial"/>
          <w:sz w:val="22"/>
          <w:szCs w:val="22"/>
        </w:rPr>
        <w:t>Oliveria</w:t>
      </w:r>
      <w:proofErr w:type="spellEnd"/>
      <w:r>
        <w:rPr>
          <w:rFonts w:ascii="Arial" w:hAnsi="Arial" w:cs="Arial"/>
          <w:sz w:val="22"/>
          <w:szCs w:val="22"/>
        </w:rPr>
        <w:t xml:space="preserve">, S. (2016) ‘Culture and Decision Making’ </w:t>
      </w:r>
      <w:r w:rsidRPr="000340B0">
        <w:rPr>
          <w:rFonts w:ascii="Arial" w:hAnsi="Arial" w:cs="Arial"/>
          <w:i/>
          <w:iCs/>
          <w:sz w:val="22"/>
          <w:szCs w:val="22"/>
        </w:rPr>
        <w:t>Culture and Decision Making</w:t>
      </w:r>
      <w:r>
        <w:rPr>
          <w:rFonts w:ascii="Arial" w:hAnsi="Arial" w:cs="Arial"/>
          <w:sz w:val="22"/>
          <w:szCs w:val="22"/>
        </w:rPr>
        <w:t>. Vol. 136, No. 1, pp. 106-118.</w:t>
      </w:r>
    </w:p>
    <w:p w14:paraId="6316E0FA" w14:textId="77777777" w:rsidR="00AC36A8" w:rsidRPr="000C6351" w:rsidRDefault="00AC36A8" w:rsidP="00C546B1">
      <w:pPr>
        <w:rPr>
          <w:rFonts w:ascii="Arial" w:hAnsi="Arial" w:cs="Arial"/>
          <w:sz w:val="22"/>
          <w:szCs w:val="22"/>
        </w:rPr>
      </w:pPr>
    </w:p>
    <w:p w14:paraId="0621FE67" w14:textId="77777777" w:rsidR="00C44E98" w:rsidRDefault="00C44E98" w:rsidP="00C546B1">
      <w:pPr>
        <w:rPr>
          <w:rFonts w:ascii="Arial" w:hAnsi="Arial" w:cs="Arial"/>
          <w:sz w:val="22"/>
          <w:szCs w:val="22"/>
        </w:rPr>
      </w:pPr>
    </w:p>
    <w:p w14:paraId="41D978FE" w14:textId="77777777" w:rsidR="00100DB3" w:rsidRDefault="00100DB3" w:rsidP="00C546B1">
      <w:pPr>
        <w:rPr>
          <w:rFonts w:ascii="Arial" w:hAnsi="Arial" w:cs="Arial"/>
          <w:sz w:val="22"/>
          <w:szCs w:val="22"/>
        </w:rPr>
      </w:pPr>
    </w:p>
    <w:p w14:paraId="5483C5A1" w14:textId="77777777" w:rsidR="00100DB3" w:rsidRDefault="00100DB3" w:rsidP="00C546B1">
      <w:pPr>
        <w:rPr>
          <w:rFonts w:ascii="Arial" w:hAnsi="Arial" w:cs="Arial"/>
          <w:sz w:val="22"/>
          <w:szCs w:val="22"/>
        </w:rPr>
      </w:pPr>
    </w:p>
    <w:p w14:paraId="1484FBF0" w14:textId="77777777" w:rsidR="00100DB3" w:rsidRDefault="00100DB3" w:rsidP="00C546B1">
      <w:pPr>
        <w:rPr>
          <w:rFonts w:ascii="Arial" w:hAnsi="Arial" w:cs="Arial"/>
          <w:sz w:val="22"/>
          <w:szCs w:val="22"/>
        </w:rPr>
      </w:pPr>
    </w:p>
    <w:p w14:paraId="4779D5E2" w14:textId="77777777" w:rsidR="00100DB3" w:rsidRDefault="00100DB3" w:rsidP="00C546B1">
      <w:pPr>
        <w:rPr>
          <w:rFonts w:ascii="Arial" w:hAnsi="Arial" w:cs="Arial"/>
          <w:sz w:val="22"/>
          <w:szCs w:val="22"/>
        </w:rPr>
      </w:pPr>
    </w:p>
    <w:p w14:paraId="64345EA1" w14:textId="77777777" w:rsidR="00100DB3" w:rsidRDefault="00100DB3" w:rsidP="00C546B1">
      <w:pPr>
        <w:rPr>
          <w:rFonts w:ascii="Arial" w:hAnsi="Arial" w:cs="Arial"/>
          <w:sz w:val="22"/>
          <w:szCs w:val="22"/>
        </w:rPr>
      </w:pPr>
    </w:p>
    <w:p w14:paraId="6FA34B9B" w14:textId="77777777" w:rsidR="00100DB3" w:rsidRDefault="00100DB3" w:rsidP="00C546B1">
      <w:pPr>
        <w:rPr>
          <w:rFonts w:ascii="Arial" w:hAnsi="Arial" w:cs="Arial"/>
          <w:sz w:val="22"/>
          <w:szCs w:val="22"/>
        </w:rPr>
      </w:pPr>
    </w:p>
    <w:p w14:paraId="7E27BA33" w14:textId="77777777" w:rsidR="00100DB3" w:rsidRDefault="00100DB3" w:rsidP="00C546B1">
      <w:pPr>
        <w:rPr>
          <w:rFonts w:ascii="Arial" w:hAnsi="Arial" w:cs="Arial"/>
          <w:sz w:val="22"/>
          <w:szCs w:val="22"/>
        </w:rPr>
      </w:pPr>
    </w:p>
    <w:p w14:paraId="27D72907" w14:textId="77777777" w:rsidR="00100DB3" w:rsidRDefault="00100DB3" w:rsidP="00C546B1">
      <w:pPr>
        <w:rPr>
          <w:rFonts w:ascii="Arial" w:hAnsi="Arial" w:cs="Arial"/>
          <w:sz w:val="22"/>
          <w:szCs w:val="22"/>
        </w:rPr>
      </w:pPr>
    </w:p>
    <w:p w14:paraId="33CE8AD3" w14:textId="77777777" w:rsidR="00100DB3" w:rsidRDefault="00100DB3" w:rsidP="00C546B1">
      <w:pPr>
        <w:rPr>
          <w:rFonts w:ascii="Arial" w:hAnsi="Arial" w:cs="Arial"/>
          <w:sz w:val="22"/>
          <w:szCs w:val="22"/>
        </w:rPr>
      </w:pPr>
    </w:p>
    <w:p w14:paraId="238785F8" w14:textId="3E98C490" w:rsidR="009E497F" w:rsidRPr="006D1C02" w:rsidRDefault="009E497F" w:rsidP="00682AA1">
      <w:pPr>
        <w:spacing w:line="480" w:lineRule="auto"/>
        <w:rPr>
          <w:rFonts w:ascii="Arial" w:hAnsi="Arial" w:cs="Arial"/>
        </w:rPr>
      </w:pPr>
    </w:p>
    <w:p w14:paraId="1700F293" w14:textId="77777777" w:rsidR="009E497F" w:rsidRPr="00E60181" w:rsidRDefault="009E497F" w:rsidP="00C44E98">
      <w:pPr>
        <w:spacing w:line="480" w:lineRule="auto"/>
        <w:rPr>
          <w:rFonts w:ascii="Arial" w:hAnsi="Arial" w:cs="Arial"/>
          <w:b/>
          <w:bCs/>
          <w:sz w:val="28"/>
          <w:szCs w:val="28"/>
        </w:rPr>
      </w:pPr>
    </w:p>
    <w:sectPr w:rsidR="009E497F" w:rsidRPr="00E60181">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76AE7" w14:textId="77777777" w:rsidR="001A3738" w:rsidRDefault="001A3738" w:rsidP="00C44E98">
      <w:r>
        <w:separator/>
      </w:r>
    </w:p>
  </w:endnote>
  <w:endnote w:type="continuationSeparator" w:id="0">
    <w:p w14:paraId="5FDF85B1" w14:textId="77777777" w:rsidR="001A3738" w:rsidRDefault="001A3738" w:rsidP="00C44E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9227623"/>
      <w:docPartObj>
        <w:docPartGallery w:val="Page Numbers (Bottom of Page)"/>
        <w:docPartUnique/>
      </w:docPartObj>
    </w:sdtPr>
    <w:sdtContent>
      <w:p w14:paraId="25306D88" w14:textId="2A669233" w:rsidR="002F0492" w:rsidRDefault="002F0492" w:rsidP="002660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3A0722" w14:textId="77777777" w:rsidR="002F0492" w:rsidRDefault="002F0492" w:rsidP="002F04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8461488"/>
      <w:docPartObj>
        <w:docPartGallery w:val="Page Numbers (Bottom of Page)"/>
        <w:docPartUnique/>
      </w:docPartObj>
    </w:sdtPr>
    <w:sdtContent>
      <w:p w14:paraId="480277F9" w14:textId="4E3297C2" w:rsidR="002F0492" w:rsidRDefault="002F0492" w:rsidP="002660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63DC2D" w14:textId="77777777" w:rsidR="002F0492" w:rsidRDefault="002F0492" w:rsidP="002F049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D6BE9" w14:textId="77777777" w:rsidR="001A3738" w:rsidRDefault="001A3738" w:rsidP="00C44E98">
      <w:r>
        <w:separator/>
      </w:r>
    </w:p>
  </w:footnote>
  <w:footnote w:type="continuationSeparator" w:id="0">
    <w:p w14:paraId="56CD7218" w14:textId="77777777" w:rsidR="001A3738" w:rsidRDefault="001A3738" w:rsidP="00C44E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1D620" w14:textId="5B76461B" w:rsidR="00C44E98" w:rsidRPr="0060129A" w:rsidRDefault="00C44E98">
    <w:pPr>
      <w:pStyle w:val="Header"/>
      <w:rPr>
        <w:rFonts w:ascii="Arial" w:hAnsi="Arial" w:cs="Arial"/>
      </w:rPr>
    </w:pPr>
    <w:r w:rsidRPr="0060129A">
      <w:rPr>
        <w:rFonts w:ascii="Arial" w:hAnsi="Arial" w:cs="Arial"/>
      </w:rPr>
      <w:t>ECAD7004 – Researching the Learning</w:t>
    </w:r>
    <w:r w:rsidRPr="0060129A">
      <w:rPr>
        <w:rFonts w:ascii="Arial" w:hAnsi="Arial" w:cs="Arial"/>
      </w:rPr>
      <w:tab/>
    </w:r>
    <w:r w:rsidRPr="0060129A">
      <w:rPr>
        <w:rFonts w:ascii="Arial" w:hAnsi="Arial" w:cs="Arial"/>
      </w:rPr>
      <w:tab/>
      <w:t>Student Number: 2000689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9301D"/>
    <w:multiLevelType w:val="hybridMultilevel"/>
    <w:tmpl w:val="08D05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C4364"/>
    <w:multiLevelType w:val="hybridMultilevel"/>
    <w:tmpl w:val="A12C7F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9131EA"/>
    <w:multiLevelType w:val="multilevel"/>
    <w:tmpl w:val="B8F65E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2F1E9D"/>
    <w:multiLevelType w:val="hybridMultilevel"/>
    <w:tmpl w:val="2BF83C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0DF65FD"/>
    <w:multiLevelType w:val="multilevel"/>
    <w:tmpl w:val="B8F65E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675D7E"/>
    <w:multiLevelType w:val="hybridMultilevel"/>
    <w:tmpl w:val="BC3CC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521136"/>
    <w:multiLevelType w:val="multilevel"/>
    <w:tmpl w:val="D520D53C"/>
    <w:lvl w:ilvl="0">
      <w:start w:val="1"/>
      <w:numFmt w:val="decimal"/>
      <w:lvlText w:val="%1."/>
      <w:lvlJc w:val="left"/>
      <w:pPr>
        <w:tabs>
          <w:tab w:val="num" w:pos="643"/>
        </w:tabs>
        <w:ind w:left="643" w:hanging="360"/>
      </w:pPr>
    </w:lvl>
    <w:lvl w:ilvl="1">
      <w:start w:val="1"/>
      <w:numFmt w:val="bullet"/>
      <w:lvlText w:val="o"/>
      <w:lvlJc w:val="left"/>
      <w:pPr>
        <w:tabs>
          <w:tab w:val="num" w:pos="1363"/>
        </w:tabs>
        <w:ind w:left="1363" w:hanging="360"/>
      </w:pPr>
      <w:rPr>
        <w:rFonts w:ascii="Courier New" w:hAnsi="Courier New"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7" w15:restartNumberingAfterBreak="0">
    <w:nsid w:val="27A76584"/>
    <w:multiLevelType w:val="hybridMultilevel"/>
    <w:tmpl w:val="AF12E7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95208436">
      <w:start w:val="8"/>
      <w:numFmt w:val="bullet"/>
      <w:lvlText w:val="•"/>
      <w:lvlJc w:val="left"/>
      <w:pPr>
        <w:ind w:left="2160" w:hanging="36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691107"/>
    <w:multiLevelType w:val="hybridMultilevel"/>
    <w:tmpl w:val="EE527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FC0D7D"/>
    <w:multiLevelType w:val="hybridMultilevel"/>
    <w:tmpl w:val="2836F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5E7225"/>
    <w:multiLevelType w:val="hybridMultilevel"/>
    <w:tmpl w:val="9CEA5BD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62051F"/>
    <w:multiLevelType w:val="hybridMultilevel"/>
    <w:tmpl w:val="9740F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6018CF"/>
    <w:multiLevelType w:val="hybridMultilevel"/>
    <w:tmpl w:val="CE80A2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EA748C2"/>
    <w:multiLevelType w:val="hybridMultilevel"/>
    <w:tmpl w:val="5BEE4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0A704C"/>
    <w:multiLevelType w:val="hybridMultilevel"/>
    <w:tmpl w:val="A4587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F22971"/>
    <w:multiLevelType w:val="hybridMultilevel"/>
    <w:tmpl w:val="F96C2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B71A88"/>
    <w:multiLevelType w:val="multilevel"/>
    <w:tmpl w:val="22C2F3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6246E32"/>
    <w:multiLevelType w:val="hybridMultilevel"/>
    <w:tmpl w:val="3DA430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D79BF"/>
    <w:multiLevelType w:val="hybridMultilevel"/>
    <w:tmpl w:val="2F483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2B4771"/>
    <w:multiLevelType w:val="hybridMultilevel"/>
    <w:tmpl w:val="861C4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391029"/>
    <w:multiLevelType w:val="hybridMultilevel"/>
    <w:tmpl w:val="52C832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9B921DB"/>
    <w:multiLevelType w:val="hybridMultilevel"/>
    <w:tmpl w:val="3328E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3C5792"/>
    <w:multiLevelType w:val="hybridMultilevel"/>
    <w:tmpl w:val="258A8F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7873166">
    <w:abstractNumId w:val="7"/>
  </w:num>
  <w:num w:numId="2" w16cid:durableId="732390202">
    <w:abstractNumId w:val="21"/>
  </w:num>
  <w:num w:numId="3" w16cid:durableId="1103502037">
    <w:abstractNumId w:val="6"/>
  </w:num>
  <w:num w:numId="4" w16cid:durableId="1736778842">
    <w:abstractNumId w:val="4"/>
  </w:num>
  <w:num w:numId="5" w16cid:durableId="1151558280">
    <w:abstractNumId w:val="23"/>
  </w:num>
  <w:num w:numId="6" w16cid:durableId="1265071128">
    <w:abstractNumId w:val="1"/>
  </w:num>
  <w:num w:numId="7" w16cid:durableId="256329501">
    <w:abstractNumId w:val="17"/>
  </w:num>
  <w:num w:numId="8" w16cid:durableId="1943219635">
    <w:abstractNumId w:val="8"/>
  </w:num>
  <w:num w:numId="9" w16cid:durableId="1593514393">
    <w:abstractNumId w:val="0"/>
  </w:num>
  <w:num w:numId="10" w16cid:durableId="1029142591">
    <w:abstractNumId w:val="14"/>
  </w:num>
  <w:num w:numId="11" w16cid:durableId="1756515776">
    <w:abstractNumId w:val="15"/>
  </w:num>
  <w:num w:numId="12" w16cid:durableId="390423248">
    <w:abstractNumId w:val="5"/>
  </w:num>
  <w:num w:numId="13" w16cid:durableId="277488607">
    <w:abstractNumId w:val="13"/>
  </w:num>
  <w:num w:numId="14" w16cid:durableId="1359354372">
    <w:abstractNumId w:val="18"/>
  </w:num>
  <w:num w:numId="15" w16cid:durableId="1406493394">
    <w:abstractNumId w:val="19"/>
  </w:num>
  <w:num w:numId="16" w16cid:durableId="1527594851">
    <w:abstractNumId w:val="16"/>
  </w:num>
  <w:num w:numId="17" w16cid:durableId="228931099">
    <w:abstractNumId w:val="2"/>
  </w:num>
  <w:num w:numId="18" w16cid:durableId="659652277">
    <w:abstractNumId w:val="11"/>
  </w:num>
  <w:num w:numId="19" w16cid:durableId="516164002">
    <w:abstractNumId w:val="10"/>
  </w:num>
  <w:num w:numId="20" w16cid:durableId="1831747401">
    <w:abstractNumId w:val="9"/>
  </w:num>
  <w:num w:numId="21" w16cid:durableId="731931914">
    <w:abstractNumId w:val="3"/>
  </w:num>
  <w:num w:numId="22" w16cid:durableId="2138987715">
    <w:abstractNumId w:val="20"/>
  </w:num>
  <w:num w:numId="23" w16cid:durableId="190455715">
    <w:abstractNumId w:val="22"/>
  </w:num>
  <w:num w:numId="24" w16cid:durableId="1655446337">
    <w:abstractNumId w:val="1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E98"/>
    <w:rsid w:val="00023557"/>
    <w:rsid w:val="00024889"/>
    <w:rsid w:val="00026EB3"/>
    <w:rsid w:val="000340B0"/>
    <w:rsid w:val="0005438F"/>
    <w:rsid w:val="00061BE2"/>
    <w:rsid w:val="0008288E"/>
    <w:rsid w:val="00085421"/>
    <w:rsid w:val="0009381E"/>
    <w:rsid w:val="00095E6D"/>
    <w:rsid w:val="000B7F45"/>
    <w:rsid w:val="000C6351"/>
    <w:rsid w:val="000E7763"/>
    <w:rsid w:val="000F1302"/>
    <w:rsid w:val="00100DB3"/>
    <w:rsid w:val="001111CE"/>
    <w:rsid w:val="00137949"/>
    <w:rsid w:val="00143EBD"/>
    <w:rsid w:val="00162753"/>
    <w:rsid w:val="00166FBE"/>
    <w:rsid w:val="001804BC"/>
    <w:rsid w:val="00186954"/>
    <w:rsid w:val="001A2800"/>
    <w:rsid w:val="001A3738"/>
    <w:rsid w:val="001A3CCE"/>
    <w:rsid w:val="001A6BE4"/>
    <w:rsid w:val="001D4DF1"/>
    <w:rsid w:val="001D5E70"/>
    <w:rsid w:val="001F64D0"/>
    <w:rsid w:val="001F6CC1"/>
    <w:rsid w:val="0020472D"/>
    <w:rsid w:val="002117E9"/>
    <w:rsid w:val="002257E3"/>
    <w:rsid w:val="00226CC7"/>
    <w:rsid w:val="00251B7E"/>
    <w:rsid w:val="00262C73"/>
    <w:rsid w:val="00274BFC"/>
    <w:rsid w:val="00274FE0"/>
    <w:rsid w:val="00285070"/>
    <w:rsid w:val="00294235"/>
    <w:rsid w:val="002C3CAD"/>
    <w:rsid w:val="002E0725"/>
    <w:rsid w:val="002F0492"/>
    <w:rsid w:val="002F73EC"/>
    <w:rsid w:val="00305BE2"/>
    <w:rsid w:val="00321119"/>
    <w:rsid w:val="00345592"/>
    <w:rsid w:val="00346BE3"/>
    <w:rsid w:val="00371793"/>
    <w:rsid w:val="0037672A"/>
    <w:rsid w:val="003A4289"/>
    <w:rsid w:val="003B4AB1"/>
    <w:rsid w:val="003C631D"/>
    <w:rsid w:val="00413B3F"/>
    <w:rsid w:val="00422E56"/>
    <w:rsid w:val="00442B37"/>
    <w:rsid w:val="00452B54"/>
    <w:rsid w:val="00482C1B"/>
    <w:rsid w:val="00483436"/>
    <w:rsid w:val="00487975"/>
    <w:rsid w:val="00494281"/>
    <w:rsid w:val="004B6280"/>
    <w:rsid w:val="004E4D1A"/>
    <w:rsid w:val="004E6927"/>
    <w:rsid w:val="00507C8F"/>
    <w:rsid w:val="005106E5"/>
    <w:rsid w:val="0053563D"/>
    <w:rsid w:val="00552174"/>
    <w:rsid w:val="005A520B"/>
    <w:rsid w:val="005C14FA"/>
    <w:rsid w:val="005D308A"/>
    <w:rsid w:val="005D4945"/>
    <w:rsid w:val="005D6650"/>
    <w:rsid w:val="005E0C7B"/>
    <w:rsid w:val="005F10C2"/>
    <w:rsid w:val="0060129A"/>
    <w:rsid w:val="00602283"/>
    <w:rsid w:val="00632BB6"/>
    <w:rsid w:val="00644463"/>
    <w:rsid w:val="00654AC3"/>
    <w:rsid w:val="006559A3"/>
    <w:rsid w:val="0066638A"/>
    <w:rsid w:val="00676DF0"/>
    <w:rsid w:val="00682AA1"/>
    <w:rsid w:val="0069775A"/>
    <w:rsid w:val="006A18FD"/>
    <w:rsid w:val="006B5D99"/>
    <w:rsid w:val="006B5DED"/>
    <w:rsid w:val="006E4064"/>
    <w:rsid w:val="00727CED"/>
    <w:rsid w:val="007457AE"/>
    <w:rsid w:val="00780B24"/>
    <w:rsid w:val="007B16E7"/>
    <w:rsid w:val="007B25AD"/>
    <w:rsid w:val="007B2B2D"/>
    <w:rsid w:val="007C1A34"/>
    <w:rsid w:val="007F075C"/>
    <w:rsid w:val="007F22BC"/>
    <w:rsid w:val="008165D5"/>
    <w:rsid w:val="00831087"/>
    <w:rsid w:val="00850353"/>
    <w:rsid w:val="00852D15"/>
    <w:rsid w:val="008802A7"/>
    <w:rsid w:val="008A0847"/>
    <w:rsid w:val="008B2C67"/>
    <w:rsid w:val="008C4D3D"/>
    <w:rsid w:val="008E74C3"/>
    <w:rsid w:val="008F20C7"/>
    <w:rsid w:val="008F6A65"/>
    <w:rsid w:val="00905EBC"/>
    <w:rsid w:val="009122BC"/>
    <w:rsid w:val="0092012D"/>
    <w:rsid w:val="00923287"/>
    <w:rsid w:val="00966742"/>
    <w:rsid w:val="00970302"/>
    <w:rsid w:val="0097463C"/>
    <w:rsid w:val="0097640D"/>
    <w:rsid w:val="009A141F"/>
    <w:rsid w:val="009A3CC7"/>
    <w:rsid w:val="009A6CDF"/>
    <w:rsid w:val="009B0A14"/>
    <w:rsid w:val="009B13F7"/>
    <w:rsid w:val="009B1BA4"/>
    <w:rsid w:val="009C75E5"/>
    <w:rsid w:val="009D5EC4"/>
    <w:rsid w:val="009E2260"/>
    <w:rsid w:val="009E497F"/>
    <w:rsid w:val="00A26F0E"/>
    <w:rsid w:val="00A33D89"/>
    <w:rsid w:val="00A3798E"/>
    <w:rsid w:val="00A450F6"/>
    <w:rsid w:val="00A554F6"/>
    <w:rsid w:val="00A55AFD"/>
    <w:rsid w:val="00A565A1"/>
    <w:rsid w:val="00A6277C"/>
    <w:rsid w:val="00A91ADC"/>
    <w:rsid w:val="00A94767"/>
    <w:rsid w:val="00AB1288"/>
    <w:rsid w:val="00AC3420"/>
    <w:rsid w:val="00AC36A8"/>
    <w:rsid w:val="00AD2F46"/>
    <w:rsid w:val="00AE4521"/>
    <w:rsid w:val="00B50D29"/>
    <w:rsid w:val="00B73349"/>
    <w:rsid w:val="00B74CFB"/>
    <w:rsid w:val="00B776A4"/>
    <w:rsid w:val="00B92DE4"/>
    <w:rsid w:val="00B9711A"/>
    <w:rsid w:val="00BA5010"/>
    <w:rsid w:val="00BA78C4"/>
    <w:rsid w:val="00BB6A4F"/>
    <w:rsid w:val="00BE7563"/>
    <w:rsid w:val="00BF2904"/>
    <w:rsid w:val="00BF3450"/>
    <w:rsid w:val="00C04770"/>
    <w:rsid w:val="00C10869"/>
    <w:rsid w:val="00C1094C"/>
    <w:rsid w:val="00C11DED"/>
    <w:rsid w:val="00C23E1A"/>
    <w:rsid w:val="00C445E7"/>
    <w:rsid w:val="00C44E98"/>
    <w:rsid w:val="00C546B1"/>
    <w:rsid w:val="00C70CA5"/>
    <w:rsid w:val="00C86491"/>
    <w:rsid w:val="00C92169"/>
    <w:rsid w:val="00CA09C3"/>
    <w:rsid w:val="00CB2DFF"/>
    <w:rsid w:val="00CB2E37"/>
    <w:rsid w:val="00CC73AF"/>
    <w:rsid w:val="00CE319E"/>
    <w:rsid w:val="00CE4511"/>
    <w:rsid w:val="00CF34C9"/>
    <w:rsid w:val="00CF7515"/>
    <w:rsid w:val="00D11CBB"/>
    <w:rsid w:val="00D151AD"/>
    <w:rsid w:val="00D1713B"/>
    <w:rsid w:val="00D77B4E"/>
    <w:rsid w:val="00D8139C"/>
    <w:rsid w:val="00DA4BC8"/>
    <w:rsid w:val="00DF75BF"/>
    <w:rsid w:val="00DF792E"/>
    <w:rsid w:val="00E01DC5"/>
    <w:rsid w:val="00E1327D"/>
    <w:rsid w:val="00E26CA1"/>
    <w:rsid w:val="00E417D4"/>
    <w:rsid w:val="00E60181"/>
    <w:rsid w:val="00E91EE7"/>
    <w:rsid w:val="00EA2C62"/>
    <w:rsid w:val="00EB4C23"/>
    <w:rsid w:val="00EB55F3"/>
    <w:rsid w:val="00EE6274"/>
    <w:rsid w:val="00F01C18"/>
    <w:rsid w:val="00F42AEF"/>
    <w:rsid w:val="00F54555"/>
    <w:rsid w:val="00F77B7B"/>
    <w:rsid w:val="00F832AD"/>
    <w:rsid w:val="00F9197A"/>
    <w:rsid w:val="00FB074A"/>
    <w:rsid w:val="00FB6DA4"/>
    <w:rsid w:val="00FD6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C7EDF"/>
  <w15:chartTrackingRefBased/>
  <w15:docId w15:val="{5B466CDA-C52A-DD4F-96EB-FEE96CAD3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08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9"/>
    <w:qFormat/>
    <w:rsid w:val="009A3CC7"/>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9A3CC7"/>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4E98"/>
    <w:pPr>
      <w:tabs>
        <w:tab w:val="center" w:pos="4513"/>
        <w:tab w:val="right" w:pos="9026"/>
      </w:tabs>
    </w:pPr>
  </w:style>
  <w:style w:type="character" w:customStyle="1" w:styleId="HeaderChar">
    <w:name w:val="Header Char"/>
    <w:basedOn w:val="DefaultParagraphFont"/>
    <w:link w:val="Header"/>
    <w:uiPriority w:val="99"/>
    <w:rsid w:val="00C44E98"/>
  </w:style>
  <w:style w:type="paragraph" w:styleId="Footer">
    <w:name w:val="footer"/>
    <w:basedOn w:val="Normal"/>
    <w:link w:val="FooterChar"/>
    <w:uiPriority w:val="99"/>
    <w:unhideWhenUsed/>
    <w:rsid w:val="00C44E98"/>
    <w:pPr>
      <w:tabs>
        <w:tab w:val="center" w:pos="4513"/>
        <w:tab w:val="right" w:pos="9026"/>
      </w:tabs>
    </w:pPr>
  </w:style>
  <w:style w:type="character" w:customStyle="1" w:styleId="FooterChar">
    <w:name w:val="Footer Char"/>
    <w:basedOn w:val="DefaultParagraphFont"/>
    <w:link w:val="Footer"/>
    <w:uiPriority w:val="99"/>
    <w:rsid w:val="00C44E98"/>
  </w:style>
  <w:style w:type="paragraph" w:customStyle="1" w:styleId="AssignBody">
    <w:name w:val="AssignBody"/>
    <w:basedOn w:val="Normal"/>
    <w:link w:val="AssignBodyChar"/>
    <w:qFormat/>
    <w:rsid w:val="00E60181"/>
    <w:pPr>
      <w:spacing w:line="360" w:lineRule="auto"/>
    </w:pPr>
    <w:rPr>
      <w:rFonts w:ascii="Arial" w:hAnsi="Arial"/>
      <w:sz w:val="22"/>
      <w:szCs w:val="22"/>
    </w:rPr>
  </w:style>
  <w:style w:type="character" w:customStyle="1" w:styleId="AssignBodyChar">
    <w:name w:val="AssignBody Char"/>
    <w:basedOn w:val="DefaultParagraphFont"/>
    <w:link w:val="AssignBody"/>
    <w:rsid w:val="00E60181"/>
    <w:rPr>
      <w:rFonts w:ascii="Arial" w:hAnsi="Arial"/>
      <w:kern w:val="0"/>
      <w:sz w:val="22"/>
      <w:szCs w:val="22"/>
      <w14:ligatures w14:val="none"/>
    </w:rPr>
  </w:style>
  <w:style w:type="table" w:styleId="TableGrid">
    <w:name w:val="Table Grid"/>
    <w:basedOn w:val="TableNormal"/>
    <w:uiPriority w:val="39"/>
    <w:rsid w:val="00E60181"/>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60181"/>
    <w:pPr>
      <w:spacing w:before="100" w:beforeAutospacing="1" w:after="100" w:afterAutospacing="1"/>
    </w:pPr>
  </w:style>
  <w:style w:type="paragraph" w:styleId="ListParagraph">
    <w:name w:val="List Paragraph"/>
    <w:basedOn w:val="Normal"/>
    <w:uiPriority w:val="34"/>
    <w:qFormat/>
    <w:rsid w:val="00E60181"/>
    <w:pPr>
      <w:ind w:left="720"/>
      <w:contextualSpacing/>
    </w:pPr>
  </w:style>
  <w:style w:type="character" w:styleId="Strong">
    <w:name w:val="Strong"/>
    <w:basedOn w:val="DefaultParagraphFont"/>
    <w:uiPriority w:val="22"/>
    <w:qFormat/>
    <w:rsid w:val="001F64D0"/>
    <w:rPr>
      <w:b/>
      <w:bCs/>
    </w:rPr>
  </w:style>
  <w:style w:type="character" w:customStyle="1" w:styleId="Heading1Char">
    <w:name w:val="Heading 1 Char"/>
    <w:basedOn w:val="DefaultParagraphFont"/>
    <w:link w:val="Heading1"/>
    <w:uiPriority w:val="99"/>
    <w:rsid w:val="009A3CC7"/>
    <w:rPr>
      <w:rFonts w:ascii="Times New Roman" w:eastAsia="Times New Roman" w:hAnsi="Times New Roman" w:cs="Times New Roman"/>
      <w:b/>
      <w:bCs/>
      <w:kern w:val="0"/>
      <w:sz w:val="22"/>
      <w:szCs w:val="22"/>
      <w14:ligatures w14:val="none"/>
    </w:rPr>
  </w:style>
  <w:style w:type="character" w:customStyle="1" w:styleId="Heading4Char">
    <w:name w:val="Heading 4 Char"/>
    <w:basedOn w:val="DefaultParagraphFont"/>
    <w:link w:val="Heading4"/>
    <w:uiPriority w:val="99"/>
    <w:rsid w:val="009A3CC7"/>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9A3CC7"/>
    <w:pPr>
      <w:ind w:left="720" w:hanging="720"/>
    </w:pPr>
    <w:rPr>
      <w:b/>
      <w:bCs/>
      <w:sz w:val="22"/>
      <w:szCs w:val="22"/>
      <w:lang w:eastAsia="en-US"/>
    </w:rPr>
  </w:style>
  <w:style w:type="character" w:customStyle="1" w:styleId="BodyText2Char">
    <w:name w:val="Body Text 2 Char"/>
    <w:basedOn w:val="DefaultParagraphFont"/>
    <w:link w:val="BodyText2"/>
    <w:uiPriority w:val="99"/>
    <w:rsid w:val="009A3CC7"/>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9A3CC7"/>
    <w:pPr>
      <w:keepNext/>
      <w:spacing w:after="240"/>
    </w:pPr>
    <w:rPr>
      <w:b/>
      <w:bCs/>
      <w:lang w:eastAsia="en-US"/>
    </w:rPr>
  </w:style>
  <w:style w:type="paragraph" w:styleId="BalloonText">
    <w:name w:val="Balloon Text"/>
    <w:basedOn w:val="Normal"/>
    <w:link w:val="BalloonTextChar"/>
    <w:uiPriority w:val="99"/>
    <w:semiHidden/>
    <w:rsid w:val="009A3CC7"/>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9A3CC7"/>
    <w:rPr>
      <w:rFonts w:ascii="Tahoma" w:eastAsia="Times New Roman" w:hAnsi="Tahoma" w:cs="Tahoma"/>
      <w:kern w:val="0"/>
      <w:sz w:val="16"/>
      <w:szCs w:val="16"/>
      <w14:ligatures w14:val="none"/>
    </w:rPr>
  </w:style>
  <w:style w:type="character" w:styleId="Hyperlink">
    <w:name w:val="Hyperlink"/>
    <w:rsid w:val="009A3CC7"/>
    <w:rPr>
      <w:color w:val="0000FF"/>
      <w:u w:val="single"/>
    </w:rPr>
  </w:style>
  <w:style w:type="character" w:styleId="FollowedHyperlink">
    <w:name w:val="FollowedHyperlink"/>
    <w:uiPriority w:val="99"/>
    <w:semiHidden/>
    <w:rsid w:val="009A3CC7"/>
    <w:rPr>
      <w:color w:val="800080"/>
      <w:u w:val="single"/>
    </w:rPr>
  </w:style>
  <w:style w:type="character" w:customStyle="1" w:styleId="Hyperlink1">
    <w:name w:val="Hyperlink1"/>
    <w:uiPriority w:val="99"/>
    <w:rsid w:val="009A3CC7"/>
    <w:rPr>
      <w:color w:val="535353"/>
      <w:u w:val="single"/>
      <w:effect w:val="none"/>
    </w:rPr>
  </w:style>
  <w:style w:type="paragraph" w:customStyle="1" w:styleId="NormalWeb1">
    <w:name w:val="Normal (Web)1"/>
    <w:basedOn w:val="Normal"/>
    <w:uiPriority w:val="99"/>
    <w:rsid w:val="009A3CC7"/>
    <w:pPr>
      <w:spacing w:before="100" w:beforeAutospacing="1" w:after="300"/>
    </w:pPr>
  </w:style>
  <w:style w:type="character" w:styleId="PageNumber">
    <w:name w:val="page number"/>
    <w:basedOn w:val="DefaultParagraphFont"/>
    <w:uiPriority w:val="99"/>
    <w:rsid w:val="009A3CC7"/>
  </w:style>
  <w:style w:type="character" w:styleId="CommentReference">
    <w:name w:val="annotation reference"/>
    <w:uiPriority w:val="99"/>
    <w:semiHidden/>
    <w:unhideWhenUsed/>
    <w:rsid w:val="009A3CC7"/>
    <w:rPr>
      <w:sz w:val="16"/>
      <w:szCs w:val="16"/>
    </w:rPr>
  </w:style>
  <w:style w:type="paragraph" w:styleId="CommentText">
    <w:name w:val="annotation text"/>
    <w:basedOn w:val="Normal"/>
    <w:link w:val="CommentTextChar"/>
    <w:uiPriority w:val="99"/>
    <w:semiHidden/>
    <w:unhideWhenUsed/>
    <w:rsid w:val="009A3CC7"/>
    <w:rPr>
      <w:sz w:val="20"/>
      <w:szCs w:val="20"/>
      <w:lang w:eastAsia="en-US"/>
    </w:rPr>
  </w:style>
  <w:style w:type="character" w:customStyle="1" w:styleId="CommentTextChar">
    <w:name w:val="Comment Text Char"/>
    <w:basedOn w:val="DefaultParagraphFont"/>
    <w:link w:val="CommentText"/>
    <w:uiPriority w:val="99"/>
    <w:semiHidden/>
    <w:rsid w:val="009A3CC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A3CC7"/>
    <w:rPr>
      <w:b/>
      <w:bCs/>
    </w:rPr>
  </w:style>
  <w:style w:type="character" w:customStyle="1" w:styleId="CommentSubjectChar">
    <w:name w:val="Comment Subject Char"/>
    <w:basedOn w:val="CommentTextChar"/>
    <w:link w:val="CommentSubject"/>
    <w:uiPriority w:val="99"/>
    <w:semiHidden/>
    <w:rsid w:val="009A3CC7"/>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9A3CC7"/>
    <w:rPr>
      <w:color w:val="605E5C"/>
      <w:shd w:val="clear" w:color="auto" w:fill="E1DFDD"/>
    </w:rPr>
  </w:style>
  <w:style w:type="character" w:customStyle="1" w:styleId="apple-style-span">
    <w:name w:val="apple-style-span"/>
    <w:rsid w:val="009A3CC7"/>
  </w:style>
  <w:style w:type="character" w:customStyle="1" w:styleId="apple-converted-space">
    <w:name w:val="apple-converted-space"/>
    <w:basedOn w:val="DefaultParagraphFont"/>
    <w:rsid w:val="00100D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510307">
      <w:bodyDiv w:val="1"/>
      <w:marLeft w:val="0"/>
      <w:marRight w:val="0"/>
      <w:marTop w:val="0"/>
      <w:marBottom w:val="0"/>
      <w:divBdr>
        <w:top w:val="none" w:sz="0" w:space="0" w:color="auto"/>
        <w:left w:val="none" w:sz="0" w:space="0" w:color="auto"/>
        <w:bottom w:val="none" w:sz="0" w:space="0" w:color="auto"/>
        <w:right w:val="none" w:sz="0" w:space="0" w:color="auto"/>
      </w:divBdr>
    </w:div>
    <w:div w:id="164131758">
      <w:bodyDiv w:val="1"/>
      <w:marLeft w:val="0"/>
      <w:marRight w:val="0"/>
      <w:marTop w:val="0"/>
      <w:marBottom w:val="0"/>
      <w:divBdr>
        <w:top w:val="none" w:sz="0" w:space="0" w:color="auto"/>
        <w:left w:val="none" w:sz="0" w:space="0" w:color="auto"/>
        <w:bottom w:val="none" w:sz="0" w:space="0" w:color="auto"/>
        <w:right w:val="none" w:sz="0" w:space="0" w:color="auto"/>
      </w:divBdr>
    </w:div>
    <w:div w:id="540745661">
      <w:bodyDiv w:val="1"/>
      <w:marLeft w:val="0"/>
      <w:marRight w:val="0"/>
      <w:marTop w:val="0"/>
      <w:marBottom w:val="0"/>
      <w:divBdr>
        <w:top w:val="none" w:sz="0" w:space="0" w:color="auto"/>
        <w:left w:val="none" w:sz="0" w:space="0" w:color="auto"/>
        <w:bottom w:val="none" w:sz="0" w:space="0" w:color="auto"/>
        <w:right w:val="none" w:sz="0" w:space="0" w:color="auto"/>
      </w:divBdr>
    </w:div>
    <w:div w:id="685599017">
      <w:bodyDiv w:val="1"/>
      <w:marLeft w:val="0"/>
      <w:marRight w:val="0"/>
      <w:marTop w:val="0"/>
      <w:marBottom w:val="0"/>
      <w:divBdr>
        <w:top w:val="none" w:sz="0" w:space="0" w:color="auto"/>
        <w:left w:val="none" w:sz="0" w:space="0" w:color="auto"/>
        <w:bottom w:val="none" w:sz="0" w:space="0" w:color="auto"/>
        <w:right w:val="none" w:sz="0" w:space="0" w:color="auto"/>
      </w:divBdr>
    </w:div>
    <w:div w:id="854921961">
      <w:bodyDiv w:val="1"/>
      <w:marLeft w:val="0"/>
      <w:marRight w:val="0"/>
      <w:marTop w:val="0"/>
      <w:marBottom w:val="0"/>
      <w:divBdr>
        <w:top w:val="none" w:sz="0" w:space="0" w:color="auto"/>
        <w:left w:val="none" w:sz="0" w:space="0" w:color="auto"/>
        <w:bottom w:val="none" w:sz="0" w:space="0" w:color="auto"/>
        <w:right w:val="none" w:sz="0" w:space="0" w:color="auto"/>
      </w:divBdr>
    </w:div>
    <w:div w:id="953751840">
      <w:bodyDiv w:val="1"/>
      <w:marLeft w:val="0"/>
      <w:marRight w:val="0"/>
      <w:marTop w:val="0"/>
      <w:marBottom w:val="0"/>
      <w:divBdr>
        <w:top w:val="none" w:sz="0" w:space="0" w:color="auto"/>
        <w:left w:val="none" w:sz="0" w:space="0" w:color="auto"/>
        <w:bottom w:val="none" w:sz="0" w:space="0" w:color="auto"/>
        <w:right w:val="none" w:sz="0" w:space="0" w:color="auto"/>
      </w:divBdr>
    </w:div>
    <w:div w:id="1151294118">
      <w:bodyDiv w:val="1"/>
      <w:marLeft w:val="0"/>
      <w:marRight w:val="0"/>
      <w:marTop w:val="0"/>
      <w:marBottom w:val="0"/>
      <w:divBdr>
        <w:top w:val="none" w:sz="0" w:space="0" w:color="auto"/>
        <w:left w:val="none" w:sz="0" w:space="0" w:color="auto"/>
        <w:bottom w:val="none" w:sz="0" w:space="0" w:color="auto"/>
        <w:right w:val="none" w:sz="0" w:space="0" w:color="auto"/>
      </w:divBdr>
    </w:div>
    <w:div w:id="1422336742">
      <w:bodyDiv w:val="1"/>
      <w:marLeft w:val="0"/>
      <w:marRight w:val="0"/>
      <w:marTop w:val="0"/>
      <w:marBottom w:val="0"/>
      <w:divBdr>
        <w:top w:val="none" w:sz="0" w:space="0" w:color="auto"/>
        <w:left w:val="none" w:sz="0" w:space="0" w:color="auto"/>
        <w:bottom w:val="none" w:sz="0" w:space="0" w:color="auto"/>
        <w:right w:val="none" w:sz="0" w:space="0" w:color="auto"/>
      </w:divBdr>
    </w:div>
    <w:div w:id="1534918906">
      <w:bodyDiv w:val="1"/>
      <w:marLeft w:val="0"/>
      <w:marRight w:val="0"/>
      <w:marTop w:val="0"/>
      <w:marBottom w:val="0"/>
      <w:divBdr>
        <w:top w:val="none" w:sz="0" w:space="0" w:color="auto"/>
        <w:left w:val="none" w:sz="0" w:space="0" w:color="auto"/>
        <w:bottom w:val="none" w:sz="0" w:space="0" w:color="auto"/>
        <w:right w:val="none" w:sz="0" w:space="0" w:color="auto"/>
      </w:divBdr>
    </w:div>
    <w:div w:id="1551182918">
      <w:bodyDiv w:val="1"/>
      <w:marLeft w:val="0"/>
      <w:marRight w:val="0"/>
      <w:marTop w:val="0"/>
      <w:marBottom w:val="0"/>
      <w:divBdr>
        <w:top w:val="none" w:sz="0" w:space="0" w:color="auto"/>
        <w:left w:val="none" w:sz="0" w:space="0" w:color="auto"/>
        <w:bottom w:val="none" w:sz="0" w:space="0" w:color="auto"/>
        <w:right w:val="none" w:sz="0" w:space="0" w:color="auto"/>
      </w:divBdr>
    </w:div>
    <w:div w:id="1762600878">
      <w:bodyDiv w:val="1"/>
      <w:marLeft w:val="0"/>
      <w:marRight w:val="0"/>
      <w:marTop w:val="0"/>
      <w:marBottom w:val="0"/>
      <w:divBdr>
        <w:top w:val="none" w:sz="0" w:space="0" w:color="auto"/>
        <w:left w:val="none" w:sz="0" w:space="0" w:color="auto"/>
        <w:bottom w:val="none" w:sz="0" w:space="0" w:color="auto"/>
        <w:right w:val="none" w:sz="0" w:space="0" w:color="auto"/>
      </w:divBdr>
    </w:div>
    <w:div w:id="1926956008">
      <w:bodyDiv w:val="1"/>
      <w:marLeft w:val="0"/>
      <w:marRight w:val="0"/>
      <w:marTop w:val="0"/>
      <w:marBottom w:val="0"/>
      <w:divBdr>
        <w:top w:val="none" w:sz="0" w:space="0" w:color="auto"/>
        <w:left w:val="none" w:sz="0" w:space="0" w:color="auto"/>
        <w:bottom w:val="none" w:sz="0" w:space="0" w:color="auto"/>
        <w:right w:val="none" w:sz="0" w:space="0" w:color="auto"/>
      </w:divBdr>
    </w:div>
    <w:div w:id="1955091924">
      <w:bodyDiv w:val="1"/>
      <w:marLeft w:val="0"/>
      <w:marRight w:val="0"/>
      <w:marTop w:val="0"/>
      <w:marBottom w:val="0"/>
      <w:divBdr>
        <w:top w:val="none" w:sz="0" w:space="0" w:color="auto"/>
        <w:left w:val="none" w:sz="0" w:space="0" w:color="auto"/>
        <w:bottom w:val="none" w:sz="0" w:space="0" w:color="auto"/>
        <w:right w:val="none" w:sz="0" w:space="0" w:color="auto"/>
      </w:divBdr>
    </w:div>
    <w:div w:id="1982415352">
      <w:bodyDiv w:val="1"/>
      <w:marLeft w:val="0"/>
      <w:marRight w:val="0"/>
      <w:marTop w:val="0"/>
      <w:marBottom w:val="0"/>
      <w:divBdr>
        <w:top w:val="none" w:sz="0" w:space="0" w:color="auto"/>
        <w:left w:val="none" w:sz="0" w:space="0" w:color="auto"/>
        <w:bottom w:val="none" w:sz="0" w:space="0" w:color="auto"/>
        <w:right w:val="none" w:sz="0" w:space="0" w:color="auto"/>
      </w:divBdr>
    </w:div>
    <w:div w:id="2003776859">
      <w:bodyDiv w:val="1"/>
      <w:marLeft w:val="0"/>
      <w:marRight w:val="0"/>
      <w:marTop w:val="0"/>
      <w:marBottom w:val="0"/>
      <w:divBdr>
        <w:top w:val="none" w:sz="0" w:space="0" w:color="auto"/>
        <w:left w:val="none" w:sz="0" w:space="0" w:color="auto"/>
        <w:bottom w:val="none" w:sz="0" w:space="0" w:color="auto"/>
        <w:right w:val="none" w:sz="0" w:space="0" w:color="auto"/>
      </w:divBdr>
    </w:div>
    <w:div w:id="2061438008">
      <w:bodyDiv w:val="1"/>
      <w:marLeft w:val="0"/>
      <w:marRight w:val="0"/>
      <w:marTop w:val="0"/>
      <w:marBottom w:val="0"/>
      <w:divBdr>
        <w:top w:val="none" w:sz="0" w:space="0" w:color="auto"/>
        <w:left w:val="none" w:sz="0" w:space="0" w:color="auto"/>
        <w:bottom w:val="none" w:sz="0" w:space="0" w:color="auto"/>
        <w:right w:val="none" w:sz="0" w:space="0" w:color="auto"/>
      </w:divBdr>
    </w:div>
    <w:div w:id="2084329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994</TotalTime>
  <Pages>24</Pages>
  <Words>7223</Words>
  <Characters>41176</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265362 (Courtney Moore)</dc:creator>
  <cp:keywords/>
  <dc:description/>
  <cp:lastModifiedBy>Courtney-Jade Moore</cp:lastModifiedBy>
  <cp:revision>31</cp:revision>
  <dcterms:created xsi:type="dcterms:W3CDTF">2024-03-29T13:36:00Z</dcterms:created>
  <dcterms:modified xsi:type="dcterms:W3CDTF">2024-05-06T20:11:00Z</dcterms:modified>
</cp:coreProperties>
</file>