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Cambria" w:cs="Cambria" w:eastAsia="Cambria" w:hAnsi="Cambria"/>
          <w:b w:val="1"/>
          <w:bCs w:val="1"/>
          <w:color w:val="c47a8a"/>
          <w:sz w:val="56"/>
          <w:szCs w:val="56"/>
        </w:rPr>
      </w:pPr>
      <w:r w:rsidDel="00000000" w:rsidR="00000000" w:rsidRPr="00000000">
        <w:rPr>
          <w:rFonts w:ascii="Cambria" w:cs="Cambria" w:eastAsia="Cambria" w:hAnsi="Cambria"/>
          <w:b w:val="1"/>
          <w:bCs w:val="1"/>
          <w:color w:val="c47a8a"/>
          <w:sz w:val="56"/>
          <w:szCs w:val="56"/>
        </w:rPr>
        <w:drawing>
          <wp:inline distB="0" distT="0" distL="0" distR="0">
            <wp:extent cx="3825240" cy="3825240"/>
            <wp:effectExtent b="0" l="0" r="0" t="0"/>
            <wp:docPr id="1"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3825240" cy="382524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pPr>
      <w:r w:rsidDel="00000000" w:rsidR="00000000" w:rsidRPr="00000000">
        <w:rPr>
          <w:rFonts w:ascii="Cambria" w:cs="Cambria" w:eastAsia="Cambria" w:hAnsi="Cambria"/>
          <w:b w:val="1"/>
          <w:bCs w:val="1"/>
          <w:color w:val="c47a8a"/>
          <w:sz w:val="56"/>
          <w:szCs w:val="56"/>
          <w:rtl w:val="0"/>
        </w:rPr>
        <w:t xml:space="preserve">GlowWay Travel Ltd</w:t>
      </w:r>
      <w:r w:rsidDel="00000000" w:rsidR="00000000" w:rsidRPr="00000000">
        <w:rPr>
          <w:rtl w:val="0"/>
        </w:rPr>
      </w:r>
    </w:p>
    <w:p w:rsidR="00000000" w:rsidDel="00000000" w:rsidP="00000000" w:rsidRDefault="00000000" w:rsidRPr="00000000" w14:paraId="00000003">
      <w:pPr>
        <w:spacing w:after="600" w:before="200" w:lineRule="auto"/>
        <w:jc w:val="center"/>
        <w:rPr/>
      </w:pPr>
      <w:r w:rsidDel="00000000" w:rsidR="00000000" w:rsidRPr="00000000">
        <w:rPr>
          <w:i w:val="1"/>
          <w:iCs w:val="1"/>
          <w:color w:val="b8952e"/>
          <w:sz w:val="24"/>
          <w:szCs w:val="24"/>
          <w:rtl w:val="0"/>
        </w:rPr>
        <w:t xml:space="preserve">light up your journey, create beautiful memories</w:t>
      </w:r>
      <w:r w:rsidDel="00000000" w:rsidR="00000000" w:rsidRPr="00000000">
        <w:rPr>
          <w:rtl w:val="0"/>
        </w:rPr>
      </w:r>
    </w:p>
    <w:p w:rsidR="00000000" w:rsidDel="00000000" w:rsidP="00000000" w:rsidRDefault="00000000" w:rsidRPr="00000000" w14:paraId="00000004">
      <w:pPr>
        <w:spacing w:before="200" w:lineRule="auto"/>
        <w:jc w:val="center"/>
        <w:rPr/>
      </w:pPr>
      <w:r w:rsidDel="00000000" w:rsidR="00000000" w:rsidRPr="00000000">
        <w:rPr>
          <w:b w:val="1"/>
          <w:bCs w:val="1"/>
          <w:sz w:val="28"/>
          <w:szCs w:val="28"/>
          <w:rtl w:val="0"/>
        </w:rPr>
        <w:t xml:space="preserve">Individual Business Plan</w:t>
      </w:r>
      <w:r w:rsidDel="00000000" w:rsidR="00000000" w:rsidRPr="00000000">
        <w:rPr>
          <w:rtl w:val="0"/>
        </w:rPr>
      </w:r>
    </w:p>
    <w:p w:rsidR="00000000" w:rsidDel="00000000" w:rsidP="00000000" w:rsidRDefault="00000000" w:rsidRPr="00000000" w14:paraId="00000005">
      <w:pPr>
        <w:spacing w:before="800" w:lineRule="auto"/>
        <w:jc w:val="center"/>
        <w:rPr>
          <w:rFonts w:ascii="Arial" w:cs="Arial" w:eastAsia="Arial" w:hAnsi="Arial"/>
        </w:rPr>
      </w:pPr>
      <w:r w:rsidDel="00000000" w:rsidR="00000000" w:rsidRPr="00000000">
        <w:rPr>
          <w:rFonts w:ascii="Arial" w:cs="Arial" w:eastAsia="Arial" w:hAnsi="Arial"/>
          <w:b w:val="1"/>
          <w:bCs w:val="1"/>
          <w:rtl w:val="0"/>
        </w:rPr>
        <w:t xml:space="preserve">Programme of Study: Certificate in Higher Education: Business Skills for the Workplace</w:t>
      </w:r>
      <w:r w:rsidDel="00000000" w:rsidR="00000000" w:rsidRPr="00000000">
        <w:rPr>
          <w:rtl w:val="0"/>
        </w:rPr>
      </w:r>
    </w:p>
    <w:p w:rsidR="00000000" w:rsidDel="00000000" w:rsidP="00000000" w:rsidRDefault="00000000" w:rsidRPr="00000000" w14:paraId="00000006">
      <w:pPr>
        <w:spacing w:before="160" w:lineRule="auto"/>
        <w:jc w:val="center"/>
        <w:rPr>
          <w:rFonts w:ascii="Arial" w:cs="Arial" w:eastAsia="Arial" w:hAnsi="Arial"/>
        </w:rPr>
      </w:pPr>
      <w:r w:rsidDel="00000000" w:rsidR="00000000" w:rsidRPr="00000000">
        <w:rPr>
          <w:rFonts w:ascii="Arial" w:cs="Arial" w:eastAsia="Arial" w:hAnsi="Arial"/>
          <w:b w:val="1"/>
          <w:bCs w:val="1"/>
          <w:rtl w:val="0"/>
        </w:rPr>
        <w:t xml:space="preserve">Module Name and Code: </w:t>
      </w:r>
      <w:r w:rsidDel="00000000" w:rsidR="00000000" w:rsidRPr="00000000">
        <w:rPr>
          <w:rFonts w:ascii="Arial" w:cs="Arial" w:eastAsia="Arial" w:hAnsi="Arial"/>
          <w:rtl w:val="0"/>
        </w:rPr>
        <w:t xml:space="preserve">Enterprise and Entrepreneurship (LCLM4006)</w:t>
      </w:r>
    </w:p>
    <w:p w:rsidR="00000000" w:rsidDel="00000000" w:rsidP="00000000" w:rsidRDefault="00000000" w:rsidRPr="00000000" w14:paraId="00000007">
      <w:pPr>
        <w:spacing w:before="160" w:lineRule="auto"/>
        <w:jc w:val="center"/>
        <w:rPr>
          <w:rFonts w:ascii="Arial" w:cs="Arial" w:eastAsia="Arial" w:hAnsi="Arial"/>
        </w:rPr>
      </w:pPr>
      <w:r w:rsidDel="00000000" w:rsidR="00000000" w:rsidRPr="00000000">
        <w:rPr>
          <w:rFonts w:ascii="Arial" w:cs="Arial" w:eastAsia="Arial" w:hAnsi="Arial"/>
          <w:b w:val="1"/>
          <w:bCs w:val="1"/>
          <w:rtl w:val="0"/>
        </w:rPr>
        <w:t xml:space="preserve">Assignment Title: </w:t>
      </w:r>
      <w:r w:rsidDel="00000000" w:rsidR="00000000" w:rsidRPr="00000000">
        <w:rPr>
          <w:rFonts w:ascii="Arial" w:cs="Arial" w:eastAsia="Arial" w:hAnsi="Arial"/>
          <w:rtl w:val="0"/>
        </w:rPr>
        <w:t xml:space="preserve">Individual Business Plan – GlowWay Travel Ltd</w:t>
      </w:r>
    </w:p>
    <w:p w:rsidR="00000000" w:rsidDel="00000000" w:rsidP="00000000" w:rsidRDefault="00000000" w:rsidRPr="00000000" w14:paraId="00000008">
      <w:pPr>
        <w:spacing w:before="160" w:lineRule="auto"/>
        <w:jc w:val="center"/>
        <w:rPr>
          <w:rFonts w:ascii="Arial" w:cs="Arial" w:eastAsia="Arial" w:hAnsi="Arial"/>
        </w:rPr>
      </w:pPr>
      <w:r w:rsidDel="00000000" w:rsidR="00000000" w:rsidRPr="00000000">
        <w:rPr>
          <w:rFonts w:ascii="Arial" w:cs="Arial" w:eastAsia="Arial" w:hAnsi="Arial"/>
          <w:b w:val="1"/>
          <w:bCs w:val="1"/>
          <w:rtl w:val="0"/>
        </w:rPr>
        <w:t xml:space="preserve">Lecturer's Name: </w:t>
      </w:r>
      <w:r w:rsidDel="00000000" w:rsidR="00000000" w:rsidRPr="00000000">
        <w:rPr>
          <w:rFonts w:ascii="Arial" w:cs="Arial" w:eastAsia="Arial" w:hAnsi="Arial"/>
          <w:rtl w:val="0"/>
        </w:rPr>
        <w:t xml:space="preserve">Said Usman</w:t>
      </w:r>
    </w:p>
    <w:p w:rsidR="00000000" w:rsidDel="00000000" w:rsidP="00000000" w:rsidRDefault="00000000" w:rsidRPr="00000000" w14:paraId="00000009">
      <w:pPr>
        <w:spacing w:before="160" w:lineRule="auto"/>
        <w:jc w:val="center"/>
        <w:rPr>
          <w:rFonts w:ascii="Arial" w:cs="Arial" w:eastAsia="Arial" w:hAnsi="Arial"/>
        </w:rPr>
      </w:pPr>
      <w:r w:rsidDel="00000000" w:rsidR="00000000" w:rsidRPr="00000000">
        <w:rPr>
          <w:rFonts w:ascii="Arial" w:cs="Arial" w:eastAsia="Arial" w:hAnsi="Arial"/>
          <w:b w:val="1"/>
          <w:bCs w:val="1"/>
          <w:rtl w:val="0"/>
        </w:rPr>
        <w:t xml:space="preserve">Student Name: </w:t>
      </w:r>
      <w:r w:rsidDel="00000000" w:rsidR="00000000" w:rsidRPr="00000000">
        <w:rPr>
          <w:rFonts w:ascii="Arial" w:cs="Arial" w:eastAsia="Arial" w:hAnsi="Arial"/>
          <w:rtl w:val="0"/>
        </w:rPr>
        <w:t xml:space="preserve">Ainur Seit</w:t>
      </w:r>
    </w:p>
    <w:p w:rsidR="00000000" w:rsidDel="00000000" w:rsidP="00000000" w:rsidRDefault="00000000" w:rsidRPr="00000000" w14:paraId="0000000A">
      <w:pPr>
        <w:rPr/>
      </w:pPr>
      <w:r w:rsidDel="00000000" w:rsidR="00000000" w:rsidRPr="00000000">
        <w:br w:type="page"/>
      </w:r>
      <w:r w:rsidDel="00000000" w:rsidR="00000000" w:rsidRPr="00000000">
        <w:rPr>
          <w:rtl w:val="0"/>
        </w:rPr>
      </w:r>
    </w:p>
    <w:p w:rsidR="00000000" w:rsidDel="00000000" w:rsidP="00000000" w:rsidRDefault="00000000" w:rsidRPr="00000000" w14:paraId="0000000B">
      <w:pPr>
        <w:pStyle w:val="Heading1"/>
        <w:rPr>
          <w:rFonts w:ascii="Arial" w:cs="Arial" w:eastAsia="Arial" w:hAnsi="Arial"/>
          <w:sz w:val="22"/>
          <w:szCs w:val="22"/>
        </w:rPr>
      </w:pPr>
      <w:bookmarkStart w:colFirst="0" w:colLast="0" w:name="_heading=h.tyvypp2tw7j7" w:id="0"/>
      <w:bookmarkEnd w:id="0"/>
      <w:r w:rsidDel="00000000" w:rsidR="00000000" w:rsidRPr="00000000">
        <w:rPr>
          <w:rFonts w:ascii="Arial" w:cs="Arial" w:eastAsia="Arial" w:hAnsi="Arial"/>
          <w:sz w:val="22"/>
          <w:szCs w:val="22"/>
          <w:rtl w:val="0"/>
        </w:rPr>
        <w:t xml:space="preserve">Executive Summary</w:t>
      </w:r>
    </w:p>
    <w:p w:rsidR="00000000" w:rsidDel="00000000" w:rsidP="00000000" w:rsidRDefault="00000000" w:rsidRPr="00000000" w14:paraId="0000000C">
      <w:pPr>
        <w:spacing w:after="160" w:lineRule="auto"/>
        <w:rPr>
          <w:rFonts w:ascii="Arial" w:cs="Arial" w:eastAsia="Arial" w:hAnsi="Arial"/>
        </w:rPr>
      </w:pPr>
      <w:r w:rsidDel="00000000" w:rsidR="00000000" w:rsidRPr="00000000">
        <w:rPr>
          <w:rFonts w:ascii="Arial" w:cs="Arial" w:eastAsia="Arial" w:hAnsi="Arial"/>
          <w:rtl w:val="0"/>
        </w:rPr>
        <w:t xml:space="preserve">GlowWay Travel Ltd is a proposed boutique tour-guiding start-up based in London, offering small-group and solo-friendly walking tours focused on history, culture, food and wellness. The business targets solo female travellers and small friend groups aged approximately 20–40 who are seeking authentic, safe and community-connected travel experiences rather than mass-market coach tours. In line with growing investor and consumer expectations around sustainability, GlowWay embeds community support directly into its operating model by partnering with independent local guides, artisans and small businesses instead of large attraction operators.</w:t>
      </w:r>
    </w:p>
    <w:p w:rsidR="00000000" w:rsidDel="00000000" w:rsidP="00000000" w:rsidRDefault="00000000" w:rsidRPr="00000000" w14:paraId="0000000D">
      <w:pPr>
        <w:spacing w:after="160" w:lineRule="auto"/>
        <w:rPr>
          <w:rFonts w:ascii="Arial" w:cs="Arial" w:eastAsia="Arial" w:hAnsi="Arial"/>
        </w:rPr>
      </w:pPr>
      <w:r w:rsidDel="00000000" w:rsidR="00000000" w:rsidRPr="00000000">
        <w:rPr>
          <w:rFonts w:ascii="Arial" w:cs="Arial" w:eastAsia="Arial" w:hAnsi="Arial"/>
          <w:rtl w:val="0"/>
        </w:rPr>
        <w:t xml:space="preserve">The business will operate as a Private Limited Company, providing limited liability protection and the credibility needed to secure tour-operator bonding, insurance and future investment. GlowWay is seeking £18,000 in start-up funding, to be raised primarily through founder capital and angel investment, allocated across guide training and insurance, marketing, working capital, website development and legal set-up. This business plan sets out the product and management structure, an environmental and competitive analysis of the UK tourism market, the marketing communications strategy, and a full financial breakdown of funding requirements and first-month operating costs.</w:t>
      </w:r>
    </w:p>
    <w:p w:rsidR="00000000" w:rsidDel="00000000" w:rsidP="00000000" w:rsidRDefault="00000000" w:rsidRPr="00000000" w14:paraId="0000000E">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0F">
      <w:pPr>
        <w:pStyle w:val="Heading1"/>
        <w:rPr>
          <w:rFonts w:ascii="Arial" w:cs="Arial" w:eastAsia="Arial" w:hAnsi="Arial"/>
          <w:sz w:val="22"/>
          <w:szCs w:val="22"/>
        </w:rPr>
      </w:pPr>
      <w:bookmarkStart w:colFirst="0" w:colLast="0" w:name="_heading=h.ufejuyxcq7dq" w:id="1"/>
      <w:bookmarkEnd w:id="1"/>
      <w:r w:rsidDel="00000000" w:rsidR="00000000" w:rsidRPr="00000000">
        <w:rPr>
          <w:rFonts w:ascii="Arial" w:cs="Arial" w:eastAsia="Arial" w:hAnsi="Arial"/>
          <w:sz w:val="22"/>
          <w:szCs w:val="22"/>
          <w:rtl w:val="0"/>
        </w:rPr>
        <w:t xml:space="preserve">Table of Contents</w:t>
      </w:r>
    </w:p>
    <w:sdt>
      <w:sdtPr>
        <w:id w:val="22465843"/>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76" w:lineRule="auto"/>
            <w:ind w:left="0" w:right="0" w:firstLine="0"/>
            <w:jc w:val="left"/>
            <w:rPr>
              <w:rFonts w:ascii="Arial" w:cs="Arial" w:eastAsia="Arial" w:hAnsi="Arial"/>
              <w:i w:val="0"/>
              <w:iCs w:val="0"/>
              <w:smallCaps w:val="0"/>
              <w:strike w:val="0"/>
              <w:color w:val="000000"/>
              <w:u w:val="none"/>
              <w:shd w:fill="auto" w:val="clear"/>
              <w:vertAlign w:val="baseline"/>
            </w:rPr>
          </w:pPr>
          <w:r w:rsidDel="00000000" w:rsidR="00000000" w:rsidRPr="00000000">
            <w:fldChar w:fldCharType="begin"/>
            <w:instrText xml:space="preserve"> TOC \h \u \z \t "Heading 1,1,Heading 2,2,"</w:instrText>
            <w:fldChar w:fldCharType="separate"/>
          </w:r>
          <w:hyperlink w:anchor="_heading=h.tyvypp2tw7j7">
            <w:r w:rsidDel="00000000" w:rsidR="00000000" w:rsidRPr="00000000">
              <w:rPr>
                <w:rFonts w:ascii="Arial" w:cs="Arial" w:eastAsia="Arial" w:hAnsi="Arial"/>
                <w:i w:val="0"/>
                <w:iCs w:val="0"/>
                <w:smallCaps w:val="0"/>
                <w:strike w:val="0"/>
                <w:color w:val="000000"/>
                <w:u w:val="none"/>
                <w:shd w:fill="auto" w:val="clear"/>
                <w:vertAlign w:val="baseline"/>
                <w:rtl w:val="0"/>
              </w:rPr>
              <w:t xml:space="preserve">Executive Summary</w:t>
              <w:tab/>
              <w:t xml:space="preserve">2</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76" w:lineRule="auto"/>
            <w:ind w:left="0" w:right="0" w:firstLine="0"/>
            <w:jc w:val="left"/>
            <w:rPr>
              <w:rFonts w:ascii="Arial" w:cs="Arial" w:eastAsia="Arial" w:hAnsi="Arial"/>
              <w:i w:val="0"/>
              <w:iCs w:val="0"/>
              <w:smallCaps w:val="0"/>
              <w:strike w:val="0"/>
              <w:color w:val="000000"/>
              <w:u w:val="none"/>
              <w:shd w:fill="auto" w:val="clear"/>
              <w:vertAlign w:val="baseline"/>
            </w:rPr>
          </w:pPr>
          <w:hyperlink w:anchor="_heading=h.ufejuyxcq7dq">
            <w:r w:rsidDel="00000000" w:rsidR="00000000" w:rsidRPr="00000000">
              <w:rPr>
                <w:rFonts w:ascii="Arial" w:cs="Arial" w:eastAsia="Arial" w:hAnsi="Arial"/>
                <w:i w:val="0"/>
                <w:iCs w:val="0"/>
                <w:smallCaps w:val="0"/>
                <w:strike w:val="0"/>
                <w:color w:val="000000"/>
                <w:u w:val="none"/>
                <w:shd w:fill="auto" w:val="clear"/>
                <w:vertAlign w:val="baseline"/>
                <w:rtl w:val="0"/>
              </w:rPr>
              <w:t xml:space="preserve">Table of Contents</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76" w:lineRule="auto"/>
            <w:ind w:left="0" w:right="0" w:firstLine="0"/>
            <w:jc w:val="left"/>
            <w:rPr>
              <w:rFonts w:ascii="Arial" w:cs="Arial" w:eastAsia="Arial" w:hAnsi="Arial"/>
              <w:i w:val="0"/>
              <w:iCs w:val="0"/>
              <w:smallCaps w:val="0"/>
              <w:strike w:val="0"/>
              <w:color w:val="000000"/>
              <w:u w:val="none"/>
              <w:shd w:fill="auto" w:val="clear"/>
              <w:vertAlign w:val="baseline"/>
            </w:rPr>
          </w:pPr>
          <w:hyperlink w:anchor="_heading=h.o31pofmt7baj">
            <w:r w:rsidDel="00000000" w:rsidR="00000000" w:rsidRPr="00000000">
              <w:rPr>
                <w:rFonts w:ascii="Arial" w:cs="Arial" w:eastAsia="Arial" w:hAnsi="Arial"/>
                <w:i w:val="0"/>
                <w:iCs w:val="0"/>
                <w:smallCaps w:val="0"/>
                <w:strike w:val="0"/>
                <w:color w:val="000000"/>
                <w:u w:val="none"/>
                <w:shd w:fill="auto" w:val="clear"/>
                <w:vertAlign w:val="baseline"/>
                <w:rtl w:val="0"/>
              </w:rPr>
              <w:t xml:space="preserve">1. Overview of the Business Idea</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76" w:lineRule="auto"/>
            <w:ind w:left="0" w:right="0" w:firstLine="0"/>
            <w:jc w:val="left"/>
            <w:rPr>
              <w:rFonts w:ascii="Arial" w:cs="Arial" w:eastAsia="Arial" w:hAnsi="Arial"/>
              <w:i w:val="0"/>
              <w:iCs w:val="0"/>
              <w:smallCaps w:val="0"/>
              <w:strike w:val="0"/>
              <w:color w:val="000000"/>
              <w:u w:val="none"/>
              <w:shd w:fill="auto" w:val="clear"/>
              <w:vertAlign w:val="baseline"/>
            </w:rPr>
          </w:pPr>
          <w:hyperlink w:anchor="_heading=h.gscs38r2qgxh">
            <w:r w:rsidDel="00000000" w:rsidR="00000000" w:rsidRPr="00000000">
              <w:rPr>
                <w:rFonts w:ascii="Arial" w:cs="Arial" w:eastAsia="Arial" w:hAnsi="Arial"/>
                <w:i w:val="0"/>
                <w:iCs w:val="0"/>
                <w:smallCaps w:val="0"/>
                <w:strike w:val="0"/>
                <w:color w:val="000000"/>
                <w:u w:val="none"/>
                <w:shd w:fill="auto" w:val="clear"/>
                <w:vertAlign w:val="baseline"/>
                <w:rtl w:val="0"/>
              </w:rPr>
              <w:t xml:space="preserve">2. Market Research</w:t>
              <w:tab/>
            </w:r>
          </w:hyperlink>
          <w:r w:rsidDel="00000000" w:rsidR="00000000" w:rsidRPr="00000000">
            <w:rPr>
              <w:rFonts w:ascii="Arial" w:cs="Arial" w:eastAsia="Arial" w:hAnsi="Arial"/>
              <w:rtl w:val="0"/>
            </w:rPr>
            <w:t xml:space="preserve">5</w:t>
          </w:r>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76" w:lineRule="auto"/>
            <w:ind w:left="220" w:right="0" w:firstLine="0"/>
            <w:jc w:val="left"/>
            <w:rPr>
              <w:rFonts w:ascii="Arial" w:cs="Arial" w:eastAsia="Arial" w:hAnsi="Arial"/>
              <w:i w:val="0"/>
              <w:iCs w:val="0"/>
              <w:smallCaps w:val="0"/>
              <w:strike w:val="0"/>
              <w:color w:val="000000"/>
              <w:u w:val="none"/>
              <w:shd w:fill="auto" w:val="clear"/>
              <w:vertAlign w:val="baseline"/>
            </w:rPr>
          </w:pPr>
          <w:hyperlink w:anchor="_heading=h.6eu5v1datjjm">
            <w:r w:rsidDel="00000000" w:rsidR="00000000" w:rsidRPr="00000000">
              <w:rPr>
                <w:rFonts w:ascii="Arial" w:cs="Arial" w:eastAsia="Arial" w:hAnsi="Arial"/>
                <w:i w:val="0"/>
                <w:iCs w:val="0"/>
                <w:smallCaps w:val="0"/>
                <w:strike w:val="0"/>
                <w:color w:val="000000"/>
                <w:u w:val="none"/>
                <w:shd w:fill="auto" w:val="clear"/>
                <w:vertAlign w:val="baseline"/>
                <w:rtl w:val="0"/>
              </w:rPr>
              <w:t xml:space="preserve">2.1 PESTEL Analysis</w:t>
              <w:tab/>
            </w:r>
          </w:hyperlink>
          <w:r w:rsidDel="00000000" w:rsidR="00000000" w:rsidRPr="00000000">
            <w:rPr>
              <w:rFonts w:ascii="Arial" w:cs="Arial" w:eastAsia="Arial" w:hAnsi="Arial"/>
              <w:rtl w:val="0"/>
            </w:rPr>
            <w:t xml:space="preserve">5</w:t>
          </w: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76" w:lineRule="auto"/>
            <w:ind w:left="220" w:right="0" w:firstLine="0"/>
            <w:jc w:val="left"/>
            <w:rPr>
              <w:rFonts w:ascii="Arial" w:cs="Arial" w:eastAsia="Arial" w:hAnsi="Arial"/>
              <w:i w:val="0"/>
              <w:iCs w:val="0"/>
              <w:smallCaps w:val="0"/>
              <w:strike w:val="0"/>
              <w:color w:val="000000"/>
              <w:u w:val="none"/>
              <w:shd w:fill="auto" w:val="clear"/>
              <w:vertAlign w:val="baseline"/>
            </w:rPr>
          </w:pPr>
          <w:hyperlink w:anchor="_heading=h.ssjzo1qp9vp4">
            <w:r w:rsidDel="00000000" w:rsidR="00000000" w:rsidRPr="00000000">
              <w:rPr>
                <w:rFonts w:ascii="Arial" w:cs="Arial" w:eastAsia="Arial" w:hAnsi="Arial"/>
                <w:i w:val="0"/>
                <w:iCs w:val="0"/>
                <w:smallCaps w:val="0"/>
                <w:strike w:val="0"/>
                <w:color w:val="000000"/>
                <w:u w:val="none"/>
                <w:shd w:fill="auto" w:val="clear"/>
                <w:vertAlign w:val="baseline"/>
                <w:rtl w:val="0"/>
              </w:rPr>
              <w:t xml:space="preserve">2.2 Competitive Analysis</w:t>
              <w:tab/>
            </w:r>
          </w:hyperlink>
          <w:r w:rsidDel="00000000" w:rsidR="00000000" w:rsidRPr="00000000">
            <w:rPr>
              <w:rFonts w:ascii="Arial" w:cs="Arial" w:eastAsia="Arial" w:hAnsi="Arial"/>
              <w:rtl w:val="0"/>
            </w:rPr>
            <w:t xml:space="preserve">6</w:t>
          </w: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76" w:lineRule="auto"/>
            <w:ind w:left="0" w:right="0" w:firstLine="0"/>
            <w:jc w:val="left"/>
            <w:rPr>
              <w:rFonts w:ascii="Arial" w:cs="Arial" w:eastAsia="Arial" w:hAnsi="Arial"/>
              <w:i w:val="0"/>
              <w:iCs w:val="0"/>
              <w:smallCaps w:val="0"/>
              <w:strike w:val="0"/>
              <w:color w:val="000000"/>
              <w:u w:val="none"/>
              <w:shd w:fill="auto" w:val="clear"/>
              <w:vertAlign w:val="baseline"/>
            </w:rPr>
          </w:pPr>
          <w:hyperlink w:anchor="_heading=h.zcxj0yz8kxaz">
            <w:r w:rsidDel="00000000" w:rsidR="00000000" w:rsidRPr="00000000">
              <w:rPr>
                <w:rFonts w:ascii="Arial" w:cs="Arial" w:eastAsia="Arial" w:hAnsi="Arial"/>
                <w:i w:val="0"/>
                <w:iCs w:val="0"/>
                <w:smallCaps w:val="0"/>
                <w:strike w:val="0"/>
                <w:color w:val="000000"/>
                <w:u w:val="none"/>
                <w:shd w:fill="auto" w:val="clear"/>
                <w:vertAlign w:val="baseline"/>
                <w:rtl w:val="0"/>
              </w:rPr>
              <w:t xml:space="preserve">3. Marketing Communications</w:t>
              <w:tab/>
            </w:r>
          </w:hyperlink>
          <w:r w:rsidDel="00000000" w:rsidR="00000000" w:rsidRPr="00000000">
            <w:rPr>
              <w:rFonts w:ascii="Arial" w:cs="Arial" w:eastAsia="Arial" w:hAnsi="Arial"/>
              <w:rtl w:val="0"/>
            </w:rPr>
            <w:t xml:space="preserve">7</w:t>
          </w: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76" w:lineRule="auto"/>
            <w:ind w:left="220" w:right="0" w:firstLine="0"/>
            <w:jc w:val="left"/>
            <w:rPr>
              <w:rFonts w:ascii="Arial" w:cs="Arial" w:eastAsia="Arial" w:hAnsi="Arial"/>
              <w:i w:val="0"/>
              <w:iCs w:val="0"/>
              <w:smallCaps w:val="0"/>
              <w:strike w:val="0"/>
              <w:color w:val="000000"/>
              <w:u w:val="none"/>
              <w:shd w:fill="auto" w:val="clear"/>
              <w:vertAlign w:val="baseline"/>
            </w:rPr>
          </w:pPr>
          <w:hyperlink w:anchor="_heading=h.n1b0h0eo4buh">
            <w:r w:rsidDel="00000000" w:rsidR="00000000" w:rsidRPr="00000000">
              <w:rPr>
                <w:rFonts w:ascii="Arial" w:cs="Arial" w:eastAsia="Arial" w:hAnsi="Arial"/>
                <w:i w:val="0"/>
                <w:iCs w:val="0"/>
                <w:smallCaps w:val="0"/>
                <w:strike w:val="0"/>
                <w:color w:val="000000"/>
                <w:u w:val="none"/>
                <w:shd w:fill="auto" w:val="clear"/>
                <w:vertAlign w:val="baseline"/>
                <w:rtl w:val="0"/>
              </w:rPr>
              <w:t xml:space="preserve">3.1 Social-First Storytelling</w:t>
              <w:tab/>
            </w:r>
          </w:hyperlink>
          <w:r w:rsidDel="00000000" w:rsidR="00000000" w:rsidRPr="00000000">
            <w:rPr>
              <w:rFonts w:ascii="Arial" w:cs="Arial" w:eastAsia="Arial" w:hAnsi="Arial"/>
              <w:rtl w:val="0"/>
            </w:rPr>
            <w:t xml:space="preserve">7</w:t>
          </w: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76" w:lineRule="auto"/>
            <w:ind w:left="220" w:right="0" w:firstLine="0"/>
            <w:jc w:val="left"/>
            <w:rPr>
              <w:rFonts w:ascii="Arial" w:cs="Arial" w:eastAsia="Arial" w:hAnsi="Arial"/>
              <w:i w:val="0"/>
              <w:iCs w:val="0"/>
              <w:smallCaps w:val="0"/>
              <w:strike w:val="0"/>
              <w:color w:val="000000"/>
              <w:u w:val="none"/>
              <w:shd w:fill="auto" w:val="clear"/>
              <w:vertAlign w:val="baseline"/>
            </w:rPr>
          </w:pPr>
          <w:hyperlink w:anchor="_heading=h.ck52qftawzh9">
            <w:r w:rsidDel="00000000" w:rsidR="00000000" w:rsidRPr="00000000">
              <w:rPr>
                <w:rFonts w:ascii="Arial" w:cs="Arial" w:eastAsia="Arial" w:hAnsi="Arial"/>
                <w:i w:val="0"/>
                <w:iCs w:val="0"/>
                <w:smallCaps w:val="0"/>
                <w:strike w:val="0"/>
                <w:color w:val="000000"/>
                <w:u w:val="none"/>
                <w:shd w:fill="auto" w:val="clear"/>
                <w:vertAlign w:val="baseline"/>
                <w:rtl w:val="0"/>
              </w:rPr>
              <w:t xml:space="preserve">3.2 Community and Local Partnership Marketing</w:t>
              <w:tab/>
            </w:r>
          </w:hyperlink>
          <w:r w:rsidDel="00000000" w:rsidR="00000000" w:rsidRPr="00000000">
            <w:rPr>
              <w:rFonts w:ascii="Arial" w:cs="Arial" w:eastAsia="Arial" w:hAnsi="Arial"/>
              <w:rtl w:val="0"/>
            </w:rPr>
            <w:t xml:space="preserve">7</w:t>
          </w: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76" w:lineRule="auto"/>
            <w:ind w:left="0" w:right="0" w:firstLine="0"/>
            <w:jc w:val="left"/>
            <w:rPr>
              <w:rFonts w:ascii="Arial" w:cs="Arial" w:eastAsia="Arial" w:hAnsi="Arial"/>
              <w:i w:val="0"/>
              <w:iCs w:val="0"/>
              <w:smallCaps w:val="0"/>
              <w:strike w:val="0"/>
              <w:color w:val="000000"/>
              <w:u w:val="none"/>
              <w:shd w:fill="auto" w:val="clear"/>
              <w:vertAlign w:val="baseline"/>
            </w:rPr>
          </w:pPr>
          <w:hyperlink w:anchor="_heading=h.xnbfli1kjjul">
            <w:r w:rsidDel="00000000" w:rsidR="00000000" w:rsidRPr="00000000">
              <w:rPr>
                <w:rFonts w:ascii="Arial" w:cs="Arial" w:eastAsia="Arial" w:hAnsi="Arial"/>
                <w:i w:val="0"/>
                <w:iCs w:val="0"/>
                <w:smallCaps w:val="0"/>
                <w:strike w:val="0"/>
                <w:color w:val="000000"/>
                <w:u w:val="none"/>
                <w:shd w:fill="auto" w:val="clear"/>
                <w:vertAlign w:val="baseline"/>
                <w:rtl w:val="0"/>
              </w:rPr>
              <w:t xml:space="preserve">4. Financials</w:t>
              <w:tab/>
            </w:r>
          </w:hyperlink>
          <w:r w:rsidDel="00000000" w:rsidR="00000000" w:rsidRPr="00000000">
            <w:rPr>
              <w:rFonts w:ascii="Arial" w:cs="Arial" w:eastAsia="Arial" w:hAnsi="Arial"/>
              <w:rtl w:val="0"/>
            </w:rPr>
            <w:t xml:space="preserve">8</w:t>
          </w: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76" w:lineRule="auto"/>
            <w:ind w:left="220" w:right="0" w:firstLine="0"/>
            <w:jc w:val="left"/>
            <w:rPr>
              <w:rFonts w:ascii="Arial" w:cs="Arial" w:eastAsia="Arial" w:hAnsi="Arial"/>
              <w:i w:val="0"/>
              <w:iCs w:val="0"/>
              <w:smallCaps w:val="0"/>
              <w:strike w:val="0"/>
              <w:color w:val="000000"/>
              <w:u w:val="none"/>
              <w:shd w:fill="auto" w:val="clear"/>
              <w:vertAlign w:val="baseline"/>
            </w:rPr>
          </w:pPr>
          <w:hyperlink w:anchor="_heading=h.z4szoe40p6cw">
            <w:r w:rsidDel="00000000" w:rsidR="00000000" w:rsidRPr="00000000">
              <w:rPr>
                <w:rFonts w:ascii="Arial" w:cs="Arial" w:eastAsia="Arial" w:hAnsi="Arial"/>
                <w:i w:val="0"/>
                <w:iCs w:val="0"/>
                <w:smallCaps w:val="0"/>
                <w:strike w:val="0"/>
                <w:color w:val="000000"/>
                <w:u w:val="none"/>
                <w:shd w:fill="auto" w:val="clear"/>
                <w:vertAlign w:val="baseline"/>
                <w:rtl w:val="0"/>
              </w:rPr>
              <w:t xml:space="preserve">4.1 Funding Required and Sources</w:t>
              <w:tab/>
            </w:r>
          </w:hyperlink>
          <w:r w:rsidDel="00000000" w:rsidR="00000000" w:rsidRPr="00000000">
            <w:rPr>
              <w:rFonts w:ascii="Arial" w:cs="Arial" w:eastAsia="Arial" w:hAnsi="Arial"/>
              <w:rtl w:val="0"/>
            </w:rPr>
            <w:t xml:space="preserve">8</w:t>
          </w: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76" w:lineRule="auto"/>
            <w:ind w:left="220" w:right="0" w:firstLine="0"/>
            <w:jc w:val="left"/>
            <w:rPr>
              <w:rFonts w:ascii="Arial" w:cs="Arial" w:eastAsia="Arial" w:hAnsi="Arial"/>
              <w:i w:val="0"/>
              <w:iCs w:val="0"/>
              <w:smallCaps w:val="0"/>
              <w:strike w:val="0"/>
              <w:color w:val="000000"/>
              <w:u w:val="none"/>
              <w:shd w:fill="auto" w:val="clear"/>
              <w:vertAlign w:val="baseline"/>
            </w:rPr>
          </w:pPr>
          <w:hyperlink w:anchor="_heading=h.6l1bmjwi738l">
            <w:r w:rsidDel="00000000" w:rsidR="00000000" w:rsidRPr="00000000">
              <w:rPr>
                <w:rFonts w:ascii="Arial" w:cs="Arial" w:eastAsia="Arial" w:hAnsi="Arial"/>
                <w:i w:val="0"/>
                <w:iCs w:val="0"/>
                <w:smallCaps w:val="0"/>
                <w:strike w:val="0"/>
                <w:color w:val="000000"/>
                <w:u w:val="none"/>
                <w:shd w:fill="auto" w:val="clear"/>
                <w:vertAlign w:val="baseline"/>
                <w:rtl w:val="0"/>
              </w:rPr>
              <w:t xml:space="preserve">4.2 First-Month Start-up Expenses</w:t>
              <w:tab/>
            </w:r>
          </w:hyperlink>
          <w:r w:rsidDel="00000000" w:rsidR="00000000" w:rsidRPr="00000000">
            <w:rPr>
              <w:rFonts w:ascii="Arial" w:cs="Arial" w:eastAsia="Arial" w:hAnsi="Arial"/>
              <w:rtl w:val="0"/>
            </w:rPr>
            <w:t xml:space="preserve">8</w:t>
          </w: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76" w:lineRule="auto"/>
            <w:ind w:left="0" w:right="0" w:firstLine="0"/>
            <w:jc w:val="left"/>
            <w:rPr>
              <w:rFonts w:ascii="Arial" w:cs="Arial" w:eastAsia="Arial" w:hAnsi="Arial"/>
              <w:i w:val="0"/>
              <w:iCs w:val="0"/>
              <w:smallCaps w:val="0"/>
              <w:strike w:val="0"/>
              <w:color w:val="000000"/>
              <w:u w:val="none"/>
              <w:shd w:fill="auto" w:val="clear"/>
              <w:vertAlign w:val="baseline"/>
            </w:rPr>
          </w:pPr>
          <w:hyperlink w:anchor="_heading=h.q5slfqh3e7cl">
            <w:r w:rsidDel="00000000" w:rsidR="00000000" w:rsidRPr="00000000">
              <w:rPr>
                <w:rFonts w:ascii="Arial" w:cs="Arial" w:eastAsia="Arial" w:hAnsi="Arial"/>
                <w:i w:val="0"/>
                <w:iCs w:val="0"/>
                <w:smallCaps w:val="0"/>
                <w:strike w:val="0"/>
                <w:color w:val="000000"/>
                <w:u w:val="none"/>
                <w:shd w:fill="auto" w:val="clear"/>
                <w:vertAlign w:val="baseline"/>
                <w:rtl w:val="0"/>
              </w:rPr>
              <w:t xml:space="preserve">Reference List</w:t>
              <w:tab/>
            </w:r>
          </w:hyperlink>
          <w:r w:rsidDel="00000000" w:rsidR="00000000" w:rsidRPr="00000000">
            <w:rPr>
              <w:rFonts w:ascii="Arial" w:cs="Arial" w:eastAsia="Arial" w:hAnsi="Arial"/>
              <w:rtl w:val="0"/>
            </w:rPr>
            <w:t xml:space="preserve">9</w:t>
          </w:r>
          <w:r w:rsidDel="00000000" w:rsidR="00000000" w:rsidRPr="00000000">
            <w:rPr>
              <w:rtl w:val="0"/>
            </w:rPr>
          </w:r>
        </w:p>
        <w:p w:rsidR="00000000" w:rsidDel="00000000" w:rsidP="00000000" w:rsidRDefault="00000000" w:rsidRPr="00000000" w14:paraId="0000001D">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rPr>
          <w:rFonts w:ascii="Arial" w:cs="Arial" w:eastAsia="Arial" w:hAnsi="Arial"/>
          <w:sz w:val="22"/>
          <w:szCs w:val="22"/>
        </w:rPr>
      </w:pPr>
      <w:bookmarkStart w:colFirst="0" w:colLast="0" w:name="_heading=h.o31pofmt7baj" w:id="2"/>
      <w:bookmarkEnd w:id="2"/>
      <w:r w:rsidDel="00000000" w:rsidR="00000000" w:rsidRPr="00000000">
        <w:rPr>
          <w:rFonts w:ascii="Arial" w:cs="Arial" w:eastAsia="Arial" w:hAnsi="Arial"/>
          <w:sz w:val="22"/>
          <w:szCs w:val="22"/>
          <w:rtl w:val="0"/>
        </w:rPr>
        <w:t xml:space="preserve">1. Overview of the Business Idea</w:t>
      </w:r>
    </w:p>
    <w:p w:rsidR="00000000" w:rsidDel="00000000" w:rsidP="00000000" w:rsidRDefault="00000000" w:rsidRPr="00000000" w14:paraId="00000020">
      <w:pPr>
        <w:spacing w:after="160" w:lineRule="auto"/>
        <w:rPr>
          <w:rFonts w:ascii="Arial" w:cs="Arial" w:eastAsia="Arial" w:hAnsi="Arial"/>
        </w:rPr>
      </w:pPr>
      <w:r w:rsidDel="00000000" w:rsidR="00000000" w:rsidRPr="00000000">
        <w:rPr>
          <w:rFonts w:ascii="Arial" w:cs="Arial" w:eastAsia="Arial" w:hAnsi="Arial"/>
          <w:rtl w:val="0"/>
        </w:rPr>
        <w:t xml:space="preserve">GlowWay Travel Ltd will provide small group/solo guided walking tours around London, with a maximum of eight guests in each tour, which will cover hidden-gem history, culture, food and wellness tours. The itineraries are customised to the interests of the guest, what is referred to as a Glow Itinerary, and crafted using three values; safety, connection to the authentic community and sustainability. Instead of sending visitors through mass attractions and huge coach operators, GlowWay will collaborate with independent local guides, craftsmen and small businesses, which means that the tourism dollars will stay within the local economy, and the number of people in a group will be low-impact. This is a direct manifestation of a broader trend in the industry towards community-based approaches, which value local ownership, cultural conservation and local wellbeing over high-volume tourism (Naranjo Llupart, 2022).</w:t>
      </w:r>
    </w:p>
    <w:p w:rsidR="00000000" w:rsidDel="00000000" w:rsidP="00000000" w:rsidRDefault="00000000" w:rsidRPr="00000000" w14:paraId="00000021">
      <w:pPr>
        <w:spacing w:after="160" w:lineRule="auto"/>
        <w:rPr>
          <w:rFonts w:ascii="Arial" w:cs="Arial" w:eastAsia="Arial" w:hAnsi="Arial"/>
        </w:rPr>
      </w:pPr>
      <w:r w:rsidDel="00000000" w:rsidR="00000000" w:rsidRPr="00000000">
        <w:rPr>
          <w:rFonts w:ascii="Arial" w:cs="Arial" w:eastAsia="Arial" w:hAnsi="Arial"/>
          <w:rtl w:val="0"/>
        </w:rPr>
        <w:t xml:space="preserve">The target market will be individual female travellers and small groups of friends aged 20-40. This group is also well-documented in the literature: female travellers have increasingly become a larger segment of the leisure travel market and systematic review evidence demonstrates that the research on female tourism has grown significantly in line with the increasing demand of a safety-conscious, motivation-driven, and community-oriented travel experience (Zhang et al., 2024). GlowWay is answering this demand by offering vetted routes, small group sizes, and women-friendly local guides.</w:t>
      </w:r>
    </w:p>
    <w:p w:rsidR="00000000" w:rsidDel="00000000" w:rsidP="00000000" w:rsidRDefault="00000000" w:rsidRPr="00000000" w14:paraId="00000022">
      <w:pPr>
        <w:spacing w:after="160" w:lineRule="auto"/>
        <w:rPr>
          <w:rFonts w:ascii="Arial" w:cs="Arial" w:eastAsia="Arial" w:hAnsi="Arial"/>
        </w:rPr>
      </w:pPr>
      <w:r w:rsidDel="00000000" w:rsidR="00000000" w:rsidRPr="00000000">
        <w:rPr>
          <w:rFonts w:ascii="Arial" w:cs="Arial" w:eastAsia="Arial" w:hAnsi="Arial"/>
          <w:rtl w:val="0"/>
        </w:rPr>
        <w:t xml:space="preserve">Its management structure is lean by design to reduce the fixed costs in the start-up stage. The Founder and Director will manage strategy, quality control and personally lead tours when launching. A part-time Marketing and Community Coordinator will handle social media, local business associations and reservations. Tour guides will be hired on a per-tour basis on a freelance basis and hence the business can increase or decrease capacity according to demand without having to bear the fixed cost of full-time workers.</w:t>
      </w:r>
    </w:p>
    <w:p w:rsidR="00000000" w:rsidDel="00000000" w:rsidP="00000000" w:rsidRDefault="00000000" w:rsidRPr="00000000" w14:paraId="00000023">
      <w:pPr>
        <w:spacing w:after="160" w:lineRule="auto"/>
        <w:rPr>
          <w:rFonts w:ascii="Arial" w:cs="Arial" w:eastAsia="Arial" w:hAnsi="Arial"/>
        </w:rPr>
      </w:pPr>
      <w:r w:rsidDel="00000000" w:rsidR="00000000" w:rsidRPr="00000000">
        <w:rPr>
          <w:rFonts w:ascii="Arial" w:cs="Arial" w:eastAsia="Arial" w:hAnsi="Arial"/>
          <w:rtl w:val="0"/>
        </w:rPr>
        <w:t xml:space="preserve">GlowWay will be a Private Limited Company (Ltd). In comparison to the sole trader, a limited company isolates personal and business assets, which is quite a factor to consider considering the physical and group activities characteristic of guided tours and the liability exposure this type of business is subject to (The Open University, n.d.). Limited company status is also beneficial in seeking tour-operator bonding (e.g. ABTOT), public liability insurance, and angel investors, as profits can be retained and reinvested, and shares can be issued to investors in future as the business expands.</w:t>
      </w:r>
    </w:p>
    <w:p w:rsidR="00000000" w:rsidDel="00000000" w:rsidP="00000000" w:rsidRDefault="00000000" w:rsidRPr="00000000" w14:paraId="00000024">
      <w:pPr>
        <w:pStyle w:val="Heading1"/>
        <w:rPr>
          <w:rFonts w:ascii="Arial" w:cs="Arial" w:eastAsia="Arial" w:hAnsi="Arial"/>
          <w:sz w:val="22"/>
          <w:szCs w:val="22"/>
        </w:rPr>
      </w:pPr>
      <w:bookmarkStart w:colFirst="0" w:colLast="0" w:name="_heading=h.1jnvjyxuiguu" w:id="3"/>
      <w:bookmarkEnd w:id="3"/>
      <w:r w:rsidDel="00000000" w:rsidR="00000000" w:rsidRPr="00000000">
        <w:rPr>
          <w:rtl w:val="0"/>
        </w:rPr>
      </w:r>
    </w:p>
    <w:p w:rsidR="00000000" w:rsidDel="00000000" w:rsidP="00000000" w:rsidRDefault="00000000" w:rsidRPr="00000000" w14:paraId="00000025">
      <w:pPr>
        <w:pStyle w:val="Heading1"/>
        <w:rPr>
          <w:rFonts w:ascii="Arial" w:cs="Arial" w:eastAsia="Arial" w:hAnsi="Arial"/>
          <w:sz w:val="22"/>
          <w:szCs w:val="22"/>
        </w:rPr>
      </w:pPr>
      <w:bookmarkStart w:colFirst="0" w:colLast="0" w:name="_heading=h.nbda38ylueso" w:id="4"/>
      <w:bookmarkEnd w:id="4"/>
      <w:r w:rsidDel="00000000" w:rsidR="00000000" w:rsidRPr="00000000">
        <w:rPr>
          <w:rtl w:val="0"/>
        </w:rPr>
      </w:r>
    </w:p>
    <w:p w:rsidR="00000000" w:rsidDel="00000000" w:rsidP="00000000" w:rsidRDefault="00000000" w:rsidRPr="00000000" w14:paraId="00000026">
      <w:pPr>
        <w:pStyle w:val="Heading1"/>
        <w:rPr>
          <w:rFonts w:ascii="Arial" w:cs="Arial" w:eastAsia="Arial" w:hAnsi="Arial"/>
          <w:sz w:val="22"/>
          <w:szCs w:val="22"/>
        </w:rPr>
      </w:pPr>
      <w:bookmarkStart w:colFirst="0" w:colLast="0" w:name="_heading=h.ys7ew5xv78lo" w:id="5"/>
      <w:bookmarkEnd w:id="5"/>
      <w:r w:rsidDel="00000000" w:rsidR="00000000" w:rsidRPr="00000000">
        <w:rPr>
          <w:rtl w:val="0"/>
        </w:rPr>
      </w:r>
    </w:p>
    <w:p w:rsidR="00000000" w:rsidDel="00000000" w:rsidP="00000000" w:rsidRDefault="00000000" w:rsidRPr="00000000" w14:paraId="00000027">
      <w:pPr>
        <w:pStyle w:val="Heading1"/>
        <w:rPr>
          <w:rFonts w:ascii="Arial" w:cs="Arial" w:eastAsia="Arial" w:hAnsi="Arial"/>
          <w:sz w:val="22"/>
          <w:szCs w:val="22"/>
        </w:rPr>
      </w:pPr>
      <w:bookmarkStart w:colFirst="0" w:colLast="0" w:name="_heading=h.gb7xqmw5o3yi" w:id="6"/>
      <w:bookmarkEnd w:id="6"/>
      <w:r w:rsidDel="00000000" w:rsidR="00000000" w:rsidRPr="00000000">
        <w:rPr>
          <w:rtl w:val="0"/>
        </w:rPr>
      </w:r>
    </w:p>
    <w:p w:rsidR="00000000" w:rsidDel="00000000" w:rsidP="00000000" w:rsidRDefault="00000000" w:rsidRPr="00000000" w14:paraId="00000028">
      <w:pPr>
        <w:pStyle w:val="Heading1"/>
        <w:rPr>
          <w:rFonts w:ascii="Arial" w:cs="Arial" w:eastAsia="Arial" w:hAnsi="Arial"/>
          <w:sz w:val="22"/>
          <w:szCs w:val="22"/>
        </w:rPr>
      </w:pPr>
      <w:bookmarkStart w:colFirst="0" w:colLast="0" w:name="_heading=h.kpwnkjyxfcv2" w:id="7"/>
      <w:bookmarkEnd w:id="7"/>
      <w:r w:rsidDel="00000000" w:rsidR="00000000" w:rsidRPr="00000000">
        <w:rPr>
          <w:rtl w:val="0"/>
        </w:rPr>
      </w:r>
    </w:p>
    <w:p w:rsidR="00000000" w:rsidDel="00000000" w:rsidP="00000000" w:rsidRDefault="00000000" w:rsidRPr="00000000" w14:paraId="00000029">
      <w:pPr>
        <w:pStyle w:val="Heading1"/>
        <w:rPr>
          <w:rFonts w:ascii="Arial" w:cs="Arial" w:eastAsia="Arial" w:hAnsi="Arial"/>
          <w:sz w:val="22"/>
          <w:szCs w:val="22"/>
        </w:rPr>
      </w:pPr>
      <w:bookmarkStart w:colFirst="0" w:colLast="0" w:name="_heading=h.u3k0mru12q74" w:id="8"/>
      <w:bookmarkEnd w:id="8"/>
      <w:r w:rsidDel="00000000" w:rsidR="00000000" w:rsidRPr="00000000">
        <w:rPr>
          <w:rtl w:val="0"/>
        </w:rPr>
      </w:r>
    </w:p>
    <w:p w:rsidR="00000000" w:rsidDel="00000000" w:rsidP="00000000" w:rsidRDefault="00000000" w:rsidRPr="00000000" w14:paraId="0000002A">
      <w:pPr>
        <w:pStyle w:val="Heading1"/>
        <w:rPr>
          <w:rFonts w:ascii="Arial" w:cs="Arial" w:eastAsia="Arial" w:hAnsi="Arial"/>
          <w:sz w:val="22"/>
          <w:szCs w:val="22"/>
        </w:rPr>
      </w:pPr>
      <w:bookmarkStart w:colFirst="0" w:colLast="0" w:name="_heading=h.7vcf1tbymg2g" w:id="9"/>
      <w:bookmarkEnd w:id="9"/>
      <w:r w:rsidDel="00000000" w:rsidR="00000000" w:rsidRPr="00000000">
        <w:rPr>
          <w:rtl w:val="0"/>
        </w:rPr>
      </w:r>
    </w:p>
    <w:p w:rsidR="00000000" w:rsidDel="00000000" w:rsidP="00000000" w:rsidRDefault="00000000" w:rsidRPr="00000000" w14:paraId="0000002B">
      <w:pPr>
        <w:pStyle w:val="Heading1"/>
        <w:rPr>
          <w:rFonts w:ascii="Arial" w:cs="Arial" w:eastAsia="Arial" w:hAnsi="Arial"/>
          <w:sz w:val="22"/>
          <w:szCs w:val="22"/>
        </w:rPr>
      </w:pPr>
      <w:bookmarkStart w:colFirst="0" w:colLast="0" w:name="_heading=h.gscs38r2qgxh" w:id="10"/>
      <w:bookmarkEnd w:id="10"/>
      <w:r w:rsidDel="00000000" w:rsidR="00000000" w:rsidRPr="00000000">
        <w:rPr>
          <w:rFonts w:ascii="Arial" w:cs="Arial" w:eastAsia="Arial" w:hAnsi="Arial"/>
          <w:sz w:val="22"/>
          <w:szCs w:val="22"/>
          <w:rtl w:val="0"/>
        </w:rPr>
        <w:t xml:space="preserve">2. Market Research</w:t>
      </w:r>
    </w:p>
    <w:p w:rsidR="00000000" w:rsidDel="00000000" w:rsidP="00000000" w:rsidRDefault="00000000" w:rsidRPr="00000000" w14:paraId="0000002C">
      <w:pPr>
        <w:pStyle w:val="Heading2"/>
        <w:rPr>
          <w:rFonts w:ascii="Arial" w:cs="Arial" w:eastAsia="Arial" w:hAnsi="Arial"/>
          <w:sz w:val="22"/>
          <w:szCs w:val="22"/>
        </w:rPr>
      </w:pPr>
      <w:bookmarkStart w:colFirst="0" w:colLast="0" w:name="_heading=h.6eu5v1datjjm" w:id="11"/>
      <w:bookmarkEnd w:id="11"/>
      <w:r w:rsidDel="00000000" w:rsidR="00000000" w:rsidRPr="00000000">
        <w:rPr>
          <w:rFonts w:ascii="Arial" w:cs="Arial" w:eastAsia="Arial" w:hAnsi="Arial"/>
          <w:sz w:val="22"/>
          <w:szCs w:val="22"/>
          <w:rtl w:val="0"/>
        </w:rPr>
        <w:t xml:space="preserve">2.1 PESTEL Analysis</w:t>
      </w:r>
    </w:p>
    <w:p w:rsidR="00000000" w:rsidDel="00000000" w:rsidP="00000000" w:rsidRDefault="00000000" w:rsidRPr="00000000" w14:paraId="0000002D">
      <w:pPr>
        <w:spacing w:after="160" w:lineRule="auto"/>
        <w:rPr>
          <w:rFonts w:ascii="Arial" w:cs="Arial" w:eastAsia="Arial" w:hAnsi="Arial"/>
        </w:rPr>
      </w:pPr>
      <w:r w:rsidDel="00000000" w:rsidR="00000000" w:rsidRPr="00000000">
        <w:rPr>
          <w:rFonts w:ascii="Arial" w:cs="Arial" w:eastAsia="Arial" w:hAnsi="Arial"/>
          <w:rtl w:val="0"/>
        </w:rPr>
        <w:t xml:space="preserve">Political: Domestic and inbound tourism into London is still well supported by the national tourism policy and promotion; VisitBritain (2025) states that in 2024, Britain residents made 1.0 billion domestic day tourism visits which generated a value of £54.8 billion, with London being the most visited destination in the UK, showing a steady pool of potential customers despite changes in international travel demand.</w:t>
      </w:r>
    </w:p>
    <w:p w:rsidR="00000000" w:rsidDel="00000000" w:rsidP="00000000" w:rsidRDefault="00000000" w:rsidRPr="00000000" w14:paraId="0000002E">
      <w:pPr>
        <w:spacing w:after="160" w:lineRule="auto"/>
        <w:rPr>
          <w:rFonts w:ascii="Arial" w:cs="Arial" w:eastAsia="Arial" w:hAnsi="Arial"/>
        </w:rPr>
      </w:pPr>
      <w:r w:rsidDel="00000000" w:rsidR="00000000" w:rsidRPr="00000000">
        <w:rPr>
          <w:rFonts w:ascii="Arial" w:cs="Arial" w:eastAsia="Arial" w:hAnsi="Arial"/>
          <w:rtl w:val="0"/>
        </w:rPr>
        <w:t xml:space="preserve">Environmental: The increasing consumer and regulatory interest in sustainable, low-carbon tourism benefits the walking-tour model of tourism proposed by GlowWay, which does not require coach transportation and actively directs expenditure to small, local suppliers, in line with the principles of sustainable and community-based tourism (Naranjo Llupart, 2022; Palacios-Florencio et al., 2021).</w:t>
      </w:r>
    </w:p>
    <w:p w:rsidR="00000000" w:rsidDel="00000000" w:rsidP="00000000" w:rsidRDefault="00000000" w:rsidRPr="00000000" w14:paraId="0000002F">
      <w:pPr>
        <w:spacing w:after="160" w:lineRule="auto"/>
        <w:rPr>
          <w:rFonts w:ascii="Arial" w:cs="Arial" w:eastAsia="Arial" w:hAnsi="Arial"/>
        </w:rPr>
      </w:pPr>
      <w:r w:rsidDel="00000000" w:rsidR="00000000" w:rsidRPr="00000000">
        <w:rPr>
          <w:rFonts w:ascii="Arial" w:cs="Arial" w:eastAsia="Arial" w:hAnsi="Arial"/>
          <w:rtl w:val="0"/>
        </w:rPr>
        <w:t xml:space="preserve">Social: Less-crowded, experience-driven and sustainability-focused trips have become more popular among travellers compared to the traditional mass tourism since the pandemic, and sustainable tourism has been defined as a real stimulus of the industry recovery (Palacios-Florencio et al., 2021). The trend, alongside the ongoing expansion of the solo and small-group female travel segment (Zhang et al., 2024) directly justifies the need of a small-group, community-oriented operator like GlowWay.</w:t>
      </w:r>
    </w:p>
    <w:p w:rsidR="00000000" w:rsidDel="00000000" w:rsidP="00000000" w:rsidRDefault="00000000" w:rsidRPr="00000000" w14:paraId="00000030">
      <w:pPr>
        <w:spacing w:after="160" w:lineRule="auto"/>
        <w:rPr>
          <w:rFonts w:ascii="Arial" w:cs="Arial" w:eastAsia="Arial" w:hAnsi="Arial"/>
        </w:rPr>
      </w:pPr>
      <w:r w:rsidDel="00000000" w:rsidR="00000000" w:rsidRPr="00000000">
        <w:rPr>
          <w:rFonts w:ascii="Arial" w:cs="Arial" w:eastAsia="Arial" w:hAnsi="Arial"/>
          <w:rtl w:val="0"/>
        </w:rPr>
        <w:t xml:space="preserve">Technological: Social media and especially Instagram and Tik Tok have become the main medium by which travellers discover and select destinations and experiences. Nonetheless, the level and intent of using social media in trip planning is vastly different across generations (Hysa et al., 2021), so the content strategy used by GlowWay should be split into segments instead of assuming it is a single audience.</w:t>
      </w:r>
    </w:p>
    <w:p w:rsidR="00000000" w:rsidDel="00000000" w:rsidP="00000000" w:rsidRDefault="00000000" w:rsidRPr="00000000" w14:paraId="00000031">
      <w:pPr>
        <w:spacing w:after="160" w:lineRule="auto"/>
        <w:rPr>
          <w:rFonts w:ascii="Arial" w:cs="Arial" w:eastAsia="Arial" w:hAnsi="Arial"/>
        </w:rPr>
      </w:pPr>
      <w:r w:rsidDel="00000000" w:rsidR="00000000" w:rsidRPr="00000000">
        <w:rPr>
          <w:rFonts w:ascii="Arial" w:cs="Arial" w:eastAsia="Arial" w:hAnsi="Arial"/>
          <w:rtl w:val="0"/>
        </w:rPr>
        <w:t xml:space="preserve">Economic: Tourism start-ups are turning to more diverse sources of finance - such as angel investment, equity crowdfunding and alternative lenders - in addition to or in place of traditional bank credit (Lynn and Rosati, 2021). This directly applies to the funding strategy of GlowWay, which is addressed in Section 4.</w:t>
      </w:r>
    </w:p>
    <w:p w:rsidR="00000000" w:rsidDel="00000000" w:rsidP="00000000" w:rsidRDefault="00000000" w:rsidRPr="00000000" w14:paraId="00000032">
      <w:pPr>
        <w:spacing w:after="160" w:lineRule="auto"/>
        <w:rPr>
          <w:rFonts w:ascii="Arial" w:cs="Arial" w:eastAsia="Arial" w:hAnsi="Arial"/>
        </w:rPr>
      </w:pPr>
      <w:r w:rsidDel="00000000" w:rsidR="00000000" w:rsidRPr="00000000">
        <w:rPr>
          <w:rFonts w:ascii="Arial" w:cs="Arial" w:eastAsia="Arial" w:hAnsi="Arial"/>
          <w:rtl w:val="0"/>
        </w:rPr>
        <w:t xml:space="preserve">Legal: Being a business that provides transport-free walking tours and has additional services that may be offered to tourists, GlowWay will need to keep track of its responsibilities in accordance with the Package Travel and Linked Travel Arrangements Regulations 2018, which address the duty of insolvency protection and the provision of consumer information to customers in case of combined travel services sold in the UK (Department for Business, Energy and Industrial Strategy, 2022). Compliance and appropriate bonding (e.g. ABTOT) are built into the start-up budget.</w:t>
      </w:r>
    </w:p>
    <w:p w:rsidR="00000000" w:rsidDel="00000000" w:rsidP="00000000" w:rsidRDefault="00000000" w:rsidRPr="00000000" w14:paraId="00000033">
      <w:pPr>
        <w:spacing w:after="160" w:lineRule="auto"/>
        <w:rPr/>
      </w:pPr>
      <w:r w:rsidDel="00000000" w:rsidR="00000000" w:rsidRPr="00000000">
        <w:rPr/>
        <w:drawing>
          <wp:inline distB="0" distT="0" distL="0" distR="0">
            <wp:extent cx="6111240" cy="3131820"/>
            <wp:effectExtent b="0" l="0" r="0" t="0"/>
            <wp:docPr id="3"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6111240" cy="3131820"/>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pStyle w:val="Heading2"/>
        <w:rPr>
          <w:rFonts w:ascii="Arial" w:cs="Arial" w:eastAsia="Arial" w:hAnsi="Arial"/>
          <w:sz w:val="22"/>
          <w:szCs w:val="22"/>
        </w:rPr>
      </w:pPr>
      <w:bookmarkStart w:colFirst="0" w:colLast="0" w:name="_heading=h.ssjzo1qp9vp4" w:id="12"/>
      <w:bookmarkEnd w:id="12"/>
      <w:r w:rsidDel="00000000" w:rsidR="00000000" w:rsidRPr="00000000">
        <w:rPr>
          <w:rFonts w:ascii="Arial" w:cs="Arial" w:eastAsia="Arial" w:hAnsi="Arial"/>
          <w:sz w:val="22"/>
          <w:szCs w:val="22"/>
          <w:rtl w:val="0"/>
        </w:rPr>
        <w:t xml:space="preserve">2.2 Competitive Analysis</w:t>
      </w:r>
    </w:p>
    <w:p w:rsidR="00000000" w:rsidDel="00000000" w:rsidP="00000000" w:rsidRDefault="00000000" w:rsidRPr="00000000" w14:paraId="00000035">
      <w:pPr>
        <w:spacing w:after="160" w:lineRule="auto"/>
        <w:rPr>
          <w:rFonts w:ascii="Arial" w:cs="Arial" w:eastAsia="Arial" w:hAnsi="Arial"/>
        </w:rPr>
      </w:pPr>
      <w:r w:rsidDel="00000000" w:rsidR="00000000" w:rsidRPr="00000000">
        <w:rPr>
          <w:rFonts w:ascii="Arial" w:cs="Arial" w:eastAsia="Arial" w:hAnsi="Arial"/>
          <w:rtl w:val="0"/>
        </w:rPr>
        <w:t xml:space="preserve">The analysis of the Porters Five Forces in the market of guided-tours in London reveals the medium-to-high intensity of competitive rivalry as the number of existing walking tour operators and free-tour guides is high, and they compete in terms of prices and route diversity (Varelas and Georgopoulos, 2018). The risk of substitutes is high, as travellers can take a self-guided tour using apps and other online resources rather than pay to join a guided tour. Nevertheless, buyer bargaining power is mitigated in situations where the service is distinctly differentiated: Porter's framework emphasizes that companies with unique, non-replicable value, including access to local suppliers and relationships with a local community, have more price bargaining power than commoditised, standardised tours (Varelas and Georgopoulos, 2018).</w:t>
      </w:r>
    </w:p>
    <w:p w:rsidR="00000000" w:rsidDel="00000000" w:rsidP="00000000" w:rsidRDefault="00000000" w:rsidRPr="00000000" w14:paraId="00000036">
      <w:pPr>
        <w:spacing w:after="160" w:lineRule="auto"/>
        <w:rPr>
          <w:rFonts w:ascii="Arial" w:cs="Arial" w:eastAsia="Arial" w:hAnsi="Arial"/>
        </w:rPr>
      </w:pPr>
      <w:r w:rsidDel="00000000" w:rsidR="00000000" w:rsidRPr="00000000">
        <w:rPr>
          <w:rFonts w:ascii="Arial" w:cs="Arial" w:eastAsia="Arial" w:hAnsi="Arial"/>
          <w:rtl w:val="0"/>
        </w:rPr>
        <w:t xml:space="preserve">This differentiation is the basis of competitive positioning of GlowWay. In contrast to generic free-tour operators or large coach-based sightseeing companies, GlowWay offers a safety-first, women-friendly small-group structure, coupled with an offer of authentic community-based partnerships that are not directly matched by current budget or mass-market competitors in the London market. This type of community-based positioning is becoming more recognised as a competitive and reputational asset in tourism because it inscribes local empowerment and cultural authenticity into the product itself as opposed to sustainability being an after-thought (Naranjo Llupart, 2022).</w:t>
      </w:r>
    </w:p>
    <w:p w:rsidR="00000000" w:rsidDel="00000000" w:rsidP="00000000" w:rsidRDefault="00000000" w:rsidRPr="00000000" w14:paraId="00000037">
      <w:pPr>
        <w:spacing w:after="160" w:lineRule="auto"/>
        <w:rPr/>
      </w:pPr>
      <w:r w:rsidDel="00000000" w:rsidR="00000000" w:rsidRPr="00000000">
        <w:rPr/>
        <w:drawing>
          <wp:inline distB="0" distT="0" distL="0" distR="0">
            <wp:extent cx="6118860" cy="3261360"/>
            <wp:effectExtent b="0" l="0" r="0" t="0"/>
            <wp:docPr id="2"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6118860" cy="3261360"/>
                    </a:xfrm>
                    <a:prstGeom prst="rect"/>
                    <a:ln/>
                  </pic:spPr>
                </pic:pic>
              </a:graphicData>
            </a:graphic>
          </wp:inline>
        </w:drawing>
      </w:r>
      <w:r w:rsidDel="00000000" w:rsidR="00000000" w:rsidRPr="00000000">
        <w:rPr>
          <w:rtl w:val="0"/>
        </w:rPr>
      </w:r>
    </w:p>
    <w:p w:rsidR="00000000" w:rsidDel="00000000" w:rsidP="00000000" w:rsidRDefault="00000000" w:rsidRPr="00000000" w14:paraId="00000038">
      <w:pPr>
        <w:pStyle w:val="Heading1"/>
        <w:rPr>
          <w:rFonts w:ascii="Arial" w:cs="Arial" w:eastAsia="Arial" w:hAnsi="Arial"/>
          <w:sz w:val="22"/>
          <w:szCs w:val="22"/>
        </w:rPr>
      </w:pPr>
      <w:bookmarkStart w:colFirst="0" w:colLast="0" w:name="_heading=h.zcxj0yz8kxaz" w:id="13"/>
      <w:bookmarkEnd w:id="13"/>
      <w:r w:rsidDel="00000000" w:rsidR="00000000" w:rsidRPr="00000000">
        <w:rPr>
          <w:rFonts w:ascii="Arial" w:cs="Arial" w:eastAsia="Arial" w:hAnsi="Arial"/>
          <w:sz w:val="22"/>
          <w:szCs w:val="22"/>
          <w:rtl w:val="0"/>
        </w:rPr>
        <w:t xml:space="preserve">3. Marketing Communications</w:t>
      </w:r>
    </w:p>
    <w:p w:rsidR="00000000" w:rsidDel="00000000" w:rsidP="00000000" w:rsidRDefault="00000000" w:rsidRPr="00000000" w14:paraId="00000039">
      <w:pPr>
        <w:pStyle w:val="Heading2"/>
        <w:rPr>
          <w:rFonts w:ascii="Arial" w:cs="Arial" w:eastAsia="Arial" w:hAnsi="Arial"/>
          <w:sz w:val="22"/>
          <w:szCs w:val="22"/>
        </w:rPr>
      </w:pPr>
      <w:bookmarkStart w:colFirst="0" w:colLast="0" w:name="_heading=h.n1b0h0eo4buh" w:id="14"/>
      <w:bookmarkEnd w:id="14"/>
      <w:r w:rsidDel="00000000" w:rsidR="00000000" w:rsidRPr="00000000">
        <w:rPr>
          <w:rFonts w:ascii="Arial" w:cs="Arial" w:eastAsia="Arial" w:hAnsi="Arial"/>
          <w:sz w:val="22"/>
          <w:szCs w:val="22"/>
          <w:rtl w:val="0"/>
        </w:rPr>
        <w:t xml:space="preserve">3.1 Social-First Storytelling</w:t>
      </w:r>
    </w:p>
    <w:p w:rsidR="00000000" w:rsidDel="00000000" w:rsidP="00000000" w:rsidRDefault="00000000" w:rsidRPr="00000000" w14:paraId="0000003A">
      <w:pPr>
        <w:spacing w:after="160" w:lineRule="auto"/>
        <w:rPr>
          <w:rFonts w:ascii="Arial" w:cs="Arial" w:eastAsia="Arial" w:hAnsi="Arial"/>
        </w:rPr>
      </w:pPr>
      <w:r w:rsidDel="00000000" w:rsidR="00000000" w:rsidRPr="00000000">
        <w:rPr>
          <w:rFonts w:ascii="Arial" w:cs="Arial" w:eastAsia="Arial" w:hAnsi="Arial"/>
          <w:rtl w:val="0"/>
        </w:rPr>
        <w:t xml:space="preserve">The main marketing approach of GlowWay is social-media-driven storytelling on Instagram and Tik Tok through behind-the-scenes reels, guide takeovers and content related to hidden London, published four to five times a week. Empirical studies prove that the adoption of social media significantly enhances the visibility of small and medium-sized enterprises, their ability to reach customers and improve their sales, especially in the tourism industry (Amoah and Jibril, 2021). To reach more people with a low cost, GlowWay will collaborate with micro-influencers (around 5,000-20,000 followers) based in London to host their tours and in return receive authentic content without having to rely solely on paid advertising.</w:t>
      </w:r>
    </w:p>
    <w:p w:rsidR="00000000" w:rsidDel="00000000" w:rsidP="00000000" w:rsidRDefault="00000000" w:rsidRPr="00000000" w14:paraId="0000003B">
      <w:pPr>
        <w:pStyle w:val="Heading2"/>
        <w:rPr>
          <w:rFonts w:ascii="Arial" w:cs="Arial" w:eastAsia="Arial" w:hAnsi="Arial"/>
          <w:sz w:val="22"/>
          <w:szCs w:val="22"/>
        </w:rPr>
      </w:pPr>
      <w:bookmarkStart w:colFirst="0" w:colLast="0" w:name="_heading=h.ns7fonvnewnr" w:id="15"/>
      <w:bookmarkEnd w:id="15"/>
      <w:r w:rsidDel="00000000" w:rsidR="00000000" w:rsidRPr="00000000">
        <w:rPr>
          <w:rtl w:val="0"/>
        </w:rPr>
      </w:r>
    </w:p>
    <w:p w:rsidR="00000000" w:rsidDel="00000000" w:rsidP="00000000" w:rsidRDefault="00000000" w:rsidRPr="00000000" w14:paraId="0000003C">
      <w:pPr>
        <w:pStyle w:val="Heading2"/>
        <w:rPr>
          <w:rFonts w:ascii="Arial" w:cs="Arial" w:eastAsia="Arial" w:hAnsi="Arial"/>
          <w:sz w:val="22"/>
          <w:szCs w:val="22"/>
        </w:rPr>
      </w:pPr>
      <w:bookmarkStart w:colFirst="0" w:colLast="0" w:name="_heading=h.rme7ffo3lml3" w:id="16"/>
      <w:bookmarkEnd w:id="16"/>
      <w:r w:rsidDel="00000000" w:rsidR="00000000" w:rsidRPr="00000000">
        <w:rPr>
          <w:rtl w:val="0"/>
        </w:rPr>
      </w:r>
    </w:p>
    <w:p w:rsidR="00000000" w:rsidDel="00000000" w:rsidP="00000000" w:rsidRDefault="00000000" w:rsidRPr="00000000" w14:paraId="0000003D">
      <w:pPr>
        <w:pStyle w:val="Heading2"/>
        <w:rPr>
          <w:rFonts w:ascii="Arial" w:cs="Arial" w:eastAsia="Arial" w:hAnsi="Arial"/>
          <w:sz w:val="22"/>
          <w:szCs w:val="22"/>
        </w:rPr>
      </w:pPr>
      <w:bookmarkStart w:colFirst="0" w:colLast="0" w:name="_heading=h.5h9yk7bf85ey" w:id="17"/>
      <w:bookmarkEnd w:id="17"/>
      <w:r w:rsidDel="00000000" w:rsidR="00000000" w:rsidRPr="00000000">
        <w:rPr>
          <w:rtl w:val="0"/>
        </w:rPr>
      </w:r>
    </w:p>
    <w:p w:rsidR="00000000" w:rsidDel="00000000" w:rsidP="00000000" w:rsidRDefault="00000000" w:rsidRPr="00000000" w14:paraId="0000003E">
      <w:pPr>
        <w:pStyle w:val="Heading2"/>
        <w:rPr>
          <w:rFonts w:ascii="Arial" w:cs="Arial" w:eastAsia="Arial" w:hAnsi="Arial"/>
          <w:sz w:val="22"/>
          <w:szCs w:val="22"/>
        </w:rPr>
      </w:pPr>
      <w:bookmarkStart w:colFirst="0" w:colLast="0" w:name="_heading=h.ck52qftawzh9" w:id="18"/>
      <w:bookmarkEnd w:id="18"/>
      <w:r w:rsidDel="00000000" w:rsidR="00000000" w:rsidRPr="00000000">
        <w:rPr>
          <w:rFonts w:ascii="Arial" w:cs="Arial" w:eastAsia="Arial" w:hAnsi="Arial"/>
          <w:sz w:val="22"/>
          <w:szCs w:val="22"/>
          <w:rtl w:val="0"/>
        </w:rPr>
        <w:t xml:space="preserve">3.2 Community and Local Partnership Marketing</w:t>
      </w:r>
    </w:p>
    <w:p w:rsidR="00000000" w:rsidDel="00000000" w:rsidP="00000000" w:rsidRDefault="00000000" w:rsidRPr="00000000" w14:paraId="0000003F">
      <w:pPr>
        <w:spacing w:after="160" w:lineRule="auto"/>
        <w:rPr>
          <w:rFonts w:ascii="Arial" w:cs="Arial" w:eastAsia="Arial" w:hAnsi="Arial"/>
        </w:rPr>
      </w:pPr>
      <w:r w:rsidDel="00000000" w:rsidR="00000000" w:rsidRPr="00000000">
        <w:rPr>
          <w:rFonts w:ascii="Arial" w:cs="Arial" w:eastAsia="Arial" w:hAnsi="Arial"/>
          <w:rtl w:val="0"/>
        </w:rPr>
        <w:t xml:space="preserve">The second one is cross-promotion by community and local business associations. Local businesses run by women and artisans, who are independent cafes and located on tour routes, will cross-sell GlowWay to their respective audiences, creating warm, trust-based referrals and not cold advertising. This strategy is justified by the fact that community-based engagement enhances the competitive sustainability of tourism SMEs (Amoah et al., 2022), and that word-of-mouth referrals, particularly those based on the idea of shared social or community good as opposed to mere economic incentives, are extremely efficient in transforming interest into purchase intention (Yuan and Peluso, 2021). A combination of these two strategies enables GlowWay to create an authentic trust-led brand at a fraction of the expense of traditional paid marketing.</w:t>
      </w:r>
    </w:p>
    <w:p w:rsidR="00000000" w:rsidDel="00000000" w:rsidP="00000000" w:rsidRDefault="00000000" w:rsidRPr="00000000" w14:paraId="00000040">
      <w:pPr>
        <w:pStyle w:val="Heading1"/>
        <w:rPr>
          <w:rFonts w:ascii="Arial" w:cs="Arial" w:eastAsia="Arial" w:hAnsi="Arial"/>
          <w:sz w:val="22"/>
          <w:szCs w:val="22"/>
        </w:rPr>
      </w:pPr>
      <w:bookmarkStart w:colFirst="0" w:colLast="0" w:name="_heading=h.xnbfli1kjjul" w:id="19"/>
      <w:bookmarkEnd w:id="19"/>
      <w:r w:rsidDel="00000000" w:rsidR="00000000" w:rsidRPr="00000000">
        <w:rPr>
          <w:rFonts w:ascii="Arial" w:cs="Arial" w:eastAsia="Arial" w:hAnsi="Arial"/>
          <w:sz w:val="22"/>
          <w:szCs w:val="22"/>
          <w:rtl w:val="0"/>
        </w:rPr>
        <w:t xml:space="preserve">4. Financials</w:t>
      </w:r>
    </w:p>
    <w:p w:rsidR="00000000" w:rsidDel="00000000" w:rsidP="00000000" w:rsidRDefault="00000000" w:rsidRPr="00000000" w14:paraId="00000041">
      <w:pPr>
        <w:pStyle w:val="Heading2"/>
        <w:rPr>
          <w:rFonts w:ascii="Arial" w:cs="Arial" w:eastAsia="Arial" w:hAnsi="Arial"/>
          <w:sz w:val="22"/>
          <w:szCs w:val="22"/>
        </w:rPr>
      </w:pPr>
      <w:bookmarkStart w:colFirst="0" w:colLast="0" w:name="_heading=h.z4szoe40p6cw" w:id="20"/>
      <w:bookmarkEnd w:id="20"/>
      <w:r w:rsidDel="00000000" w:rsidR="00000000" w:rsidRPr="00000000">
        <w:rPr>
          <w:rFonts w:ascii="Arial" w:cs="Arial" w:eastAsia="Arial" w:hAnsi="Arial"/>
          <w:sz w:val="22"/>
          <w:szCs w:val="22"/>
          <w:rtl w:val="0"/>
        </w:rPr>
        <w:t xml:space="preserve">4.1 Funding Required and Sources</w:t>
      </w:r>
    </w:p>
    <w:p w:rsidR="00000000" w:rsidDel="00000000" w:rsidP="00000000" w:rsidRDefault="00000000" w:rsidRPr="00000000" w14:paraId="00000042">
      <w:pPr>
        <w:spacing w:after="160" w:lineRule="auto"/>
        <w:rPr>
          <w:rFonts w:ascii="Arial" w:cs="Arial" w:eastAsia="Arial" w:hAnsi="Arial"/>
        </w:rPr>
      </w:pPr>
      <w:r w:rsidDel="00000000" w:rsidR="00000000" w:rsidRPr="00000000">
        <w:rPr>
          <w:rFonts w:ascii="Arial" w:cs="Arial" w:eastAsia="Arial" w:hAnsi="Arial"/>
          <w:rtl w:val="0"/>
        </w:rPr>
        <w:t xml:space="preserve">GlowWay Travel Ltd needs a startup capital of £18,000 to start operations and make a profit within the first year of operations. The capital will come by a mix of personal capital of founders (around 30 percent) and angel capital (around 70 percent) as opposed to the traditional bank loan. This is indicative of the broader trend toward alternative, non-bank sources of finance of early-stage ventures (Lynn and Rosati, 2021) as well as a strategic choice to approach angel investors directly because there are recorded instances that female-led businesses are still disproportionately underserved with bank and venture finance at all stages of the entrepreneurial process (Rose, 2019). Direct pitching to angel investors and not entirely using debt finance is aimed at reducing this reported funding gap.</w:t>
      </w:r>
    </w:p>
    <w:p w:rsidR="00000000" w:rsidDel="00000000" w:rsidP="00000000" w:rsidRDefault="00000000" w:rsidRPr="00000000" w14:paraId="00000043">
      <w:pPr>
        <w:spacing w:after="160" w:lineRule="auto"/>
        <w:rPr>
          <w:rFonts w:ascii="Arial" w:cs="Arial" w:eastAsia="Arial" w:hAnsi="Arial"/>
        </w:rPr>
      </w:pPr>
      <w:r w:rsidDel="00000000" w:rsidR="00000000" w:rsidRPr="00000000">
        <w:rPr>
          <w:rFonts w:ascii="Arial" w:cs="Arial" w:eastAsia="Arial" w:hAnsi="Arial"/>
          <w:rtl w:val="0"/>
        </w:rPr>
        <w:t xml:space="preserve">Economic discipline at the very beginning is viewed as a priority. Studies of start-up failure always point to poor financial performance, lack of proper market entry planning and poor customer acquisition as the most common reasons behind early business failure (Bethlendi et al., 2025); the first-year plan of GlowWay will be characterised by a safety working-capital buffer and a gradual marketing expenditure instead of an upfront expenditure. The founder also acknowledges, according to the entrepreneurship literature on resilience, that a network of support that remains active over time and a realistic attitude towards contingencies contribute significantly to the chances of a start-up being able to come out of initial setbacks instead of collapsing at the first mention of trouble (Pan et al., 2022).</w:t>
      </w:r>
    </w:p>
    <w:p w:rsidR="00000000" w:rsidDel="00000000" w:rsidP="00000000" w:rsidRDefault="00000000" w:rsidRPr="00000000" w14:paraId="00000044">
      <w:pPr>
        <w:pStyle w:val="Heading2"/>
        <w:rPr>
          <w:rFonts w:ascii="Arial" w:cs="Arial" w:eastAsia="Arial" w:hAnsi="Arial"/>
          <w:sz w:val="22"/>
          <w:szCs w:val="22"/>
        </w:rPr>
      </w:pPr>
      <w:bookmarkStart w:colFirst="0" w:colLast="0" w:name="_heading=h.f11iijnb0g6a" w:id="21"/>
      <w:bookmarkEnd w:id="21"/>
      <w:r w:rsidDel="00000000" w:rsidR="00000000" w:rsidRPr="00000000">
        <w:rPr>
          <w:rtl w:val="0"/>
        </w:rPr>
      </w:r>
    </w:p>
    <w:p w:rsidR="00000000" w:rsidDel="00000000" w:rsidP="00000000" w:rsidRDefault="00000000" w:rsidRPr="00000000" w14:paraId="00000045">
      <w:pPr>
        <w:pStyle w:val="Heading2"/>
        <w:rPr>
          <w:rFonts w:ascii="Arial" w:cs="Arial" w:eastAsia="Arial" w:hAnsi="Arial"/>
          <w:sz w:val="22"/>
          <w:szCs w:val="22"/>
        </w:rPr>
      </w:pPr>
      <w:bookmarkStart w:colFirst="0" w:colLast="0" w:name="_heading=h.6l1bmjwi738l" w:id="22"/>
      <w:bookmarkEnd w:id="22"/>
      <w:r w:rsidDel="00000000" w:rsidR="00000000" w:rsidRPr="00000000">
        <w:rPr>
          <w:rFonts w:ascii="Arial" w:cs="Arial" w:eastAsia="Arial" w:hAnsi="Arial"/>
          <w:sz w:val="22"/>
          <w:szCs w:val="22"/>
          <w:rtl w:val="0"/>
        </w:rPr>
        <w:t xml:space="preserve">4.2 First-Month Start-up Expenses</w:t>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700"/>
        <w:gridCol w:w="2500"/>
        <w:gridCol w:w="2150"/>
        <w:tblGridChange w:id="0">
          <w:tblGrid>
            <w:gridCol w:w="4700"/>
            <w:gridCol w:w="2500"/>
            <w:gridCol w:w="2150"/>
          </w:tblGrid>
        </w:tblGridChange>
      </w:tblGrid>
      <w:tr>
        <w:trPr>
          <w:cantSplit w:val="0"/>
          <w:tblHeader w:val="1"/>
        </w:trPr>
        <w:tc>
          <w:tcPr>
            <w:shd w:fill="f7d6e0" w:val="clear"/>
            <w:tcMar>
              <w:top w:w="100.0" w:type="dxa"/>
              <w:left w:w="120.0" w:type="dxa"/>
              <w:bottom w:w="100.0" w:type="dxa"/>
              <w:right w:w="120.0" w:type="dxa"/>
            </w:tcMar>
          </w:tcPr>
          <w:p w:rsidR="00000000" w:rsidDel="00000000" w:rsidP="00000000" w:rsidRDefault="00000000" w:rsidRPr="00000000" w14:paraId="00000046">
            <w:pPr>
              <w:rPr>
                <w:rFonts w:ascii="Arial" w:cs="Arial" w:eastAsia="Arial" w:hAnsi="Arial"/>
              </w:rPr>
            </w:pPr>
            <w:r w:rsidDel="00000000" w:rsidR="00000000" w:rsidRPr="00000000">
              <w:rPr>
                <w:rFonts w:ascii="Arial" w:cs="Arial" w:eastAsia="Arial" w:hAnsi="Arial"/>
                <w:b w:val="1"/>
                <w:bCs w:val="1"/>
                <w:rtl w:val="0"/>
              </w:rPr>
              <w:t xml:space="preserve">Expense Item</w:t>
            </w:r>
            <w:r w:rsidDel="00000000" w:rsidR="00000000" w:rsidRPr="00000000">
              <w:rPr>
                <w:rtl w:val="0"/>
              </w:rPr>
            </w:r>
          </w:p>
        </w:tc>
        <w:tc>
          <w:tcPr>
            <w:shd w:fill="f7d6e0" w:val="clear"/>
            <w:tcMar>
              <w:top w:w="100.0" w:type="dxa"/>
              <w:left w:w="120.0" w:type="dxa"/>
              <w:bottom w:w="100.0" w:type="dxa"/>
              <w:right w:w="120.0" w:type="dxa"/>
            </w:tcMar>
          </w:tcPr>
          <w:p w:rsidR="00000000" w:rsidDel="00000000" w:rsidP="00000000" w:rsidRDefault="00000000" w:rsidRPr="00000000" w14:paraId="00000047">
            <w:pPr>
              <w:rPr>
                <w:rFonts w:ascii="Arial" w:cs="Arial" w:eastAsia="Arial" w:hAnsi="Arial"/>
              </w:rPr>
            </w:pPr>
            <w:r w:rsidDel="00000000" w:rsidR="00000000" w:rsidRPr="00000000">
              <w:rPr>
                <w:rFonts w:ascii="Arial" w:cs="Arial" w:eastAsia="Arial" w:hAnsi="Arial"/>
                <w:b w:val="1"/>
                <w:bCs w:val="1"/>
                <w:rtl w:val="0"/>
              </w:rPr>
              <w:t xml:space="preserve">Amount (£)</w:t>
            </w:r>
            <w:r w:rsidDel="00000000" w:rsidR="00000000" w:rsidRPr="00000000">
              <w:rPr>
                <w:rtl w:val="0"/>
              </w:rPr>
            </w:r>
          </w:p>
        </w:tc>
        <w:tc>
          <w:tcPr>
            <w:shd w:fill="f7d6e0" w:val="clear"/>
            <w:tcMar>
              <w:top w:w="100.0" w:type="dxa"/>
              <w:left w:w="120.0" w:type="dxa"/>
              <w:bottom w:w="100.0" w:type="dxa"/>
              <w:right w:w="120.0" w:type="dxa"/>
            </w:tcMar>
          </w:tcPr>
          <w:p w:rsidR="00000000" w:rsidDel="00000000" w:rsidP="00000000" w:rsidRDefault="00000000" w:rsidRPr="00000000" w14:paraId="00000048">
            <w:pPr>
              <w:rPr>
                <w:rFonts w:ascii="Arial" w:cs="Arial" w:eastAsia="Arial" w:hAnsi="Arial"/>
              </w:rPr>
            </w:pPr>
            <w:r w:rsidDel="00000000" w:rsidR="00000000" w:rsidRPr="00000000">
              <w:rPr>
                <w:rFonts w:ascii="Arial" w:cs="Arial" w:eastAsia="Arial" w:hAnsi="Arial"/>
                <w:b w:val="1"/>
                <w:bCs w:val="1"/>
                <w:rtl w:val="0"/>
              </w:rPr>
              <w:t xml:space="preserve">% of Total Funding</w:t>
            </w:r>
            <w:r w:rsidDel="00000000" w:rsidR="00000000" w:rsidRPr="00000000">
              <w:rPr>
                <w:rtl w:val="0"/>
              </w:rPr>
            </w:r>
          </w:p>
        </w:tc>
      </w:tr>
      <w:tr>
        <w:trPr>
          <w:cantSplit w:val="0"/>
          <w:tblHeader w:val="0"/>
        </w:trPr>
        <w:tc>
          <w:tcPr>
            <w:tcMar>
              <w:top w:w="100.0" w:type="dxa"/>
              <w:left w:w="120.0" w:type="dxa"/>
              <w:bottom w:w="100.0" w:type="dxa"/>
              <w:right w:w="120.0" w:type="dxa"/>
            </w:tcMar>
          </w:tcPr>
          <w:p w:rsidR="00000000" w:rsidDel="00000000" w:rsidP="00000000" w:rsidRDefault="00000000" w:rsidRPr="00000000" w14:paraId="00000049">
            <w:pPr>
              <w:rPr>
                <w:rFonts w:ascii="Arial" w:cs="Arial" w:eastAsia="Arial" w:hAnsi="Arial"/>
              </w:rPr>
            </w:pPr>
            <w:r w:rsidDel="00000000" w:rsidR="00000000" w:rsidRPr="00000000">
              <w:rPr>
                <w:rFonts w:ascii="Arial" w:cs="Arial" w:eastAsia="Arial" w:hAnsi="Arial"/>
                <w:rtl w:val="0"/>
              </w:rPr>
              <w:t xml:space="preserve">Guide training, DBS checks &amp; liability insurance</w:t>
            </w:r>
          </w:p>
        </w:tc>
        <w:tc>
          <w:tcPr>
            <w:tcMar>
              <w:top w:w="100.0" w:type="dxa"/>
              <w:left w:w="120.0" w:type="dxa"/>
              <w:bottom w:w="100.0" w:type="dxa"/>
              <w:right w:w="120.0" w:type="dxa"/>
            </w:tcMar>
          </w:tcPr>
          <w:p w:rsidR="00000000" w:rsidDel="00000000" w:rsidP="00000000" w:rsidRDefault="00000000" w:rsidRPr="00000000" w14:paraId="0000004A">
            <w:pPr>
              <w:rPr>
                <w:rFonts w:ascii="Arial" w:cs="Arial" w:eastAsia="Arial" w:hAnsi="Arial"/>
              </w:rPr>
            </w:pPr>
            <w:r w:rsidDel="00000000" w:rsidR="00000000" w:rsidRPr="00000000">
              <w:rPr>
                <w:rFonts w:ascii="Arial" w:cs="Arial" w:eastAsia="Arial" w:hAnsi="Arial"/>
                <w:rtl w:val="0"/>
              </w:rPr>
              <w:t xml:space="preserve">4,500</w:t>
            </w:r>
          </w:p>
        </w:tc>
        <w:tc>
          <w:tcPr>
            <w:tcMar>
              <w:top w:w="100.0" w:type="dxa"/>
              <w:left w:w="120.0" w:type="dxa"/>
              <w:bottom w:w="100.0" w:type="dxa"/>
              <w:right w:w="120.0" w:type="dxa"/>
            </w:tcMar>
          </w:tcPr>
          <w:p w:rsidR="00000000" w:rsidDel="00000000" w:rsidP="00000000" w:rsidRDefault="00000000" w:rsidRPr="00000000" w14:paraId="0000004B">
            <w:pPr>
              <w:rPr>
                <w:rFonts w:ascii="Arial" w:cs="Arial" w:eastAsia="Arial" w:hAnsi="Arial"/>
              </w:rPr>
            </w:pPr>
            <w:r w:rsidDel="00000000" w:rsidR="00000000" w:rsidRPr="00000000">
              <w:rPr>
                <w:rFonts w:ascii="Arial" w:cs="Arial" w:eastAsia="Arial" w:hAnsi="Arial"/>
                <w:rtl w:val="0"/>
              </w:rPr>
              <w:t xml:space="preserve">25%</w:t>
            </w:r>
          </w:p>
        </w:tc>
      </w:tr>
      <w:tr>
        <w:trPr>
          <w:cantSplit w:val="0"/>
          <w:tblHeader w:val="0"/>
        </w:trPr>
        <w:tc>
          <w:tcPr>
            <w:tcMar>
              <w:top w:w="100.0" w:type="dxa"/>
              <w:left w:w="120.0" w:type="dxa"/>
              <w:bottom w:w="100.0" w:type="dxa"/>
              <w:right w:w="120.0" w:type="dxa"/>
            </w:tcMar>
          </w:tcPr>
          <w:p w:rsidR="00000000" w:rsidDel="00000000" w:rsidP="00000000" w:rsidRDefault="00000000" w:rsidRPr="00000000" w14:paraId="0000004C">
            <w:pPr>
              <w:rPr>
                <w:rFonts w:ascii="Arial" w:cs="Arial" w:eastAsia="Arial" w:hAnsi="Arial"/>
              </w:rPr>
            </w:pPr>
            <w:r w:rsidDel="00000000" w:rsidR="00000000" w:rsidRPr="00000000">
              <w:rPr>
                <w:rFonts w:ascii="Arial" w:cs="Arial" w:eastAsia="Arial" w:hAnsi="Arial"/>
                <w:rtl w:val="0"/>
              </w:rPr>
              <w:t xml:space="preserve">Marketing &amp; content production (first 6 months)</w:t>
            </w:r>
          </w:p>
        </w:tc>
        <w:tc>
          <w:tcPr>
            <w:tcMar>
              <w:top w:w="100.0" w:type="dxa"/>
              <w:left w:w="120.0" w:type="dxa"/>
              <w:bottom w:w="100.0" w:type="dxa"/>
              <w:right w:w="120.0" w:type="dxa"/>
            </w:tcMar>
          </w:tcPr>
          <w:p w:rsidR="00000000" w:rsidDel="00000000" w:rsidP="00000000" w:rsidRDefault="00000000" w:rsidRPr="00000000" w14:paraId="0000004D">
            <w:pPr>
              <w:rPr>
                <w:rFonts w:ascii="Arial" w:cs="Arial" w:eastAsia="Arial" w:hAnsi="Arial"/>
              </w:rPr>
            </w:pPr>
            <w:r w:rsidDel="00000000" w:rsidR="00000000" w:rsidRPr="00000000">
              <w:rPr>
                <w:rFonts w:ascii="Arial" w:cs="Arial" w:eastAsia="Arial" w:hAnsi="Arial"/>
                <w:rtl w:val="0"/>
              </w:rPr>
              <w:t xml:space="preserve">4,000</w:t>
            </w:r>
          </w:p>
        </w:tc>
        <w:tc>
          <w:tcPr>
            <w:tcMar>
              <w:top w:w="100.0" w:type="dxa"/>
              <w:left w:w="120.0" w:type="dxa"/>
              <w:bottom w:w="100.0" w:type="dxa"/>
              <w:right w:w="120.0" w:type="dxa"/>
            </w:tcMar>
          </w:tcPr>
          <w:p w:rsidR="00000000" w:rsidDel="00000000" w:rsidP="00000000" w:rsidRDefault="00000000" w:rsidRPr="00000000" w14:paraId="0000004E">
            <w:pPr>
              <w:rPr>
                <w:rFonts w:ascii="Arial" w:cs="Arial" w:eastAsia="Arial" w:hAnsi="Arial"/>
              </w:rPr>
            </w:pPr>
            <w:r w:rsidDel="00000000" w:rsidR="00000000" w:rsidRPr="00000000">
              <w:rPr>
                <w:rFonts w:ascii="Arial" w:cs="Arial" w:eastAsia="Arial" w:hAnsi="Arial"/>
                <w:rtl w:val="0"/>
              </w:rPr>
              <w:t xml:space="preserve">22%</w:t>
            </w:r>
          </w:p>
        </w:tc>
      </w:tr>
      <w:tr>
        <w:trPr>
          <w:cantSplit w:val="0"/>
          <w:tblHeader w:val="0"/>
        </w:trPr>
        <w:tc>
          <w:tcPr>
            <w:tcMar>
              <w:top w:w="100.0" w:type="dxa"/>
              <w:left w:w="120.0" w:type="dxa"/>
              <w:bottom w:w="100.0" w:type="dxa"/>
              <w:right w:w="120.0" w:type="dxa"/>
            </w:tcMar>
          </w:tcPr>
          <w:p w:rsidR="00000000" w:rsidDel="00000000" w:rsidP="00000000" w:rsidRDefault="00000000" w:rsidRPr="00000000" w14:paraId="0000004F">
            <w:pPr>
              <w:rPr>
                <w:rFonts w:ascii="Arial" w:cs="Arial" w:eastAsia="Arial" w:hAnsi="Arial"/>
              </w:rPr>
            </w:pPr>
            <w:r w:rsidDel="00000000" w:rsidR="00000000" w:rsidRPr="00000000">
              <w:rPr>
                <w:rFonts w:ascii="Arial" w:cs="Arial" w:eastAsia="Arial" w:hAnsi="Arial"/>
                <w:rtl w:val="0"/>
              </w:rPr>
              <w:t xml:space="preserve">Working capital (3 months' operating costs)</w:t>
            </w:r>
          </w:p>
        </w:tc>
        <w:tc>
          <w:tcPr>
            <w:tcMar>
              <w:top w:w="100.0" w:type="dxa"/>
              <w:left w:w="120.0" w:type="dxa"/>
              <w:bottom w:w="100.0" w:type="dxa"/>
              <w:right w:w="120.0" w:type="dxa"/>
            </w:tcMar>
          </w:tcPr>
          <w:p w:rsidR="00000000" w:rsidDel="00000000" w:rsidP="00000000" w:rsidRDefault="00000000" w:rsidRPr="00000000" w14:paraId="00000050">
            <w:pPr>
              <w:rPr>
                <w:rFonts w:ascii="Arial" w:cs="Arial" w:eastAsia="Arial" w:hAnsi="Arial"/>
              </w:rPr>
            </w:pPr>
            <w:r w:rsidDel="00000000" w:rsidR="00000000" w:rsidRPr="00000000">
              <w:rPr>
                <w:rFonts w:ascii="Arial" w:cs="Arial" w:eastAsia="Arial" w:hAnsi="Arial"/>
                <w:rtl w:val="0"/>
              </w:rPr>
              <w:t xml:space="preserve">3,500</w:t>
            </w:r>
          </w:p>
        </w:tc>
        <w:tc>
          <w:tcPr>
            <w:tcMar>
              <w:top w:w="100.0" w:type="dxa"/>
              <w:left w:w="120.0" w:type="dxa"/>
              <w:bottom w:w="100.0" w:type="dxa"/>
              <w:right w:w="120.0" w:type="dxa"/>
            </w:tcMar>
          </w:tcPr>
          <w:p w:rsidR="00000000" w:rsidDel="00000000" w:rsidP="00000000" w:rsidRDefault="00000000" w:rsidRPr="00000000" w14:paraId="00000051">
            <w:pPr>
              <w:rPr>
                <w:rFonts w:ascii="Arial" w:cs="Arial" w:eastAsia="Arial" w:hAnsi="Arial"/>
              </w:rPr>
            </w:pPr>
            <w:r w:rsidDel="00000000" w:rsidR="00000000" w:rsidRPr="00000000">
              <w:rPr>
                <w:rFonts w:ascii="Arial" w:cs="Arial" w:eastAsia="Arial" w:hAnsi="Arial"/>
                <w:rtl w:val="0"/>
              </w:rPr>
              <w:t xml:space="preserve">20%</w:t>
            </w:r>
          </w:p>
        </w:tc>
      </w:tr>
      <w:tr>
        <w:trPr>
          <w:cantSplit w:val="0"/>
          <w:tblHeader w:val="0"/>
        </w:trPr>
        <w:tc>
          <w:tcPr>
            <w:tcMar>
              <w:top w:w="100.0" w:type="dxa"/>
              <w:left w:w="120.0" w:type="dxa"/>
              <w:bottom w:w="100.0" w:type="dxa"/>
              <w:right w:w="120.0" w:type="dxa"/>
            </w:tcMar>
          </w:tcPr>
          <w:p w:rsidR="00000000" w:rsidDel="00000000" w:rsidP="00000000" w:rsidRDefault="00000000" w:rsidRPr="00000000" w14:paraId="00000052">
            <w:pPr>
              <w:rPr>
                <w:rFonts w:ascii="Arial" w:cs="Arial" w:eastAsia="Arial" w:hAnsi="Arial"/>
              </w:rPr>
            </w:pPr>
            <w:r w:rsidDel="00000000" w:rsidR="00000000" w:rsidRPr="00000000">
              <w:rPr>
                <w:rFonts w:ascii="Arial" w:cs="Arial" w:eastAsia="Arial" w:hAnsi="Arial"/>
                <w:rtl w:val="0"/>
              </w:rPr>
              <w:t xml:space="preserve">Website &amp; booking platform build</w:t>
            </w:r>
          </w:p>
        </w:tc>
        <w:tc>
          <w:tcPr>
            <w:tcMar>
              <w:top w:w="100.0" w:type="dxa"/>
              <w:left w:w="120.0" w:type="dxa"/>
              <w:bottom w:w="100.0" w:type="dxa"/>
              <w:right w:w="120.0" w:type="dxa"/>
            </w:tcMar>
          </w:tcPr>
          <w:p w:rsidR="00000000" w:rsidDel="00000000" w:rsidP="00000000" w:rsidRDefault="00000000" w:rsidRPr="00000000" w14:paraId="00000053">
            <w:pPr>
              <w:rPr>
                <w:rFonts w:ascii="Arial" w:cs="Arial" w:eastAsia="Arial" w:hAnsi="Arial"/>
              </w:rPr>
            </w:pPr>
            <w:r w:rsidDel="00000000" w:rsidR="00000000" w:rsidRPr="00000000">
              <w:rPr>
                <w:rFonts w:ascii="Arial" w:cs="Arial" w:eastAsia="Arial" w:hAnsi="Arial"/>
                <w:rtl w:val="0"/>
              </w:rPr>
              <w:t xml:space="preserve">3,500</w:t>
            </w:r>
          </w:p>
        </w:tc>
        <w:tc>
          <w:tcPr>
            <w:tcMar>
              <w:top w:w="100.0" w:type="dxa"/>
              <w:left w:w="120.0" w:type="dxa"/>
              <w:bottom w:w="100.0" w:type="dxa"/>
              <w:right w:w="120.0" w:type="dxa"/>
            </w:tcMar>
          </w:tcPr>
          <w:p w:rsidR="00000000" w:rsidDel="00000000" w:rsidP="00000000" w:rsidRDefault="00000000" w:rsidRPr="00000000" w14:paraId="00000054">
            <w:pPr>
              <w:rPr>
                <w:rFonts w:ascii="Arial" w:cs="Arial" w:eastAsia="Arial" w:hAnsi="Arial"/>
              </w:rPr>
            </w:pPr>
            <w:r w:rsidDel="00000000" w:rsidR="00000000" w:rsidRPr="00000000">
              <w:rPr>
                <w:rFonts w:ascii="Arial" w:cs="Arial" w:eastAsia="Arial" w:hAnsi="Arial"/>
                <w:rtl w:val="0"/>
              </w:rPr>
              <w:t xml:space="preserve">19%</w:t>
            </w:r>
          </w:p>
        </w:tc>
      </w:tr>
      <w:tr>
        <w:trPr>
          <w:cantSplit w:val="0"/>
          <w:tblHeader w:val="0"/>
        </w:trPr>
        <w:tc>
          <w:tcPr>
            <w:tcMar>
              <w:top w:w="100.0" w:type="dxa"/>
              <w:left w:w="120.0" w:type="dxa"/>
              <w:bottom w:w="100.0" w:type="dxa"/>
              <w:right w:w="120.0" w:type="dxa"/>
            </w:tcMar>
          </w:tcPr>
          <w:p w:rsidR="00000000" w:rsidDel="00000000" w:rsidP="00000000" w:rsidRDefault="00000000" w:rsidRPr="00000000" w14:paraId="00000055">
            <w:pPr>
              <w:rPr>
                <w:rFonts w:ascii="Arial" w:cs="Arial" w:eastAsia="Arial" w:hAnsi="Arial"/>
              </w:rPr>
            </w:pPr>
            <w:r w:rsidDel="00000000" w:rsidR="00000000" w:rsidRPr="00000000">
              <w:rPr>
                <w:rFonts w:ascii="Arial" w:cs="Arial" w:eastAsia="Arial" w:hAnsi="Arial"/>
                <w:rtl w:val="0"/>
              </w:rPr>
              <w:t xml:space="preserve">Branding, legal set-up &amp; ABTOT tour-bonding</w:t>
            </w:r>
          </w:p>
        </w:tc>
        <w:tc>
          <w:tcPr>
            <w:tcMar>
              <w:top w:w="100.0" w:type="dxa"/>
              <w:left w:w="120.0" w:type="dxa"/>
              <w:bottom w:w="100.0" w:type="dxa"/>
              <w:right w:w="120.0" w:type="dxa"/>
            </w:tcMar>
          </w:tcPr>
          <w:p w:rsidR="00000000" w:rsidDel="00000000" w:rsidP="00000000" w:rsidRDefault="00000000" w:rsidRPr="00000000" w14:paraId="00000056">
            <w:pPr>
              <w:rPr>
                <w:rFonts w:ascii="Arial" w:cs="Arial" w:eastAsia="Arial" w:hAnsi="Arial"/>
              </w:rPr>
            </w:pPr>
            <w:r w:rsidDel="00000000" w:rsidR="00000000" w:rsidRPr="00000000">
              <w:rPr>
                <w:rFonts w:ascii="Arial" w:cs="Arial" w:eastAsia="Arial" w:hAnsi="Arial"/>
                <w:rtl w:val="0"/>
              </w:rPr>
              <w:t xml:space="preserve">2,500</w:t>
            </w:r>
          </w:p>
        </w:tc>
        <w:tc>
          <w:tcPr>
            <w:tcMar>
              <w:top w:w="100.0" w:type="dxa"/>
              <w:left w:w="120.0" w:type="dxa"/>
              <w:bottom w:w="100.0" w:type="dxa"/>
              <w:right w:w="120.0" w:type="dxa"/>
            </w:tcMar>
          </w:tcPr>
          <w:p w:rsidR="00000000" w:rsidDel="00000000" w:rsidP="00000000" w:rsidRDefault="00000000" w:rsidRPr="00000000" w14:paraId="00000057">
            <w:pPr>
              <w:rPr>
                <w:rFonts w:ascii="Arial" w:cs="Arial" w:eastAsia="Arial" w:hAnsi="Arial"/>
              </w:rPr>
            </w:pPr>
            <w:r w:rsidDel="00000000" w:rsidR="00000000" w:rsidRPr="00000000">
              <w:rPr>
                <w:rFonts w:ascii="Arial" w:cs="Arial" w:eastAsia="Arial" w:hAnsi="Arial"/>
                <w:rtl w:val="0"/>
              </w:rPr>
              <w:t xml:space="preserve">14%</w:t>
            </w:r>
          </w:p>
        </w:tc>
      </w:tr>
      <w:tr>
        <w:trPr>
          <w:cantSplit w:val="0"/>
          <w:tblHeader w:val="0"/>
        </w:trPr>
        <w:tc>
          <w:tcPr>
            <w:shd w:fill="fff6f2" w:val="clear"/>
            <w:tcMar>
              <w:top w:w="100.0" w:type="dxa"/>
              <w:left w:w="120.0" w:type="dxa"/>
              <w:bottom w:w="100.0" w:type="dxa"/>
              <w:right w:w="120.0" w:type="dxa"/>
            </w:tcMar>
          </w:tcPr>
          <w:p w:rsidR="00000000" w:rsidDel="00000000" w:rsidP="00000000" w:rsidRDefault="00000000" w:rsidRPr="00000000" w14:paraId="00000058">
            <w:pPr>
              <w:rPr>
                <w:rFonts w:ascii="Arial" w:cs="Arial" w:eastAsia="Arial" w:hAnsi="Arial"/>
              </w:rPr>
            </w:pPr>
            <w:r w:rsidDel="00000000" w:rsidR="00000000" w:rsidRPr="00000000">
              <w:rPr>
                <w:rFonts w:ascii="Arial" w:cs="Arial" w:eastAsia="Arial" w:hAnsi="Arial"/>
                <w:b w:val="1"/>
                <w:bCs w:val="1"/>
                <w:rtl w:val="0"/>
              </w:rPr>
              <w:t xml:space="preserve">Total</w:t>
            </w:r>
            <w:r w:rsidDel="00000000" w:rsidR="00000000" w:rsidRPr="00000000">
              <w:rPr>
                <w:rtl w:val="0"/>
              </w:rPr>
            </w:r>
          </w:p>
        </w:tc>
        <w:tc>
          <w:tcPr>
            <w:shd w:fill="fff6f2" w:val="clear"/>
            <w:tcMar>
              <w:top w:w="100.0" w:type="dxa"/>
              <w:left w:w="120.0" w:type="dxa"/>
              <w:bottom w:w="100.0" w:type="dxa"/>
              <w:right w:w="120.0" w:type="dxa"/>
            </w:tcMar>
          </w:tcPr>
          <w:p w:rsidR="00000000" w:rsidDel="00000000" w:rsidP="00000000" w:rsidRDefault="00000000" w:rsidRPr="00000000" w14:paraId="00000059">
            <w:pPr>
              <w:rPr>
                <w:rFonts w:ascii="Arial" w:cs="Arial" w:eastAsia="Arial" w:hAnsi="Arial"/>
              </w:rPr>
            </w:pPr>
            <w:r w:rsidDel="00000000" w:rsidR="00000000" w:rsidRPr="00000000">
              <w:rPr>
                <w:rFonts w:ascii="Arial" w:cs="Arial" w:eastAsia="Arial" w:hAnsi="Arial"/>
                <w:b w:val="1"/>
                <w:bCs w:val="1"/>
                <w:rtl w:val="0"/>
              </w:rPr>
              <w:t xml:space="preserve">18,000</w:t>
            </w:r>
            <w:r w:rsidDel="00000000" w:rsidR="00000000" w:rsidRPr="00000000">
              <w:rPr>
                <w:rtl w:val="0"/>
              </w:rPr>
            </w:r>
          </w:p>
        </w:tc>
        <w:tc>
          <w:tcPr>
            <w:shd w:fill="fff6f2" w:val="clear"/>
            <w:tcMar>
              <w:top w:w="100.0" w:type="dxa"/>
              <w:left w:w="120.0" w:type="dxa"/>
              <w:bottom w:w="100.0" w:type="dxa"/>
              <w:right w:w="120.0" w:type="dxa"/>
            </w:tcMar>
          </w:tcPr>
          <w:p w:rsidR="00000000" w:rsidDel="00000000" w:rsidP="00000000" w:rsidRDefault="00000000" w:rsidRPr="00000000" w14:paraId="0000005A">
            <w:pPr>
              <w:rPr>
                <w:rFonts w:ascii="Arial" w:cs="Arial" w:eastAsia="Arial" w:hAnsi="Arial"/>
              </w:rPr>
            </w:pPr>
            <w:r w:rsidDel="00000000" w:rsidR="00000000" w:rsidRPr="00000000">
              <w:rPr>
                <w:rFonts w:ascii="Arial" w:cs="Arial" w:eastAsia="Arial" w:hAnsi="Arial"/>
                <w:b w:val="1"/>
                <w:bCs w:val="1"/>
                <w:rtl w:val="0"/>
              </w:rPr>
              <w:t xml:space="preserve">100%</w:t>
            </w:r>
            <w:r w:rsidDel="00000000" w:rsidR="00000000" w:rsidRPr="00000000">
              <w:rPr>
                <w:rtl w:val="0"/>
              </w:rPr>
            </w:r>
          </w:p>
        </w:tc>
      </w:tr>
    </w:tbl>
    <w:p w:rsidR="00000000" w:rsidDel="00000000" w:rsidP="00000000" w:rsidRDefault="00000000" w:rsidRPr="00000000" w14:paraId="0000005B">
      <w:pPr>
        <w:spacing w:after="160" w:lineRule="auto"/>
        <w:rPr>
          <w:rFonts w:ascii="Arial" w:cs="Arial" w:eastAsia="Arial" w:hAnsi="Arial"/>
        </w:rPr>
      </w:pPr>
      <w:r w:rsidDel="00000000" w:rsidR="00000000" w:rsidRPr="00000000">
        <w:rPr>
          <w:rtl w:val="0"/>
        </w:rPr>
      </w:r>
    </w:p>
    <w:p w:rsidR="00000000" w:rsidDel="00000000" w:rsidP="00000000" w:rsidRDefault="00000000" w:rsidRPr="00000000" w14:paraId="0000005C">
      <w:pPr>
        <w:spacing w:after="160" w:lineRule="auto"/>
        <w:rPr>
          <w:rFonts w:ascii="Arial" w:cs="Arial" w:eastAsia="Arial" w:hAnsi="Arial"/>
        </w:rPr>
      </w:pPr>
      <w:r w:rsidDel="00000000" w:rsidR="00000000" w:rsidRPr="00000000">
        <w:rPr>
          <w:rtl w:val="0"/>
        </w:rPr>
      </w:r>
    </w:p>
    <w:p w:rsidR="00000000" w:rsidDel="00000000" w:rsidP="00000000" w:rsidRDefault="00000000" w:rsidRPr="00000000" w14:paraId="0000005D">
      <w:pPr>
        <w:spacing w:after="160" w:lineRule="auto"/>
        <w:rPr>
          <w:rFonts w:ascii="Arial" w:cs="Arial" w:eastAsia="Arial" w:hAnsi="Arial"/>
        </w:rPr>
      </w:pPr>
      <w:r w:rsidDel="00000000" w:rsidR="00000000" w:rsidRPr="00000000">
        <w:rPr>
          <w:rtl w:val="0"/>
        </w:rPr>
      </w:r>
    </w:p>
    <w:p w:rsidR="00000000" w:rsidDel="00000000" w:rsidP="00000000" w:rsidRDefault="00000000" w:rsidRPr="00000000" w14:paraId="0000005E">
      <w:pPr>
        <w:spacing w:after="160" w:lineRule="auto"/>
        <w:rPr>
          <w:rFonts w:ascii="Arial" w:cs="Arial" w:eastAsia="Arial" w:hAnsi="Arial"/>
        </w:rPr>
      </w:pPr>
      <w:r w:rsidDel="00000000" w:rsidR="00000000" w:rsidRPr="00000000">
        <w:rPr>
          <w:rtl w:val="0"/>
        </w:rPr>
      </w:r>
    </w:p>
    <w:p w:rsidR="00000000" w:rsidDel="00000000" w:rsidP="00000000" w:rsidRDefault="00000000" w:rsidRPr="00000000" w14:paraId="0000005F">
      <w:pPr>
        <w:spacing w:after="160" w:lineRule="auto"/>
        <w:rPr>
          <w:rFonts w:ascii="Arial" w:cs="Arial" w:eastAsia="Arial" w:hAnsi="Arial"/>
        </w:rPr>
      </w:pPr>
      <w:r w:rsidDel="00000000" w:rsidR="00000000" w:rsidRPr="00000000">
        <w:rPr>
          <w:rFonts w:ascii="Arial" w:cs="Arial" w:eastAsia="Arial" w:hAnsi="Arial"/>
          <w:rtl w:val="0"/>
        </w:rPr>
        <w:t xml:space="preserve">The only allocation is the largest-single, guide training, DBS checks and liability insurance, which indicates the priority of safety due to the group-activity and public-facing nature of the business. The budget is made up of over 40% marketing and working capital, which will help the business maintain operations and create awareness of the brand in the first two quarters before it will have to depend on break-even trading income.</w:t>
      </w:r>
    </w:p>
    <w:p w:rsidR="00000000" w:rsidDel="00000000" w:rsidP="00000000" w:rsidRDefault="00000000" w:rsidRPr="00000000" w14:paraId="00000060">
      <w:pPr>
        <w:pStyle w:val="Heading1"/>
        <w:rPr>
          <w:rFonts w:ascii="Arial" w:cs="Arial" w:eastAsia="Arial" w:hAnsi="Arial"/>
          <w:sz w:val="22"/>
          <w:szCs w:val="22"/>
        </w:rPr>
      </w:pPr>
      <w:bookmarkStart w:colFirst="0" w:colLast="0" w:name="_heading=h.q5slfqh3e7cl" w:id="23"/>
      <w:bookmarkEnd w:id="23"/>
      <w:r w:rsidDel="00000000" w:rsidR="00000000" w:rsidRPr="00000000">
        <w:rPr>
          <w:rFonts w:ascii="Arial" w:cs="Arial" w:eastAsia="Arial" w:hAnsi="Arial"/>
          <w:sz w:val="22"/>
          <w:szCs w:val="22"/>
          <w:rtl w:val="0"/>
        </w:rPr>
        <w:t xml:space="preserve">Reference </w:t>
      </w:r>
    </w:p>
    <w:p w:rsidR="00000000" w:rsidDel="00000000" w:rsidP="00000000" w:rsidRDefault="00000000" w:rsidRPr="00000000" w14:paraId="00000061">
      <w:pPr>
        <w:spacing w:after="160" w:lineRule="auto"/>
        <w:rPr>
          <w:rFonts w:ascii="Arial" w:cs="Arial" w:eastAsia="Arial" w:hAnsi="Arial"/>
        </w:rPr>
      </w:pPr>
      <w:r w:rsidDel="00000000" w:rsidR="00000000" w:rsidRPr="00000000">
        <w:rPr>
          <w:rFonts w:ascii="Arial" w:cs="Arial" w:eastAsia="Arial" w:hAnsi="Arial"/>
          <w:rtl w:val="0"/>
        </w:rPr>
        <w:t xml:space="preserve">Amoah, J., &amp; Jibril, A. B. (2021). Social media as a promotional tool towards SME’s development: Evidence from the financial industry in a developing economy. Cogent Business &amp; Management, 8(1), 1923357. </w:t>
      </w:r>
      <w:hyperlink r:id="rId10">
        <w:r w:rsidDel="00000000" w:rsidR="00000000" w:rsidRPr="00000000">
          <w:rPr>
            <w:rFonts w:ascii="Arial" w:cs="Arial" w:eastAsia="Arial" w:hAnsi="Arial"/>
            <w:color w:val="0563c1"/>
            <w:u w:val="single"/>
            <w:rtl w:val="0"/>
          </w:rPr>
          <w:t xml:space="preserve">https://doi.org/10.1080/23311975.2021.1923357</w:t>
        </w:r>
      </w:hyperlink>
      <w:r w:rsidDel="00000000" w:rsidR="00000000" w:rsidRPr="00000000">
        <w:rPr>
          <w:rtl w:val="0"/>
        </w:rPr>
      </w:r>
    </w:p>
    <w:p w:rsidR="00000000" w:rsidDel="00000000" w:rsidP="00000000" w:rsidRDefault="00000000" w:rsidRPr="00000000" w14:paraId="00000062">
      <w:pPr>
        <w:spacing w:after="160" w:lineRule="auto"/>
        <w:rPr>
          <w:rFonts w:ascii="Arial" w:cs="Arial" w:eastAsia="Arial" w:hAnsi="Arial"/>
        </w:rPr>
      </w:pPr>
      <w:r w:rsidDel="00000000" w:rsidR="00000000" w:rsidRPr="00000000">
        <w:rPr>
          <w:rFonts w:ascii="Arial" w:cs="Arial" w:eastAsia="Arial" w:hAnsi="Arial"/>
          <w:rtl w:val="0"/>
        </w:rPr>
        <w:t xml:space="preserve">Amoah, J., Jibril, A. B., Odei, M. A., &amp; Kosiba, J. P. B. (2022). Driving factors to competitive sustainability of SMEs in the tourism sector: An introspective analysis. Cogent Business &amp; Management, 9(1), 2163796. </w:t>
      </w:r>
      <w:hyperlink r:id="rId11">
        <w:r w:rsidDel="00000000" w:rsidR="00000000" w:rsidRPr="00000000">
          <w:rPr>
            <w:rFonts w:ascii="Arial" w:cs="Arial" w:eastAsia="Arial" w:hAnsi="Arial"/>
            <w:color w:val="0563c1"/>
            <w:u w:val="single"/>
            <w:rtl w:val="0"/>
          </w:rPr>
          <w:t xml:space="preserve">https://doi.org/10.1080/23311975.2022.2163796</w:t>
        </w:r>
      </w:hyperlink>
      <w:r w:rsidDel="00000000" w:rsidR="00000000" w:rsidRPr="00000000">
        <w:rPr>
          <w:rtl w:val="0"/>
        </w:rPr>
      </w:r>
    </w:p>
    <w:p w:rsidR="00000000" w:rsidDel="00000000" w:rsidP="00000000" w:rsidRDefault="00000000" w:rsidRPr="00000000" w14:paraId="00000063">
      <w:pPr>
        <w:spacing w:after="160" w:lineRule="auto"/>
        <w:rPr>
          <w:rFonts w:ascii="Arial" w:cs="Arial" w:eastAsia="Arial" w:hAnsi="Arial"/>
        </w:rPr>
      </w:pPr>
      <w:r w:rsidDel="00000000" w:rsidR="00000000" w:rsidRPr="00000000">
        <w:rPr>
          <w:rFonts w:ascii="Arial" w:cs="Arial" w:eastAsia="Arial" w:hAnsi="Arial"/>
          <w:rtl w:val="0"/>
        </w:rPr>
        <w:t xml:space="preserve">Bethlendi, A., Hegedűs, S., &amp; Szőcs, Á. (2025). What could we learn from startup failures? Journal of Innovation and Entrepreneurship, 14, 35. </w:t>
      </w:r>
      <w:hyperlink r:id="rId12">
        <w:r w:rsidDel="00000000" w:rsidR="00000000" w:rsidRPr="00000000">
          <w:rPr>
            <w:rFonts w:ascii="Arial" w:cs="Arial" w:eastAsia="Arial" w:hAnsi="Arial"/>
            <w:color w:val="0563c1"/>
            <w:u w:val="single"/>
            <w:rtl w:val="0"/>
          </w:rPr>
          <w:t xml:space="preserve">https://doi.org/10.1186/s13731-025-00493-w</w:t>
        </w:r>
      </w:hyperlink>
      <w:r w:rsidDel="00000000" w:rsidR="00000000" w:rsidRPr="00000000">
        <w:rPr>
          <w:rtl w:val="0"/>
        </w:rPr>
      </w:r>
    </w:p>
    <w:p w:rsidR="00000000" w:rsidDel="00000000" w:rsidP="00000000" w:rsidRDefault="00000000" w:rsidRPr="00000000" w14:paraId="00000064">
      <w:pPr>
        <w:spacing w:after="160" w:lineRule="auto"/>
        <w:rPr>
          <w:rFonts w:ascii="Arial" w:cs="Arial" w:eastAsia="Arial" w:hAnsi="Arial"/>
        </w:rPr>
      </w:pPr>
      <w:r w:rsidDel="00000000" w:rsidR="00000000" w:rsidRPr="00000000">
        <w:rPr>
          <w:rFonts w:ascii="Arial" w:cs="Arial" w:eastAsia="Arial" w:hAnsi="Arial"/>
          <w:rtl w:val="0"/>
        </w:rPr>
        <w:t xml:space="preserve">Department for Business, Energy &amp; Industrial Strategy. (2022). Package holidays: Complying with regulations – guidance for businesses. GOV.UK. </w:t>
      </w:r>
      <w:hyperlink r:id="rId13">
        <w:r w:rsidDel="00000000" w:rsidR="00000000" w:rsidRPr="00000000">
          <w:rPr>
            <w:rFonts w:ascii="Arial" w:cs="Arial" w:eastAsia="Arial" w:hAnsi="Arial"/>
            <w:color w:val="0563c1"/>
            <w:u w:val="single"/>
            <w:rtl w:val="0"/>
          </w:rPr>
          <w:t xml:space="preserve">https://www.gov.uk/government/publications/package-holidays-complying-with-regulations-guidance-for-businesses</w:t>
        </w:r>
      </w:hyperlink>
      <w:r w:rsidDel="00000000" w:rsidR="00000000" w:rsidRPr="00000000">
        <w:rPr>
          <w:rtl w:val="0"/>
        </w:rPr>
      </w:r>
    </w:p>
    <w:p w:rsidR="00000000" w:rsidDel="00000000" w:rsidP="00000000" w:rsidRDefault="00000000" w:rsidRPr="00000000" w14:paraId="00000065">
      <w:pPr>
        <w:spacing w:after="160" w:lineRule="auto"/>
        <w:rPr>
          <w:rFonts w:ascii="Arial" w:cs="Arial" w:eastAsia="Arial" w:hAnsi="Arial"/>
        </w:rPr>
      </w:pPr>
      <w:r w:rsidDel="00000000" w:rsidR="00000000" w:rsidRPr="00000000">
        <w:rPr>
          <w:rFonts w:ascii="Arial" w:cs="Arial" w:eastAsia="Arial" w:hAnsi="Arial"/>
          <w:rtl w:val="0"/>
        </w:rPr>
        <w:t xml:space="preserve">Hysa, B., Karasek, A., &amp; Zdonek, I. (2021). Social media usage by different generations as a tool for sustainable tourism marketing in Society 5.0 idea. Sustainability, 13(3), 1018. </w:t>
      </w:r>
      <w:hyperlink r:id="rId14">
        <w:r w:rsidDel="00000000" w:rsidR="00000000" w:rsidRPr="00000000">
          <w:rPr>
            <w:rFonts w:ascii="Arial" w:cs="Arial" w:eastAsia="Arial" w:hAnsi="Arial"/>
            <w:color w:val="0563c1"/>
            <w:u w:val="single"/>
            <w:rtl w:val="0"/>
          </w:rPr>
          <w:t xml:space="preserve">https://doi.org/10.3390/su13031018</w:t>
        </w:r>
      </w:hyperlink>
      <w:r w:rsidDel="00000000" w:rsidR="00000000" w:rsidRPr="00000000">
        <w:rPr>
          <w:rtl w:val="0"/>
        </w:rPr>
      </w:r>
    </w:p>
    <w:p w:rsidR="00000000" w:rsidDel="00000000" w:rsidP="00000000" w:rsidRDefault="00000000" w:rsidRPr="00000000" w14:paraId="00000066">
      <w:pPr>
        <w:spacing w:after="160" w:lineRule="auto"/>
        <w:rPr>
          <w:rFonts w:ascii="Arial" w:cs="Arial" w:eastAsia="Arial" w:hAnsi="Arial"/>
        </w:rPr>
      </w:pPr>
      <w:r w:rsidDel="00000000" w:rsidR="00000000" w:rsidRPr="00000000">
        <w:rPr>
          <w:rFonts w:ascii="Arial" w:cs="Arial" w:eastAsia="Arial" w:hAnsi="Arial"/>
          <w:rtl w:val="0"/>
        </w:rPr>
        <w:t xml:space="preserve">Lynn, T., &amp; Rosati, P. (2021). New sources of entrepreneurial finance. In M. Soltanifar, M. Hughes, &amp; L. Göcke (Eds.), Digital entrepreneurship (pp. 279–299). Springer. </w:t>
      </w:r>
      <w:hyperlink r:id="rId15">
        <w:r w:rsidDel="00000000" w:rsidR="00000000" w:rsidRPr="00000000">
          <w:rPr>
            <w:rFonts w:ascii="Arial" w:cs="Arial" w:eastAsia="Arial" w:hAnsi="Arial"/>
            <w:color w:val="0563c1"/>
            <w:u w:val="single"/>
            <w:rtl w:val="0"/>
          </w:rPr>
          <w:t xml:space="preserve">https://doi.org/10.1007/978-3-030-53914-6_11</w:t>
        </w:r>
      </w:hyperlink>
      <w:r w:rsidDel="00000000" w:rsidR="00000000" w:rsidRPr="00000000">
        <w:rPr>
          <w:rtl w:val="0"/>
        </w:rPr>
      </w:r>
    </w:p>
    <w:p w:rsidR="00000000" w:rsidDel="00000000" w:rsidP="00000000" w:rsidRDefault="00000000" w:rsidRPr="00000000" w14:paraId="00000067">
      <w:pPr>
        <w:spacing w:after="160" w:lineRule="auto"/>
        <w:rPr>
          <w:rFonts w:ascii="Arial" w:cs="Arial" w:eastAsia="Arial" w:hAnsi="Arial"/>
        </w:rPr>
      </w:pPr>
      <w:r w:rsidDel="00000000" w:rsidR="00000000" w:rsidRPr="00000000">
        <w:rPr>
          <w:rFonts w:ascii="Arial" w:cs="Arial" w:eastAsia="Arial" w:hAnsi="Arial"/>
          <w:rtl w:val="0"/>
        </w:rPr>
        <w:t xml:space="preserve">Naranjo Llupart, M. R. (2022). Theoretical model for the analysis of community-based tourism: Contribution to sustainable development. Sustainability, 14(17), 10635. </w:t>
      </w:r>
      <w:hyperlink r:id="rId16">
        <w:r w:rsidDel="00000000" w:rsidR="00000000" w:rsidRPr="00000000">
          <w:rPr>
            <w:rFonts w:ascii="Arial" w:cs="Arial" w:eastAsia="Arial" w:hAnsi="Arial"/>
            <w:color w:val="0563c1"/>
            <w:u w:val="single"/>
            <w:rtl w:val="0"/>
          </w:rPr>
          <w:t xml:space="preserve">https://doi.org/10.3390/su141710635</w:t>
        </w:r>
      </w:hyperlink>
      <w:r w:rsidDel="00000000" w:rsidR="00000000" w:rsidRPr="00000000">
        <w:rPr>
          <w:rtl w:val="0"/>
        </w:rPr>
      </w:r>
    </w:p>
    <w:p w:rsidR="00000000" w:rsidDel="00000000" w:rsidP="00000000" w:rsidRDefault="00000000" w:rsidRPr="00000000" w14:paraId="00000068">
      <w:pPr>
        <w:spacing w:after="160" w:lineRule="auto"/>
        <w:rPr>
          <w:rFonts w:ascii="Arial" w:cs="Arial" w:eastAsia="Arial" w:hAnsi="Arial"/>
        </w:rPr>
      </w:pPr>
      <w:r w:rsidDel="00000000" w:rsidR="00000000" w:rsidRPr="00000000">
        <w:rPr>
          <w:rFonts w:ascii="Arial" w:cs="Arial" w:eastAsia="Arial" w:hAnsi="Arial"/>
          <w:rtl w:val="0"/>
        </w:rPr>
        <w:t xml:space="preserve">The Open University. (n.d.). Different types of business: Ownership structures and legal forms. OpenLearn. </w:t>
      </w:r>
      <w:hyperlink r:id="rId17">
        <w:r w:rsidDel="00000000" w:rsidR="00000000" w:rsidRPr="00000000">
          <w:rPr>
            <w:rFonts w:ascii="Arial" w:cs="Arial" w:eastAsia="Arial" w:hAnsi="Arial"/>
            <w:color w:val="0563c1"/>
            <w:u w:val="single"/>
            <w:rtl w:val="0"/>
          </w:rPr>
          <w:t xml:space="preserve">https://www.open.edu/openlearn/money-business/business-strategy-studies/different-types-business/content-section-4</w:t>
        </w:r>
      </w:hyperlink>
      <w:r w:rsidDel="00000000" w:rsidR="00000000" w:rsidRPr="00000000">
        <w:rPr>
          <w:rtl w:val="0"/>
        </w:rPr>
      </w:r>
    </w:p>
    <w:p w:rsidR="00000000" w:rsidDel="00000000" w:rsidP="00000000" w:rsidRDefault="00000000" w:rsidRPr="00000000" w14:paraId="00000069">
      <w:pPr>
        <w:spacing w:after="160" w:lineRule="auto"/>
        <w:rPr>
          <w:rFonts w:ascii="Arial" w:cs="Arial" w:eastAsia="Arial" w:hAnsi="Arial"/>
        </w:rPr>
      </w:pPr>
      <w:r w:rsidDel="00000000" w:rsidR="00000000" w:rsidRPr="00000000">
        <w:rPr>
          <w:rFonts w:ascii="Arial" w:cs="Arial" w:eastAsia="Arial" w:hAnsi="Arial"/>
          <w:rtl w:val="0"/>
        </w:rPr>
        <w:t xml:space="preserve">Palacios-Florencio, B., Santos-Roldán, L., Berbel-Pineda, J. M., &amp; Castillo-Canalejo, A. M. (2021). Sustainable tourism as a driving force of the tourism industry in a post-Covid-19 scenario. Social Indicators Research, 158, 991–1011. </w:t>
      </w:r>
      <w:hyperlink r:id="rId18">
        <w:r w:rsidDel="00000000" w:rsidR="00000000" w:rsidRPr="00000000">
          <w:rPr>
            <w:rFonts w:ascii="Arial" w:cs="Arial" w:eastAsia="Arial" w:hAnsi="Arial"/>
            <w:color w:val="0563c1"/>
            <w:u w:val="single"/>
            <w:rtl w:val="0"/>
          </w:rPr>
          <w:t xml:space="preserve">https://doi.org/10.1007/s11205-021-02735-2</w:t>
        </w:r>
      </w:hyperlink>
      <w:r w:rsidDel="00000000" w:rsidR="00000000" w:rsidRPr="00000000">
        <w:rPr>
          <w:rtl w:val="0"/>
        </w:rPr>
      </w:r>
    </w:p>
    <w:p w:rsidR="00000000" w:rsidDel="00000000" w:rsidP="00000000" w:rsidRDefault="00000000" w:rsidRPr="00000000" w14:paraId="0000006A">
      <w:pPr>
        <w:spacing w:after="160" w:lineRule="auto"/>
        <w:rPr>
          <w:rFonts w:ascii="Arial" w:cs="Arial" w:eastAsia="Arial" w:hAnsi="Arial"/>
        </w:rPr>
      </w:pPr>
      <w:r w:rsidDel="00000000" w:rsidR="00000000" w:rsidRPr="00000000">
        <w:rPr>
          <w:rFonts w:ascii="Arial" w:cs="Arial" w:eastAsia="Arial" w:hAnsi="Arial"/>
          <w:rtl w:val="0"/>
        </w:rPr>
        <w:t xml:space="preserve">Pan, L.-Y., Tsai, I.-C., Popan, S.-H., &amp; Chang, S.-C. (2022). Entrepreneurial business start-ups and entrepreneurial failure: How to stand up after a fall? Frontiers in Psychology, 13, 943328. </w:t>
      </w:r>
      <w:hyperlink r:id="rId19">
        <w:r w:rsidDel="00000000" w:rsidR="00000000" w:rsidRPr="00000000">
          <w:rPr>
            <w:rFonts w:ascii="Arial" w:cs="Arial" w:eastAsia="Arial" w:hAnsi="Arial"/>
            <w:color w:val="0563c1"/>
            <w:u w:val="single"/>
            <w:rtl w:val="0"/>
          </w:rPr>
          <w:t xml:space="preserve">https://doi.org/10.3389/fpsyg.2022.943328</w:t>
        </w:r>
      </w:hyperlink>
      <w:r w:rsidDel="00000000" w:rsidR="00000000" w:rsidRPr="00000000">
        <w:rPr>
          <w:rtl w:val="0"/>
        </w:rPr>
      </w:r>
    </w:p>
    <w:p w:rsidR="00000000" w:rsidDel="00000000" w:rsidP="00000000" w:rsidRDefault="00000000" w:rsidRPr="00000000" w14:paraId="0000006B">
      <w:pPr>
        <w:spacing w:after="160" w:lineRule="auto"/>
        <w:rPr/>
      </w:pPr>
      <w:r w:rsidDel="00000000" w:rsidR="00000000" w:rsidRPr="00000000">
        <w:rPr>
          <w:rtl w:val="0"/>
        </w:rPr>
      </w:r>
    </w:p>
    <w:sectPr>
      <w:footerReference r:id="rId20" w:type="default"/>
      <w:pgSz w:h="16838" w:w="11906" w:orient="portrait"/>
      <w:pgMar w:bottom="1134" w:top="1134" w:left="1134" w:right="1134"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Cambria"/>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C">
    <w:pPr>
      <w:keepNext w:val="0"/>
      <w:keepLines w:val="0"/>
      <w:pageBreakBefore w:val="0"/>
      <w:widowControl w:val="1"/>
      <w:pBdr>
        <w:top w:color="d9d9d9" w:space="1" w:sz="4" w:val="single"/>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1"/>
        <w:bCs w:val="1"/>
        <w:i w:val="0"/>
        <w:iCs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 xml:space="preserve"> | </w:t>
    </w:r>
    <w:r w:rsidDel="00000000" w:rsidR="00000000" w:rsidRPr="00000000">
      <w:rPr>
        <w:rFonts w:ascii="Calibri" w:cs="Calibri" w:eastAsia="Calibri" w:hAnsi="Calibri"/>
        <w:b w:val="0"/>
        <w:bCs w:val="0"/>
        <w:i w:val="0"/>
        <w:iCs w:val="0"/>
        <w:smallCaps w:val="0"/>
        <w:strike w:val="0"/>
        <w:color w:val="7f7f7f"/>
        <w:sz w:val="22"/>
        <w:szCs w:val="22"/>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360" w:line="276" w:lineRule="auto"/>
      <w:ind w:left="0" w:right="0" w:firstLine="0"/>
      <w:jc w:val="left"/>
    </w:pPr>
    <w:rPr>
      <w:rFonts w:ascii="Cambria" w:cs="Cambria" w:eastAsia="Cambria" w:hAnsi="Cambria"/>
      <w:b w:val="1"/>
      <w:bCs w:val="1"/>
      <w:i w:val="0"/>
      <w:iCs w:val="0"/>
      <w:smallCaps w:val="0"/>
      <w:strike w:val="0"/>
      <w:color w:val="c47a8a"/>
      <w:sz w:val="30"/>
      <w:szCs w:val="30"/>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140" w:before="260" w:line="276" w:lineRule="auto"/>
      <w:ind w:left="0" w:right="0" w:firstLine="0"/>
      <w:jc w:val="left"/>
    </w:pPr>
    <w:rPr>
      <w:rFonts w:ascii="Cambria" w:cs="Cambria" w:eastAsia="Cambria" w:hAnsi="Cambria"/>
      <w:b w:val="1"/>
      <w:bCs w:val="1"/>
      <w:i w:val="0"/>
      <w:iCs w:val="0"/>
      <w:smallCaps w:val="0"/>
      <w:strike w:val="0"/>
      <w:color w:val="3a3a3a"/>
      <w:sz w:val="25"/>
      <w:szCs w:val="25"/>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pPr>
    <w:rPr>
      <w:rFonts w:ascii="Calibri" w:cs="Calibri" w:eastAsia="Calibri" w:hAnsi="Calibri"/>
      <w:b w:val="0"/>
      <w:bCs w:val="0"/>
      <w:i w:val="0"/>
      <w:iCs w:val="0"/>
      <w:smallCaps w:val="0"/>
      <w:strike w:val="0"/>
      <w:color w:val="1f4d78"/>
      <w:sz w:val="24"/>
      <w:szCs w:val="24"/>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pPr>
    <w:rPr>
      <w:rFonts w:ascii="Calibri" w:cs="Calibri" w:eastAsia="Calibri" w:hAnsi="Calibri"/>
      <w:b w:val="0"/>
      <w:bCs w:val="0"/>
      <w:i w:val="1"/>
      <w:iCs w:val="1"/>
      <w:smallCaps w:val="0"/>
      <w:strike w:val="0"/>
      <w:color w:val="2e74b5"/>
      <w:sz w:val="22"/>
      <w:szCs w:val="22"/>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pPr>
    <w:rPr>
      <w:rFonts w:ascii="Calibri" w:cs="Calibri" w:eastAsia="Calibri" w:hAnsi="Calibri"/>
      <w:b w:val="0"/>
      <w:bCs w:val="0"/>
      <w:i w:val="0"/>
      <w:iCs w:val="0"/>
      <w:smallCaps w:val="0"/>
      <w:strike w:val="0"/>
      <w:color w:val="2e74b5"/>
      <w:sz w:val="22"/>
      <w:szCs w:val="22"/>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pPr>
    <w:rPr>
      <w:rFonts w:ascii="Calibri" w:cs="Calibri" w:eastAsia="Calibri" w:hAnsi="Calibri"/>
      <w:b w:val="0"/>
      <w:bCs w:val="0"/>
      <w:i w:val="0"/>
      <w:iCs w:val="0"/>
      <w:smallCaps w:val="0"/>
      <w:strike w:val="0"/>
      <w:color w:val="1f4d78"/>
      <w:sz w:val="22"/>
      <w:szCs w:val="22"/>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pPr>
    <w:rPr>
      <w:rFonts w:ascii="Calibri" w:cs="Calibri" w:eastAsia="Calibri" w:hAnsi="Calibri"/>
      <w:b w:val="0"/>
      <w:bCs w:val="0"/>
      <w:i w:val="0"/>
      <w:iCs w:val="0"/>
      <w:smallCaps w:val="0"/>
      <w:strike w:val="0"/>
      <w:color w:val="000000"/>
      <w:sz w:val="56"/>
      <w:szCs w:val="56"/>
      <w:u w:val="none"/>
      <w:shd w:fill="auto" w:val="clear"/>
      <w:vertAlign w:val="baselin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0.0" w:type="dxa"/>
        <w:bottom w:w="0.0" w:type="dxa"/>
        <w:right w:w="1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hyperlink" Target="https://doi.org/10.1080/23311975.2022.2163796" TargetMode="External"/><Relationship Id="rId10" Type="http://schemas.openxmlformats.org/officeDocument/2006/relationships/hyperlink" Target="https://doi.org/10.1080/23311975.2021.1923357" TargetMode="External"/><Relationship Id="rId13" Type="http://schemas.openxmlformats.org/officeDocument/2006/relationships/hyperlink" Target="https://www.gov.uk/government/publications/package-holidays-complying-with-regulations-guidance-for-businesses" TargetMode="External"/><Relationship Id="rId12" Type="http://schemas.openxmlformats.org/officeDocument/2006/relationships/hyperlink" Target="https://doi.org/10.1186/s13731-025-00493-w"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5" Type="http://schemas.openxmlformats.org/officeDocument/2006/relationships/hyperlink" Target="https://doi.org/10.1007/978-3-030-53914-6_11" TargetMode="External"/><Relationship Id="rId14" Type="http://schemas.openxmlformats.org/officeDocument/2006/relationships/hyperlink" Target="https://doi.org/10.3390/su13031018" TargetMode="External"/><Relationship Id="rId17" Type="http://schemas.openxmlformats.org/officeDocument/2006/relationships/hyperlink" Target="https://www.open.edu/openlearn/money-business/business-strategy-studies/different-types-business/content-section-4" TargetMode="External"/><Relationship Id="rId16" Type="http://schemas.openxmlformats.org/officeDocument/2006/relationships/hyperlink" Target="https://doi.org/10.3390/su141710635" TargetMode="External"/><Relationship Id="rId5" Type="http://schemas.openxmlformats.org/officeDocument/2006/relationships/styles" Target="styles.xml"/><Relationship Id="rId19" Type="http://schemas.openxmlformats.org/officeDocument/2006/relationships/hyperlink" Target="https://doi.org/10.3389/fpsyg.2022.943328" TargetMode="External"/><Relationship Id="rId6" Type="http://schemas.openxmlformats.org/officeDocument/2006/relationships/customXml" Target="../customXML/item1.xml"/><Relationship Id="rId18" Type="http://schemas.openxmlformats.org/officeDocument/2006/relationships/hyperlink" Target="https://doi.org/10.1007/s11205-021-02735-2" TargetMode="External"/><Relationship Id="rId7" Type="http://schemas.openxmlformats.org/officeDocument/2006/relationships/image" Target="media/image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wecPIfTnwlTXfEJh5YlcTIzWp6Q==">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</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