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0A16A" w14:textId="20D65DB8" w:rsidR="00673003" w:rsidRPr="00673003" w:rsidRDefault="00673003" w:rsidP="00673003">
      <w:pPr>
        <w:spacing w:after="0"/>
        <w:jc w:val="center"/>
        <w:rPr>
          <w:rFonts w:asciiTheme="minorHAnsi" w:hAnsiTheme="minorHAnsi" w:cs="Arial"/>
          <w:b/>
          <w:bCs/>
          <w:color w:val="000000" w:themeColor="text1"/>
          <w:sz w:val="24"/>
          <w:szCs w:val="24"/>
        </w:rPr>
      </w:pPr>
      <w:r w:rsidRPr="00673003">
        <w:rPr>
          <w:rFonts w:asciiTheme="minorHAnsi" w:hAnsiTheme="minorHAnsi" w:cs="Arial"/>
          <w:b/>
          <w:bCs/>
          <w:color w:val="000000" w:themeColor="text1"/>
          <w:sz w:val="24"/>
          <w:szCs w:val="24"/>
        </w:rPr>
        <w:t>Understanding Employee Engagement.</w:t>
      </w:r>
    </w:p>
    <w:p w14:paraId="0DA2279D" w14:textId="77777777" w:rsidR="00673003" w:rsidRDefault="00673003" w:rsidP="009219BA">
      <w:pPr>
        <w:spacing w:after="0"/>
        <w:rPr>
          <w:rFonts w:asciiTheme="minorHAnsi" w:hAnsiTheme="minorHAnsi" w:cs="Arial"/>
          <w:b/>
          <w:bCs/>
          <w:color w:val="FF0000"/>
          <w:sz w:val="24"/>
          <w:szCs w:val="24"/>
        </w:rPr>
      </w:pPr>
    </w:p>
    <w:p w14:paraId="3F18BB14" w14:textId="75FD3333" w:rsidR="00AC72C6" w:rsidRPr="00673003" w:rsidRDefault="00673003" w:rsidP="009219BA">
      <w:pPr>
        <w:spacing w:after="0"/>
        <w:rPr>
          <w:rFonts w:asciiTheme="minorHAnsi" w:hAnsiTheme="minorHAnsi" w:cs="Arial"/>
          <w:b/>
          <w:bCs/>
          <w:color w:val="000000" w:themeColor="text1"/>
          <w:sz w:val="24"/>
          <w:szCs w:val="24"/>
        </w:rPr>
      </w:pPr>
      <w:r w:rsidRPr="00673003">
        <w:rPr>
          <w:rFonts w:asciiTheme="minorHAnsi" w:hAnsiTheme="minorHAnsi" w:cs="Arial"/>
          <w:b/>
          <w:bCs/>
          <w:color w:val="000000" w:themeColor="text1"/>
          <w:sz w:val="24"/>
          <w:szCs w:val="24"/>
        </w:rPr>
        <w:t>5KEEG I1K1004</w:t>
      </w:r>
    </w:p>
    <w:p w14:paraId="1A1B35A6" w14:textId="77777777" w:rsidR="00AC72C6" w:rsidRDefault="00AC72C6" w:rsidP="009219BA">
      <w:pPr>
        <w:spacing w:after="0"/>
        <w:rPr>
          <w:rFonts w:ascii="Arial" w:hAnsi="Arial" w:cs="Arial"/>
          <w:color w:val="FF0000"/>
          <w:sz w:val="20"/>
          <w:szCs w:val="20"/>
        </w:rPr>
      </w:pPr>
    </w:p>
    <w:p w14:paraId="663DF319" w14:textId="77777777" w:rsidR="00673003" w:rsidRDefault="00673003" w:rsidP="00AC72C6">
      <w:pPr>
        <w:rPr>
          <w:b/>
          <w:bCs/>
          <w:sz w:val="24"/>
          <w:szCs w:val="24"/>
        </w:rPr>
      </w:pPr>
    </w:p>
    <w:p w14:paraId="2C3C8AD9" w14:textId="5AD631B6" w:rsidR="00AC72C6" w:rsidRPr="007F0E27" w:rsidRDefault="00AC72C6" w:rsidP="00AC72C6">
      <w:pPr>
        <w:rPr>
          <w:sz w:val="24"/>
          <w:szCs w:val="24"/>
        </w:rPr>
      </w:pPr>
      <w:r w:rsidRPr="00CA0530">
        <w:rPr>
          <w:b/>
          <w:bCs/>
          <w:sz w:val="24"/>
          <w:szCs w:val="24"/>
        </w:rPr>
        <w:t>Name:</w:t>
      </w:r>
      <w:r w:rsidRPr="007F0E27">
        <w:rPr>
          <w:sz w:val="24"/>
          <w:szCs w:val="24"/>
        </w:rPr>
        <w:t xml:space="preserve"> </w:t>
      </w:r>
      <w:proofErr w:type="spellStart"/>
      <w:r w:rsidRPr="007F0E27">
        <w:rPr>
          <w:sz w:val="24"/>
          <w:szCs w:val="24"/>
        </w:rPr>
        <w:t>Alys</w:t>
      </w:r>
      <w:proofErr w:type="spellEnd"/>
      <w:r w:rsidRPr="007F0E27">
        <w:rPr>
          <w:sz w:val="24"/>
          <w:szCs w:val="24"/>
        </w:rPr>
        <w:t xml:space="preserve"> Owens</w:t>
      </w:r>
    </w:p>
    <w:p w14:paraId="29A77356" w14:textId="77777777" w:rsidR="00AC72C6" w:rsidRPr="004E3371" w:rsidRDefault="00AC72C6" w:rsidP="00AC72C6">
      <w:pPr>
        <w:spacing w:before="100" w:beforeAutospacing="1" w:after="100" w:afterAutospacing="1"/>
        <w:rPr>
          <w:rFonts w:eastAsia="Times New Roman" w:cstheme="minorHAnsi"/>
          <w:color w:val="000000"/>
          <w:sz w:val="24"/>
          <w:szCs w:val="24"/>
          <w:lang w:eastAsia="en-GB"/>
        </w:rPr>
      </w:pPr>
      <w:r w:rsidRPr="004E3371">
        <w:rPr>
          <w:rFonts w:eastAsia="Times New Roman" w:cstheme="minorHAnsi"/>
          <w:b/>
          <w:color w:val="000000"/>
          <w:sz w:val="24"/>
          <w:szCs w:val="24"/>
          <w:lang w:eastAsia="en-GB"/>
        </w:rPr>
        <w:t>Student Number:</w:t>
      </w:r>
      <w:r w:rsidRPr="004E3371">
        <w:rPr>
          <w:rFonts w:eastAsia="Times New Roman" w:cstheme="minorHAnsi"/>
          <w:color w:val="000000"/>
          <w:sz w:val="24"/>
          <w:szCs w:val="24"/>
          <w:lang w:eastAsia="en-GB"/>
        </w:rPr>
        <w:t xml:space="preserve"> 2005306</w:t>
      </w:r>
    </w:p>
    <w:p w14:paraId="2E8512C8" w14:textId="1A8F73E6" w:rsidR="00AC72C6" w:rsidRDefault="00AC72C6" w:rsidP="00AC72C6">
      <w:pPr>
        <w:spacing w:before="100" w:beforeAutospacing="1" w:after="100" w:afterAutospacing="1"/>
        <w:rPr>
          <w:rFonts w:eastAsia="Times New Roman" w:cstheme="minorHAnsi"/>
          <w:color w:val="000000"/>
          <w:sz w:val="24"/>
          <w:szCs w:val="24"/>
          <w:lang w:eastAsia="en-GB"/>
        </w:rPr>
      </w:pPr>
      <w:r w:rsidRPr="004E3371">
        <w:rPr>
          <w:rFonts w:eastAsia="Times New Roman" w:cstheme="minorHAnsi"/>
          <w:b/>
          <w:color w:val="000000"/>
          <w:sz w:val="24"/>
          <w:szCs w:val="24"/>
          <w:lang w:eastAsia="en-GB"/>
        </w:rPr>
        <w:t>CIPD Membership Number</w:t>
      </w:r>
      <w:r w:rsidRPr="004E3371">
        <w:rPr>
          <w:rFonts w:eastAsia="Times New Roman" w:cstheme="minorHAnsi"/>
          <w:color w:val="000000"/>
          <w:sz w:val="24"/>
          <w:szCs w:val="24"/>
          <w:lang w:eastAsia="en-GB"/>
        </w:rPr>
        <w:t>: 56652305</w:t>
      </w:r>
    </w:p>
    <w:p w14:paraId="5CE73080" w14:textId="71A3FA11" w:rsidR="00AC72C6" w:rsidRPr="00673003" w:rsidRDefault="00AC72C6" w:rsidP="00673003">
      <w:pPr>
        <w:spacing w:before="100" w:beforeAutospacing="1" w:after="100" w:afterAutospacing="1"/>
        <w:rPr>
          <w:rFonts w:eastAsia="Times New Roman" w:cstheme="minorHAnsi"/>
          <w:b/>
          <w:bCs/>
          <w:color w:val="000000"/>
          <w:sz w:val="24"/>
          <w:szCs w:val="24"/>
          <w:lang w:eastAsia="en-GB"/>
        </w:rPr>
      </w:pPr>
      <w:r>
        <w:rPr>
          <w:rFonts w:eastAsia="Times New Roman" w:cstheme="minorHAnsi"/>
          <w:b/>
          <w:bCs/>
          <w:color w:val="000000"/>
          <w:sz w:val="24"/>
          <w:szCs w:val="24"/>
          <w:lang w:eastAsia="en-GB"/>
        </w:rPr>
        <w:t>Word Count: 2,710</w:t>
      </w:r>
    </w:p>
    <w:p w14:paraId="2F492643" w14:textId="77777777" w:rsidR="003A6735" w:rsidRDefault="003A6735" w:rsidP="009219BA">
      <w:pPr>
        <w:spacing w:after="0"/>
        <w:rPr>
          <w:rFonts w:ascii="Arial" w:hAnsi="Arial" w:cs="Arial"/>
          <w:color w:val="FF0000"/>
          <w:sz w:val="20"/>
          <w:szCs w:val="20"/>
        </w:rPr>
      </w:pPr>
    </w:p>
    <w:p w14:paraId="4F5E1290" w14:textId="77777777" w:rsidR="003A6735" w:rsidRDefault="003A6735" w:rsidP="009219BA">
      <w:pPr>
        <w:spacing w:after="0"/>
        <w:rPr>
          <w:rFonts w:ascii="Arial" w:hAnsi="Arial" w:cs="Arial"/>
          <w:color w:val="FF0000"/>
          <w:sz w:val="20"/>
          <w:szCs w:val="20"/>
        </w:rPr>
      </w:pPr>
    </w:p>
    <w:p w14:paraId="3E3E9F29" w14:textId="77777777" w:rsidR="003A6735" w:rsidRPr="002B49DD" w:rsidRDefault="003A6735" w:rsidP="009219BA">
      <w:pPr>
        <w:spacing w:after="0"/>
        <w:rPr>
          <w:rFonts w:asciiTheme="minorHAnsi" w:hAnsiTheme="minorHAnsi" w:cs="Arial"/>
          <w:b/>
          <w:bCs/>
          <w:color w:val="000000" w:themeColor="text1"/>
          <w:sz w:val="24"/>
          <w:szCs w:val="24"/>
        </w:rPr>
      </w:pPr>
      <w:r w:rsidRPr="002B49DD">
        <w:rPr>
          <w:rFonts w:asciiTheme="minorHAnsi" w:hAnsiTheme="minorHAnsi" w:cs="Arial"/>
          <w:b/>
          <w:bCs/>
          <w:color w:val="000000" w:themeColor="text1"/>
          <w:sz w:val="24"/>
          <w:szCs w:val="24"/>
        </w:rPr>
        <w:t>Introduction</w:t>
      </w:r>
    </w:p>
    <w:p w14:paraId="7EE9741C" w14:textId="77777777" w:rsidR="003A6735" w:rsidRPr="002B49DD" w:rsidRDefault="003A6735" w:rsidP="009219BA">
      <w:pPr>
        <w:spacing w:after="0"/>
        <w:rPr>
          <w:rFonts w:asciiTheme="minorHAnsi" w:hAnsiTheme="minorHAnsi" w:cs="Arial"/>
          <w:color w:val="000000" w:themeColor="text1"/>
          <w:sz w:val="24"/>
          <w:szCs w:val="24"/>
        </w:rPr>
      </w:pPr>
    </w:p>
    <w:p w14:paraId="0B687F2C" w14:textId="7EC25C5D" w:rsidR="003A6735" w:rsidRPr="002B49DD" w:rsidRDefault="00453D3B" w:rsidP="002C52D2">
      <w:pPr>
        <w:spacing w:after="0"/>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 xml:space="preserve">Employee Engagement is a concept that merits a working definition in any organisation. Concepts can be something perceived in the mind, a principle or idea, generalised from instances. Employee engagement as a concept can be a holistic concept, covering a broad area of people management practices. Alternatively, it can hold a narrow focus purely on work commitment. In this briefing paper I explore the concept of it and the its impact on the employer -employee relationship. </w:t>
      </w:r>
    </w:p>
    <w:p w14:paraId="2C7509DA" w14:textId="5D1861B0" w:rsidR="009219BA" w:rsidRPr="002B49DD" w:rsidRDefault="009219BA" w:rsidP="002C52D2">
      <w:pPr>
        <w:spacing w:after="0"/>
        <w:jc w:val="both"/>
        <w:rPr>
          <w:rFonts w:asciiTheme="minorHAnsi" w:hAnsiTheme="minorHAnsi" w:cs="Arial"/>
          <w:color w:val="FF0000"/>
          <w:sz w:val="24"/>
          <w:szCs w:val="24"/>
        </w:rPr>
      </w:pPr>
      <w:r w:rsidRPr="002B49DD">
        <w:rPr>
          <w:rFonts w:asciiTheme="minorHAnsi" w:hAnsiTheme="minorHAnsi" w:cs="Arial"/>
          <w:color w:val="FF0000"/>
          <w:sz w:val="24"/>
          <w:szCs w:val="24"/>
        </w:rPr>
        <w:br/>
      </w:r>
    </w:p>
    <w:p w14:paraId="1F076095" w14:textId="77777777" w:rsidR="003A6735" w:rsidRPr="002B49DD" w:rsidRDefault="009219BA" w:rsidP="002C52D2">
      <w:pPr>
        <w:pStyle w:val="ListParagraph"/>
        <w:numPr>
          <w:ilvl w:val="0"/>
          <w:numId w:val="1"/>
        </w:numPr>
        <w:jc w:val="both"/>
        <w:rPr>
          <w:rFonts w:asciiTheme="minorHAnsi" w:hAnsiTheme="minorHAnsi" w:cs="Arial"/>
          <w:b/>
          <w:bCs/>
          <w:color w:val="000000" w:themeColor="text1"/>
          <w:sz w:val="24"/>
          <w:szCs w:val="24"/>
        </w:rPr>
      </w:pPr>
      <w:r w:rsidRPr="002B49DD">
        <w:rPr>
          <w:rFonts w:asciiTheme="minorHAnsi" w:hAnsiTheme="minorHAnsi" w:cs="Arial"/>
          <w:b/>
          <w:bCs/>
          <w:color w:val="000000" w:themeColor="text1"/>
          <w:sz w:val="24"/>
          <w:szCs w:val="24"/>
        </w:rPr>
        <w:t>Define employee engagement and explain how it relates to other concepts such as</w:t>
      </w:r>
      <w:r w:rsidRPr="002B49DD">
        <w:rPr>
          <w:rFonts w:asciiTheme="minorHAnsi" w:hAnsiTheme="minorHAnsi" w:cs="Arial"/>
          <w:b/>
          <w:bCs/>
          <w:color w:val="000000" w:themeColor="text1"/>
          <w:sz w:val="24"/>
          <w:szCs w:val="24"/>
        </w:rPr>
        <w:br/>
        <w:t>organisational commitment, employer involvement and job satisfaction.</w:t>
      </w:r>
    </w:p>
    <w:p w14:paraId="0AE9CE7F" w14:textId="77777777" w:rsidR="003A6735" w:rsidRPr="002B49DD" w:rsidRDefault="003A6735" w:rsidP="002C52D2">
      <w:pPr>
        <w:jc w:val="both"/>
        <w:rPr>
          <w:rFonts w:asciiTheme="minorHAnsi" w:hAnsiTheme="minorHAnsi" w:cs="Arial"/>
          <w:color w:val="FF0000"/>
          <w:sz w:val="24"/>
          <w:szCs w:val="24"/>
        </w:rPr>
      </w:pPr>
    </w:p>
    <w:p w14:paraId="0B2D3030" w14:textId="156248F8" w:rsidR="003A6735" w:rsidRPr="002B49DD" w:rsidRDefault="003A6735" w:rsidP="002C52D2">
      <w:p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 xml:space="preserve">The </w:t>
      </w:r>
      <w:r w:rsidRPr="002B49DD">
        <w:rPr>
          <w:rFonts w:asciiTheme="minorHAnsi" w:hAnsiTheme="minorHAnsi" w:cs="Arial"/>
          <w:b/>
          <w:bCs/>
          <w:color w:val="000000" w:themeColor="text1"/>
          <w:sz w:val="24"/>
          <w:szCs w:val="24"/>
        </w:rPr>
        <w:t>definition</w:t>
      </w:r>
      <w:r w:rsidRPr="002B49DD">
        <w:rPr>
          <w:rFonts w:asciiTheme="minorHAnsi" w:hAnsiTheme="minorHAnsi" w:cs="Arial"/>
          <w:color w:val="000000" w:themeColor="text1"/>
          <w:sz w:val="24"/>
          <w:szCs w:val="24"/>
        </w:rPr>
        <w:t xml:space="preserve"> of employee engagement can be summed up as the level that an employee feels connected to the business that they work for. This connection can be multi – faceted in that it can be their feelings, perception, commitment</w:t>
      </w:r>
      <w:r w:rsidR="002755D1" w:rsidRPr="002B49DD">
        <w:rPr>
          <w:rFonts w:asciiTheme="minorHAnsi" w:hAnsiTheme="minorHAnsi" w:cs="Arial"/>
          <w:color w:val="000000" w:themeColor="text1"/>
          <w:sz w:val="24"/>
          <w:szCs w:val="24"/>
        </w:rPr>
        <w:t xml:space="preserve"> and how they interact with everyone in work. It involves physical, mental and emotional states. The CIPD refers to employee engagement as “being positively present during the performance of work by willingly contributing intellectual effort, experiencing positive emotions and meaningful connections to other:” </w:t>
      </w:r>
      <w:sdt>
        <w:sdtPr>
          <w:rPr>
            <w:rFonts w:asciiTheme="minorHAnsi" w:hAnsiTheme="minorHAnsi" w:cs="Arial"/>
            <w:color w:val="000000" w:themeColor="text1"/>
            <w:sz w:val="24"/>
            <w:szCs w:val="24"/>
          </w:rPr>
          <w:id w:val="2004239432"/>
          <w:citation/>
        </w:sdtPr>
        <w:sdtEndPr/>
        <w:sdtContent>
          <w:r w:rsidR="001D2091" w:rsidRPr="002B49DD">
            <w:rPr>
              <w:rFonts w:asciiTheme="minorHAnsi" w:hAnsiTheme="minorHAnsi" w:cs="Arial"/>
              <w:color w:val="000000" w:themeColor="text1"/>
              <w:sz w:val="24"/>
              <w:szCs w:val="24"/>
            </w:rPr>
            <w:fldChar w:fldCharType="begin"/>
          </w:r>
          <w:r w:rsidR="001D2091" w:rsidRPr="002B49DD">
            <w:rPr>
              <w:rFonts w:asciiTheme="minorHAnsi" w:hAnsiTheme="minorHAnsi" w:cs="Arial"/>
              <w:color w:val="000000" w:themeColor="text1"/>
              <w:sz w:val="24"/>
              <w:szCs w:val="24"/>
            </w:rPr>
            <w:instrText xml:space="preserve"> CITATION CIP21 \l 2057 </w:instrText>
          </w:r>
          <w:r w:rsidR="001D2091" w:rsidRPr="002B49DD">
            <w:rPr>
              <w:rFonts w:asciiTheme="minorHAnsi" w:hAnsiTheme="minorHAnsi" w:cs="Arial"/>
              <w:color w:val="000000" w:themeColor="text1"/>
              <w:sz w:val="24"/>
              <w:szCs w:val="24"/>
            </w:rPr>
            <w:fldChar w:fldCharType="separate"/>
          </w:r>
          <w:r w:rsidR="001D2091" w:rsidRPr="002B49DD">
            <w:rPr>
              <w:rFonts w:asciiTheme="minorHAnsi" w:hAnsiTheme="minorHAnsi" w:cs="Arial"/>
              <w:noProof/>
              <w:color w:val="000000" w:themeColor="text1"/>
              <w:sz w:val="24"/>
              <w:szCs w:val="24"/>
            </w:rPr>
            <w:t>(CIPD, 2021)</w:t>
          </w:r>
          <w:r w:rsidR="001D2091" w:rsidRPr="002B49DD">
            <w:rPr>
              <w:rFonts w:asciiTheme="minorHAnsi" w:hAnsiTheme="minorHAnsi" w:cs="Arial"/>
              <w:color w:val="000000" w:themeColor="text1"/>
              <w:sz w:val="24"/>
              <w:szCs w:val="24"/>
            </w:rPr>
            <w:fldChar w:fldCharType="end"/>
          </w:r>
        </w:sdtContent>
      </w:sdt>
    </w:p>
    <w:p w14:paraId="63DCCA61" w14:textId="2799E9CF" w:rsidR="00CA26E8" w:rsidRPr="002B49DD" w:rsidRDefault="00CA26E8" w:rsidP="002C52D2">
      <w:p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 xml:space="preserve">The intellectual input for example relates to commitment where employees are putting thought into their role and considering how they can improve. </w:t>
      </w:r>
    </w:p>
    <w:p w14:paraId="56AB7B7F" w14:textId="07B9E123" w:rsidR="00CA26E8" w:rsidRPr="002B49DD" w:rsidRDefault="00CA26E8" w:rsidP="002C52D2">
      <w:p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 xml:space="preserve">Positive emotions are those that relate to wanting to do a good job, considering how that can happen. </w:t>
      </w:r>
    </w:p>
    <w:p w14:paraId="00FEB45D" w14:textId="259B15DB" w:rsidR="00CA26E8" w:rsidRPr="002B49DD" w:rsidRDefault="00CA26E8" w:rsidP="002C52D2">
      <w:p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Connections to other</w:t>
      </w:r>
      <w:r w:rsidR="008A61D6" w:rsidRPr="002B49DD">
        <w:rPr>
          <w:rFonts w:asciiTheme="minorHAnsi" w:hAnsiTheme="minorHAnsi" w:cs="Arial"/>
          <w:color w:val="000000" w:themeColor="text1"/>
          <w:sz w:val="24"/>
          <w:szCs w:val="24"/>
        </w:rPr>
        <w:t>s</w:t>
      </w:r>
      <w:r w:rsidRPr="002B49DD">
        <w:rPr>
          <w:rFonts w:asciiTheme="minorHAnsi" w:hAnsiTheme="minorHAnsi" w:cs="Arial"/>
          <w:color w:val="000000" w:themeColor="text1"/>
          <w:sz w:val="24"/>
          <w:szCs w:val="24"/>
        </w:rPr>
        <w:t xml:space="preserve"> relate to employees thinking of how their relationships with others can lead to improvements for both the business and the team. </w:t>
      </w:r>
    </w:p>
    <w:p w14:paraId="3E5031AB" w14:textId="57686F72" w:rsidR="0083764F" w:rsidRPr="002B49DD" w:rsidRDefault="00BA750E" w:rsidP="002C52D2">
      <w:pPr>
        <w:jc w:val="both"/>
        <w:rPr>
          <w:rFonts w:asciiTheme="minorHAnsi" w:hAnsiTheme="minorHAnsi" w:cs="Arial"/>
          <w:color w:val="000000" w:themeColor="text1"/>
          <w:sz w:val="24"/>
          <w:szCs w:val="24"/>
        </w:rPr>
      </w:pPr>
      <w:r w:rsidRPr="002B49DD">
        <w:rPr>
          <w:rFonts w:asciiTheme="minorHAnsi" w:hAnsiTheme="minorHAnsi" w:cs="Arial"/>
          <w:b/>
          <w:bCs/>
          <w:color w:val="000000" w:themeColor="text1"/>
          <w:sz w:val="24"/>
          <w:szCs w:val="24"/>
        </w:rPr>
        <w:t>Definitions</w:t>
      </w:r>
      <w:r w:rsidRPr="002B49DD">
        <w:rPr>
          <w:rFonts w:asciiTheme="minorHAnsi" w:hAnsiTheme="minorHAnsi" w:cs="Arial"/>
          <w:color w:val="000000" w:themeColor="text1"/>
          <w:sz w:val="24"/>
          <w:szCs w:val="24"/>
        </w:rPr>
        <w:t xml:space="preserve"> </w:t>
      </w:r>
      <w:r w:rsidR="00C07DC5" w:rsidRPr="002B49DD">
        <w:rPr>
          <w:rFonts w:asciiTheme="minorHAnsi" w:hAnsiTheme="minorHAnsi" w:cs="Arial"/>
          <w:color w:val="000000" w:themeColor="text1"/>
          <w:sz w:val="24"/>
          <w:szCs w:val="24"/>
        </w:rPr>
        <w:t>however</w:t>
      </w:r>
      <w:r w:rsidRPr="002B49DD">
        <w:rPr>
          <w:rFonts w:asciiTheme="minorHAnsi" w:hAnsiTheme="minorHAnsi" w:cs="Arial"/>
          <w:color w:val="000000" w:themeColor="text1"/>
          <w:sz w:val="24"/>
          <w:szCs w:val="24"/>
        </w:rPr>
        <w:t xml:space="preserve"> can differ from that defined by the CIPD. One with longevity is that of a university group of p</w:t>
      </w:r>
      <w:r w:rsidR="00981372" w:rsidRPr="002B49DD">
        <w:rPr>
          <w:rFonts w:asciiTheme="minorHAnsi" w:hAnsiTheme="minorHAnsi" w:cs="Arial"/>
          <w:color w:val="000000" w:themeColor="text1"/>
          <w:sz w:val="24"/>
          <w:szCs w:val="24"/>
        </w:rPr>
        <w:t xml:space="preserve">sychologists from the Netherlands who saw engagement as holding the three elements of vigour, dedication and absorption. </w:t>
      </w:r>
      <w:r w:rsidR="00CD2B4F" w:rsidRPr="002B49DD">
        <w:rPr>
          <w:rFonts w:asciiTheme="minorHAnsi" w:hAnsiTheme="minorHAnsi" w:cs="Arial"/>
          <w:color w:val="000000" w:themeColor="text1"/>
          <w:sz w:val="24"/>
          <w:szCs w:val="24"/>
        </w:rPr>
        <w:t xml:space="preserve">Vigour they define as relating to the </w:t>
      </w:r>
      <w:r w:rsidR="00CD2B4F" w:rsidRPr="002B49DD">
        <w:rPr>
          <w:rFonts w:asciiTheme="minorHAnsi" w:hAnsiTheme="minorHAnsi" w:cs="Arial"/>
          <w:color w:val="000000" w:themeColor="text1"/>
          <w:sz w:val="24"/>
          <w:szCs w:val="24"/>
        </w:rPr>
        <w:lastRenderedPageBreak/>
        <w:t>energy, resilience and effort an employee puts in. Dedication they define as relating to the enthusiasm, inspiration and pride shown. Absorption defined as relating to the level of concentration applied to the work, is the employee engrossed</w:t>
      </w:r>
      <w:r w:rsidR="0083764F" w:rsidRPr="002B49DD">
        <w:rPr>
          <w:rFonts w:asciiTheme="minorHAnsi" w:hAnsiTheme="minorHAnsi" w:cs="Arial"/>
          <w:color w:val="000000" w:themeColor="text1"/>
          <w:sz w:val="24"/>
          <w:szCs w:val="24"/>
        </w:rPr>
        <w:t xml:space="preserve"> in their work. </w:t>
      </w:r>
      <w:sdt>
        <w:sdtPr>
          <w:rPr>
            <w:rFonts w:asciiTheme="minorHAnsi" w:hAnsiTheme="minorHAnsi" w:cs="Arial"/>
            <w:color w:val="000000" w:themeColor="text1"/>
            <w:sz w:val="24"/>
            <w:szCs w:val="24"/>
          </w:rPr>
          <w:id w:val="977421067"/>
          <w:citation/>
        </w:sdtPr>
        <w:sdtEndPr/>
        <w:sdtContent>
          <w:r w:rsidR="0066058E" w:rsidRPr="002B49DD">
            <w:rPr>
              <w:rFonts w:asciiTheme="minorHAnsi" w:hAnsiTheme="minorHAnsi" w:cs="Arial"/>
              <w:color w:val="000000" w:themeColor="text1"/>
              <w:sz w:val="24"/>
              <w:szCs w:val="24"/>
            </w:rPr>
            <w:fldChar w:fldCharType="begin"/>
          </w:r>
          <w:r w:rsidR="0066058E" w:rsidRPr="002B49DD">
            <w:rPr>
              <w:rFonts w:asciiTheme="minorHAnsi" w:hAnsiTheme="minorHAnsi" w:cs="Arial"/>
              <w:color w:val="000000" w:themeColor="text1"/>
              <w:sz w:val="24"/>
              <w:szCs w:val="24"/>
            </w:rPr>
            <w:instrText xml:space="preserve"> CITATION Sch06 \l 2057 </w:instrText>
          </w:r>
          <w:r w:rsidR="0066058E" w:rsidRPr="002B49DD">
            <w:rPr>
              <w:rFonts w:asciiTheme="minorHAnsi" w:hAnsiTheme="minorHAnsi" w:cs="Arial"/>
              <w:color w:val="000000" w:themeColor="text1"/>
              <w:sz w:val="24"/>
              <w:szCs w:val="24"/>
            </w:rPr>
            <w:fldChar w:fldCharType="separate"/>
          </w:r>
          <w:r w:rsidR="0066058E" w:rsidRPr="002B49DD">
            <w:rPr>
              <w:rFonts w:asciiTheme="minorHAnsi" w:hAnsiTheme="minorHAnsi" w:cs="Arial"/>
              <w:noProof/>
              <w:color w:val="000000" w:themeColor="text1"/>
              <w:sz w:val="24"/>
              <w:szCs w:val="24"/>
            </w:rPr>
            <w:t>(Schaufeli, 2006)</w:t>
          </w:r>
          <w:r w:rsidR="0066058E" w:rsidRPr="002B49DD">
            <w:rPr>
              <w:rFonts w:asciiTheme="minorHAnsi" w:hAnsiTheme="minorHAnsi" w:cs="Arial"/>
              <w:color w:val="000000" w:themeColor="text1"/>
              <w:sz w:val="24"/>
              <w:szCs w:val="24"/>
            </w:rPr>
            <w:fldChar w:fldCharType="end"/>
          </w:r>
        </w:sdtContent>
      </w:sdt>
    </w:p>
    <w:p w14:paraId="5B59BEAA" w14:textId="6BE13A0D" w:rsidR="0083764F" w:rsidRPr="002B49DD" w:rsidRDefault="00000928" w:rsidP="002C52D2">
      <w:p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In expla</w:t>
      </w:r>
      <w:r w:rsidR="00550121" w:rsidRPr="002B49DD">
        <w:rPr>
          <w:rFonts w:asciiTheme="minorHAnsi" w:hAnsiTheme="minorHAnsi" w:cs="Arial"/>
          <w:color w:val="000000" w:themeColor="text1"/>
          <w:sz w:val="24"/>
          <w:szCs w:val="24"/>
        </w:rPr>
        <w:t>i</w:t>
      </w:r>
      <w:r w:rsidRPr="002B49DD">
        <w:rPr>
          <w:rFonts w:asciiTheme="minorHAnsi" w:hAnsiTheme="minorHAnsi" w:cs="Arial"/>
          <w:color w:val="000000" w:themeColor="text1"/>
          <w:sz w:val="24"/>
          <w:szCs w:val="24"/>
        </w:rPr>
        <w:t xml:space="preserve">ning how </w:t>
      </w:r>
      <w:r w:rsidR="008A61D6" w:rsidRPr="002B49DD">
        <w:rPr>
          <w:rFonts w:asciiTheme="minorHAnsi" w:hAnsiTheme="minorHAnsi" w:cs="Arial"/>
          <w:color w:val="000000" w:themeColor="text1"/>
          <w:sz w:val="24"/>
          <w:szCs w:val="24"/>
        </w:rPr>
        <w:t>definitions</w:t>
      </w:r>
      <w:r w:rsidRPr="002B49DD">
        <w:rPr>
          <w:rFonts w:asciiTheme="minorHAnsi" w:hAnsiTheme="minorHAnsi" w:cs="Arial"/>
          <w:color w:val="000000" w:themeColor="text1"/>
          <w:sz w:val="24"/>
          <w:szCs w:val="24"/>
        </w:rPr>
        <w:t xml:space="preserve"> relate to </w:t>
      </w:r>
      <w:r w:rsidRPr="002B49DD">
        <w:rPr>
          <w:rFonts w:asciiTheme="minorHAnsi" w:hAnsiTheme="minorHAnsi" w:cs="Arial"/>
          <w:b/>
          <w:bCs/>
          <w:color w:val="000000" w:themeColor="text1"/>
          <w:sz w:val="24"/>
          <w:szCs w:val="24"/>
        </w:rPr>
        <w:t>organisational commitment</w:t>
      </w:r>
      <w:r w:rsidR="008A61D6" w:rsidRPr="002B49DD">
        <w:rPr>
          <w:rFonts w:asciiTheme="minorHAnsi" w:hAnsiTheme="minorHAnsi" w:cs="Arial"/>
          <w:b/>
          <w:bCs/>
          <w:color w:val="000000" w:themeColor="text1"/>
          <w:sz w:val="24"/>
          <w:szCs w:val="24"/>
        </w:rPr>
        <w:t>;</w:t>
      </w:r>
      <w:r w:rsidRPr="002B49DD">
        <w:rPr>
          <w:rFonts w:asciiTheme="minorHAnsi" w:hAnsiTheme="minorHAnsi" w:cs="Arial"/>
          <w:color w:val="000000" w:themeColor="text1"/>
          <w:sz w:val="24"/>
          <w:szCs w:val="24"/>
        </w:rPr>
        <w:t xml:space="preserve"> many organisations recognise that an emphasis on employee engagement should be a </w:t>
      </w:r>
      <w:r w:rsidR="00C07DC5" w:rsidRPr="002B49DD">
        <w:rPr>
          <w:rFonts w:asciiTheme="minorHAnsi" w:hAnsiTheme="minorHAnsi" w:cs="Arial"/>
          <w:color w:val="000000" w:themeColor="text1"/>
          <w:sz w:val="24"/>
          <w:szCs w:val="24"/>
        </w:rPr>
        <w:t xml:space="preserve">committed </w:t>
      </w:r>
      <w:r w:rsidRPr="002B49DD">
        <w:rPr>
          <w:rFonts w:asciiTheme="minorHAnsi" w:hAnsiTheme="minorHAnsi" w:cs="Arial"/>
          <w:color w:val="000000" w:themeColor="text1"/>
          <w:sz w:val="24"/>
          <w:szCs w:val="24"/>
        </w:rPr>
        <w:t>strategic goal to</w:t>
      </w:r>
      <w:r w:rsidR="00763C23" w:rsidRPr="002B49DD">
        <w:rPr>
          <w:rFonts w:asciiTheme="minorHAnsi" w:hAnsiTheme="minorHAnsi" w:cs="Arial"/>
          <w:color w:val="000000" w:themeColor="text1"/>
          <w:sz w:val="24"/>
          <w:szCs w:val="24"/>
        </w:rPr>
        <w:t xml:space="preserve"> align employees to the organisation,</w:t>
      </w:r>
      <w:r w:rsidRPr="002B49DD">
        <w:rPr>
          <w:rFonts w:asciiTheme="minorHAnsi" w:hAnsiTheme="minorHAnsi" w:cs="Arial"/>
          <w:color w:val="000000" w:themeColor="text1"/>
          <w:sz w:val="24"/>
          <w:szCs w:val="24"/>
        </w:rPr>
        <w:t xml:space="preserve"> increase motivation and performance. This in turn leads to increased productivity</w:t>
      </w:r>
      <w:r w:rsidR="00763C23" w:rsidRPr="002B49DD">
        <w:rPr>
          <w:rFonts w:asciiTheme="minorHAnsi" w:hAnsiTheme="minorHAnsi" w:cs="Arial"/>
          <w:color w:val="000000" w:themeColor="text1"/>
          <w:sz w:val="24"/>
          <w:szCs w:val="24"/>
        </w:rPr>
        <w:t xml:space="preserve"> and loyalty</w:t>
      </w:r>
      <w:r w:rsidRPr="002B49DD">
        <w:rPr>
          <w:rFonts w:asciiTheme="minorHAnsi" w:hAnsiTheme="minorHAnsi" w:cs="Arial"/>
          <w:color w:val="000000" w:themeColor="text1"/>
          <w:sz w:val="24"/>
          <w:szCs w:val="24"/>
        </w:rPr>
        <w:t xml:space="preserve">. For </w:t>
      </w:r>
      <w:r w:rsidR="00550121" w:rsidRPr="002B49DD">
        <w:rPr>
          <w:rFonts w:asciiTheme="minorHAnsi" w:hAnsiTheme="minorHAnsi" w:cs="Arial"/>
          <w:color w:val="000000" w:themeColor="text1"/>
          <w:sz w:val="24"/>
          <w:szCs w:val="24"/>
        </w:rPr>
        <w:t>example,</w:t>
      </w:r>
      <w:r w:rsidRPr="002B49DD">
        <w:rPr>
          <w:rFonts w:asciiTheme="minorHAnsi" w:hAnsiTheme="minorHAnsi" w:cs="Arial"/>
          <w:color w:val="000000" w:themeColor="text1"/>
          <w:sz w:val="24"/>
          <w:szCs w:val="24"/>
        </w:rPr>
        <w:t xml:space="preserve"> if employees are </w:t>
      </w:r>
      <w:r w:rsidR="003659A6" w:rsidRPr="002B49DD">
        <w:rPr>
          <w:rFonts w:asciiTheme="minorHAnsi" w:hAnsiTheme="minorHAnsi" w:cs="Arial"/>
          <w:color w:val="000000" w:themeColor="text1"/>
          <w:sz w:val="24"/>
          <w:szCs w:val="24"/>
        </w:rPr>
        <w:t>engaged,</w:t>
      </w:r>
      <w:r w:rsidRPr="002B49DD">
        <w:rPr>
          <w:rFonts w:asciiTheme="minorHAnsi" w:hAnsiTheme="minorHAnsi" w:cs="Arial"/>
          <w:color w:val="000000" w:themeColor="text1"/>
          <w:sz w:val="24"/>
          <w:szCs w:val="24"/>
        </w:rPr>
        <w:t xml:space="preserve"> they are happy in work, remain fit and healthy and continue to contribute in a </w:t>
      </w:r>
      <w:r w:rsidR="00550121" w:rsidRPr="002B49DD">
        <w:rPr>
          <w:rFonts w:asciiTheme="minorHAnsi" w:hAnsiTheme="minorHAnsi" w:cs="Arial"/>
          <w:color w:val="000000" w:themeColor="text1"/>
          <w:sz w:val="24"/>
          <w:szCs w:val="24"/>
        </w:rPr>
        <w:t xml:space="preserve">positive way. </w:t>
      </w:r>
      <w:r w:rsidR="00763C23" w:rsidRPr="002B49DD">
        <w:rPr>
          <w:rFonts w:asciiTheme="minorHAnsi" w:hAnsiTheme="minorHAnsi" w:cs="Arial"/>
          <w:color w:val="000000" w:themeColor="text1"/>
          <w:sz w:val="24"/>
          <w:szCs w:val="24"/>
        </w:rPr>
        <w:t xml:space="preserve">The organisational commitment cascaded down leaves employees feeling part of the bigger picture and most importantly valued. </w:t>
      </w:r>
      <w:sdt>
        <w:sdtPr>
          <w:rPr>
            <w:rFonts w:asciiTheme="minorHAnsi" w:hAnsiTheme="minorHAnsi" w:cs="Arial"/>
            <w:color w:val="000000" w:themeColor="text1"/>
            <w:sz w:val="24"/>
            <w:szCs w:val="24"/>
          </w:rPr>
          <w:id w:val="1344828604"/>
          <w:citation/>
        </w:sdtPr>
        <w:sdtEndPr/>
        <w:sdtContent>
          <w:r w:rsidR="008D13E0" w:rsidRPr="002B49DD">
            <w:rPr>
              <w:rFonts w:asciiTheme="minorHAnsi" w:hAnsiTheme="minorHAnsi" w:cs="Arial"/>
              <w:color w:val="000000" w:themeColor="text1"/>
              <w:sz w:val="24"/>
              <w:szCs w:val="24"/>
            </w:rPr>
            <w:fldChar w:fldCharType="begin"/>
          </w:r>
          <w:r w:rsidR="008D13E0" w:rsidRPr="002B49DD">
            <w:rPr>
              <w:rFonts w:asciiTheme="minorHAnsi" w:hAnsiTheme="minorHAnsi" w:cs="Arial"/>
              <w:color w:val="000000" w:themeColor="text1"/>
              <w:sz w:val="24"/>
              <w:szCs w:val="24"/>
            </w:rPr>
            <w:instrText xml:space="preserve"> CITATION SHR06 \l 2057 </w:instrText>
          </w:r>
          <w:r w:rsidR="008D13E0" w:rsidRPr="002B49DD">
            <w:rPr>
              <w:rFonts w:asciiTheme="minorHAnsi" w:hAnsiTheme="minorHAnsi" w:cs="Arial"/>
              <w:color w:val="000000" w:themeColor="text1"/>
              <w:sz w:val="24"/>
              <w:szCs w:val="24"/>
            </w:rPr>
            <w:fldChar w:fldCharType="separate"/>
          </w:r>
          <w:r w:rsidR="008D13E0" w:rsidRPr="002B49DD">
            <w:rPr>
              <w:rFonts w:asciiTheme="minorHAnsi" w:hAnsiTheme="minorHAnsi" w:cs="Arial"/>
              <w:noProof/>
              <w:color w:val="000000" w:themeColor="text1"/>
              <w:sz w:val="24"/>
              <w:szCs w:val="24"/>
            </w:rPr>
            <w:t>(SHRM, 2006)</w:t>
          </w:r>
          <w:r w:rsidR="008D13E0" w:rsidRPr="002B49DD">
            <w:rPr>
              <w:rFonts w:asciiTheme="minorHAnsi" w:hAnsiTheme="minorHAnsi" w:cs="Arial"/>
              <w:color w:val="000000" w:themeColor="text1"/>
              <w:sz w:val="24"/>
              <w:szCs w:val="24"/>
            </w:rPr>
            <w:fldChar w:fldCharType="end"/>
          </w:r>
        </w:sdtContent>
      </w:sdt>
    </w:p>
    <w:p w14:paraId="0444D4BC" w14:textId="4A9CD93C" w:rsidR="00550121" w:rsidRPr="002B49DD" w:rsidRDefault="00C07DC5" w:rsidP="002C52D2">
      <w:p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 xml:space="preserve">How employee engagement relates to </w:t>
      </w:r>
      <w:r w:rsidRPr="002B49DD">
        <w:rPr>
          <w:rFonts w:asciiTheme="minorHAnsi" w:hAnsiTheme="minorHAnsi" w:cs="Arial"/>
          <w:b/>
          <w:bCs/>
          <w:color w:val="000000" w:themeColor="text1"/>
          <w:sz w:val="24"/>
          <w:szCs w:val="24"/>
        </w:rPr>
        <w:t>e</w:t>
      </w:r>
      <w:r w:rsidR="00550121" w:rsidRPr="002B49DD">
        <w:rPr>
          <w:rFonts w:asciiTheme="minorHAnsi" w:hAnsiTheme="minorHAnsi" w:cs="Arial"/>
          <w:b/>
          <w:bCs/>
          <w:color w:val="000000" w:themeColor="text1"/>
          <w:sz w:val="24"/>
          <w:szCs w:val="24"/>
        </w:rPr>
        <w:t>mployer involvement</w:t>
      </w:r>
      <w:r w:rsidR="00550121" w:rsidRPr="002B49DD">
        <w:rPr>
          <w:rFonts w:asciiTheme="minorHAnsi" w:hAnsiTheme="minorHAnsi" w:cs="Arial"/>
          <w:color w:val="000000" w:themeColor="text1"/>
          <w:sz w:val="24"/>
          <w:szCs w:val="24"/>
        </w:rPr>
        <w:t xml:space="preserve"> </w:t>
      </w:r>
      <w:r w:rsidRPr="002B49DD">
        <w:rPr>
          <w:rFonts w:asciiTheme="minorHAnsi" w:hAnsiTheme="minorHAnsi" w:cs="Arial"/>
          <w:color w:val="000000" w:themeColor="text1"/>
          <w:sz w:val="24"/>
          <w:szCs w:val="24"/>
        </w:rPr>
        <w:t xml:space="preserve">is that </w:t>
      </w:r>
      <w:r w:rsidR="00550121" w:rsidRPr="002B49DD">
        <w:rPr>
          <w:rFonts w:asciiTheme="minorHAnsi" w:hAnsiTheme="minorHAnsi" w:cs="Arial"/>
          <w:color w:val="000000" w:themeColor="text1"/>
          <w:sz w:val="24"/>
          <w:szCs w:val="24"/>
        </w:rPr>
        <w:t>employee engagement presents a driver for growth, staff retention and productivity. When employers provide incentives connected with employee engagement such as training and career opportunities then employees will connect with shared goals. Business areas such as missions, visions, strategies on resource and new growth all need employees to buy in to. The impact of the business in the market it sits and the culture it holds is strengthened by employe</w:t>
      </w:r>
      <w:r w:rsidRPr="002B49DD">
        <w:rPr>
          <w:rFonts w:asciiTheme="minorHAnsi" w:hAnsiTheme="minorHAnsi" w:cs="Arial"/>
          <w:color w:val="000000" w:themeColor="text1"/>
          <w:sz w:val="24"/>
          <w:szCs w:val="24"/>
        </w:rPr>
        <w:t>r</w:t>
      </w:r>
      <w:r w:rsidR="00550121" w:rsidRPr="002B49DD">
        <w:rPr>
          <w:rFonts w:asciiTheme="minorHAnsi" w:hAnsiTheme="minorHAnsi" w:cs="Arial"/>
          <w:color w:val="000000" w:themeColor="text1"/>
          <w:sz w:val="24"/>
          <w:szCs w:val="24"/>
        </w:rPr>
        <w:t xml:space="preserve"> engagement not just the involvement of the employer on their own by simply recruiting labour. </w:t>
      </w:r>
    </w:p>
    <w:p w14:paraId="2107C2FE" w14:textId="4F15BB78" w:rsidR="009219BA" w:rsidRDefault="00763C23" w:rsidP="002C52D2">
      <w:p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 xml:space="preserve">How employee engagement relates to job satisfaction is through the benefits it brings. To explain further employee engagement leads to </w:t>
      </w:r>
      <w:r w:rsidRPr="002B49DD">
        <w:rPr>
          <w:rFonts w:asciiTheme="minorHAnsi" w:hAnsiTheme="minorHAnsi" w:cs="Arial"/>
          <w:b/>
          <w:bCs/>
          <w:color w:val="000000" w:themeColor="text1"/>
          <w:sz w:val="24"/>
          <w:szCs w:val="24"/>
        </w:rPr>
        <w:t>Job satisfaction</w:t>
      </w:r>
      <w:r w:rsidRPr="002B49DD">
        <w:rPr>
          <w:rFonts w:asciiTheme="minorHAnsi" w:hAnsiTheme="minorHAnsi" w:cs="Arial"/>
          <w:color w:val="000000" w:themeColor="text1"/>
          <w:sz w:val="24"/>
          <w:szCs w:val="24"/>
        </w:rPr>
        <w:t xml:space="preserve"> as employees are more fulfilled from delivering on improved business performance and good relations with colleagues and even customers. They feel happier and healthier as work is not a negative experience. This ultimately leads to employee commitment. Disengaged employees are not content in work and can bring risk. They are a threat to team working, stakeholder participation and innovation that can bring growth. Retaining them is also hard. </w:t>
      </w:r>
    </w:p>
    <w:p w14:paraId="445B87C8" w14:textId="3ABD6546" w:rsidR="00EA1E79" w:rsidRDefault="00EA1E79" w:rsidP="002C52D2">
      <w:pPr>
        <w:jc w:val="both"/>
        <w:rPr>
          <w:rFonts w:asciiTheme="minorHAnsi" w:hAnsiTheme="minorHAnsi" w:cs="Arial"/>
          <w:color w:val="000000" w:themeColor="text1"/>
          <w:sz w:val="24"/>
          <w:szCs w:val="24"/>
        </w:rPr>
      </w:pPr>
    </w:p>
    <w:p w14:paraId="0EE2F517" w14:textId="77777777" w:rsidR="00673003" w:rsidRPr="002B49DD" w:rsidRDefault="00673003" w:rsidP="002C52D2">
      <w:pPr>
        <w:jc w:val="both"/>
        <w:rPr>
          <w:rFonts w:asciiTheme="minorHAnsi" w:hAnsiTheme="minorHAnsi" w:cs="Arial"/>
          <w:color w:val="000000" w:themeColor="text1"/>
          <w:sz w:val="24"/>
          <w:szCs w:val="24"/>
        </w:rPr>
      </w:pPr>
    </w:p>
    <w:p w14:paraId="23E04550" w14:textId="77777777" w:rsidR="009C0703" w:rsidRPr="002B49DD" w:rsidRDefault="009219BA" w:rsidP="002C52D2">
      <w:pPr>
        <w:pStyle w:val="ListParagraph"/>
        <w:numPr>
          <w:ilvl w:val="0"/>
          <w:numId w:val="1"/>
        </w:numPr>
        <w:jc w:val="both"/>
        <w:rPr>
          <w:rFonts w:asciiTheme="minorHAnsi" w:hAnsiTheme="minorHAnsi" w:cs="Arial"/>
          <w:b/>
          <w:bCs/>
          <w:color w:val="000000" w:themeColor="text1"/>
          <w:sz w:val="24"/>
          <w:szCs w:val="24"/>
        </w:rPr>
      </w:pPr>
      <w:r w:rsidRPr="002B49DD">
        <w:rPr>
          <w:rFonts w:asciiTheme="minorHAnsi" w:hAnsiTheme="minorHAnsi" w:cs="Arial"/>
          <w:b/>
          <w:bCs/>
          <w:color w:val="000000" w:themeColor="text1"/>
          <w:sz w:val="24"/>
          <w:szCs w:val="24"/>
        </w:rPr>
        <w:t>Describe the HR, leadership and cultural elements of organisations which have high levels of employee engagement, making reference to academic literature on the subject.  You should also explain the need for aligning employee engagement with other key organisational factors.</w:t>
      </w:r>
    </w:p>
    <w:p w14:paraId="323289BD" w14:textId="77777777" w:rsidR="009C0703" w:rsidRPr="002B49DD" w:rsidRDefault="009C0703" w:rsidP="002C52D2">
      <w:pPr>
        <w:jc w:val="both"/>
        <w:rPr>
          <w:rFonts w:asciiTheme="minorHAnsi" w:hAnsiTheme="minorHAnsi" w:cs="Arial"/>
          <w:color w:val="FF0000"/>
          <w:sz w:val="24"/>
          <w:szCs w:val="24"/>
        </w:rPr>
      </w:pPr>
    </w:p>
    <w:p w14:paraId="01679B9B" w14:textId="55AFB093" w:rsidR="009C0703" w:rsidRPr="002B49DD" w:rsidRDefault="00084A8E" w:rsidP="002C52D2">
      <w:p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One of t</w:t>
      </w:r>
      <w:r w:rsidR="009C0703" w:rsidRPr="002B49DD">
        <w:rPr>
          <w:rFonts w:asciiTheme="minorHAnsi" w:hAnsiTheme="minorHAnsi" w:cs="Arial"/>
          <w:color w:val="000000" w:themeColor="text1"/>
          <w:sz w:val="24"/>
          <w:szCs w:val="24"/>
        </w:rPr>
        <w:t>he HR elements of organisations which have high levels of employee engagement are</w:t>
      </w:r>
      <w:r w:rsidR="001C7173" w:rsidRPr="002B49DD">
        <w:rPr>
          <w:rFonts w:asciiTheme="minorHAnsi" w:hAnsiTheme="minorHAnsi" w:cs="Arial"/>
          <w:color w:val="000000" w:themeColor="text1"/>
          <w:sz w:val="24"/>
          <w:szCs w:val="24"/>
        </w:rPr>
        <w:t xml:space="preserve"> areas such as training and development. Accessible training opportunities that offer career growth and confidence building can reap rewards for both sides of the employment relationship. </w:t>
      </w:r>
      <w:r w:rsidR="00614F39" w:rsidRPr="002B49DD">
        <w:rPr>
          <w:rFonts w:asciiTheme="minorHAnsi" w:hAnsiTheme="minorHAnsi" w:cs="Arial"/>
          <w:color w:val="000000" w:themeColor="text1"/>
          <w:sz w:val="24"/>
          <w:szCs w:val="24"/>
        </w:rPr>
        <w:t>There is also the</w:t>
      </w:r>
      <w:r w:rsidRPr="002B49DD">
        <w:rPr>
          <w:rFonts w:asciiTheme="minorHAnsi" w:hAnsiTheme="minorHAnsi" w:cs="Arial"/>
          <w:color w:val="000000" w:themeColor="text1"/>
          <w:sz w:val="24"/>
          <w:szCs w:val="24"/>
        </w:rPr>
        <w:t xml:space="preserve"> element of the</w:t>
      </w:r>
      <w:r w:rsidR="00614F39" w:rsidRPr="002B49DD">
        <w:rPr>
          <w:rFonts w:asciiTheme="minorHAnsi" w:hAnsiTheme="minorHAnsi" w:cs="Arial"/>
          <w:color w:val="000000" w:themeColor="text1"/>
          <w:sz w:val="24"/>
          <w:szCs w:val="24"/>
        </w:rPr>
        <w:t xml:space="preserve"> need to communicate and consult really well to ensure engagement and contribution to business decision making as the people actually fulfilling roles. </w:t>
      </w:r>
      <w:r w:rsidR="00BD3ACD" w:rsidRPr="002B49DD">
        <w:rPr>
          <w:rFonts w:asciiTheme="minorHAnsi" w:hAnsiTheme="minorHAnsi" w:cs="Arial"/>
          <w:color w:val="000000" w:themeColor="text1"/>
          <w:sz w:val="24"/>
          <w:szCs w:val="24"/>
        </w:rPr>
        <w:t xml:space="preserve">Communication can bring a shared sense of purpose aligning to organisational strategy. </w:t>
      </w:r>
      <w:sdt>
        <w:sdtPr>
          <w:rPr>
            <w:rFonts w:asciiTheme="minorHAnsi" w:hAnsiTheme="minorHAnsi" w:cs="Arial"/>
            <w:color w:val="000000" w:themeColor="text1"/>
            <w:sz w:val="24"/>
            <w:szCs w:val="24"/>
          </w:rPr>
          <w:id w:val="-330375233"/>
          <w:citation/>
        </w:sdtPr>
        <w:sdtEndPr/>
        <w:sdtContent>
          <w:r w:rsidR="00BD3ACD" w:rsidRPr="002B49DD">
            <w:rPr>
              <w:rFonts w:asciiTheme="minorHAnsi" w:hAnsiTheme="minorHAnsi" w:cs="Arial"/>
              <w:color w:val="000000" w:themeColor="text1"/>
              <w:sz w:val="24"/>
              <w:szCs w:val="24"/>
            </w:rPr>
            <w:fldChar w:fldCharType="begin"/>
          </w:r>
          <w:r w:rsidR="00BD3ACD" w:rsidRPr="002B49DD">
            <w:rPr>
              <w:rFonts w:asciiTheme="minorHAnsi" w:hAnsiTheme="minorHAnsi" w:cs="Arial"/>
              <w:color w:val="000000" w:themeColor="text1"/>
              <w:sz w:val="24"/>
              <w:szCs w:val="24"/>
            </w:rPr>
            <w:instrText xml:space="preserve"> CITATION CIP212 \l 2057 </w:instrText>
          </w:r>
          <w:r w:rsidR="00BD3ACD" w:rsidRPr="002B49DD">
            <w:rPr>
              <w:rFonts w:asciiTheme="minorHAnsi" w:hAnsiTheme="minorHAnsi" w:cs="Arial"/>
              <w:color w:val="000000" w:themeColor="text1"/>
              <w:sz w:val="24"/>
              <w:szCs w:val="24"/>
            </w:rPr>
            <w:fldChar w:fldCharType="separate"/>
          </w:r>
          <w:r w:rsidR="00BD3ACD" w:rsidRPr="002B49DD">
            <w:rPr>
              <w:rFonts w:asciiTheme="minorHAnsi" w:hAnsiTheme="minorHAnsi" w:cs="Arial"/>
              <w:noProof/>
              <w:color w:val="000000" w:themeColor="text1"/>
              <w:sz w:val="24"/>
              <w:szCs w:val="24"/>
            </w:rPr>
            <w:t>(CIPD, Employee Communication, 2021)</w:t>
          </w:r>
          <w:r w:rsidR="00BD3ACD" w:rsidRPr="002B49DD">
            <w:rPr>
              <w:rFonts w:asciiTheme="minorHAnsi" w:hAnsiTheme="minorHAnsi" w:cs="Arial"/>
              <w:color w:val="000000" w:themeColor="text1"/>
              <w:sz w:val="24"/>
              <w:szCs w:val="24"/>
            </w:rPr>
            <w:fldChar w:fldCharType="end"/>
          </w:r>
        </w:sdtContent>
      </w:sdt>
      <w:r w:rsidR="00614F39" w:rsidRPr="002B49DD">
        <w:rPr>
          <w:rFonts w:asciiTheme="minorHAnsi" w:hAnsiTheme="minorHAnsi" w:cs="Arial"/>
          <w:color w:val="000000" w:themeColor="text1"/>
          <w:sz w:val="24"/>
          <w:szCs w:val="24"/>
        </w:rPr>
        <w:t xml:space="preserve">Welfare is another </w:t>
      </w:r>
      <w:r w:rsidR="002E6FF6" w:rsidRPr="002B49DD">
        <w:rPr>
          <w:rFonts w:asciiTheme="minorHAnsi" w:hAnsiTheme="minorHAnsi" w:cs="Arial"/>
          <w:color w:val="000000" w:themeColor="text1"/>
          <w:sz w:val="24"/>
          <w:szCs w:val="24"/>
        </w:rPr>
        <w:t xml:space="preserve">element with a </w:t>
      </w:r>
      <w:r w:rsidR="00614F39" w:rsidRPr="002B49DD">
        <w:rPr>
          <w:rFonts w:asciiTheme="minorHAnsi" w:hAnsiTheme="minorHAnsi" w:cs="Arial"/>
          <w:color w:val="000000" w:themeColor="text1"/>
          <w:sz w:val="24"/>
          <w:szCs w:val="24"/>
        </w:rPr>
        <w:t xml:space="preserve">high </w:t>
      </w:r>
      <w:r w:rsidR="002E6FF6" w:rsidRPr="002B49DD">
        <w:rPr>
          <w:rFonts w:asciiTheme="minorHAnsi" w:hAnsiTheme="minorHAnsi" w:cs="Arial"/>
          <w:color w:val="000000" w:themeColor="text1"/>
          <w:sz w:val="24"/>
          <w:szCs w:val="24"/>
        </w:rPr>
        <w:t xml:space="preserve">level of engagement as affording employees’ access to facilities, support services and staff benefits can prevent negative impact on mental and physical health. Good welfare policies and procedures from HR can result in staff loyalty and increased productivity as they feel valued. </w:t>
      </w:r>
      <w:sdt>
        <w:sdtPr>
          <w:rPr>
            <w:rFonts w:asciiTheme="minorHAnsi" w:hAnsiTheme="minorHAnsi" w:cs="Arial"/>
            <w:color w:val="000000" w:themeColor="text1"/>
            <w:sz w:val="24"/>
            <w:szCs w:val="24"/>
          </w:rPr>
          <w:id w:val="-2058919989"/>
          <w:citation/>
        </w:sdtPr>
        <w:sdtEndPr/>
        <w:sdtContent>
          <w:r w:rsidR="00DB0BB3" w:rsidRPr="002B49DD">
            <w:rPr>
              <w:rFonts w:asciiTheme="minorHAnsi" w:hAnsiTheme="minorHAnsi" w:cs="Arial"/>
              <w:color w:val="000000" w:themeColor="text1"/>
              <w:sz w:val="24"/>
              <w:szCs w:val="24"/>
            </w:rPr>
            <w:fldChar w:fldCharType="begin"/>
          </w:r>
          <w:r w:rsidR="00DB0BB3" w:rsidRPr="002B49DD">
            <w:rPr>
              <w:rFonts w:asciiTheme="minorHAnsi" w:hAnsiTheme="minorHAnsi" w:cs="Arial"/>
              <w:color w:val="000000" w:themeColor="text1"/>
              <w:sz w:val="24"/>
              <w:szCs w:val="24"/>
            </w:rPr>
            <w:instrText xml:space="preserve"> CITATION CIP211 \l 2057 </w:instrText>
          </w:r>
          <w:r w:rsidR="00DB0BB3" w:rsidRPr="002B49DD">
            <w:rPr>
              <w:rFonts w:asciiTheme="minorHAnsi" w:hAnsiTheme="minorHAnsi" w:cs="Arial"/>
              <w:color w:val="000000" w:themeColor="text1"/>
              <w:sz w:val="24"/>
              <w:szCs w:val="24"/>
            </w:rPr>
            <w:fldChar w:fldCharType="separate"/>
          </w:r>
          <w:r w:rsidR="00DB0BB3" w:rsidRPr="002B49DD">
            <w:rPr>
              <w:rFonts w:asciiTheme="minorHAnsi" w:hAnsiTheme="minorHAnsi" w:cs="Arial"/>
              <w:noProof/>
              <w:color w:val="000000" w:themeColor="text1"/>
              <w:sz w:val="24"/>
              <w:szCs w:val="24"/>
            </w:rPr>
            <w:t>(CIPD, Evaluating Learning and Development, 2021)</w:t>
          </w:r>
          <w:r w:rsidR="00DB0BB3" w:rsidRPr="002B49DD">
            <w:rPr>
              <w:rFonts w:asciiTheme="minorHAnsi" w:hAnsiTheme="minorHAnsi" w:cs="Arial"/>
              <w:color w:val="000000" w:themeColor="text1"/>
              <w:sz w:val="24"/>
              <w:szCs w:val="24"/>
            </w:rPr>
            <w:fldChar w:fldCharType="end"/>
          </w:r>
        </w:sdtContent>
      </w:sdt>
    </w:p>
    <w:p w14:paraId="1F89DA89" w14:textId="234BF4B8" w:rsidR="009C0703" w:rsidRPr="002B49DD" w:rsidRDefault="00084A8E" w:rsidP="002C52D2">
      <w:p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lastRenderedPageBreak/>
        <w:t>T</w:t>
      </w:r>
      <w:r w:rsidR="009C0703" w:rsidRPr="002B49DD">
        <w:rPr>
          <w:rFonts w:asciiTheme="minorHAnsi" w:hAnsiTheme="minorHAnsi" w:cs="Arial"/>
          <w:color w:val="000000" w:themeColor="text1"/>
          <w:sz w:val="24"/>
          <w:szCs w:val="24"/>
        </w:rPr>
        <w:t>he leadership elements of organisations which ha</w:t>
      </w:r>
      <w:r w:rsidR="00410043" w:rsidRPr="002B49DD">
        <w:rPr>
          <w:rFonts w:asciiTheme="minorHAnsi" w:hAnsiTheme="minorHAnsi" w:cs="Arial"/>
          <w:color w:val="000000" w:themeColor="text1"/>
          <w:sz w:val="24"/>
          <w:szCs w:val="24"/>
        </w:rPr>
        <w:t>ve high levels of employee engagement are</w:t>
      </w:r>
      <w:r w:rsidR="009D31F4" w:rsidRPr="002B49DD">
        <w:rPr>
          <w:rFonts w:asciiTheme="minorHAnsi" w:hAnsiTheme="minorHAnsi" w:cs="Arial"/>
          <w:color w:val="000000" w:themeColor="text1"/>
          <w:sz w:val="24"/>
          <w:szCs w:val="24"/>
        </w:rPr>
        <w:t xml:space="preserve"> when leaders in the form of MDs, managers and supervisors have faith and confidence in the vision and future of the business. J W Wiley refers to this for example as the influence of “executive influence” He refers to the scenario whereby employees are concern for themselves, their future and hold anxiety, in times like this they look for leadership and guidance. Strong communication and honesty from those higher up </w:t>
      </w:r>
      <w:r w:rsidR="00A63589" w:rsidRPr="002B49DD">
        <w:rPr>
          <w:rFonts w:asciiTheme="minorHAnsi" w:hAnsiTheme="minorHAnsi" w:cs="Arial"/>
          <w:color w:val="000000" w:themeColor="text1"/>
          <w:sz w:val="24"/>
          <w:szCs w:val="24"/>
        </w:rPr>
        <w:t>create</w:t>
      </w:r>
      <w:r w:rsidR="009D31F4" w:rsidRPr="002B49DD">
        <w:rPr>
          <w:rFonts w:asciiTheme="minorHAnsi" w:hAnsiTheme="minorHAnsi" w:cs="Arial"/>
          <w:color w:val="000000" w:themeColor="text1"/>
          <w:sz w:val="24"/>
          <w:szCs w:val="24"/>
        </w:rPr>
        <w:t xml:space="preserve"> trust, loyalty and pride in who you work for. </w:t>
      </w:r>
      <w:r w:rsidR="00A63589" w:rsidRPr="002B49DD">
        <w:rPr>
          <w:rFonts w:asciiTheme="minorHAnsi" w:hAnsiTheme="minorHAnsi" w:cs="Arial"/>
          <w:color w:val="000000" w:themeColor="text1"/>
          <w:sz w:val="24"/>
          <w:szCs w:val="24"/>
        </w:rPr>
        <w:t xml:space="preserve">Wiley refers to five leadership characteristics that lead to effectiveness. He cites the ability to clarify direction, the ability to cope with challenge, a commitment to a good product or service, a belief that employees are integral to success, the ability to inspire confidence in employees. </w:t>
      </w:r>
      <w:sdt>
        <w:sdtPr>
          <w:rPr>
            <w:rFonts w:asciiTheme="minorHAnsi" w:hAnsiTheme="minorHAnsi" w:cs="Arial"/>
            <w:color w:val="000000" w:themeColor="text1"/>
            <w:sz w:val="24"/>
            <w:szCs w:val="24"/>
          </w:rPr>
          <w:id w:val="1900945382"/>
          <w:citation/>
        </w:sdtPr>
        <w:sdtEndPr/>
        <w:sdtContent>
          <w:r w:rsidR="00B16E28" w:rsidRPr="002B49DD">
            <w:rPr>
              <w:rFonts w:asciiTheme="minorHAnsi" w:hAnsiTheme="minorHAnsi" w:cs="Arial"/>
              <w:color w:val="000000" w:themeColor="text1"/>
              <w:sz w:val="24"/>
              <w:szCs w:val="24"/>
            </w:rPr>
            <w:fldChar w:fldCharType="begin"/>
          </w:r>
          <w:r w:rsidR="00B16E28" w:rsidRPr="002B49DD">
            <w:rPr>
              <w:rFonts w:asciiTheme="minorHAnsi" w:hAnsiTheme="minorHAnsi" w:cs="Arial"/>
              <w:color w:val="000000" w:themeColor="text1"/>
              <w:sz w:val="24"/>
              <w:szCs w:val="24"/>
            </w:rPr>
            <w:instrText xml:space="preserve"> CITATION Wil10 \l 2057 </w:instrText>
          </w:r>
          <w:r w:rsidR="00B16E28" w:rsidRPr="002B49DD">
            <w:rPr>
              <w:rFonts w:asciiTheme="minorHAnsi" w:hAnsiTheme="minorHAnsi" w:cs="Arial"/>
              <w:color w:val="000000" w:themeColor="text1"/>
              <w:sz w:val="24"/>
              <w:szCs w:val="24"/>
            </w:rPr>
            <w:fldChar w:fldCharType="separate"/>
          </w:r>
          <w:r w:rsidR="00B16E28" w:rsidRPr="002B49DD">
            <w:rPr>
              <w:rFonts w:asciiTheme="minorHAnsi" w:hAnsiTheme="minorHAnsi" w:cs="Arial"/>
              <w:noProof/>
              <w:color w:val="000000" w:themeColor="text1"/>
              <w:sz w:val="24"/>
              <w:szCs w:val="24"/>
            </w:rPr>
            <w:t>(Wiley, 2010)</w:t>
          </w:r>
          <w:r w:rsidR="00B16E28" w:rsidRPr="002B49DD">
            <w:rPr>
              <w:rFonts w:asciiTheme="minorHAnsi" w:hAnsiTheme="minorHAnsi" w:cs="Arial"/>
              <w:color w:val="000000" w:themeColor="text1"/>
              <w:sz w:val="24"/>
              <w:szCs w:val="24"/>
            </w:rPr>
            <w:fldChar w:fldCharType="end"/>
          </w:r>
        </w:sdtContent>
      </w:sdt>
    </w:p>
    <w:p w14:paraId="5CDEDB86" w14:textId="52B3D7CA" w:rsidR="00410043" w:rsidRPr="002B49DD" w:rsidRDefault="00410043" w:rsidP="002C52D2">
      <w:p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The cultural elements of organisations which have high levels of employee engagement are</w:t>
      </w:r>
      <w:r w:rsidR="009C01AB" w:rsidRPr="002B49DD">
        <w:rPr>
          <w:rFonts w:asciiTheme="minorHAnsi" w:hAnsiTheme="minorHAnsi" w:cs="Arial"/>
          <w:color w:val="000000" w:themeColor="text1"/>
          <w:sz w:val="24"/>
          <w:szCs w:val="24"/>
        </w:rPr>
        <w:t xml:space="preserve"> </w:t>
      </w:r>
      <w:r w:rsidR="00095465" w:rsidRPr="002B49DD">
        <w:rPr>
          <w:rFonts w:asciiTheme="minorHAnsi" w:hAnsiTheme="minorHAnsi" w:cs="Arial"/>
          <w:color w:val="000000" w:themeColor="text1"/>
          <w:sz w:val="24"/>
          <w:szCs w:val="24"/>
        </w:rPr>
        <w:t>areas where the definition of culture comes into play – a shared belief. Areas that cultivate a sense of belonging between employees and the employer. An example of this can be strategic elements such as visions and goals being made known to welfare elements such as providing branded uniform. William Kahn refers to three psychological states that are needed and those are feelings of safety and security, meaningfulness and possessing energy and resources.</w:t>
      </w:r>
      <w:r w:rsidR="000656B1" w:rsidRPr="002B49DD">
        <w:rPr>
          <w:rFonts w:asciiTheme="minorHAnsi" w:hAnsiTheme="minorHAnsi" w:cs="Arial"/>
          <w:color w:val="000000" w:themeColor="text1"/>
          <w:sz w:val="24"/>
          <w:szCs w:val="24"/>
        </w:rPr>
        <w:t xml:space="preserve"> </w:t>
      </w:r>
      <w:sdt>
        <w:sdtPr>
          <w:rPr>
            <w:rFonts w:asciiTheme="minorHAnsi" w:hAnsiTheme="minorHAnsi" w:cs="Arial"/>
            <w:color w:val="000000" w:themeColor="text1"/>
            <w:sz w:val="24"/>
            <w:szCs w:val="24"/>
          </w:rPr>
          <w:id w:val="-1078433004"/>
          <w:citation/>
        </w:sdtPr>
        <w:sdtEndPr/>
        <w:sdtContent>
          <w:r w:rsidR="000656B1" w:rsidRPr="002B49DD">
            <w:rPr>
              <w:rFonts w:asciiTheme="minorHAnsi" w:hAnsiTheme="minorHAnsi" w:cs="Arial"/>
              <w:color w:val="000000" w:themeColor="text1"/>
              <w:sz w:val="24"/>
              <w:szCs w:val="24"/>
            </w:rPr>
            <w:fldChar w:fldCharType="begin"/>
          </w:r>
          <w:r w:rsidR="000656B1" w:rsidRPr="002B49DD">
            <w:rPr>
              <w:rFonts w:asciiTheme="minorHAnsi" w:hAnsiTheme="minorHAnsi" w:cs="Arial"/>
              <w:color w:val="000000" w:themeColor="text1"/>
              <w:sz w:val="24"/>
              <w:szCs w:val="24"/>
            </w:rPr>
            <w:instrText xml:space="preserve"> CITATION Kah90 \l 2057 </w:instrText>
          </w:r>
          <w:r w:rsidR="000656B1" w:rsidRPr="002B49DD">
            <w:rPr>
              <w:rFonts w:asciiTheme="minorHAnsi" w:hAnsiTheme="minorHAnsi" w:cs="Arial"/>
              <w:color w:val="000000" w:themeColor="text1"/>
              <w:sz w:val="24"/>
              <w:szCs w:val="24"/>
            </w:rPr>
            <w:fldChar w:fldCharType="separate"/>
          </w:r>
          <w:r w:rsidR="000656B1" w:rsidRPr="002B49DD">
            <w:rPr>
              <w:rFonts w:asciiTheme="minorHAnsi" w:hAnsiTheme="minorHAnsi" w:cs="Arial"/>
              <w:noProof/>
              <w:color w:val="000000" w:themeColor="text1"/>
              <w:sz w:val="24"/>
              <w:szCs w:val="24"/>
            </w:rPr>
            <w:t>(Kahn, 1990)</w:t>
          </w:r>
          <w:r w:rsidR="000656B1" w:rsidRPr="002B49DD">
            <w:rPr>
              <w:rFonts w:asciiTheme="minorHAnsi" w:hAnsiTheme="minorHAnsi" w:cs="Arial"/>
              <w:color w:val="000000" w:themeColor="text1"/>
              <w:sz w:val="24"/>
              <w:szCs w:val="24"/>
            </w:rPr>
            <w:fldChar w:fldCharType="end"/>
          </w:r>
        </w:sdtContent>
      </w:sdt>
      <w:r w:rsidR="000656B1" w:rsidRPr="002B49DD">
        <w:rPr>
          <w:rFonts w:asciiTheme="minorHAnsi" w:hAnsiTheme="minorHAnsi" w:cs="Arial"/>
          <w:color w:val="000000" w:themeColor="text1"/>
          <w:sz w:val="24"/>
          <w:szCs w:val="24"/>
        </w:rPr>
        <w:t xml:space="preserve"> </w:t>
      </w:r>
      <w:r w:rsidR="00675D45" w:rsidRPr="002B49DD">
        <w:rPr>
          <w:rFonts w:asciiTheme="minorHAnsi" w:hAnsiTheme="minorHAnsi" w:cs="Arial"/>
          <w:color w:val="000000" w:themeColor="text1"/>
          <w:sz w:val="24"/>
          <w:szCs w:val="24"/>
        </w:rPr>
        <w:t xml:space="preserve">Jay Richards and Meredith </w:t>
      </w:r>
      <w:proofErr w:type="spellStart"/>
      <w:r w:rsidR="00675D45" w:rsidRPr="002B49DD">
        <w:rPr>
          <w:rFonts w:asciiTheme="minorHAnsi" w:hAnsiTheme="minorHAnsi" w:cs="Arial"/>
          <w:color w:val="000000" w:themeColor="text1"/>
          <w:sz w:val="24"/>
          <w:szCs w:val="24"/>
        </w:rPr>
        <w:t>Grzyb</w:t>
      </w:r>
      <w:proofErr w:type="spellEnd"/>
      <w:r w:rsidR="00675D45" w:rsidRPr="002B49DD">
        <w:rPr>
          <w:rFonts w:asciiTheme="minorHAnsi" w:hAnsiTheme="minorHAnsi" w:cs="Arial"/>
          <w:color w:val="000000" w:themeColor="text1"/>
          <w:sz w:val="24"/>
          <w:szCs w:val="24"/>
        </w:rPr>
        <w:t xml:space="preserve"> in an article from Industry Week published in July 2020 refer to four aspects of culture that drive engagement. They cite that the business needs a clear mission that gives meaning and direction, that the leaders and managers practice what they preach, everyone believes that they can have a positive impact and that leaders set goals that are ambitious but realistic. </w:t>
      </w:r>
      <w:sdt>
        <w:sdtPr>
          <w:rPr>
            <w:rFonts w:asciiTheme="minorHAnsi" w:hAnsiTheme="minorHAnsi" w:cs="Arial"/>
            <w:color w:val="000000" w:themeColor="text1"/>
            <w:sz w:val="24"/>
            <w:szCs w:val="24"/>
          </w:rPr>
          <w:id w:val="1862855115"/>
          <w:citation/>
        </w:sdtPr>
        <w:sdtEndPr/>
        <w:sdtContent>
          <w:r w:rsidR="000656B1" w:rsidRPr="002B49DD">
            <w:rPr>
              <w:rFonts w:asciiTheme="minorHAnsi" w:hAnsiTheme="minorHAnsi" w:cs="Arial"/>
              <w:color w:val="000000" w:themeColor="text1"/>
              <w:sz w:val="24"/>
              <w:szCs w:val="24"/>
            </w:rPr>
            <w:fldChar w:fldCharType="begin"/>
          </w:r>
          <w:r w:rsidR="000656B1" w:rsidRPr="002B49DD">
            <w:rPr>
              <w:rFonts w:asciiTheme="minorHAnsi" w:hAnsiTheme="minorHAnsi" w:cs="Arial"/>
              <w:color w:val="000000" w:themeColor="text1"/>
              <w:sz w:val="24"/>
              <w:szCs w:val="24"/>
            </w:rPr>
            <w:instrText xml:space="preserve"> CITATION Ric20 \l 2057 </w:instrText>
          </w:r>
          <w:r w:rsidR="000656B1" w:rsidRPr="002B49DD">
            <w:rPr>
              <w:rFonts w:asciiTheme="minorHAnsi" w:hAnsiTheme="minorHAnsi" w:cs="Arial"/>
              <w:color w:val="000000" w:themeColor="text1"/>
              <w:sz w:val="24"/>
              <w:szCs w:val="24"/>
            </w:rPr>
            <w:fldChar w:fldCharType="separate"/>
          </w:r>
          <w:r w:rsidR="000656B1" w:rsidRPr="002B49DD">
            <w:rPr>
              <w:rFonts w:asciiTheme="minorHAnsi" w:hAnsiTheme="minorHAnsi" w:cs="Arial"/>
              <w:noProof/>
              <w:color w:val="000000" w:themeColor="text1"/>
              <w:sz w:val="24"/>
              <w:szCs w:val="24"/>
            </w:rPr>
            <w:t>(Richards, 2020)</w:t>
          </w:r>
          <w:r w:rsidR="000656B1" w:rsidRPr="002B49DD">
            <w:rPr>
              <w:rFonts w:asciiTheme="minorHAnsi" w:hAnsiTheme="minorHAnsi" w:cs="Arial"/>
              <w:color w:val="000000" w:themeColor="text1"/>
              <w:sz w:val="24"/>
              <w:szCs w:val="24"/>
            </w:rPr>
            <w:fldChar w:fldCharType="end"/>
          </w:r>
        </w:sdtContent>
      </w:sdt>
      <w:r w:rsidR="0052142A" w:rsidRPr="002B49DD">
        <w:rPr>
          <w:rFonts w:asciiTheme="minorHAnsi" w:hAnsiTheme="minorHAnsi" w:cs="Arial"/>
          <w:color w:val="000000" w:themeColor="text1"/>
          <w:sz w:val="24"/>
          <w:szCs w:val="24"/>
        </w:rPr>
        <w:t xml:space="preserve"> </w:t>
      </w:r>
    </w:p>
    <w:p w14:paraId="6A70FFD1" w14:textId="1B1C274B" w:rsidR="000F664C" w:rsidRPr="002B49DD" w:rsidRDefault="000F664C" w:rsidP="002C52D2">
      <w:pPr>
        <w:jc w:val="both"/>
        <w:rPr>
          <w:rFonts w:asciiTheme="minorHAnsi" w:hAnsiTheme="minorHAnsi" w:cs="Arial"/>
          <w:color w:val="000000" w:themeColor="text1"/>
          <w:sz w:val="24"/>
          <w:szCs w:val="24"/>
        </w:rPr>
      </w:pPr>
      <w:r w:rsidRPr="002B49DD">
        <w:rPr>
          <w:rFonts w:asciiTheme="minorHAnsi" w:hAnsiTheme="minorHAnsi" w:cs="Arial"/>
          <w:b/>
          <w:bCs/>
          <w:color w:val="000000" w:themeColor="text1"/>
          <w:sz w:val="24"/>
          <w:szCs w:val="24"/>
        </w:rPr>
        <w:t>Employe</w:t>
      </w:r>
      <w:r w:rsidR="00100B36" w:rsidRPr="002B49DD">
        <w:rPr>
          <w:rFonts w:asciiTheme="minorHAnsi" w:hAnsiTheme="minorHAnsi" w:cs="Arial"/>
          <w:b/>
          <w:bCs/>
          <w:color w:val="000000" w:themeColor="text1"/>
          <w:sz w:val="24"/>
          <w:szCs w:val="24"/>
        </w:rPr>
        <w:t>e alignment</w:t>
      </w:r>
      <w:r w:rsidRPr="002B49DD">
        <w:rPr>
          <w:rFonts w:asciiTheme="minorHAnsi" w:hAnsiTheme="minorHAnsi" w:cs="Arial"/>
          <w:color w:val="000000" w:themeColor="text1"/>
          <w:sz w:val="24"/>
          <w:szCs w:val="24"/>
        </w:rPr>
        <w:t xml:space="preserve"> is crucial to make parallel the perspectives that employee hold against the business aims and objectives. For </w:t>
      </w:r>
      <w:proofErr w:type="gramStart"/>
      <w:r w:rsidRPr="002B49DD">
        <w:rPr>
          <w:rFonts w:asciiTheme="minorHAnsi" w:hAnsiTheme="minorHAnsi" w:cs="Arial"/>
          <w:color w:val="000000" w:themeColor="text1"/>
          <w:sz w:val="24"/>
          <w:szCs w:val="24"/>
        </w:rPr>
        <w:t>example</w:t>
      </w:r>
      <w:proofErr w:type="gramEnd"/>
      <w:r w:rsidRPr="002B49DD">
        <w:rPr>
          <w:rFonts w:asciiTheme="minorHAnsi" w:hAnsiTheme="minorHAnsi" w:cs="Arial"/>
          <w:color w:val="000000" w:themeColor="text1"/>
          <w:sz w:val="24"/>
          <w:szCs w:val="24"/>
        </w:rPr>
        <w:t xml:space="preserve"> an aligned workforce will be focussed on what’s needed and why. This will bring loyalty as they will feel part of what is going on.</w:t>
      </w:r>
      <w:sdt>
        <w:sdtPr>
          <w:rPr>
            <w:rFonts w:asciiTheme="minorHAnsi" w:hAnsiTheme="minorHAnsi" w:cs="Arial"/>
            <w:color w:val="000000" w:themeColor="text1"/>
            <w:sz w:val="24"/>
            <w:szCs w:val="24"/>
          </w:rPr>
          <w:id w:val="1443193011"/>
          <w:citation/>
        </w:sdtPr>
        <w:sdtEndPr/>
        <w:sdtContent>
          <w:r w:rsidR="00D40394" w:rsidRPr="002B49DD">
            <w:rPr>
              <w:rFonts w:asciiTheme="minorHAnsi" w:hAnsiTheme="minorHAnsi" w:cs="Arial"/>
              <w:color w:val="000000" w:themeColor="text1"/>
              <w:sz w:val="24"/>
              <w:szCs w:val="24"/>
            </w:rPr>
            <w:fldChar w:fldCharType="begin"/>
          </w:r>
          <w:r w:rsidR="00D40394" w:rsidRPr="002B49DD">
            <w:rPr>
              <w:rFonts w:asciiTheme="minorHAnsi" w:hAnsiTheme="minorHAnsi" w:cs="Arial"/>
              <w:color w:val="000000" w:themeColor="text1"/>
              <w:sz w:val="24"/>
              <w:szCs w:val="24"/>
            </w:rPr>
            <w:instrText xml:space="preserve"> CITATION Shu15 \l 2057 </w:instrText>
          </w:r>
          <w:r w:rsidR="00D40394" w:rsidRPr="002B49DD">
            <w:rPr>
              <w:rFonts w:asciiTheme="minorHAnsi" w:hAnsiTheme="minorHAnsi" w:cs="Arial"/>
              <w:color w:val="000000" w:themeColor="text1"/>
              <w:sz w:val="24"/>
              <w:szCs w:val="24"/>
            </w:rPr>
            <w:fldChar w:fldCharType="separate"/>
          </w:r>
          <w:r w:rsidR="00D40394" w:rsidRPr="002B49DD">
            <w:rPr>
              <w:rFonts w:asciiTheme="minorHAnsi" w:hAnsiTheme="minorHAnsi" w:cs="Arial"/>
              <w:noProof/>
              <w:color w:val="000000" w:themeColor="text1"/>
              <w:sz w:val="24"/>
              <w:szCs w:val="24"/>
            </w:rPr>
            <w:t xml:space="preserve"> (Shuck, 2015)</w:t>
          </w:r>
          <w:r w:rsidR="00D40394" w:rsidRPr="002B49DD">
            <w:rPr>
              <w:rFonts w:asciiTheme="minorHAnsi" w:hAnsiTheme="minorHAnsi" w:cs="Arial"/>
              <w:color w:val="000000" w:themeColor="text1"/>
              <w:sz w:val="24"/>
              <w:szCs w:val="24"/>
            </w:rPr>
            <w:fldChar w:fldCharType="end"/>
          </w:r>
        </w:sdtContent>
      </w:sdt>
      <w:r w:rsidRPr="002B49DD">
        <w:rPr>
          <w:rFonts w:asciiTheme="minorHAnsi" w:hAnsiTheme="minorHAnsi" w:cs="Arial"/>
          <w:color w:val="000000" w:themeColor="text1"/>
          <w:sz w:val="24"/>
          <w:szCs w:val="24"/>
        </w:rPr>
        <w:t xml:space="preserve"> Without alignment businesses can work very reactively as opposed to proactively in their approach to key engagement areas such as communications, training and development. </w:t>
      </w:r>
      <w:sdt>
        <w:sdtPr>
          <w:rPr>
            <w:rFonts w:asciiTheme="minorHAnsi" w:hAnsiTheme="minorHAnsi" w:cs="Arial"/>
            <w:color w:val="000000" w:themeColor="text1"/>
            <w:sz w:val="24"/>
            <w:szCs w:val="24"/>
          </w:rPr>
          <w:id w:val="-1661378099"/>
          <w:citation/>
        </w:sdtPr>
        <w:sdtEndPr/>
        <w:sdtContent>
          <w:r w:rsidR="00BD3ACD" w:rsidRPr="002B49DD">
            <w:rPr>
              <w:rFonts w:asciiTheme="minorHAnsi" w:hAnsiTheme="minorHAnsi" w:cs="Arial"/>
              <w:color w:val="000000" w:themeColor="text1"/>
              <w:sz w:val="24"/>
              <w:szCs w:val="24"/>
            </w:rPr>
            <w:fldChar w:fldCharType="begin"/>
          </w:r>
          <w:r w:rsidR="00BD3ACD" w:rsidRPr="002B49DD">
            <w:rPr>
              <w:rFonts w:asciiTheme="minorHAnsi" w:hAnsiTheme="minorHAnsi" w:cs="Arial"/>
              <w:color w:val="000000" w:themeColor="text1"/>
              <w:sz w:val="24"/>
              <w:szCs w:val="24"/>
            </w:rPr>
            <w:instrText xml:space="preserve"> CITATION CIP212 \l 2057 </w:instrText>
          </w:r>
          <w:r w:rsidR="00BD3ACD" w:rsidRPr="002B49DD">
            <w:rPr>
              <w:rFonts w:asciiTheme="minorHAnsi" w:hAnsiTheme="minorHAnsi" w:cs="Arial"/>
              <w:color w:val="000000" w:themeColor="text1"/>
              <w:sz w:val="24"/>
              <w:szCs w:val="24"/>
            </w:rPr>
            <w:fldChar w:fldCharType="separate"/>
          </w:r>
          <w:r w:rsidR="00BD3ACD" w:rsidRPr="002B49DD">
            <w:rPr>
              <w:rFonts w:asciiTheme="minorHAnsi" w:hAnsiTheme="minorHAnsi" w:cs="Arial"/>
              <w:noProof/>
              <w:color w:val="000000" w:themeColor="text1"/>
              <w:sz w:val="24"/>
              <w:szCs w:val="24"/>
            </w:rPr>
            <w:t>(CIPD, Employee Communication, 2021)</w:t>
          </w:r>
          <w:r w:rsidR="00BD3ACD" w:rsidRPr="002B49DD">
            <w:rPr>
              <w:rFonts w:asciiTheme="minorHAnsi" w:hAnsiTheme="minorHAnsi" w:cs="Arial"/>
              <w:color w:val="000000" w:themeColor="text1"/>
              <w:sz w:val="24"/>
              <w:szCs w:val="24"/>
            </w:rPr>
            <w:fldChar w:fldCharType="end"/>
          </w:r>
        </w:sdtContent>
      </w:sdt>
      <w:r w:rsidRPr="002B49DD">
        <w:rPr>
          <w:rFonts w:asciiTheme="minorHAnsi" w:hAnsiTheme="minorHAnsi" w:cs="Arial"/>
          <w:color w:val="000000" w:themeColor="text1"/>
          <w:sz w:val="24"/>
          <w:szCs w:val="24"/>
        </w:rPr>
        <w:t>This leads to more of a “</w:t>
      </w:r>
      <w:r w:rsidR="004D56E2" w:rsidRPr="002B49DD">
        <w:rPr>
          <w:rFonts w:asciiTheme="minorHAnsi" w:hAnsiTheme="minorHAnsi" w:cs="Arial"/>
          <w:color w:val="000000" w:themeColor="text1"/>
          <w:sz w:val="24"/>
          <w:szCs w:val="24"/>
        </w:rPr>
        <w:t>firefighting</w:t>
      </w:r>
      <w:r w:rsidRPr="002B49DD">
        <w:rPr>
          <w:rFonts w:asciiTheme="minorHAnsi" w:hAnsiTheme="minorHAnsi" w:cs="Arial"/>
          <w:color w:val="000000" w:themeColor="text1"/>
          <w:sz w:val="24"/>
          <w:szCs w:val="24"/>
        </w:rPr>
        <w:t xml:space="preserve"> approach” to daily working as opposed to working on a continuous improvement loop such as the Deming Cycle. </w:t>
      </w:r>
      <w:sdt>
        <w:sdtPr>
          <w:rPr>
            <w:rFonts w:asciiTheme="minorHAnsi" w:hAnsiTheme="minorHAnsi" w:cs="Arial"/>
            <w:color w:val="000000" w:themeColor="text1"/>
            <w:sz w:val="24"/>
            <w:szCs w:val="24"/>
          </w:rPr>
          <w:id w:val="-1220826105"/>
          <w:citation/>
        </w:sdtPr>
        <w:sdtEndPr/>
        <w:sdtContent>
          <w:r w:rsidR="00624645" w:rsidRPr="002B49DD">
            <w:rPr>
              <w:rFonts w:asciiTheme="minorHAnsi" w:hAnsiTheme="minorHAnsi" w:cs="Arial"/>
              <w:color w:val="000000" w:themeColor="text1"/>
              <w:sz w:val="24"/>
              <w:szCs w:val="24"/>
            </w:rPr>
            <w:fldChar w:fldCharType="begin"/>
          </w:r>
          <w:r w:rsidR="00624645" w:rsidRPr="002B49DD">
            <w:rPr>
              <w:rFonts w:asciiTheme="minorHAnsi" w:hAnsiTheme="minorHAnsi" w:cs="Arial"/>
              <w:color w:val="000000" w:themeColor="text1"/>
              <w:sz w:val="24"/>
              <w:szCs w:val="24"/>
            </w:rPr>
            <w:instrText xml:space="preserve"> CITATION WEd21 \l 2057 </w:instrText>
          </w:r>
          <w:r w:rsidR="00624645" w:rsidRPr="002B49DD">
            <w:rPr>
              <w:rFonts w:asciiTheme="minorHAnsi" w:hAnsiTheme="minorHAnsi" w:cs="Arial"/>
              <w:color w:val="000000" w:themeColor="text1"/>
              <w:sz w:val="24"/>
              <w:szCs w:val="24"/>
            </w:rPr>
            <w:fldChar w:fldCharType="separate"/>
          </w:r>
          <w:r w:rsidR="00624645" w:rsidRPr="002B49DD">
            <w:rPr>
              <w:rFonts w:asciiTheme="minorHAnsi" w:hAnsiTheme="minorHAnsi" w:cs="Arial"/>
              <w:noProof/>
              <w:color w:val="000000" w:themeColor="text1"/>
              <w:sz w:val="24"/>
              <w:szCs w:val="24"/>
            </w:rPr>
            <w:t>(Edwards, 2021)</w:t>
          </w:r>
          <w:r w:rsidR="00624645" w:rsidRPr="002B49DD">
            <w:rPr>
              <w:rFonts w:asciiTheme="minorHAnsi" w:hAnsiTheme="minorHAnsi" w:cs="Arial"/>
              <w:color w:val="000000" w:themeColor="text1"/>
              <w:sz w:val="24"/>
              <w:szCs w:val="24"/>
            </w:rPr>
            <w:fldChar w:fldCharType="end"/>
          </w:r>
        </w:sdtContent>
      </w:sdt>
      <w:r w:rsidR="00100B36" w:rsidRPr="002B49DD">
        <w:rPr>
          <w:rFonts w:asciiTheme="minorHAnsi" w:hAnsiTheme="minorHAnsi" w:cs="Arial"/>
          <w:color w:val="000000" w:themeColor="text1"/>
          <w:sz w:val="24"/>
          <w:szCs w:val="24"/>
        </w:rPr>
        <w:t xml:space="preserve">In an organisation where alignment is done well, employees themselves will input into shared visions and objectives. Their own individual goals then will be aligned to the organisations as a whole. Ideally the organisation will give monetary rewards to keep employees keen. A positive attitude towards employee leaving them feeling valued will be evident. To conclude alignment helps both sides of the employee employer relationship. The employer reaches their goal and so does the employee. </w:t>
      </w:r>
      <w:sdt>
        <w:sdtPr>
          <w:rPr>
            <w:rFonts w:asciiTheme="minorHAnsi" w:hAnsiTheme="minorHAnsi" w:cs="Arial"/>
            <w:color w:val="000000" w:themeColor="text1"/>
            <w:sz w:val="24"/>
            <w:szCs w:val="24"/>
          </w:rPr>
          <w:id w:val="-1682194557"/>
          <w:citation/>
        </w:sdtPr>
        <w:sdtEndPr/>
        <w:sdtContent>
          <w:r w:rsidR="004A05A5" w:rsidRPr="002B49DD">
            <w:rPr>
              <w:rFonts w:asciiTheme="minorHAnsi" w:hAnsiTheme="minorHAnsi" w:cs="Arial"/>
              <w:color w:val="000000" w:themeColor="text1"/>
              <w:sz w:val="24"/>
              <w:szCs w:val="24"/>
            </w:rPr>
            <w:fldChar w:fldCharType="begin"/>
          </w:r>
          <w:r w:rsidR="004A05A5" w:rsidRPr="002B49DD">
            <w:rPr>
              <w:rFonts w:asciiTheme="minorHAnsi" w:hAnsiTheme="minorHAnsi" w:cs="Arial"/>
              <w:color w:val="000000" w:themeColor="text1"/>
              <w:sz w:val="24"/>
              <w:szCs w:val="24"/>
            </w:rPr>
            <w:instrText xml:space="preserve"> CITATION Olu20 \l 2057 </w:instrText>
          </w:r>
          <w:r w:rsidR="004A05A5" w:rsidRPr="002B49DD">
            <w:rPr>
              <w:rFonts w:asciiTheme="minorHAnsi" w:hAnsiTheme="minorHAnsi" w:cs="Arial"/>
              <w:color w:val="000000" w:themeColor="text1"/>
              <w:sz w:val="24"/>
              <w:szCs w:val="24"/>
            </w:rPr>
            <w:fldChar w:fldCharType="separate"/>
          </w:r>
          <w:r w:rsidR="004A05A5" w:rsidRPr="002B49DD">
            <w:rPr>
              <w:rFonts w:asciiTheme="minorHAnsi" w:hAnsiTheme="minorHAnsi" w:cs="Arial"/>
              <w:noProof/>
              <w:color w:val="000000" w:themeColor="text1"/>
              <w:sz w:val="24"/>
              <w:szCs w:val="24"/>
            </w:rPr>
            <w:t>(Oluwatayo, 2020)</w:t>
          </w:r>
          <w:r w:rsidR="004A05A5" w:rsidRPr="002B49DD">
            <w:rPr>
              <w:rFonts w:asciiTheme="minorHAnsi" w:hAnsiTheme="minorHAnsi" w:cs="Arial"/>
              <w:color w:val="000000" w:themeColor="text1"/>
              <w:sz w:val="24"/>
              <w:szCs w:val="24"/>
            </w:rPr>
            <w:fldChar w:fldCharType="end"/>
          </w:r>
        </w:sdtContent>
      </w:sdt>
    </w:p>
    <w:p w14:paraId="41D05919" w14:textId="33E131D9" w:rsidR="009219BA" w:rsidRDefault="009219BA" w:rsidP="002C52D2">
      <w:pPr>
        <w:jc w:val="both"/>
        <w:rPr>
          <w:rFonts w:asciiTheme="minorHAnsi" w:hAnsiTheme="minorHAnsi" w:cs="Arial"/>
          <w:color w:val="FF0000"/>
          <w:sz w:val="24"/>
          <w:szCs w:val="24"/>
        </w:rPr>
      </w:pPr>
      <w:r w:rsidRPr="002B49DD">
        <w:rPr>
          <w:rFonts w:asciiTheme="minorHAnsi" w:hAnsiTheme="minorHAnsi" w:cs="Arial"/>
          <w:color w:val="FF0000"/>
          <w:sz w:val="24"/>
          <w:szCs w:val="24"/>
        </w:rPr>
        <w:br/>
      </w:r>
    </w:p>
    <w:p w14:paraId="6142180A" w14:textId="3FA1190A" w:rsidR="00673003" w:rsidRDefault="00673003" w:rsidP="002C52D2">
      <w:pPr>
        <w:jc w:val="both"/>
        <w:rPr>
          <w:rFonts w:asciiTheme="minorHAnsi" w:hAnsiTheme="minorHAnsi" w:cs="Arial"/>
          <w:color w:val="FF0000"/>
          <w:sz w:val="24"/>
          <w:szCs w:val="24"/>
        </w:rPr>
      </w:pPr>
    </w:p>
    <w:p w14:paraId="224A7392" w14:textId="77777777" w:rsidR="00673003" w:rsidRPr="002B49DD" w:rsidRDefault="00673003" w:rsidP="002C52D2">
      <w:pPr>
        <w:jc w:val="both"/>
        <w:rPr>
          <w:rFonts w:asciiTheme="minorHAnsi" w:hAnsiTheme="minorHAnsi" w:cs="Arial"/>
          <w:color w:val="FF0000"/>
          <w:sz w:val="24"/>
          <w:szCs w:val="24"/>
        </w:rPr>
      </w:pPr>
    </w:p>
    <w:p w14:paraId="228C995B" w14:textId="77777777" w:rsidR="00100B36" w:rsidRPr="002B49DD" w:rsidRDefault="009219BA" w:rsidP="002C52D2">
      <w:pPr>
        <w:pStyle w:val="ListParagraph"/>
        <w:numPr>
          <w:ilvl w:val="0"/>
          <w:numId w:val="1"/>
        </w:numPr>
        <w:jc w:val="both"/>
        <w:rPr>
          <w:rFonts w:asciiTheme="minorHAnsi" w:hAnsiTheme="minorHAnsi" w:cs="Arial"/>
          <w:b/>
          <w:bCs/>
          <w:color w:val="000000" w:themeColor="text1"/>
          <w:sz w:val="24"/>
          <w:szCs w:val="24"/>
        </w:rPr>
      </w:pPr>
      <w:r w:rsidRPr="002B49DD">
        <w:rPr>
          <w:rFonts w:asciiTheme="minorHAnsi" w:hAnsiTheme="minorHAnsi" w:cs="Arial"/>
          <w:b/>
          <w:bCs/>
          <w:color w:val="000000" w:themeColor="text1"/>
          <w:sz w:val="24"/>
          <w:szCs w:val="24"/>
        </w:rPr>
        <w:t>Explain why employee engagement is increasingly a vital dimension of HR strategy and practice. The potential benefits for different stakeholders should be evaluated with reference to published sources.</w:t>
      </w:r>
    </w:p>
    <w:p w14:paraId="65E5AE18" w14:textId="77777777" w:rsidR="00100B36" w:rsidRPr="002B49DD" w:rsidRDefault="00100B36" w:rsidP="002C52D2">
      <w:pPr>
        <w:jc w:val="both"/>
        <w:rPr>
          <w:rFonts w:asciiTheme="minorHAnsi" w:hAnsiTheme="minorHAnsi" w:cs="Arial"/>
          <w:color w:val="FF0000"/>
          <w:sz w:val="24"/>
          <w:szCs w:val="24"/>
        </w:rPr>
      </w:pPr>
    </w:p>
    <w:p w14:paraId="462F437C" w14:textId="23A54FAA" w:rsidR="00100B36" w:rsidRPr="002B49DD" w:rsidRDefault="00B12B4E" w:rsidP="002C52D2">
      <w:p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lastRenderedPageBreak/>
        <w:t>The concept and dimension of employee engagement has become</w:t>
      </w:r>
      <w:r w:rsidR="00C96836" w:rsidRPr="002B49DD">
        <w:rPr>
          <w:rFonts w:asciiTheme="minorHAnsi" w:hAnsiTheme="minorHAnsi" w:cs="Arial"/>
          <w:color w:val="000000" w:themeColor="text1"/>
          <w:sz w:val="24"/>
          <w:szCs w:val="24"/>
        </w:rPr>
        <w:t xml:space="preserve"> holistically vital</w:t>
      </w:r>
      <w:r w:rsidRPr="002B49DD">
        <w:rPr>
          <w:rFonts w:asciiTheme="minorHAnsi" w:hAnsiTheme="minorHAnsi" w:cs="Arial"/>
          <w:color w:val="000000" w:themeColor="text1"/>
          <w:sz w:val="24"/>
          <w:szCs w:val="24"/>
        </w:rPr>
        <w:t xml:space="preserve"> as the benefits of it are being seen across all organisation</w:t>
      </w:r>
      <w:r w:rsidR="00C96836" w:rsidRPr="002B49DD">
        <w:rPr>
          <w:rFonts w:asciiTheme="minorHAnsi" w:hAnsiTheme="minorHAnsi" w:cs="Arial"/>
          <w:color w:val="000000" w:themeColor="text1"/>
          <w:sz w:val="24"/>
          <w:szCs w:val="24"/>
        </w:rPr>
        <w:t xml:space="preserve">s, particularly in the last decade.HR strategy and practice are seen as a stakeholder in promoting this due to the nature of the function. </w:t>
      </w:r>
      <w:r w:rsidR="00D457D6" w:rsidRPr="002B49DD">
        <w:rPr>
          <w:rFonts w:asciiTheme="minorHAnsi" w:hAnsiTheme="minorHAnsi" w:cs="Arial"/>
          <w:color w:val="000000" w:themeColor="text1"/>
          <w:sz w:val="24"/>
          <w:szCs w:val="24"/>
        </w:rPr>
        <w:t>I believe this coincides as well with the HR function moving from its historic personnel administrative image to one of business partnering and being a key stakeholder for any organisation</w:t>
      </w:r>
      <w:r w:rsidR="00EF41A0" w:rsidRPr="002B49DD">
        <w:rPr>
          <w:rFonts w:asciiTheme="minorHAnsi" w:hAnsiTheme="minorHAnsi" w:cs="Arial"/>
          <w:color w:val="000000" w:themeColor="text1"/>
          <w:sz w:val="24"/>
          <w:szCs w:val="24"/>
        </w:rPr>
        <w:t>’</w:t>
      </w:r>
      <w:r w:rsidR="00D457D6" w:rsidRPr="002B49DD">
        <w:rPr>
          <w:rFonts w:asciiTheme="minorHAnsi" w:hAnsiTheme="minorHAnsi" w:cs="Arial"/>
          <w:color w:val="000000" w:themeColor="text1"/>
          <w:sz w:val="24"/>
          <w:szCs w:val="24"/>
        </w:rPr>
        <w:t xml:space="preserve">s success.  </w:t>
      </w:r>
      <w:r w:rsidR="00C96836" w:rsidRPr="002B49DD">
        <w:rPr>
          <w:rFonts w:asciiTheme="minorHAnsi" w:hAnsiTheme="minorHAnsi" w:cs="Arial"/>
          <w:color w:val="000000" w:themeColor="text1"/>
          <w:sz w:val="24"/>
          <w:szCs w:val="24"/>
        </w:rPr>
        <w:t xml:space="preserve">The </w:t>
      </w:r>
      <w:r w:rsidR="00D457D6" w:rsidRPr="002B49DD">
        <w:rPr>
          <w:rFonts w:asciiTheme="minorHAnsi" w:hAnsiTheme="minorHAnsi" w:cs="Arial"/>
          <w:color w:val="000000" w:themeColor="text1"/>
          <w:sz w:val="24"/>
          <w:szCs w:val="24"/>
        </w:rPr>
        <w:t xml:space="preserve">employee engagement </w:t>
      </w:r>
      <w:r w:rsidR="00C96836" w:rsidRPr="002B49DD">
        <w:rPr>
          <w:rFonts w:asciiTheme="minorHAnsi" w:hAnsiTheme="minorHAnsi" w:cs="Arial"/>
          <w:color w:val="000000" w:themeColor="text1"/>
          <w:sz w:val="24"/>
          <w:szCs w:val="24"/>
        </w:rPr>
        <w:t>concept</w:t>
      </w:r>
      <w:r w:rsidR="00D457D6" w:rsidRPr="002B49DD">
        <w:rPr>
          <w:rFonts w:asciiTheme="minorHAnsi" w:hAnsiTheme="minorHAnsi" w:cs="Arial"/>
          <w:color w:val="000000" w:themeColor="text1"/>
          <w:sz w:val="24"/>
          <w:szCs w:val="24"/>
        </w:rPr>
        <w:t xml:space="preserve"> does</w:t>
      </w:r>
      <w:r w:rsidR="00C96836" w:rsidRPr="002B49DD">
        <w:rPr>
          <w:rFonts w:asciiTheme="minorHAnsi" w:hAnsiTheme="minorHAnsi" w:cs="Arial"/>
          <w:color w:val="000000" w:themeColor="text1"/>
          <w:sz w:val="24"/>
          <w:szCs w:val="24"/>
        </w:rPr>
        <w:t xml:space="preserve"> build on the older concepts in the work</w:t>
      </w:r>
      <w:r w:rsidR="00D457D6" w:rsidRPr="002B49DD">
        <w:rPr>
          <w:rFonts w:asciiTheme="minorHAnsi" w:hAnsiTheme="minorHAnsi" w:cs="Arial"/>
          <w:color w:val="000000" w:themeColor="text1"/>
          <w:sz w:val="24"/>
          <w:szCs w:val="24"/>
        </w:rPr>
        <w:t>p</w:t>
      </w:r>
      <w:r w:rsidR="00C96836" w:rsidRPr="002B49DD">
        <w:rPr>
          <w:rFonts w:asciiTheme="minorHAnsi" w:hAnsiTheme="minorHAnsi" w:cs="Arial"/>
          <w:color w:val="000000" w:themeColor="text1"/>
          <w:sz w:val="24"/>
          <w:szCs w:val="24"/>
        </w:rPr>
        <w:t>lace of Herzberg</w:t>
      </w:r>
      <w:r w:rsidR="001F6D59" w:rsidRPr="002B49DD">
        <w:rPr>
          <w:rFonts w:asciiTheme="minorHAnsi" w:hAnsiTheme="minorHAnsi" w:cs="Arial"/>
          <w:color w:val="000000" w:themeColor="text1"/>
          <w:sz w:val="24"/>
          <w:szCs w:val="24"/>
        </w:rPr>
        <w:t>’s Two Factor Theory</w:t>
      </w:r>
      <w:r w:rsidR="00C96836" w:rsidRPr="002B49DD">
        <w:rPr>
          <w:rFonts w:asciiTheme="minorHAnsi" w:hAnsiTheme="minorHAnsi" w:cs="Arial"/>
          <w:color w:val="000000" w:themeColor="text1"/>
          <w:sz w:val="24"/>
          <w:szCs w:val="24"/>
        </w:rPr>
        <w:t xml:space="preserve"> and Maslow</w:t>
      </w:r>
      <w:r w:rsidR="001F6D59" w:rsidRPr="002B49DD">
        <w:rPr>
          <w:rFonts w:asciiTheme="minorHAnsi" w:hAnsiTheme="minorHAnsi" w:cs="Arial"/>
          <w:color w:val="000000" w:themeColor="text1"/>
          <w:sz w:val="24"/>
          <w:szCs w:val="24"/>
        </w:rPr>
        <w:t xml:space="preserve">’s </w:t>
      </w:r>
      <w:r w:rsidR="002C5737" w:rsidRPr="002B49DD">
        <w:rPr>
          <w:rFonts w:asciiTheme="minorHAnsi" w:hAnsiTheme="minorHAnsi" w:cs="Arial"/>
          <w:color w:val="000000" w:themeColor="text1"/>
          <w:sz w:val="24"/>
          <w:szCs w:val="24"/>
        </w:rPr>
        <w:t>Hierarchy</w:t>
      </w:r>
      <w:r w:rsidR="001F6D59" w:rsidRPr="002B49DD">
        <w:rPr>
          <w:rFonts w:asciiTheme="minorHAnsi" w:hAnsiTheme="minorHAnsi" w:cs="Arial"/>
          <w:color w:val="000000" w:themeColor="text1"/>
          <w:sz w:val="24"/>
          <w:szCs w:val="24"/>
        </w:rPr>
        <w:t xml:space="preserve"> of Needs</w:t>
      </w:r>
      <w:r w:rsidR="00C96836" w:rsidRPr="002B49DD">
        <w:rPr>
          <w:rFonts w:asciiTheme="minorHAnsi" w:hAnsiTheme="minorHAnsi" w:cs="Arial"/>
          <w:color w:val="000000" w:themeColor="text1"/>
          <w:sz w:val="24"/>
          <w:szCs w:val="24"/>
        </w:rPr>
        <w:t>.</w:t>
      </w:r>
      <w:r w:rsidR="00D457D6" w:rsidRPr="002B49DD">
        <w:rPr>
          <w:rFonts w:asciiTheme="minorHAnsi" w:hAnsiTheme="minorHAnsi" w:cs="Arial"/>
          <w:color w:val="000000" w:themeColor="text1"/>
          <w:sz w:val="24"/>
          <w:szCs w:val="24"/>
        </w:rPr>
        <w:t xml:space="preserve"> </w:t>
      </w:r>
      <w:r w:rsidR="00C96836" w:rsidRPr="002B49DD">
        <w:rPr>
          <w:rFonts w:asciiTheme="minorHAnsi" w:hAnsiTheme="minorHAnsi" w:cs="Arial"/>
          <w:color w:val="000000" w:themeColor="text1"/>
          <w:sz w:val="24"/>
          <w:szCs w:val="24"/>
        </w:rPr>
        <w:t xml:space="preserve">It also draws on </w:t>
      </w:r>
      <w:r w:rsidR="00D457D6" w:rsidRPr="002B49DD">
        <w:rPr>
          <w:rFonts w:asciiTheme="minorHAnsi" w:hAnsiTheme="minorHAnsi" w:cs="Arial"/>
          <w:color w:val="000000" w:themeColor="text1"/>
          <w:sz w:val="24"/>
          <w:szCs w:val="24"/>
        </w:rPr>
        <w:t xml:space="preserve">firmly </w:t>
      </w:r>
      <w:r w:rsidR="00C96836" w:rsidRPr="002B49DD">
        <w:rPr>
          <w:rFonts w:asciiTheme="minorHAnsi" w:hAnsiTheme="minorHAnsi" w:cs="Arial"/>
          <w:color w:val="000000" w:themeColor="text1"/>
          <w:sz w:val="24"/>
          <w:szCs w:val="24"/>
        </w:rPr>
        <w:t xml:space="preserve">established concepts of the need for job satisfaction, empowerment, employee purpose. </w:t>
      </w:r>
      <w:r w:rsidR="0015226F" w:rsidRPr="002B49DD">
        <w:rPr>
          <w:rFonts w:asciiTheme="minorHAnsi" w:hAnsiTheme="minorHAnsi" w:cs="Arial"/>
          <w:color w:val="000000" w:themeColor="text1"/>
          <w:sz w:val="24"/>
          <w:szCs w:val="24"/>
        </w:rPr>
        <w:t xml:space="preserve">Kahn in his article entitled “psychological conditions of personal engagement and disengagement at work” </w:t>
      </w:r>
      <w:r w:rsidR="00946AB4" w:rsidRPr="002B49DD">
        <w:rPr>
          <w:rFonts w:asciiTheme="minorHAnsi" w:hAnsiTheme="minorHAnsi" w:cs="Arial"/>
          <w:color w:val="000000" w:themeColor="text1"/>
          <w:sz w:val="24"/>
          <w:szCs w:val="24"/>
        </w:rPr>
        <w:t xml:space="preserve">is said to have born the concept in 1990 from </w:t>
      </w:r>
      <w:r w:rsidR="003E71C0" w:rsidRPr="002B49DD">
        <w:rPr>
          <w:rFonts w:asciiTheme="minorHAnsi" w:hAnsiTheme="minorHAnsi" w:cs="Arial"/>
          <w:color w:val="000000" w:themeColor="text1"/>
          <w:sz w:val="24"/>
          <w:szCs w:val="24"/>
        </w:rPr>
        <w:t>academic theories</w:t>
      </w:r>
      <w:r w:rsidR="00946AB4" w:rsidRPr="002B49DD">
        <w:rPr>
          <w:rFonts w:asciiTheme="minorHAnsi" w:hAnsiTheme="minorHAnsi" w:cs="Arial"/>
          <w:color w:val="000000" w:themeColor="text1"/>
          <w:sz w:val="24"/>
          <w:szCs w:val="24"/>
        </w:rPr>
        <w:t xml:space="preserve"> like Herzberg and Maslow. </w:t>
      </w:r>
      <w:sdt>
        <w:sdtPr>
          <w:rPr>
            <w:rFonts w:asciiTheme="minorHAnsi" w:hAnsiTheme="minorHAnsi" w:cs="Arial"/>
            <w:color w:val="000000" w:themeColor="text1"/>
            <w:sz w:val="24"/>
            <w:szCs w:val="24"/>
          </w:rPr>
          <w:id w:val="-293760940"/>
          <w:citation/>
        </w:sdtPr>
        <w:sdtEndPr/>
        <w:sdtContent>
          <w:r w:rsidR="002C5737" w:rsidRPr="002B49DD">
            <w:rPr>
              <w:rFonts w:asciiTheme="minorHAnsi" w:hAnsiTheme="minorHAnsi" w:cs="Arial"/>
              <w:color w:val="000000" w:themeColor="text1"/>
              <w:sz w:val="24"/>
              <w:szCs w:val="24"/>
            </w:rPr>
            <w:fldChar w:fldCharType="begin"/>
          </w:r>
          <w:r w:rsidR="002C5737" w:rsidRPr="002B49DD">
            <w:rPr>
              <w:rFonts w:asciiTheme="minorHAnsi" w:hAnsiTheme="minorHAnsi" w:cs="Arial"/>
              <w:color w:val="000000" w:themeColor="text1"/>
              <w:sz w:val="24"/>
              <w:szCs w:val="24"/>
            </w:rPr>
            <w:instrText xml:space="preserve"> CITATION Kah90 \l 2057 </w:instrText>
          </w:r>
          <w:r w:rsidR="002C5737" w:rsidRPr="002B49DD">
            <w:rPr>
              <w:rFonts w:asciiTheme="minorHAnsi" w:hAnsiTheme="minorHAnsi" w:cs="Arial"/>
              <w:color w:val="000000" w:themeColor="text1"/>
              <w:sz w:val="24"/>
              <w:szCs w:val="24"/>
            </w:rPr>
            <w:fldChar w:fldCharType="separate"/>
          </w:r>
          <w:r w:rsidR="002C5737" w:rsidRPr="002B49DD">
            <w:rPr>
              <w:rFonts w:asciiTheme="minorHAnsi" w:hAnsiTheme="minorHAnsi" w:cs="Arial"/>
              <w:noProof/>
              <w:color w:val="000000" w:themeColor="text1"/>
              <w:sz w:val="24"/>
              <w:szCs w:val="24"/>
            </w:rPr>
            <w:t>(Kahn, 1990)</w:t>
          </w:r>
          <w:r w:rsidR="002C5737" w:rsidRPr="002B49DD">
            <w:rPr>
              <w:rFonts w:asciiTheme="minorHAnsi" w:hAnsiTheme="minorHAnsi" w:cs="Arial"/>
              <w:color w:val="000000" w:themeColor="text1"/>
              <w:sz w:val="24"/>
              <w:szCs w:val="24"/>
            </w:rPr>
            <w:fldChar w:fldCharType="end"/>
          </w:r>
        </w:sdtContent>
      </w:sdt>
      <w:r w:rsidR="00B572E5" w:rsidRPr="002B49DD">
        <w:rPr>
          <w:rFonts w:asciiTheme="minorHAnsi" w:hAnsiTheme="minorHAnsi" w:cs="Arial"/>
          <w:color w:val="000000" w:themeColor="text1"/>
          <w:sz w:val="24"/>
          <w:szCs w:val="24"/>
        </w:rPr>
        <w:t xml:space="preserve"> </w:t>
      </w:r>
      <w:r w:rsidR="00946AB4" w:rsidRPr="002B49DD">
        <w:rPr>
          <w:rFonts w:asciiTheme="minorHAnsi" w:hAnsiTheme="minorHAnsi" w:cs="Arial"/>
          <w:color w:val="000000" w:themeColor="text1"/>
          <w:sz w:val="24"/>
          <w:szCs w:val="24"/>
        </w:rPr>
        <w:t>Initially the concept held more of a “employee satisfaction” connotation</w:t>
      </w:r>
      <w:r w:rsidR="00042F70" w:rsidRPr="002B49DD">
        <w:rPr>
          <w:rFonts w:asciiTheme="minorHAnsi" w:hAnsiTheme="minorHAnsi" w:cs="Arial"/>
          <w:color w:val="000000" w:themeColor="text1"/>
          <w:sz w:val="24"/>
          <w:szCs w:val="24"/>
        </w:rPr>
        <w:t xml:space="preserve"> with employee surveys being championed. It has since</w:t>
      </w:r>
      <w:r w:rsidR="00946AB4" w:rsidRPr="002B49DD">
        <w:rPr>
          <w:rFonts w:asciiTheme="minorHAnsi" w:hAnsiTheme="minorHAnsi" w:cs="Arial"/>
          <w:color w:val="000000" w:themeColor="text1"/>
          <w:sz w:val="24"/>
          <w:szCs w:val="24"/>
        </w:rPr>
        <w:t xml:space="preserve"> evolved into a concept that focusse</w:t>
      </w:r>
      <w:r w:rsidR="00042F70" w:rsidRPr="002B49DD">
        <w:rPr>
          <w:rFonts w:asciiTheme="minorHAnsi" w:hAnsiTheme="minorHAnsi" w:cs="Arial"/>
          <w:color w:val="000000" w:themeColor="text1"/>
          <w:sz w:val="24"/>
          <w:szCs w:val="24"/>
        </w:rPr>
        <w:t>s</w:t>
      </w:r>
      <w:r w:rsidR="00946AB4" w:rsidRPr="002B49DD">
        <w:rPr>
          <w:rFonts w:asciiTheme="minorHAnsi" w:hAnsiTheme="minorHAnsi" w:cs="Arial"/>
          <w:color w:val="000000" w:themeColor="text1"/>
          <w:sz w:val="24"/>
          <w:szCs w:val="24"/>
        </w:rPr>
        <w:t xml:space="preserve"> </w:t>
      </w:r>
      <w:r w:rsidR="00042F70" w:rsidRPr="002B49DD">
        <w:rPr>
          <w:rFonts w:asciiTheme="minorHAnsi" w:hAnsiTheme="minorHAnsi" w:cs="Arial"/>
          <w:color w:val="000000" w:themeColor="text1"/>
          <w:sz w:val="24"/>
          <w:szCs w:val="24"/>
        </w:rPr>
        <w:t>additionally</w:t>
      </w:r>
      <w:r w:rsidR="00946AB4" w:rsidRPr="002B49DD">
        <w:rPr>
          <w:rFonts w:asciiTheme="minorHAnsi" w:hAnsiTheme="minorHAnsi" w:cs="Arial"/>
          <w:color w:val="000000" w:themeColor="text1"/>
          <w:sz w:val="24"/>
          <w:szCs w:val="24"/>
        </w:rPr>
        <w:t xml:space="preserve"> on strategic links to an organisation</w:t>
      </w:r>
      <w:r w:rsidR="001B037A" w:rsidRPr="002B49DD">
        <w:rPr>
          <w:rFonts w:asciiTheme="minorHAnsi" w:hAnsiTheme="minorHAnsi" w:cs="Arial"/>
          <w:color w:val="000000" w:themeColor="text1"/>
          <w:sz w:val="24"/>
          <w:szCs w:val="24"/>
        </w:rPr>
        <w:t>’</w:t>
      </w:r>
      <w:r w:rsidR="00946AB4" w:rsidRPr="002B49DD">
        <w:rPr>
          <w:rFonts w:asciiTheme="minorHAnsi" w:hAnsiTheme="minorHAnsi" w:cs="Arial"/>
          <w:color w:val="000000" w:themeColor="text1"/>
          <w:sz w:val="24"/>
          <w:szCs w:val="24"/>
        </w:rPr>
        <w:t>s visions and objectives</w:t>
      </w:r>
      <w:r w:rsidR="00042F70" w:rsidRPr="002B49DD">
        <w:rPr>
          <w:rFonts w:asciiTheme="minorHAnsi" w:hAnsiTheme="minorHAnsi" w:cs="Arial"/>
          <w:color w:val="000000" w:themeColor="text1"/>
          <w:sz w:val="24"/>
          <w:szCs w:val="24"/>
        </w:rPr>
        <w:t xml:space="preserve">, creating employee alignment and engagement. </w:t>
      </w:r>
      <w:sdt>
        <w:sdtPr>
          <w:rPr>
            <w:rFonts w:asciiTheme="minorHAnsi" w:hAnsiTheme="minorHAnsi" w:cs="Arial"/>
            <w:color w:val="000000" w:themeColor="text1"/>
            <w:sz w:val="24"/>
            <w:szCs w:val="24"/>
          </w:rPr>
          <w:id w:val="278919007"/>
          <w:citation/>
        </w:sdtPr>
        <w:sdtEndPr/>
        <w:sdtContent>
          <w:r w:rsidR="00133FB3" w:rsidRPr="002B49DD">
            <w:rPr>
              <w:rFonts w:asciiTheme="minorHAnsi" w:hAnsiTheme="minorHAnsi" w:cs="Arial"/>
              <w:color w:val="000000" w:themeColor="text1"/>
              <w:sz w:val="24"/>
              <w:szCs w:val="24"/>
            </w:rPr>
            <w:fldChar w:fldCharType="begin"/>
          </w:r>
          <w:r w:rsidR="00133FB3" w:rsidRPr="002B49DD">
            <w:rPr>
              <w:rFonts w:asciiTheme="minorHAnsi" w:hAnsiTheme="minorHAnsi" w:cs="Arial"/>
              <w:color w:val="000000" w:themeColor="text1"/>
              <w:sz w:val="24"/>
              <w:szCs w:val="24"/>
            </w:rPr>
            <w:instrText xml:space="preserve"> CITATION CIP212 \l 2057 </w:instrText>
          </w:r>
          <w:r w:rsidR="00133FB3" w:rsidRPr="002B49DD">
            <w:rPr>
              <w:rFonts w:asciiTheme="minorHAnsi" w:hAnsiTheme="minorHAnsi" w:cs="Arial"/>
              <w:color w:val="000000" w:themeColor="text1"/>
              <w:sz w:val="24"/>
              <w:szCs w:val="24"/>
            </w:rPr>
            <w:fldChar w:fldCharType="separate"/>
          </w:r>
          <w:r w:rsidR="00133FB3" w:rsidRPr="002B49DD">
            <w:rPr>
              <w:rFonts w:asciiTheme="minorHAnsi" w:hAnsiTheme="minorHAnsi" w:cs="Arial"/>
              <w:noProof/>
              <w:color w:val="000000" w:themeColor="text1"/>
              <w:sz w:val="24"/>
              <w:szCs w:val="24"/>
            </w:rPr>
            <w:t>(CIPD, Employee Communication, 2021)</w:t>
          </w:r>
          <w:r w:rsidR="00133FB3" w:rsidRPr="002B49DD">
            <w:rPr>
              <w:rFonts w:asciiTheme="minorHAnsi" w:hAnsiTheme="minorHAnsi" w:cs="Arial"/>
              <w:color w:val="000000" w:themeColor="text1"/>
              <w:sz w:val="24"/>
              <w:szCs w:val="24"/>
            </w:rPr>
            <w:fldChar w:fldCharType="end"/>
          </w:r>
        </w:sdtContent>
      </w:sdt>
      <w:sdt>
        <w:sdtPr>
          <w:rPr>
            <w:rFonts w:asciiTheme="minorHAnsi" w:hAnsiTheme="minorHAnsi" w:cs="Arial"/>
            <w:color w:val="000000" w:themeColor="text1"/>
            <w:sz w:val="24"/>
            <w:szCs w:val="24"/>
          </w:rPr>
          <w:id w:val="-1042897029"/>
          <w:citation/>
        </w:sdtPr>
        <w:sdtEndPr/>
        <w:sdtContent>
          <w:r w:rsidR="00133FB3" w:rsidRPr="002B49DD">
            <w:rPr>
              <w:rFonts w:asciiTheme="minorHAnsi" w:hAnsiTheme="minorHAnsi" w:cs="Arial"/>
              <w:color w:val="000000" w:themeColor="text1"/>
              <w:sz w:val="24"/>
              <w:szCs w:val="24"/>
            </w:rPr>
            <w:fldChar w:fldCharType="begin"/>
          </w:r>
          <w:r w:rsidR="00133FB3" w:rsidRPr="002B49DD">
            <w:rPr>
              <w:rFonts w:asciiTheme="minorHAnsi" w:hAnsiTheme="minorHAnsi" w:cs="Arial"/>
              <w:color w:val="000000" w:themeColor="text1"/>
              <w:sz w:val="24"/>
              <w:szCs w:val="24"/>
            </w:rPr>
            <w:instrText xml:space="preserve"> CITATION CIP21 \l 2057 </w:instrText>
          </w:r>
          <w:r w:rsidR="00133FB3" w:rsidRPr="002B49DD">
            <w:rPr>
              <w:rFonts w:asciiTheme="minorHAnsi" w:hAnsiTheme="minorHAnsi" w:cs="Arial"/>
              <w:color w:val="000000" w:themeColor="text1"/>
              <w:sz w:val="24"/>
              <w:szCs w:val="24"/>
            </w:rPr>
            <w:fldChar w:fldCharType="separate"/>
          </w:r>
          <w:r w:rsidR="00133FB3" w:rsidRPr="002B49DD">
            <w:rPr>
              <w:rFonts w:asciiTheme="minorHAnsi" w:hAnsiTheme="minorHAnsi" w:cs="Arial"/>
              <w:noProof/>
              <w:color w:val="000000" w:themeColor="text1"/>
              <w:sz w:val="24"/>
              <w:szCs w:val="24"/>
            </w:rPr>
            <w:t xml:space="preserve"> (CIPD, Employee Engagement and Motivation, 2021)</w:t>
          </w:r>
          <w:r w:rsidR="00133FB3" w:rsidRPr="002B49DD">
            <w:rPr>
              <w:rFonts w:asciiTheme="minorHAnsi" w:hAnsiTheme="minorHAnsi" w:cs="Arial"/>
              <w:color w:val="000000" w:themeColor="text1"/>
              <w:sz w:val="24"/>
              <w:szCs w:val="24"/>
            </w:rPr>
            <w:fldChar w:fldCharType="end"/>
          </w:r>
        </w:sdtContent>
      </w:sdt>
    </w:p>
    <w:p w14:paraId="7BB1A432" w14:textId="7FB6F923" w:rsidR="00543BE9" w:rsidRPr="002B49DD" w:rsidRDefault="0039109A" w:rsidP="002C52D2">
      <w:p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In evaluating p</w:t>
      </w:r>
      <w:r w:rsidR="001B037A" w:rsidRPr="002B49DD">
        <w:rPr>
          <w:rFonts w:asciiTheme="minorHAnsi" w:hAnsiTheme="minorHAnsi" w:cs="Arial"/>
          <w:color w:val="000000" w:themeColor="text1"/>
          <w:sz w:val="24"/>
          <w:szCs w:val="24"/>
        </w:rPr>
        <w:t xml:space="preserve">otential benefits </w:t>
      </w:r>
      <w:r w:rsidRPr="002B49DD">
        <w:rPr>
          <w:rFonts w:asciiTheme="minorHAnsi" w:hAnsiTheme="minorHAnsi" w:cs="Arial"/>
          <w:color w:val="000000" w:themeColor="text1"/>
          <w:sz w:val="24"/>
          <w:szCs w:val="24"/>
        </w:rPr>
        <w:t xml:space="preserve">for </w:t>
      </w:r>
      <w:r w:rsidR="00671E26" w:rsidRPr="002B49DD">
        <w:rPr>
          <w:rFonts w:asciiTheme="minorHAnsi" w:hAnsiTheme="minorHAnsi" w:cs="Arial"/>
          <w:color w:val="000000" w:themeColor="text1"/>
          <w:sz w:val="24"/>
          <w:szCs w:val="24"/>
        </w:rPr>
        <w:t>stakeholders,</w:t>
      </w:r>
      <w:r w:rsidRPr="002B49DD">
        <w:rPr>
          <w:rFonts w:asciiTheme="minorHAnsi" w:hAnsiTheme="minorHAnsi" w:cs="Arial"/>
          <w:color w:val="000000" w:themeColor="text1"/>
          <w:sz w:val="24"/>
          <w:szCs w:val="24"/>
        </w:rPr>
        <w:t xml:space="preserve"> we can </w:t>
      </w:r>
      <w:r w:rsidR="00543BE9" w:rsidRPr="002B49DD">
        <w:rPr>
          <w:rFonts w:asciiTheme="minorHAnsi" w:hAnsiTheme="minorHAnsi" w:cs="Arial"/>
          <w:color w:val="000000" w:themeColor="text1"/>
          <w:sz w:val="24"/>
          <w:szCs w:val="24"/>
        </w:rPr>
        <w:t xml:space="preserve">firstly </w:t>
      </w:r>
      <w:r w:rsidRPr="002B49DD">
        <w:rPr>
          <w:rFonts w:asciiTheme="minorHAnsi" w:hAnsiTheme="minorHAnsi" w:cs="Arial"/>
          <w:color w:val="000000" w:themeColor="text1"/>
          <w:sz w:val="24"/>
          <w:szCs w:val="24"/>
        </w:rPr>
        <w:t>consider</w:t>
      </w:r>
      <w:r w:rsidR="00543BE9" w:rsidRPr="002B49DD">
        <w:rPr>
          <w:rFonts w:asciiTheme="minorHAnsi" w:hAnsiTheme="minorHAnsi" w:cs="Arial"/>
          <w:color w:val="000000" w:themeColor="text1"/>
          <w:sz w:val="24"/>
          <w:szCs w:val="24"/>
        </w:rPr>
        <w:t xml:space="preserve"> who they are. They are the</w:t>
      </w:r>
      <w:r w:rsidRPr="002B49DD">
        <w:rPr>
          <w:rFonts w:asciiTheme="minorHAnsi" w:hAnsiTheme="minorHAnsi" w:cs="Arial"/>
          <w:color w:val="000000" w:themeColor="text1"/>
          <w:sz w:val="24"/>
          <w:szCs w:val="24"/>
        </w:rPr>
        <w:t xml:space="preserve"> organisation</w:t>
      </w:r>
      <w:r w:rsidR="00543BE9" w:rsidRPr="002B49DD">
        <w:rPr>
          <w:rFonts w:asciiTheme="minorHAnsi" w:hAnsiTheme="minorHAnsi" w:cs="Arial"/>
          <w:color w:val="000000" w:themeColor="text1"/>
          <w:sz w:val="24"/>
          <w:szCs w:val="24"/>
        </w:rPr>
        <w:t xml:space="preserve"> owners, managers</w:t>
      </w:r>
      <w:r w:rsidRPr="002B49DD">
        <w:rPr>
          <w:rFonts w:asciiTheme="minorHAnsi" w:hAnsiTheme="minorHAnsi" w:cs="Arial"/>
          <w:color w:val="000000" w:themeColor="text1"/>
          <w:sz w:val="24"/>
          <w:szCs w:val="24"/>
        </w:rPr>
        <w:t>, the employees,</w:t>
      </w:r>
      <w:r w:rsidR="00F26D9C" w:rsidRPr="002B49DD">
        <w:rPr>
          <w:rFonts w:asciiTheme="minorHAnsi" w:hAnsiTheme="minorHAnsi" w:cs="Arial"/>
          <w:color w:val="000000" w:themeColor="text1"/>
          <w:sz w:val="24"/>
          <w:szCs w:val="24"/>
        </w:rPr>
        <w:t xml:space="preserve"> </w:t>
      </w:r>
      <w:r w:rsidR="00543BE9" w:rsidRPr="002B49DD">
        <w:rPr>
          <w:rFonts w:asciiTheme="minorHAnsi" w:hAnsiTheme="minorHAnsi" w:cs="Arial"/>
          <w:color w:val="000000" w:themeColor="text1"/>
          <w:sz w:val="24"/>
          <w:szCs w:val="24"/>
        </w:rPr>
        <w:t>the suppliers,</w:t>
      </w:r>
      <w:r w:rsidR="00F26D9C" w:rsidRPr="002B49DD">
        <w:rPr>
          <w:rFonts w:asciiTheme="minorHAnsi" w:hAnsiTheme="minorHAnsi" w:cs="Arial"/>
          <w:color w:val="000000" w:themeColor="text1"/>
          <w:sz w:val="24"/>
          <w:szCs w:val="24"/>
        </w:rPr>
        <w:t xml:space="preserve"> </w:t>
      </w:r>
      <w:r w:rsidR="00543BE9" w:rsidRPr="002B49DD">
        <w:rPr>
          <w:rFonts w:asciiTheme="minorHAnsi" w:hAnsiTheme="minorHAnsi" w:cs="Arial"/>
          <w:color w:val="000000" w:themeColor="text1"/>
          <w:sz w:val="24"/>
          <w:szCs w:val="24"/>
        </w:rPr>
        <w:t>society</w:t>
      </w:r>
      <w:r w:rsidR="001060CA" w:rsidRPr="002B49DD">
        <w:rPr>
          <w:rFonts w:asciiTheme="minorHAnsi" w:hAnsiTheme="minorHAnsi" w:cs="Arial"/>
          <w:color w:val="000000" w:themeColor="text1"/>
          <w:sz w:val="24"/>
          <w:szCs w:val="24"/>
        </w:rPr>
        <w:t>, customers</w:t>
      </w:r>
      <w:r w:rsidR="00543BE9" w:rsidRPr="002B49DD">
        <w:rPr>
          <w:rFonts w:asciiTheme="minorHAnsi" w:hAnsiTheme="minorHAnsi" w:cs="Arial"/>
          <w:color w:val="000000" w:themeColor="text1"/>
          <w:sz w:val="24"/>
          <w:szCs w:val="24"/>
        </w:rPr>
        <w:t xml:space="preserve"> and those who enforce business law. </w:t>
      </w:r>
    </w:p>
    <w:p w14:paraId="442C9FDC" w14:textId="18D605A1" w:rsidR="001060CA" w:rsidRPr="002B49DD" w:rsidRDefault="0039109A" w:rsidP="002C52D2">
      <w:p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The</w:t>
      </w:r>
      <w:r w:rsidR="00F26D9C" w:rsidRPr="002B49DD">
        <w:rPr>
          <w:rFonts w:asciiTheme="minorHAnsi" w:hAnsiTheme="minorHAnsi" w:cs="Arial"/>
          <w:color w:val="000000" w:themeColor="text1"/>
          <w:sz w:val="24"/>
          <w:szCs w:val="24"/>
        </w:rPr>
        <w:t xml:space="preserve"> benefits for the organisations, owners and managers is that engaged employees</w:t>
      </w:r>
      <w:r w:rsidRPr="002B49DD">
        <w:rPr>
          <w:rFonts w:asciiTheme="minorHAnsi" w:hAnsiTheme="minorHAnsi" w:cs="Arial"/>
          <w:color w:val="000000" w:themeColor="text1"/>
          <w:sz w:val="24"/>
          <w:szCs w:val="24"/>
        </w:rPr>
        <w:t xml:space="preserve"> </w:t>
      </w:r>
      <w:r w:rsidR="00F26D9C" w:rsidRPr="002B49DD">
        <w:rPr>
          <w:rFonts w:asciiTheme="minorHAnsi" w:hAnsiTheme="minorHAnsi" w:cs="Arial"/>
          <w:color w:val="000000" w:themeColor="text1"/>
          <w:sz w:val="24"/>
          <w:szCs w:val="24"/>
        </w:rPr>
        <w:t>create</w:t>
      </w:r>
      <w:r w:rsidR="001B037A" w:rsidRPr="002B49DD">
        <w:rPr>
          <w:rFonts w:asciiTheme="minorHAnsi" w:hAnsiTheme="minorHAnsi" w:cs="Arial"/>
          <w:color w:val="000000" w:themeColor="text1"/>
          <w:sz w:val="24"/>
          <w:szCs w:val="24"/>
        </w:rPr>
        <w:t xml:space="preserve"> a better work culture,</w:t>
      </w:r>
      <w:r w:rsidR="00F26D9C" w:rsidRPr="002B49DD">
        <w:rPr>
          <w:rFonts w:asciiTheme="minorHAnsi" w:hAnsiTheme="minorHAnsi" w:cs="Arial"/>
          <w:color w:val="000000" w:themeColor="text1"/>
          <w:sz w:val="24"/>
          <w:szCs w:val="24"/>
        </w:rPr>
        <w:t xml:space="preserve"> result in </w:t>
      </w:r>
      <w:r w:rsidR="001B037A" w:rsidRPr="002B49DD">
        <w:rPr>
          <w:rFonts w:asciiTheme="minorHAnsi" w:hAnsiTheme="minorHAnsi" w:cs="Arial"/>
          <w:color w:val="000000" w:themeColor="text1"/>
          <w:sz w:val="24"/>
          <w:szCs w:val="24"/>
        </w:rPr>
        <w:t xml:space="preserve">reduced staff turnover, increase productivity, studies indicate that productivity can be boosted by figures such as 12%. A study by Gallup in 2017 revealed that connected teams are 21% more productive. </w:t>
      </w:r>
      <w:r w:rsidR="001060CA" w:rsidRPr="002B49DD">
        <w:rPr>
          <w:rFonts w:asciiTheme="minorHAnsi" w:hAnsiTheme="minorHAnsi" w:cs="Arial"/>
          <w:color w:val="000000" w:themeColor="text1"/>
          <w:sz w:val="24"/>
          <w:szCs w:val="24"/>
        </w:rPr>
        <w:t xml:space="preserve">Organisations will then be rewarded with loyalty and better quality of work. Employees who work hard give the culture a positive feeling which can then lead to innovation. This leads to holding pride in who you work for. </w:t>
      </w:r>
      <w:sdt>
        <w:sdtPr>
          <w:rPr>
            <w:rFonts w:asciiTheme="minorHAnsi" w:hAnsiTheme="minorHAnsi" w:cs="Arial"/>
            <w:color w:val="000000" w:themeColor="text1"/>
            <w:sz w:val="24"/>
            <w:szCs w:val="24"/>
          </w:rPr>
          <w:id w:val="389928420"/>
          <w:citation/>
        </w:sdtPr>
        <w:sdtEndPr/>
        <w:sdtContent>
          <w:r w:rsidR="00B572E5" w:rsidRPr="002B49DD">
            <w:rPr>
              <w:rFonts w:asciiTheme="minorHAnsi" w:hAnsiTheme="minorHAnsi" w:cs="Arial"/>
              <w:color w:val="000000" w:themeColor="text1"/>
              <w:sz w:val="24"/>
              <w:szCs w:val="24"/>
            </w:rPr>
            <w:fldChar w:fldCharType="begin"/>
          </w:r>
          <w:r w:rsidR="00B572E5" w:rsidRPr="002B49DD">
            <w:rPr>
              <w:rFonts w:asciiTheme="minorHAnsi" w:hAnsiTheme="minorHAnsi" w:cs="Arial"/>
              <w:color w:val="000000" w:themeColor="text1"/>
              <w:sz w:val="24"/>
              <w:szCs w:val="24"/>
            </w:rPr>
            <w:instrText xml:space="preserve"> CITATION Gal17 \l 2057 </w:instrText>
          </w:r>
          <w:r w:rsidR="00B572E5" w:rsidRPr="002B49DD">
            <w:rPr>
              <w:rFonts w:asciiTheme="minorHAnsi" w:hAnsiTheme="minorHAnsi" w:cs="Arial"/>
              <w:color w:val="000000" w:themeColor="text1"/>
              <w:sz w:val="24"/>
              <w:szCs w:val="24"/>
            </w:rPr>
            <w:fldChar w:fldCharType="separate"/>
          </w:r>
          <w:r w:rsidR="00B572E5" w:rsidRPr="002B49DD">
            <w:rPr>
              <w:rFonts w:asciiTheme="minorHAnsi" w:hAnsiTheme="minorHAnsi" w:cs="Arial"/>
              <w:noProof/>
              <w:color w:val="000000" w:themeColor="text1"/>
              <w:sz w:val="24"/>
              <w:szCs w:val="24"/>
            </w:rPr>
            <w:t>(Gallup, 2017)</w:t>
          </w:r>
          <w:r w:rsidR="00B572E5" w:rsidRPr="002B49DD">
            <w:rPr>
              <w:rFonts w:asciiTheme="minorHAnsi" w:hAnsiTheme="minorHAnsi" w:cs="Arial"/>
              <w:color w:val="000000" w:themeColor="text1"/>
              <w:sz w:val="24"/>
              <w:szCs w:val="24"/>
            </w:rPr>
            <w:fldChar w:fldCharType="end"/>
          </w:r>
        </w:sdtContent>
      </w:sdt>
    </w:p>
    <w:p w14:paraId="2317922F" w14:textId="77119C56" w:rsidR="00F26D9C" w:rsidRPr="002B49DD" w:rsidRDefault="001B037A" w:rsidP="002C52D2">
      <w:p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Productivity increases then</w:t>
      </w:r>
      <w:r w:rsidR="00F26D9C" w:rsidRPr="002B49DD">
        <w:rPr>
          <w:rFonts w:asciiTheme="minorHAnsi" w:hAnsiTheme="minorHAnsi" w:cs="Arial"/>
          <w:color w:val="000000" w:themeColor="text1"/>
          <w:sz w:val="24"/>
          <w:szCs w:val="24"/>
        </w:rPr>
        <w:t xml:space="preserve"> that</w:t>
      </w:r>
      <w:r w:rsidRPr="002B49DD">
        <w:rPr>
          <w:rFonts w:asciiTheme="minorHAnsi" w:hAnsiTheme="minorHAnsi" w:cs="Arial"/>
          <w:color w:val="000000" w:themeColor="text1"/>
          <w:sz w:val="24"/>
          <w:szCs w:val="24"/>
        </w:rPr>
        <w:t xml:space="preserve"> increase</w:t>
      </w:r>
      <w:r w:rsidR="00F26D9C" w:rsidRPr="002B49DD">
        <w:rPr>
          <w:rFonts w:asciiTheme="minorHAnsi" w:hAnsiTheme="minorHAnsi" w:cs="Arial"/>
          <w:color w:val="000000" w:themeColor="text1"/>
          <w:sz w:val="24"/>
          <w:szCs w:val="24"/>
        </w:rPr>
        <w:t>s</w:t>
      </w:r>
      <w:r w:rsidRPr="002B49DD">
        <w:rPr>
          <w:rFonts w:asciiTheme="minorHAnsi" w:hAnsiTheme="minorHAnsi" w:cs="Arial"/>
          <w:color w:val="000000" w:themeColor="text1"/>
          <w:sz w:val="24"/>
          <w:szCs w:val="24"/>
        </w:rPr>
        <w:t xml:space="preserve"> revenue</w:t>
      </w:r>
      <w:r w:rsidR="001060CA" w:rsidRPr="002B49DD">
        <w:rPr>
          <w:rFonts w:asciiTheme="minorHAnsi" w:hAnsiTheme="minorHAnsi" w:cs="Arial"/>
          <w:color w:val="000000" w:themeColor="text1"/>
          <w:sz w:val="24"/>
          <w:szCs w:val="24"/>
        </w:rPr>
        <w:t xml:space="preserve"> which benefits the organisation</w:t>
      </w:r>
      <w:r w:rsidRPr="002B49DD">
        <w:rPr>
          <w:rFonts w:asciiTheme="minorHAnsi" w:hAnsiTheme="minorHAnsi" w:cs="Arial"/>
          <w:color w:val="000000" w:themeColor="text1"/>
          <w:sz w:val="24"/>
          <w:szCs w:val="24"/>
        </w:rPr>
        <w:t xml:space="preserve">. </w:t>
      </w:r>
      <w:r w:rsidR="00F26D9C" w:rsidRPr="002B49DD">
        <w:rPr>
          <w:rFonts w:asciiTheme="minorHAnsi" w:hAnsiTheme="minorHAnsi" w:cs="Arial"/>
          <w:color w:val="000000" w:themeColor="text1"/>
          <w:sz w:val="24"/>
          <w:szCs w:val="24"/>
        </w:rPr>
        <w:t xml:space="preserve">Suppliers can benefit as they may be needed to </w:t>
      </w:r>
      <w:r w:rsidR="001060CA" w:rsidRPr="002B49DD">
        <w:rPr>
          <w:rFonts w:asciiTheme="minorHAnsi" w:hAnsiTheme="minorHAnsi" w:cs="Arial"/>
          <w:color w:val="000000" w:themeColor="text1"/>
          <w:sz w:val="24"/>
          <w:szCs w:val="24"/>
        </w:rPr>
        <w:t>supply</w:t>
      </w:r>
      <w:r w:rsidR="00F26D9C" w:rsidRPr="002B49DD">
        <w:rPr>
          <w:rFonts w:asciiTheme="minorHAnsi" w:hAnsiTheme="minorHAnsi" w:cs="Arial"/>
          <w:color w:val="000000" w:themeColor="text1"/>
          <w:sz w:val="24"/>
          <w:szCs w:val="24"/>
        </w:rPr>
        <w:t xml:space="preserve"> more when productivity increases. This strengthens their business and provides stability for their employees. The economy then grows</w:t>
      </w:r>
      <w:r w:rsidR="001060CA" w:rsidRPr="002B49DD">
        <w:rPr>
          <w:rFonts w:asciiTheme="minorHAnsi" w:hAnsiTheme="minorHAnsi" w:cs="Arial"/>
          <w:color w:val="000000" w:themeColor="text1"/>
          <w:sz w:val="24"/>
          <w:szCs w:val="24"/>
        </w:rPr>
        <w:t xml:space="preserve"> which affects the wider society. The wider society also benefits from employees being fit and healthy and happier. This reduces a drain on health services and provides stability to families as families do not suffer under any resulting strains of unhappiness or poor health. </w:t>
      </w:r>
      <w:sdt>
        <w:sdtPr>
          <w:rPr>
            <w:rFonts w:asciiTheme="minorHAnsi" w:hAnsiTheme="minorHAnsi" w:cs="Arial"/>
            <w:color w:val="000000" w:themeColor="text1"/>
            <w:sz w:val="24"/>
            <w:szCs w:val="24"/>
          </w:rPr>
          <w:id w:val="986826499"/>
          <w:citation/>
        </w:sdtPr>
        <w:sdtEndPr/>
        <w:sdtContent>
          <w:r w:rsidR="00261CAA" w:rsidRPr="002B49DD">
            <w:rPr>
              <w:rFonts w:asciiTheme="minorHAnsi" w:hAnsiTheme="minorHAnsi" w:cs="Arial"/>
              <w:color w:val="000000" w:themeColor="text1"/>
              <w:sz w:val="24"/>
              <w:szCs w:val="24"/>
            </w:rPr>
            <w:fldChar w:fldCharType="begin"/>
          </w:r>
          <w:r w:rsidR="00261CAA" w:rsidRPr="002B49DD">
            <w:rPr>
              <w:rFonts w:asciiTheme="minorHAnsi" w:hAnsiTheme="minorHAnsi" w:cs="Arial"/>
              <w:color w:val="000000" w:themeColor="text1"/>
              <w:sz w:val="24"/>
              <w:szCs w:val="24"/>
            </w:rPr>
            <w:instrText xml:space="preserve"> CITATION Wig21 \l 2057 </w:instrText>
          </w:r>
          <w:r w:rsidR="00261CAA" w:rsidRPr="002B49DD">
            <w:rPr>
              <w:rFonts w:asciiTheme="minorHAnsi" w:hAnsiTheme="minorHAnsi" w:cs="Arial"/>
              <w:color w:val="000000" w:themeColor="text1"/>
              <w:sz w:val="24"/>
              <w:szCs w:val="24"/>
            </w:rPr>
            <w:fldChar w:fldCharType="separate"/>
          </w:r>
          <w:r w:rsidR="00261CAA" w:rsidRPr="002B49DD">
            <w:rPr>
              <w:rFonts w:asciiTheme="minorHAnsi" w:hAnsiTheme="minorHAnsi" w:cs="Arial"/>
              <w:noProof/>
              <w:color w:val="000000" w:themeColor="text1"/>
              <w:sz w:val="24"/>
              <w:szCs w:val="24"/>
            </w:rPr>
            <w:t>(Wigert, 2021)</w:t>
          </w:r>
          <w:r w:rsidR="00261CAA" w:rsidRPr="002B49DD">
            <w:rPr>
              <w:rFonts w:asciiTheme="minorHAnsi" w:hAnsiTheme="minorHAnsi" w:cs="Arial"/>
              <w:color w:val="000000" w:themeColor="text1"/>
              <w:sz w:val="24"/>
              <w:szCs w:val="24"/>
            </w:rPr>
            <w:fldChar w:fldCharType="end"/>
          </w:r>
        </w:sdtContent>
      </w:sdt>
    </w:p>
    <w:p w14:paraId="0FD5649D" w14:textId="7D56D6D7" w:rsidR="001B037A" w:rsidRPr="002B49DD" w:rsidRDefault="00F26D9C" w:rsidP="002C52D2">
      <w:p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 xml:space="preserve">For customers </w:t>
      </w:r>
      <w:r w:rsidR="00902F31" w:rsidRPr="002B49DD">
        <w:rPr>
          <w:rFonts w:asciiTheme="minorHAnsi" w:hAnsiTheme="minorHAnsi" w:cs="Arial"/>
          <w:color w:val="000000" w:themeColor="text1"/>
          <w:sz w:val="24"/>
          <w:szCs w:val="24"/>
        </w:rPr>
        <w:t>engagement</w:t>
      </w:r>
      <w:r w:rsidR="001B037A" w:rsidRPr="002B49DD">
        <w:rPr>
          <w:rFonts w:asciiTheme="minorHAnsi" w:hAnsiTheme="minorHAnsi" w:cs="Arial"/>
          <w:color w:val="000000" w:themeColor="text1"/>
          <w:sz w:val="24"/>
          <w:szCs w:val="24"/>
        </w:rPr>
        <w:t xml:space="preserve"> employees leads to </w:t>
      </w:r>
      <w:r w:rsidR="00E67B6F" w:rsidRPr="002B49DD">
        <w:rPr>
          <w:rFonts w:asciiTheme="minorHAnsi" w:hAnsiTheme="minorHAnsi" w:cs="Arial"/>
          <w:color w:val="000000" w:themeColor="text1"/>
          <w:sz w:val="24"/>
          <w:szCs w:val="24"/>
        </w:rPr>
        <w:t xml:space="preserve">a better service. </w:t>
      </w:r>
      <w:r w:rsidR="00902F31" w:rsidRPr="002B49DD">
        <w:rPr>
          <w:rFonts w:asciiTheme="minorHAnsi" w:hAnsiTheme="minorHAnsi" w:cs="Arial"/>
          <w:color w:val="000000" w:themeColor="text1"/>
          <w:sz w:val="24"/>
          <w:szCs w:val="24"/>
        </w:rPr>
        <w:t xml:space="preserve">This can be on a face to face, verbal or written level. Accuracy in dealings as well as manner and </w:t>
      </w:r>
      <w:r w:rsidR="004B07F8" w:rsidRPr="002B49DD">
        <w:rPr>
          <w:rFonts w:asciiTheme="minorHAnsi" w:hAnsiTheme="minorHAnsi" w:cs="Arial"/>
          <w:color w:val="000000" w:themeColor="text1"/>
          <w:sz w:val="24"/>
          <w:szCs w:val="24"/>
        </w:rPr>
        <w:t xml:space="preserve">provision of a better customer experience. This is turn benefits the organisation through positive customer feedback and customer loyalty. The brand experience is strengthened through employees being more customer-focused.  </w:t>
      </w:r>
      <w:sdt>
        <w:sdtPr>
          <w:rPr>
            <w:rFonts w:asciiTheme="minorHAnsi" w:hAnsiTheme="minorHAnsi" w:cs="Arial"/>
            <w:color w:val="000000" w:themeColor="text1"/>
            <w:sz w:val="24"/>
            <w:szCs w:val="24"/>
          </w:rPr>
          <w:id w:val="1160200572"/>
          <w:citation/>
        </w:sdtPr>
        <w:sdtEndPr/>
        <w:sdtContent>
          <w:r w:rsidR="00B06C94" w:rsidRPr="002B49DD">
            <w:rPr>
              <w:rFonts w:asciiTheme="minorHAnsi" w:hAnsiTheme="minorHAnsi" w:cs="Arial"/>
              <w:color w:val="000000" w:themeColor="text1"/>
              <w:sz w:val="24"/>
              <w:szCs w:val="24"/>
            </w:rPr>
            <w:fldChar w:fldCharType="begin"/>
          </w:r>
          <w:r w:rsidR="00B06C94" w:rsidRPr="002B49DD">
            <w:rPr>
              <w:rFonts w:asciiTheme="minorHAnsi" w:hAnsiTheme="minorHAnsi" w:cs="Arial"/>
              <w:color w:val="000000" w:themeColor="text1"/>
              <w:sz w:val="24"/>
              <w:szCs w:val="24"/>
            </w:rPr>
            <w:instrText xml:space="preserve"> CITATION The20 \l 2057 </w:instrText>
          </w:r>
          <w:r w:rsidR="00B06C94" w:rsidRPr="002B49DD">
            <w:rPr>
              <w:rFonts w:asciiTheme="minorHAnsi" w:hAnsiTheme="minorHAnsi" w:cs="Arial"/>
              <w:color w:val="000000" w:themeColor="text1"/>
              <w:sz w:val="24"/>
              <w:szCs w:val="24"/>
            </w:rPr>
            <w:fldChar w:fldCharType="separate"/>
          </w:r>
          <w:r w:rsidR="00B06C94" w:rsidRPr="002B49DD">
            <w:rPr>
              <w:rFonts w:asciiTheme="minorHAnsi" w:hAnsiTheme="minorHAnsi" w:cs="Arial"/>
              <w:noProof/>
              <w:color w:val="000000" w:themeColor="text1"/>
              <w:sz w:val="24"/>
              <w:szCs w:val="24"/>
            </w:rPr>
            <w:t>(Service, 2020)</w:t>
          </w:r>
          <w:r w:rsidR="00B06C94" w:rsidRPr="002B49DD">
            <w:rPr>
              <w:rFonts w:asciiTheme="minorHAnsi" w:hAnsiTheme="minorHAnsi" w:cs="Arial"/>
              <w:color w:val="000000" w:themeColor="text1"/>
              <w:sz w:val="24"/>
              <w:szCs w:val="24"/>
            </w:rPr>
            <w:fldChar w:fldCharType="end"/>
          </w:r>
        </w:sdtContent>
      </w:sdt>
    </w:p>
    <w:p w14:paraId="6F544933" w14:textId="15B0DD45" w:rsidR="00181A61" w:rsidRPr="002B49DD" w:rsidRDefault="00181A61" w:rsidP="002C52D2">
      <w:p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 xml:space="preserve">Enforcement agencies and also advisory bodies that interact with businesses can benefit from employee engagement through employees working safer, being less stressed and being fit for work. Engaged employees tend to work more compliantly as opposed to defiantly. This can reduce for example the </w:t>
      </w:r>
      <w:proofErr w:type="gramStart"/>
      <w:r w:rsidRPr="002B49DD">
        <w:rPr>
          <w:rFonts w:asciiTheme="minorHAnsi" w:hAnsiTheme="minorHAnsi" w:cs="Arial"/>
          <w:color w:val="000000" w:themeColor="text1"/>
          <w:sz w:val="24"/>
          <w:szCs w:val="24"/>
        </w:rPr>
        <w:t>amount</w:t>
      </w:r>
      <w:proofErr w:type="gramEnd"/>
      <w:r w:rsidRPr="002B49DD">
        <w:rPr>
          <w:rFonts w:asciiTheme="minorHAnsi" w:hAnsiTheme="minorHAnsi" w:cs="Arial"/>
          <w:color w:val="000000" w:themeColor="text1"/>
          <w:sz w:val="24"/>
          <w:szCs w:val="24"/>
        </w:rPr>
        <w:t xml:space="preserve"> of incidences and accidents that may merit enforcement visits from the HSE or local authorities. </w:t>
      </w:r>
      <w:r w:rsidR="00C877AA" w:rsidRPr="002B49DD">
        <w:rPr>
          <w:rFonts w:asciiTheme="minorHAnsi" w:hAnsiTheme="minorHAnsi" w:cs="Arial"/>
          <w:color w:val="000000" w:themeColor="text1"/>
          <w:sz w:val="24"/>
          <w:szCs w:val="24"/>
        </w:rPr>
        <w:t xml:space="preserve">The HSE for instance promotes and encourages consulting and involving workers. </w:t>
      </w:r>
      <w:sdt>
        <w:sdtPr>
          <w:rPr>
            <w:rFonts w:asciiTheme="minorHAnsi" w:hAnsiTheme="minorHAnsi" w:cs="Arial"/>
            <w:color w:val="000000" w:themeColor="text1"/>
            <w:sz w:val="24"/>
            <w:szCs w:val="24"/>
          </w:rPr>
          <w:id w:val="-1039359846"/>
          <w:citation/>
        </w:sdtPr>
        <w:sdtEndPr/>
        <w:sdtContent>
          <w:r w:rsidR="00C877AA" w:rsidRPr="002B49DD">
            <w:rPr>
              <w:rFonts w:asciiTheme="minorHAnsi" w:hAnsiTheme="minorHAnsi" w:cs="Arial"/>
              <w:color w:val="000000" w:themeColor="text1"/>
              <w:sz w:val="24"/>
              <w:szCs w:val="24"/>
            </w:rPr>
            <w:fldChar w:fldCharType="begin"/>
          </w:r>
          <w:r w:rsidR="00C877AA" w:rsidRPr="002B49DD">
            <w:rPr>
              <w:rFonts w:asciiTheme="minorHAnsi" w:hAnsiTheme="minorHAnsi" w:cs="Arial"/>
              <w:color w:val="000000" w:themeColor="text1"/>
              <w:sz w:val="24"/>
              <w:szCs w:val="24"/>
            </w:rPr>
            <w:instrText xml:space="preserve"> CITATION HSE22 \l 2057 </w:instrText>
          </w:r>
          <w:r w:rsidR="00C877AA" w:rsidRPr="002B49DD">
            <w:rPr>
              <w:rFonts w:asciiTheme="minorHAnsi" w:hAnsiTheme="minorHAnsi" w:cs="Arial"/>
              <w:color w:val="000000" w:themeColor="text1"/>
              <w:sz w:val="24"/>
              <w:szCs w:val="24"/>
            </w:rPr>
            <w:fldChar w:fldCharType="separate"/>
          </w:r>
          <w:r w:rsidR="00C877AA" w:rsidRPr="002B49DD">
            <w:rPr>
              <w:rFonts w:asciiTheme="minorHAnsi" w:hAnsiTheme="minorHAnsi" w:cs="Arial"/>
              <w:noProof/>
              <w:color w:val="000000" w:themeColor="text1"/>
              <w:sz w:val="24"/>
              <w:szCs w:val="24"/>
            </w:rPr>
            <w:t>(HSE, 2022)</w:t>
          </w:r>
          <w:r w:rsidR="00C877AA" w:rsidRPr="002B49DD">
            <w:rPr>
              <w:rFonts w:asciiTheme="minorHAnsi" w:hAnsiTheme="minorHAnsi" w:cs="Arial"/>
              <w:color w:val="000000" w:themeColor="text1"/>
              <w:sz w:val="24"/>
              <w:szCs w:val="24"/>
            </w:rPr>
            <w:fldChar w:fldCharType="end"/>
          </w:r>
        </w:sdtContent>
      </w:sdt>
      <w:r w:rsidR="00C877AA" w:rsidRPr="002B49DD">
        <w:rPr>
          <w:rFonts w:asciiTheme="minorHAnsi" w:hAnsiTheme="minorHAnsi" w:cs="Arial"/>
          <w:color w:val="000000" w:themeColor="text1"/>
          <w:sz w:val="24"/>
          <w:szCs w:val="24"/>
        </w:rPr>
        <w:t xml:space="preserve"> </w:t>
      </w:r>
      <w:r w:rsidRPr="002B49DD">
        <w:rPr>
          <w:rFonts w:asciiTheme="minorHAnsi" w:hAnsiTheme="minorHAnsi" w:cs="Arial"/>
          <w:color w:val="000000" w:themeColor="text1"/>
          <w:sz w:val="24"/>
          <w:szCs w:val="24"/>
        </w:rPr>
        <w:t xml:space="preserve">A more content workforce can also reduce interaction from bodies such as ACAS or solicitor intervention. </w:t>
      </w:r>
      <w:sdt>
        <w:sdtPr>
          <w:rPr>
            <w:rFonts w:asciiTheme="minorHAnsi" w:hAnsiTheme="minorHAnsi" w:cs="Arial"/>
            <w:color w:val="000000" w:themeColor="text1"/>
            <w:sz w:val="24"/>
            <w:szCs w:val="24"/>
          </w:rPr>
          <w:id w:val="-1590698186"/>
          <w:citation/>
        </w:sdtPr>
        <w:sdtEndPr/>
        <w:sdtContent>
          <w:r w:rsidR="00B06C94" w:rsidRPr="002B49DD">
            <w:rPr>
              <w:rFonts w:asciiTheme="minorHAnsi" w:hAnsiTheme="minorHAnsi" w:cs="Arial"/>
              <w:color w:val="000000" w:themeColor="text1"/>
              <w:sz w:val="24"/>
              <w:szCs w:val="24"/>
            </w:rPr>
            <w:fldChar w:fldCharType="begin"/>
          </w:r>
          <w:r w:rsidR="00B06C94" w:rsidRPr="002B49DD">
            <w:rPr>
              <w:rFonts w:asciiTheme="minorHAnsi" w:hAnsiTheme="minorHAnsi" w:cs="Arial"/>
              <w:color w:val="000000" w:themeColor="text1"/>
              <w:sz w:val="24"/>
              <w:szCs w:val="24"/>
            </w:rPr>
            <w:instrText xml:space="preserve"> CITATION ACA22 \l 2057 </w:instrText>
          </w:r>
          <w:r w:rsidR="00B06C94" w:rsidRPr="002B49DD">
            <w:rPr>
              <w:rFonts w:asciiTheme="minorHAnsi" w:hAnsiTheme="minorHAnsi" w:cs="Arial"/>
              <w:color w:val="000000" w:themeColor="text1"/>
              <w:sz w:val="24"/>
              <w:szCs w:val="24"/>
            </w:rPr>
            <w:fldChar w:fldCharType="separate"/>
          </w:r>
          <w:r w:rsidR="00B06C94" w:rsidRPr="002B49DD">
            <w:rPr>
              <w:rFonts w:asciiTheme="minorHAnsi" w:hAnsiTheme="minorHAnsi" w:cs="Arial"/>
              <w:noProof/>
              <w:color w:val="000000" w:themeColor="text1"/>
              <w:sz w:val="24"/>
              <w:szCs w:val="24"/>
            </w:rPr>
            <w:t>(ACAS, 2022)</w:t>
          </w:r>
          <w:r w:rsidR="00B06C94" w:rsidRPr="002B49DD">
            <w:rPr>
              <w:rFonts w:asciiTheme="minorHAnsi" w:hAnsiTheme="minorHAnsi" w:cs="Arial"/>
              <w:color w:val="000000" w:themeColor="text1"/>
              <w:sz w:val="24"/>
              <w:szCs w:val="24"/>
            </w:rPr>
            <w:fldChar w:fldCharType="end"/>
          </w:r>
        </w:sdtContent>
      </w:sdt>
    </w:p>
    <w:p w14:paraId="70F6F137" w14:textId="3754AAF5" w:rsidR="009219BA" w:rsidRPr="002B49DD" w:rsidRDefault="009219BA" w:rsidP="002C52D2">
      <w:pPr>
        <w:jc w:val="both"/>
        <w:rPr>
          <w:rFonts w:asciiTheme="minorHAnsi" w:hAnsiTheme="minorHAnsi" w:cs="Arial"/>
          <w:color w:val="000000" w:themeColor="text1"/>
          <w:sz w:val="24"/>
          <w:szCs w:val="24"/>
        </w:rPr>
      </w:pPr>
      <w:r w:rsidRPr="002B49DD">
        <w:rPr>
          <w:rFonts w:asciiTheme="minorHAnsi" w:hAnsiTheme="minorHAnsi" w:cs="Arial"/>
          <w:color w:val="FF0000"/>
          <w:sz w:val="24"/>
          <w:szCs w:val="24"/>
        </w:rPr>
        <w:lastRenderedPageBreak/>
        <w:br/>
      </w:r>
    </w:p>
    <w:p w14:paraId="18696364" w14:textId="77777777" w:rsidR="008236D8" w:rsidRPr="002B49DD" w:rsidRDefault="009219BA" w:rsidP="002C52D2">
      <w:pPr>
        <w:pStyle w:val="ListParagraph"/>
        <w:numPr>
          <w:ilvl w:val="0"/>
          <w:numId w:val="1"/>
        </w:numPr>
        <w:jc w:val="both"/>
        <w:rPr>
          <w:rFonts w:asciiTheme="minorHAnsi" w:hAnsiTheme="minorHAnsi" w:cs="Arial"/>
          <w:b/>
          <w:bCs/>
          <w:color w:val="000000" w:themeColor="text1"/>
          <w:sz w:val="24"/>
          <w:szCs w:val="24"/>
        </w:rPr>
      </w:pPr>
      <w:r w:rsidRPr="002B49DD">
        <w:rPr>
          <w:rFonts w:asciiTheme="minorHAnsi" w:hAnsiTheme="minorHAnsi" w:cs="Arial"/>
          <w:b/>
          <w:bCs/>
          <w:color w:val="000000" w:themeColor="text1"/>
          <w:sz w:val="24"/>
          <w:szCs w:val="24"/>
        </w:rPr>
        <w:t>Summarise key sources of employee engagement related data, citing different examples.</w:t>
      </w:r>
    </w:p>
    <w:p w14:paraId="77E19168" w14:textId="77777777" w:rsidR="008236D8" w:rsidRPr="002B49DD" w:rsidRDefault="008236D8" w:rsidP="002C52D2">
      <w:pPr>
        <w:jc w:val="both"/>
        <w:rPr>
          <w:rFonts w:asciiTheme="minorHAnsi" w:hAnsiTheme="minorHAnsi" w:cs="Arial"/>
          <w:color w:val="FF0000"/>
          <w:sz w:val="24"/>
          <w:szCs w:val="24"/>
        </w:rPr>
      </w:pPr>
    </w:p>
    <w:p w14:paraId="2983BBE1" w14:textId="33AD7F14" w:rsidR="0072122E" w:rsidRPr="002B49DD" w:rsidRDefault="0072122E" w:rsidP="002C52D2">
      <w:p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Some key sources</w:t>
      </w:r>
      <w:r w:rsidR="00453D3B" w:rsidRPr="002B49DD">
        <w:rPr>
          <w:rFonts w:asciiTheme="minorHAnsi" w:hAnsiTheme="minorHAnsi" w:cs="Arial"/>
          <w:color w:val="000000" w:themeColor="text1"/>
          <w:sz w:val="24"/>
          <w:szCs w:val="24"/>
        </w:rPr>
        <w:t xml:space="preserve"> of differing examples</w:t>
      </w:r>
      <w:r w:rsidRPr="002B49DD">
        <w:rPr>
          <w:rFonts w:asciiTheme="minorHAnsi" w:hAnsiTheme="minorHAnsi" w:cs="Arial"/>
          <w:color w:val="000000" w:themeColor="text1"/>
          <w:sz w:val="24"/>
          <w:szCs w:val="24"/>
        </w:rPr>
        <w:t xml:space="preserve"> are: </w:t>
      </w:r>
    </w:p>
    <w:p w14:paraId="4635611C" w14:textId="4A324FC8" w:rsidR="00B456EE" w:rsidRPr="002B49DD" w:rsidRDefault="008236D8" w:rsidP="002C52D2">
      <w:pPr>
        <w:pStyle w:val="ListParagraph"/>
        <w:numPr>
          <w:ilvl w:val="0"/>
          <w:numId w:val="6"/>
        </w:num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 xml:space="preserve">Gallup is a key source of employee engagement related data through its annual Global Workplace Report series. For </w:t>
      </w:r>
      <w:r w:rsidR="00D759B3" w:rsidRPr="002B49DD">
        <w:rPr>
          <w:rFonts w:asciiTheme="minorHAnsi" w:hAnsiTheme="minorHAnsi" w:cs="Arial"/>
          <w:color w:val="000000" w:themeColor="text1"/>
          <w:sz w:val="24"/>
          <w:szCs w:val="24"/>
        </w:rPr>
        <w:t>example,</w:t>
      </w:r>
      <w:r w:rsidRPr="002B49DD">
        <w:rPr>
          <w:rFonts w:asciiTheme="minorHAnsi" w:hAnsiTheme="minorHAnsi" w:cs="Arial"/>
          <w:color w:val="000000" w:themeColor="text1"/>
          <w:sz w:val="24"/>
          <w:szCs w:val="24"/>
        </w:rPr>
        <w:t xml:space="preserve"> it details findings of global surveys conducted during the year. Recent data has provided information on the fact that up until the pandemic engagement had continuously increased since 2009 but the pandemic caused a fall of 2%. </w:t>
      </w:r>
    </w:p>
    <w:p w14:paraId="28700F47" w14:textId="76960EEF" w:rsidR="00B456EE" w:rsidRPr="002B49DD" w:rsidRDefault="007242DE" w:rsidP="002C52D2">
      <w:pPr>
        <w:pStyle w:val="ListParagraph"/>
        <w:numPr>
          <w:ilvl w:val="0"/>
          <w:numId w:val="6"/>
        </w:num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 xml:space="preserve">The CIPD carries out research and publishes data in relation to employee engagement. They examine it, measure it, cite what outcomes it leads to and they also look at the drivers. </w:t>
      </w:r>
      <w:r w:rsidR="00204F3E" w:rsidRPr="002B49DD">
        <w:rPr>
          <w:rFonts w:asciiTheme="minorHAnsi" w:hAnsiTheme="minorHAnsi" w:cs="Arial"/>
          <w:color w:val="000000" w:themeColor="text1"/>
          <w:sz w:val="24"/>
          <w:szCs w:val="24"/>
        </w:rPr>
        <w:t xml:space="preserve">They link their research to the four areas of work engagement, organisational commitment, organisational identification and work motivation. </w:t>
      </w:r>
      <w:r w:rsidR="00303BCF" w:rsidRPr="002B49DD">
        <w:rPr>
          <w:rFonts w:asciiTheme="minorHAnsi" w:hAnsiTheme="minorHAnsi" w:cs="Arial"/>
          <w:color w:val="000000" w:themeColor="text1"/>
          <w:sz w:val="24"/>
          <w:szCs w:val="24"/>
        </w:rPr>
        <w:t xml:space="preserve">They publish discussion reports and scientific papers. </w:t>
      </w:r>
    </w:p>
    <w:p w14:paraId="75C7D38B" w14:textId="2C06EF31" w:rsidR="001D2091" w:rsidRPr="002B49DD" w:rsidRDefault="001D2091" w:rsidP="002C52D2">
      <w:pPr>
        <w:pStyle w:val="ListParagraph"/>
        <w:numPr>
          <w:ilvl w:val="0"/>
          <w:numId w:val="6"/>
        </w:num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 xml:space="preserve">The Employee Outlook series was published between 2009-2017. The CIPD commissioned it. It sampled employees and sole traders on their opinions and attitudes to working life. Its data provides good insight. </w:t>
      </w:r>
    </w:p>
    <w:p w14:paraId="7F31C57A" w14:textId="5ACE985F" w:rsidR="007242DE" w:rsidRPr="002B49DD" w:rsidRDefault="007242DE" w:rsidP="002C52D2">
      <w:pPr>
        <w:pStyle w:val="ListParagraph"/>
        <w:numPr>
          <w:ilvl w:val="0"/>
          <w:numId w:val="6"/>
        </w:num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 xml:space="preserve">The Labour Market Outlook provides labour market data and analysis in the areas of recruitment, redundancy and pay. </w:t>
      </w:r>
    </w:p>
    <w:p w14:paraId="5FA6816F" w14:textId="6CE2EEF0" w:rsidR="00B456EE" w:rsidRPr="002B49DD" w:rsidRDefault="00303BCF" w:rsidP="002C52D2">
      <w:pPr>
        <w:pStyle w:val="ListParagraph"/>
        <w:numPr>
          <w:ilvl w:val="0"/>
          <w:numId w:val="6"/>
        </w:num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The Office for National Statistics (</w:t>
      </w:r>
      <w:r w:rsidR="00B456EE" w:rsidRPr="002B49DD">
        <w:rPr>
          <w:rFonts w:asciiTheme="minorHAnsi" w:hAnsiTheme="minorHAnsi" w:cs="Arial"/>
          <w:color w:val="000000" w:themeColor="text1"/>
          <w:sz w:val="24"/>
          <w:szCs w:val="24"/>
        </w:rPr>
        <w:t>ONS</w:t>
      </w:r>
      <w:r w:rsidRPr="002B49DD">
        <w:rPr>
          <w:rFonts w:asciiTheme="minorHAnsi" w:hAnsiTheme="minorHAnsi" w:cs="Arial"/>
          <w:color w:val="000000" w:themeColor="text1"/>
          <w:sz w:val="24"/>
          <w:szCs w:val="24"/>
        </w:rPr>
        <w:t>) publish</w:t>
      </w:r>
      <w:r w:rsidR="00B456EE" w:rsidRPr="002B49DD">
        <w:rPr>
          <w:rFonts w:asciiTheme="minorHAnsi" w:hAnsiTheme="minorHAnsi" w:cs="Arial"/>
          <w:color w:val="000000" w:themeColor="text1"/>
          <w:sz w:val="24"/>
          <w:szCs w:val="24"/>
        </w:rPr>
        <w:t xml:space="preserve"> response</w:t>
      </w:r>
      <w:r w:rsidRPr="002B49DD">
        <w:rPr>
          <w:rFonts w:asciiTheme="minorHAnsi" w:hAnsiTheme="minorHAnsi" w:cs="Arial"/>
          <w:color w:val="000000" w:themeColor="text1"/>
          <w:sz w:val="24"/>
          <w:szCs w:val="24"/>
        </w:rPr>
        <w:t xml:space="preserve"> data from their Civil Service People Surveys. They look at areas such as “my work, my manager, my team, learning and development, inclusion and fair treatment, resources and workload, pay and benefits, leadership and managing change.” This accumulates in the “engagement index” </w:t>
      </w:r>
    </w:p>
    <w:p w14:paraId="58F55E8E" w14:textId="038F58CA" w:rsidR="0034625E" w:rsidRPr="002B49DD" w:rsidRDefault="0034625E" w:rsidP="002C52D2">
      <w:pPr>
        <w:pStyle w:val="ListParagraph"/>
        <w:numPr>
          <w:ilvl w:val="0"/>
          <w:numId w:val="6"/>
        </w:num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 xml:space="preserve">Government organisations such as the HMRC and the Home Office can also provide data, the latter on performance relations to grade, gender, working pattern, disability, ethnicity, religious belief, sexual orientation, age and distribution by location. </w:t>
      </w:r>
    </w:p>
    <w:p w14:paraId="2D4DE938" w14:textId="200BD68A" w:rsidR="0034625E" w:rsidRPr="002B49DD" w:rsidRDefault="003654A9" w:rsidP="002C52D2">
      <w:pPr>
        <w:pStyle w:val="ListParagraph"/>
        <w:numPr>
          <w:ilvl w:val="0"/>
          <w:numId w:val="6"/>
        </w:numPr>
        <w:jc w:val="both"/>
        <w:rPr>
          <w:rFonts w:asciiTheme="minorHAnsi" w:hAnsiTheme="minorHAnsi" w:cs="Arial"/>
          <w:color w:val="000000" w:themeColor="text1"/>
          <w:sz w:val="24"/>
          <w:szCs w:val="24"/>
        </w:rPr>
      </w:pPr>
      <w:r w:rsidRPr="002B49DD">
        <w:rPr>
          <w:rFonts w:asciiTheme="minorHAnsi" w:hAnsiTheme="minorHAnsi" w:cs="Arial"/>
          <w:color w:val="000000" w:themeColor="text1"/>
          <w:sz w:val="24"/>
          <w:szCs w:val="24"/>
        </w:rPr>
        <w:t>LinkedIn</w:t>
      </w:r>
      <w:r w:rsidR="0034625E" w:rsidRPr="002B49DD">
        <w:rPr>
          <w:rFonts w:asciiTheme="minorHAnsi" w:hAnsiTheme="minorHAnsi" w:cs="Arial"/>
          <w:color w:val="000000" w:themeColor="text1"/>
          <w:sz w:val="24"/>
          <w:szCs w:val="24"/>
        </w:rPr>
        <w:t xml:space="preserve"> also provides data on how employee engagement and employee experience are related, the key drivers of employee engagement and how employees are feeling. </w:t>
      </w:r>
    </w:p>
    <w:p w14:paraId="2D5D21F9" w14:textId="68ED183C" w:rsidR="00C74442" w:rsidRPr="002B49DD" w:rsidRDefault="00C74442" w:rsidP="002C52D2">
      <w:pPr>
        <w:jc w:val="both"/>
        <w:rPr>
          <w:rFonts w:asciiTheme="minorHAnsi" w:hAnsiTheme="minorHAnsi" w:cs="Arial"/>
          <w:color w:val="000000" w:themeColor="text1"/>
          <w:sz w:val="24"/>
          <w:szCs w:val="24"/>
        </w:rPr>
      </w:pPr>
    </w:p>
    <w:p w14:paraId="6AC79A46" w14:textId="06765F87" w:rsidR="00C74442" w:rsidRPr="002B49DD" w:rsidRDefault="00C74442" w:rsidP="002C52D2">
      <w:pPr>
        <w:jc w:val="both"/>
        <w:rPr>
          <w:rFonts w:asciiTheme="minorHAnsi" w:hAnsiTheme="minorHAnsi" w:cs="Arial"/>
          <w:color w:val="000000" w:themeColor="text1"/>
          <w:sz w:val="24"/>
          <w:szCs w:val="24"/>
        </w:rPr>
      </w:pPr>
    </w:p>
    <w:p w14:paraId="063B6755" w14:textId="77777777" w:rsidR="00C74442" w:rsidRPr="002B49DD" w:rsidRDefault="00C74442" w:rsidP="002C52D2">
      <w:pPr>
        <w:jc w:val="both"/>
        <w:rPr>
          <w:rFonts w:asciiTheme="minorHAnsi" w:hAnsiTheme="minorHAnsi" w:cs="Arial"/>
          <w:color w:val="000000" w:themeColor="text1"/>
          <w:sz w:val="24"/>
          <w:szCs w:val="24"/>
        </w:rPr>
      </w:pPr>
    </w:p>
    <w:p w14:paraId="688ACA82" w14:textId="6CCDA553" w:rsidR="009219BA" w:rsidRPr="00121541" w:rsidRDefault="00121541" w:rsidP="002C52D2">
      <w:pPr>
        <w:jc w:val="both"/>
        <w:rPr>
          <w:rFonts w:asciiTheme="minorHAnsi" w:hAnsiTheme="minorHAnsi" w:cs="Arial"/>
          <w:b/>
          <w:bCs/>
          <w:color w:val="FF0000"/>
          <w:sz w:val="24"/>
          <w:szCs w:val="24"/>
        </w:rPr>
      </w:pPr>
      <w:r>
        <w:rPr>
          <w:rFonts w:asciiTheme="minorHAnsi" w:hAnsiTheme="minorHAnsi" w:cs="Arial"/>
          <w:b/>
          <w:bCs/>
          <w:color w:val="000000" w:themeColor="text1"/>
          <w:sz w:val="24"/>
          <w:szCs w:val="24"/>
        </w:rPr>
        <w:t xml:space="preserve">5. </w:t>
      </w:r>
      <w:r w:rsidR="009219BA" w:rsidRPr="00121541">
        <w:rPr>
          <w:rFonts w:asciiTheme="minorHAnsi" w:hAnsiTheme="minorHAnsi" w:cs="Arial"/>
          <w:b/>
          <w:bCs/>
          <w:color w:val="000000" w:themeColor="text1"/>
          <w:sz w:val="24"/>
          <w:szCs w:val="24"/>
        </w:rPr>
        <w:t xml:space="preserve">Outline the findings of recent studies on employee engagement, including the extent to which gender, demographic and other factors influence levels of engagement.  </w:t>
      </w:r>
      <w:r w:rsidR="009219BA" w:rsidRPr="00121541">
        <w:rPr>
          <w:rFonts w:asciiTheme="minorHAnsi" w:hAnsiTheme="minorHAnsi" w:cs="Arial"/>
          <w:b/>
          <w:bCs/>
          <w:color w:val="FF0000"/>
          <w:sz w:val="24"/>
          <w:szCs w:val="24"/>
        </w:rPr>
        <w:br/>
      </w:r>
    </w:p>
    <w:p w14:paraId="4EC66743" w14:textId="16580D28" w:rsidR="00EA1E79" w:rsidRDefault="00EA1E79" w:rsidP="002C52D2">
      <w:pPr>
        <w:jc w:val="both"/>
        <w:rPr>
          <w:rFonts w:asciiTheme="minorHAnsi" w:hAnsiTheme="minorHAnsi" w:cs="Arial"/>
          <w:color w:val="000000" w:themeColor="text1"/>
          <w:sz w:val="24"/>
          <w:szCs w:val="24"/>
        </w:rPr>
      </w:pPr>
      <w:r>
        <w:rPr>
          <w:rFonts w:asciiTheme="minorHAnsi" w:hAnsiTheme="minorHAnsi" w:cs="Arial"/>
          <w:color w:val="000000" w:themeColor="text1"/>
          <w:sz w:val="24"/>
          <w:szCs w:val="24"/>
        </w:rPr>
        <w:t xml:space="preserve">I have chosen three recent studies: </w:t>
      </w:r>
    </w:p>
    <w:p w14:paraId="39128332" w14:textId="14B282C4" w:rsidR="00C76722" w:rsidRDefault="00EA1E79" w:rsidP="002C52D2">
      <w:pPr>
        <w:jc w:val="both"/>
        <w:rPr>
          <w:rFonts w:asciiTheme="minorHAnsi" w:hAnsiTheme="minorHAnsi" w:cs="Arial"/>
          <w:color w:val="000000" w:themeColor="text1"/>
          <w:sz w:val="24"/>
          <w:szCs w:val="24"/>
        </w:rPr>
      </w:pPr>
      <w:r w:rsidRPr="002D60AE">
        <w:rPr>
          <w:rFonts w:asciiTheme="minorHAnsi" w:hAnsiTheme="minorHAnsi" w:cs="Arial"/>
          <w:b/>
          <w:bCs/>
          <w:color w:val="000000" w:themeColor="text1"/>
          <w:sz w:val="24"/>
          <w:szCs w:val="24"/>
        </w:rPr>
        <w:t>1.</w:t>
      </w:r>
      <w:r>
        <w:rPr>
          <w:rFonts w:asciiTheme="minorHAnsi" w:hAnsiTheme="minorHAnsi" w:cs="Arial"/>
          <w:color w:val="000000" w:themeColor="text1"/>
          <w:sz w:val="24"/>
          <w:szCs w:val="24"/>
        </w:rPr>
        <w:t xml:space="preserve"> </w:t>
      </w:r>
      <w:r w:rsidR="00C76722">
        <w:rPr>
          <w:rFonts w:asciiTheme="minorHAnsi" w:hAnsiTheme="minorHAnsi" w:cs="Arial"/>
          <w:color w:val="000000" w:themeColor="text1"/>
          <w:sz w:val="24"/>
          <w:szCs w:val="24"/>
        </w:rPr>
        <w:t xml:space="preserve">The most recent survey by Gallup, published in June 2021 found that the UK coupled with western Europe have the lowest employee engagement levels across the globe at 11%. They also cite that globally employee engagement decreased from 22% in 2019 to 20% in 2020 which is in contrary to a steady rise in the last decade. The impact of the COVID pandemic is </w:t>
      </w:r>
      <w:r w:rsidR="00C76722">
        <w:rPr>
          <w:rFonts w:asciiTheme="minorHAnsi" w:hAnsiTheme="minorHAnsi" w:cs="Arial"/>
          <w:color w:val="000000" w:themeColor="text1"/>
          <w:sz w:val="24"/>
          <w:szCs w:val="24"/>
        </w:rPr>
        <w:lastRenderedPageBreak/>
        <w:t xml:space="preserve">referred to in many articles as the cause of this. An example article is from the web-based </w:t>
      </w:r>
      <w:r w:rsidR="00A55C57">
        <w:rPr>
          <w:rFonts w:asciiTheme="minorHAnsi" w:hAnsiTheme="minorHAnsi" w:cs="Arial"/>
          <w:color w:val="000000" w:themeColor="text1"/>
          <w:sz w:val="24"/>
          <w:szCs w:val="24"/>
        </w:rPr>
        <w:t>article</w:t>
      </w:r>
      <w:r w:rsidR="00C76722">
        <w:rPr>
          <w:rFonts w:asciiTheme="minorHAnsi" w:hAnsiTheme="minorHAnsi" w:cs="Arial"/>
          <w:color w:val="000000" w:themeColor="text1"/>
          <w:sz w:val="24"/>
          <w:szCs w:val="24"/>
        </w:rPr>
        <w:t xml:space="preserve"> “employee benefits” from author Zoe </w:t>
      </w:r>
      <w:proofErr w:type="spellStart"/>
      <w:r w:rsidR="00C76722">
        <w:rPr>
          <w:rFonts w:asciiTheme="minorHAnsi" w:hAnsiTheme="minorHAnsi" w:cs="Arial"/>
          <w:color w:val="000000" w:themeColor="text1"/>
          <w:sz w:val="24"/>
          <w:szCs w:val="24"/>
        </w:rPr>
        <w:t>Wickens</w:t>
      </w:r>
      <w:proofErr w:type="spellEnd"/>
      <w:r w:rsidR="00C76722">
        <w:rPr>
          <w:rFonts w:asciiTheme="minorHAnsi" w:hAnsiTheme="minorHAnsi" w:cs="Arial"/>
          <w:color w:val="000000" w:themeColor="text1"/>
          <w:sz w:val="24"/>
          <w:szCs w:val="24"/>
        </w:rPr>
        <w:t xml:space="preserve">, August 2021. </w:t>
      </w:r>
      <w:sdt>
        <w:sdtPr>
          <w:rPr>
            <w:rFonts w:asciiTheme="minorHAnsi" w:hAnsiTheme="minorHAnsi" w:cs="Arial"/>
            <w:color w:val="000000" w:themeColor="text1"/>
            <w:sz w:val="24"/>
            <w:szCs w:val="24"/>
          </w:rPr>
          <w:id w:val="-1464733524"/>
          <w:citation/>
        </w:sdtPr>
        <w:sdtEndPr/>
        <w:sdtContent>
          <w:r w:rsidR="00C76722">
            <w:rPr>
              <w:rFonts w:asciiTheme="minorHAnsi" w:hAnsiTheme="minorHAnsi" w:cs="Arial"/>
              <w:color w:val="000000" w:themeColor="text1"/>
              <w:sz w:val="24"/>
              <w:szCs w:val="24"/>
            </w:rPr>
            <w:fldChar w:fldCharType="begin"/>
          </w:r>
          <w:r w:rsidR="00C76722">
            <w:rPr>
              <w:rFonts w:asciiTheme="minorHAnsi" w:hAnsiTheme="minorHAnsi" w:cs="Arial"/>
              <w:color w:val="000000" w:themeColor="text1"/>
              <w:sz w:val="24"/>
              <w:szCs w:val="24"/>
            </w:rPr>
            <w:instrText xml:space="preserve"> CITATION Zoe21 \l 2057 </w:instrText>
          </w:r>
          <w:r w:rsidR="00C76722">
            <w:rPr>
              <w:rFonts w:asciiTheme="minorHAnsi" w:hAnsiTheme="minorHAnsi" w:cs="Arial"/>
              <w:color w:val="000000" w:themeColor="text1"/>
              <w:sz w:val="24"/>
              <w:szCs w:val="24"/>
            </w:rPr>
            <w:fldChar w:fldCharType="separate"/>
          </w:r>
          <w:r w:rsidR="00C76722" w:rsidRPr="00C76722">
            <w:rPr>
              <w:rFonts w:asciiTheme="minorHAnsi" w:hAnsiTheme="minorHAnsi" w:cs="Arial"/>
              <w:noProof/>
              <w:color w:val="000000" w:themeColor="text1"/>
              <w:sz w:val="24"/>
              <w:szCs w:val="24"/>
            </w:rPr>
            <w:t>(Wickens, 2021)</w:t>
          </w:r>
          <w:r w:rsidR="00C76722">
            <w:rPr>
              <w:rFonts w:asciiTheme="minorHAnsi" w:hAnsiTheme="minorHAnsi" w:cs="Arial"/>
              <w:color w:val="000000" w:themeColor="text1"/>
              <w:sz w:val="24"/>
              <w:szCs w:val="24"/>
            </w:rPr>
            <w:fldChar w:fldCharType="end"/>
          </w:r>
        </w:sdtContent>
      </w:sdt>
    </w:p>
    <w:p w14:paraId="160364D6" w14:textId="3BA8489D" w:rsidR="00C76722" w:rsidRDefault="00EA1E79" w:rsidP="002C52D2">
      <w:pPr>
        <w:jc w:val="both"/>
        <w:rPr>
          <w:rFonts w:asciiTheme="minorHAnsi" w:hAnsiTheme="minorHAnsi" w:cs="Arial"/>
          <w:color w:val="000000" w:themeColor="text1"/>
          <w:sz w:val="24"/>
          <w:szCs w:val="24"/>
        </w:rPr>
      </w:pPr>
      <w:r w:rsidRPr="002D60AE">
        <w:rPr>
          <w:rFonts w:asciiTheme="minorHAnsi" w:hAnsiTheme="minorHAnsi" w:cs="Arial"/>
          <w:b/>
          <w:bCs/>
          <w:color w:val="000000" w:themeColor="text1"/>
          <w:sz w:val="24"/>
          <w:szCs w:val="24"/>
        </w:rPr>
        <w:t>2.</w:t>
      </w:r>
      <w:r>
        <w:rPr>
          <w:rFonts w:asciiTheme="minorHAnsi" w:hAnsiTheme="minorHAnsi" w:cs="Arial"/>
          <w:color w:val="000000" w:themeColor="text1"/>
          <w:sz w:val="24"/>
          <w:szCs w:val="24"/>
        </w:rPr>
        <w:t xml:space="preserve"> </w:t>
      </w:r>
      <w:r w:rsidR="00454721">
        <w:rPr>
          <w:rFonts w:asciiTheme="minorHAnsi" w:hAnsiTheme="minorHAnsi" w:cs="Arial"/>
          <w:color w:val="000000" w:themeColor="text1"/>
          <w:sz w:val="24"/>
          <w:szCs w:val="24"/>
        </w:rPr>
        <w:t xml:space="preserve">A recent study conducted by </w:t>
      </w:r>
      <w:proofErr w:type="spellStart"/>
      <w:r w:rsidR="00454721">
        <w:rPr>
          <w:rFonts w:asciiTheme="minorHAnsi" w:hAnsiTheme="minorHAnsi" w:cs="Arial"/>
          <w:color w:val="000000" w:themeColor="text1"/>
          <w:sz w:val="24"/>
          <w:szCs w:val="24"/>
        </w:rPr>
        <w:t>WorkBuzz</w:t>
      </w:r>
      <w:proofErr w:type="spellEnd"/>
      <w:r w:rsidR="00454721">
        <w:rPr>
          <w:rFonts w:asciiTheme="minorHAnsi" w:hAnsiTheme="minorHAnsi" w:cs="Arial"/>
          <w:color w:val="000000" w:themeColor="text1"/>
          <w:sz w:val="24"/>
          <w:szCs w:val="24"/>
        </w:rPr>
        <w:t xml:space="preserve"> in collaboration with HR Zone explored the state of employee engagement from a cross sectional group of leaders, HR professionals and industry experts. They conclude the following:  That the pandemic affected engagement negatively but has shifted surveys to be in real time as opposed to annual. HR priorities varied within companies but engagement was a top one. Employee values have changed since the pandemic with expectations higher and the willingness to leave roles for others coming with that. That companies who promote</w:t>
      </w:r>
      <w:r w:rsidR="004647B7">
        <w:rPr>
          <w:rFonts w:asciiTheme="minorHAnsi" w:hAnsiTheme="minorHAnsi" w:cs="Arial"/>
          <w:color w:val="000000" w:themeColor="text1"/>
          <w:sz w:val="24"/>
          <w:szCs w:val="24"/>
        </w:rPr>
        <w:t xml:space="preserve"> equality, belonging,</w:t>
      </w:r>
      <w:r w:rsidR="00454721">
        <w:rPr>
          <w:rFonts w:asciiTheme="minorHAnsi" w:hAnsiTheme="minorHAnsi" w:cs="Arial"/>
          <w:color w:val="000000" w:themeColor="text1"/>
          <w:sz w:val="24"/>
          <w:szCs w:val="24"/>
        </w:rPr>
        <w:t xml:space="preserve"> diversity and inclusion have more engaged employees. </w:t>
      </w:r>
      <w:sdt>
        <w:sdtPr>
          <w:rPr>
            <w:rFonts w:asciiTheme="minorHAnsi" w:hAnsiTheme="minorHAnsi" w:cs="Arial"/>
            <w:color w:val="000000" w:themeColor="text1"/>
            <w:sz w:val="24"/>
            <w:szCs w:val="24"/>
          </w:rPr>
          <w:id w:val="1336336459"/>
          <w:citation/>
        </w:sdtPr>
        <w:sdtEndPr/>
        <w:sdtContent>
          <w:r w:rsidR="00F45355">
            <w:rPr>
              <w:rFonts w:asciiTheme="minorHAnsi" w:hAnsiTheme="minorHAnsi" w:cs="Arial"/>
              <w:color w:val="000000" w:themeColor="text1"/>
              <w:sz w:val="24"/>
              <w:szCs w:val="24"/>
            </w:rPr>
            <w:fldChar w:fldCharType="begin"/>
          </w:r>
          <w:r w:rsidR="00F45355">
            <w:rPr>
              <w:rFonts w:asciiTheme="minorHAnsi" w:hAnsiTheme="minorHAnsi" w:cs="Arial"/>
              <w:color w:val="000000" w:themeColor="text1"/>
              <w:sz w:val="24"/>
              <w:szCs w:val="24"/>
            </w:rPr>
            <w:instrText xml:space="preserve"> CITATION Wor21 \l 2057 </w:instrText>
          </w:r>
          <w:r w:rsidR="00F45355">
            <w:rPr>
              <w:rFonts w:asciiTheme="minorHAnsi" w:hAnsiTheme="minorHAnsi" w:cs="Arial"/>
              <w:color w:val="000000" w:themeColor="text1"/>
              <w:sz w:val="24"/>
              <w:szCs w:val="24"/>
            </w:rPr>
            <w:fldChar w:fldCharType="separate"/>
          </w:r>
          <w:r w:rsidR="00F45355" w:rsidRPr="00F45355">
            <w:rPr>
              <w:rFonts w:asciiTheme="minorHAnsi" w:hAnsiTheme="minorHAnsi" w:cs="Arial"/>
              <w:noProof/>
              <w:color w:val="000000" w:themeColor="text1"/>
              <w:sz w:val="24"/>
              <w:szCs w:val="24"/>
            </w:rPr>
            <w:t>(Zone, 2021)</w:t>
          </w:r>
          <w:r w:rsidR="00F45355">
            <w:rPr>
              <w:rFonts w:asciiTheme="minorHAnsi" w:hAnsiTheme="minorHAnsi" w:cs="Arial"/>
              <w:color w:val="000000" w:themeColor="text1"/>
              <w:sz w:val="24"/>
              <w:szCs w:val="24"/>
            </w:rPr>
            <w:fldChar w:fldCharType="end"/>
          </w:r>
        </w:sdtContent>
      </w:sdt>
    </w:p>
    <w:p w14:paraId="6B6FD6BA" w14:textId="5CBC25F3" w:rsidR="002A4AAB" w:rsidRDefault="00EA1E79" w:rsidP="002C52D2">
      <w:pPr>
        <w:jc w:val="both"/>
        <w:rPr>
          <w:rFonts w:asciiTheme="minorHAnsi" w:hAnsiTheme="minorHAnsi" w:cs="Arial"/>
          <w:color w:val="000000" w:themeColor="text1"/>
          <w:sz w:val="24"/>
          <w:szCs w:val="24"/>
        </w:rPr>
      </w:pPr>
      <w:r w:rsidRPr="002D60AE">
        <w:rPr>
          <w:rFonts w:asciiTheme="minorHAnsi" w:hAnsiTheme="minorHAnsi" w:cs="Arial"/>
          <w:b/>
          <w:bCs/>
          <w:color w:val="000000" w:themeColor="text1"/>
          <w:sz w:val="24"/>
          <w:szCs w:val="24"/>
        </w:rPr>
        <w:t>3.</w:t>
      </w:r>
      <w:r>
        <w:rPr>
          <w:rFonts w:asciiTheme="minorHAnsi" w:hAnsiTheme="minorHAnsi" w:cs="Arial"/>
          <w:color w:val="000000" w:themeColor="text1"/>
          <w:sz w:val="24"/>
          <w:szCs w:val="24"/>
        </w:rPr>
        <w:t xml:space="preserve"> </w:t>
      </w:r>
      <w:r w:rsidR="00850A90">
        <w:rPr>
          <w:rFonts w:asciiTheme="minorHAnsi" w:hAnsiTheme="minorHAnsi" w:cs="Arial"/>
          <w:color w:val="000000" w:themeColor="text1"/>
          <w:sz w:val="24"/>
          <w:szCs w:val="24"/>
        </w:rPr>
        <w:t xml:space="preserve">With respect to “other factors” I refer in this section to firstly the findings of the CIPD’s Discussion Report published in January 2021 entitled, “Employee Engagement: Definitions, measures and outcomes” </w:t>
      </w:r>
      <w:sdt>
        <w:sdtPr>
          <w:rPr>
            <w:rFonts w:asciiTheme="minorHAnsi" w:hAnsiTheme="minorHAnsi" w:cs="Arial"/>
            <w:color w:val="000000" w:themeColor="text1"/>
            <w:sz w:val="24"/>
            <w:szCs w:val="24"/>
          </w:rPr>
          <w:id w:val="-495570248"/>
          <w:citation/>
        </w:sdtPr>
        <w:sdtEndPr/>
        <w:sdtContent>
          <w:r w:rsidR="003D5C8D">
            <w:rPr>
              <w:rFonts w:asciiTheme="minorHAnsi" w:hAnsiTheme="minorHAnsi" w:cs="Arial"/>
              <w:color w:val="000000" w:themeColor="text1"/>
              <w:sz w:val="24"/>
              <w:szCs w:val="24"/>
            </w:rPr>
            <w:fldChar w:fldCharType="begin"/>
          </w:r>
          <w:r w:rsidR="003D5C8D">
            <w:rPr>
              <w:rFonts w:asciiTheme="minorHAnsi" w:hAnsiTheme="minorHAnsi" w:cs="Arial"/>
              <w:color w:val="000000" w:themeColor="text1"/>
              <w:sz w:val="24"/>
              <w:szCs w:val="24"/>
            </w:rPr>
            <w:instrText xml:space="preserve"> CITATION CIP213 \l 2057 </w:instrText>
          </w:r>
          <w:r w:rsidR="003D5C8D">
            <w:rPr>
              <w:rFonts w:asciiTheme="minorHAnsi" w:hAnsiTheme="minorHAnsi" w:cs="Arial"/>
              <w:color w:val="000000" w:themeColor="text1"/>
              <w:sz w:val="24"/>
              <w:szCs w:val="24"/>
            </w:rPr>
            <w:fldChar w:fldCharType="separate"/>
          </w:r>
          <w:r w:rsidR="003D5C8D" w:rsidRPr="003D5C8D">
            <w:rPr>
              <w:rFonts w:asciiTheme="minorHAnsi" w:hAnsiTheme="minorHAnsi" w:cs="Arial"/>
              <w:noProof/>
              <w:color w:val="000000" w:themeColor="text1"/>
              <w:sz w:val="24"/>
              <w:szCs w:val="24"/>
            </w:rPr>
            <w:t>(CIPD, Employee Engagement: Definitions, measures and outcomes, 2021)</w:t>
          </w:r>
          <w:r w:rsidR="003D5C8D">
            <w:rPr>
              <w:rFonts w:asciiTheme="minorHAnsi" w:hAnsiTheme="minorHAnsi" w:cs="Arial"/>
              <w:color w:val="000000" w:themeColor="text1"/>
              <w:sz w:val="24"/>
              <w:szCs w:val="24"/>
            </w:rPr>
            <w:fldChar w:fldCharType="end"/>
          </w:r>
        </w:sdtContent>
      </w:sdt>
      <w:r w:rsidR="00C85750">
        <w:rPr>
          <w:rFonts w:asciiTheme="minorHAnsi" w:hAnsiTheme="minorHAnsi" w:cs="Arial"/>
          <w:color w:val="000000" w:themeColor="text1"/>
          <w:sz w:val="24"/>
          <w:szCs w:val="24"/>
        </w:rPr>
        <w:t xml:space="preserve"> </w:t>
      </w:r>
      <w:r w:rsidR="00850A90">
        <w:rPr>
          <w:rFonts w:asciiTheme="minorHAnsi" w:hAnsiTheme="minorHAnsi" w:cs="Arial"/>
          <w:color w:val="000000" w:themeColor="text1"/>
          <w:sz w:val="24"/>
          <w:szCs w:val="24"/>
        </w:rPr>
        <w:t>The</w:t>
      </w:r>
      <w:r w:rsidR="00C85750">
        <w:rPr>
          <w:rFonts w:asciiTheme="minorHAnsi" w:hAnsiTheme="minorHAnsi" w:cs="Arial"/>
          <w:color w:val="000000" w:themeColor="text1"/>
          <w:sz w:val="24"/>
          <w:szCs w:val="24"/>
        </w:rPr>
        <w:t xml:space="preserve"> study leading to the report</w:t>
      </w:r>
      <w:r w:rsidR="00850A90">
        <w:rPr>
          <w:rFonts w:asciiTheme="minorHAnsi" w:hAnsiTheme="minorHAnsi" w:cs="Arial"/>
          <w:color w:val="000000" w:themeColor="text1"/>
          <w:sz w:val="24"/>
          <w:szCs w:val="24"/>
        </w:rPr>
        <w:t xml:space="preserve"> finds that a variety of areas lead to influence levels of engagement such as: </w:t>
      </w:r>
    </w:p>
    <w:p w14:paraId="4EB323A9" w14:textId="5A553B4E" w:rsidR="00850A90" w:rsidRPr="00A702DA" w:rsidRDefault="00850A90" w:rsidP="002C52D2">
      <w:pPr>
        <w:pStyle w:val="ListParagraph"/>
        <w:numPr>
          <w:ilvl w:val="0"/>
          <w:numId w:val="8"/>
        </w:numPr>
        <w:jc w:val="both"/>
        <w:rPr>
          <w:rFonts w:asciiTheme="minorHAnsi" w:hAnsiTheme="minorHAnsi" w:cs="Arial"/>
          <w:color w:val="000000" w:themeColor="text1"/>
          <w:sz w:val="24"/>
          <w:szCs w:val="24"/>
        </w:rPr>
      </w:pPr>
      <w:r w:rsidRPr="00A702DA">
        <w:rPr>
          <w:rFonts w:asciiTheme="minorHAnsi" w:hAnsiTheme="minorHAnsi" w:cs="Arial"/>
          <w:color w:val="000000" w:themeColor="text1"/>
          <w:sz w:val="24"/>
          <w:szCs w:val="24"/>
        </w:rPr>
        <w:t>The individual’s psychological state</w:t>
      </w:r>
    </w:p>
    <w:p w14:paraId="0141643C" w14:textId="6B37DDBD" w:rsidR="00850A90" w:rsidRPr="00A702DA" w:rsidRDefault="00850A90" w:rsidP="002C52D2">
      <w:pPr>
        <w:pStyle w:val="ListParagraph"/>
        <w:numPr>
          <w:ilvl w:val="0"/>
          <w:numId w:val="8"/>
        </w:numPr>
        <w:jc w:val="both"/>
        <w:rPr>
          <w:rFonts w:asciiTheme="minorHAnsi" w:hAnsiTheme="minorHAnsi" w:cs="Arial"/>
          <w:color w:val="000000" w:themeColor="text1"/>
          <w:sz w:val="24"/>
          <w:szCs w:val="24"/>
        </w:rPr>
      </w:pPr>
      <w:r w:rsidRPr="00A702DA">
        <w:rPr>
          <w:rFonts w:asciiTheme="minorHAnsi" w:hAnsiTheme="minorHAnsi" w:cs="Arial"/>
          <w:color w:val="000000" w:themeColor="text1"/>
          <w:sz w:val="24"/>
          <w:szCs w:val="24"/>
        </w:rPr>
        <w:t>Job Design</w:t>
      </w:r>
    </w:p>
    <w:p w14:paraId="59427E44" w14:textId="5F2B81BC" w:rsidR="00850A90" w:rsidRPr="00A702DA" w:rsidRDefault="00850A90" w:rsidP="002C52D2">
      <w:pPr>
        <w:pStyle w:val="ListParagraph"/>
        <w:numPr>
          <w:ilvl w:val="0"/>
          <w:numId w:val="8"/>
        </w:numPr>
        <w:jc w:val="both"/>
        <w:rPr>
          <w:rFonts w:asciiTheme="minorHAnsi" w:hAnsiTheme="minorHAnsi" w:cs="Arial"/>
          <w:color w:val="000000" w:themeColor="text1"/>
          <w:sz w:val="24"/>
          <w:szCs w:val="24"/>
        </w:rPr>
      </w:pPr>
      <w:r w:rsidRPr="00A702DA">
        <w:rPr>
          <w:rFonts w:asciiTheme="minorHAnsi" w:hAnsiTheme="minorHAnsi" w:cs="Arial"/>
          <w:color w:val="000000" w:themeColor="text1"/>
          <w:sz w:val="24"/>
          <w:szCs w:val="24"/>
        </w:rPr>
        <w:t>People Management</w:t>
      </w:r>
    </w:p>
    <w:p w14:paraId="231D042E" w14:textId="59530CB9" w:rsidR="00850A90" w:rsidRPr="00A702DA" w:rsidRDefault="00850A90" w:rsidP="002C52D2">
      <w:pPr>
        <w:pStyle w:val="ListParagraph"/>
        <w:numPr>
          <w:ilvl w:val="0"/>
          <w:numId w:val="8"/>
        </w:numPr>
        <w:jc w:val="both"/>
        <w:rPr>
          <w:rFonts w:asciiTheme="minorHAnsi" w:hAnsiTheme="minorHAnsi" w:cs="Arial"/>
          <w:color w:val="000000" w:themeColor="text1"/>
          <w:sz w:val="24"/>
          <w:szCs w:val="24"/>
        </w:rPr>
      </w:pPr>
      <w:r w:rsidRPr="00A702DA">
        <w:rPr>
          <w:rFonts w:asciiTheme="minorHAnsi" w:hAnsiTheme="minorHAnsi" w:cs="Arial"/>
          <w:color w:val="000000" w:themeColor="text1"/>
          <w:sz w:val="24"/>
          <w:szCs w:val="24"/>
        </w:rPr>
        <w:t>Perceptions of organisational and team factors</w:t>
      </w:r>
    </w:p>
    <w:p w14:paraId="621BFCD5" w14:textId="24BC0AC8" w:rsidR="00850A90" w:rsidRPr="00A702DA" w:rsidRDefault="00850A90" w:rsidP="002C52D2">
      <w:pPr>
        <w:pStyle w:val="ListParagraph"/>
        <w:numPr>
          <w:ilvl w:val="0"/>
          <w:numId w:val="8"/>
        </w:numPr>
        <w:jc w:val="both"/>
        <w:rPr>
          <w:rFonts w:asciiTheme="minorHAnsi" w:hAnsiTheme="minorHAnsi" w:cs="Arial"/>
          <w:color w:val="000000" w:themeColor="text1"/>
          <w:sz w:val="24"/>
          <w:szCs w:val="24"/>
        </w:rPr>
      </w:pPr>
      <w:r w:rsidRPr="00A702DA">
        <w:rPr>
          <w:rFonts w:asciiTheme="minorHAnsi" w:hAnsiTheme="minorHAnsi" w:cs="Arial"/>
          <w:color w:val="000000" w:themeColor="text1"/>
          <w:sz w:val="24"/>
          <w:szCs w:val="24"/>
        </w:rPr>
        <w:t>Organisational interventions</w:t>
      </w:r>
    </w:p>
    <w:p w14:paraId="5CF6558C" w14:textId="1D9FBBE8" w:rsidR="00850A90" w:rsidRPr="00A702DA" w:rsidRDefault="00850A90" w:rsidP="002C52D2">
      <w:pPr>
        <w:pStyle w:val="ListParagraph"/>
        <w:numPr>
          <w:ilvl w:val="0"/>
          <w:numId w:val="8"/>
        </w:numPr>
        <w:jc w:val="both"/>
        <w:rPr>
          <w:rFonts w:asciiTheme="minorHAnsi" w:hAnsiTheme="minorHAnsi" w:cs="Arial"/>
          <w:color w:val="000000" w:themeColor="text1"/>
          <w:sz w:val="24"/>
          <w:szCs w:val="24"/>
        </w:rPr>
      </w:pPr>
      <w:r w:rsidRPr="00A702DA">
        <w:rPr>
          <w:rFonts w:asciiTheme="minorHAnsi" w:hAnsiTheme="minorHAnsi" w:cs="Arial"/>
          <w:color w:val="000000" w:themeColor="text1"/>
          <w:sz w:val="24"/>
          <w:szCs w:val="24"/>
        </w:rPr>
        <w:t>Social support</w:t>
      </w:r>
    </w:p>
    <w:p w14:paraId="13F8742C" w14:textId="4C1D3CA5" w:rsidR="00850A90" w:rsidRPr="00A702DA" w:rsidRDefault="00850A90" w:rsidP="002C52D2">
      <w:pPr>
        <w:pStyle w:val="ListParagraph"/>
        <w:numPr>
          <w:ilvl w:val="0"/>
          <w:numId w:val="8"/>
        </w:numPr>
        <w:jc w:val="both"/>
        <w:rPr>
          <w:rFonts w:asciiTheme="minorHAnsi" w:hAnsiTheme="minorHAnsi" w:cs="Arial"/>
          <w:color w:val="000000" w:themeColor="text1"/>
          <w:sz w:val="24"/>
          <w:szCs w:val="24"/>
        </w:rPr>
      </w:pPr>
      <w:r w:rsidRPr="00A702DA">
        <w:rPr>
          <w:rFonts w:asciiTheme="minorHAnsi" w:hAnsiTheme="minorHAnsi" w:cs="Arial"/>
          <w:color w:val="000000" w:themeColor="text1"/>
          <w:sz w:val="24"/>
          <w:szCs w:val="24"/>
        </w:rPr>
        <w:t>Empowerment</w:t>
      </w:r>
    </w:p>
    <w:p w14:paraId="18AC76C9" w14:textId="3D0BB943" w:rsidR="00850A90" w:rsidRPr="00A702DA" w:rsidRDefault="00850A90" w:rsidP="002C52D2">
      <w:pPr>
        <w:pStyle w:val="ListParagraph"/>
        <w:numPr>
          <w:ilvl w:val="0"/>
          <w:numId w:val="8"/>
        </w:numPr>
        <w:jc w:val="both"/>
        <w:rPr>
          <w:rFonts w:asciiTheme="minorHAnsi" w:hAnsiTheme="minorHAnsi" w:cs="Arial"/>
          <w:color w:val="000000" w:themeColor="text1"/>
          <w:sz w:val="24"/>
          <w:szCs w:val="24"/>
        </w:rPr>
      </w:pPr>
      <w:r w:rsidRPr="00A702DA">
        <w:rPr>
          <w:rFonts w:asciiTheme="minorHAnsi" w:hAnsiTheme="minorHAnsi" w:cs="Arial"/>
          <w:color w:val="000000" w:themeColor="text1"/>
          <w:sz w:val="24"/>
          <w:szCs w:val="24"/>
        </w:rPr>
        <w:t>Job characteristics</w:t>
      </w:r>
    </w:p>
    <w:p w14:paraId="05CF239A" w14:textId="1A8DD97E" w:rsidR="00850A90" w:rsidRPr="00A702DA" w:rsidRDefault="00850A90" w:rsidP="002C52D2">
      <w:pPr>
        <w:pStyle w:val="ListParagraph"/>
        <w:numPr>
          <w:ilvl w:val="0"/>
          <w:numId w:val="8"/>
        </w:numPr>
        <w:jc w:val="both"/>
        <w:rPr>
          <w:rFonts w:asciiTheme="minorHAnsi" w:hAnsiTheme="minorHAnsi" w:cs="Arial"/>
          <w:color w:val="000000" w:themeColor="text1"/>
          <w:sz w:val="24"/>
          <w:szCs w:val="24"/>
        </w:rPr>
      </w:pPr>
      <w:r w:rsidRPr="00A702DA">
        <w:rPr>
          <w:rFonts w:asciiTheme="minorHAnsi" w:hAnsiTheme="minorHAnsi" w:cs="Arial"/>
          <w:color w:val="000000" w:themeColor="text1"/>
          <w:sz w:val="24"/>
          <w:szCs w:val="24"/>
        </w:rPr>
        <w:t>Organisational justice</w:t>
      </w:r>
    </w:p>
    <w:p w14:paraId="4EDD6800" w14:textId="6EA92ED3" w:rsidR="00850A90" w:rsidRPr="00A702DA" w:rsidRDefault="00850A90" w:rsidP="002C52D2">
      <w:pPr>
        <w:pStyle w:val="ListParagraph"/>
        <w:numPr>
          <w:ilvl w:val="0"/>
          <w:numId w:val="8"/>
        </w:numPr>
        <w:jc w:val="both"/>
        <w:rPr>
          <w:rFonts w:asciiTheme="minorHAnsi" w:hAnsiTheme="minorHAnsi" w:cs="Arial"/>
          <w:color w:val="000000" w:themeColor="text1"/>
          <w:sz w:val="24"/>
          <w:szCs w:val="24"/>
        </w:rPr>
      </w:pPr>
      <w:r w:rsidRPr="00A702DA">
        <w:rPr>
          <w:rFonts w:asciiTheme="minorHAnsi" w:hAnsiTheme="minorHAnsi" w:cs="Arial"/>
          <w:color w:val="000000" w:themeColor="text1"/>
          <w:sz w:val="24"/>
          <w:szCs w:val="24"/>
        </w:rPr>
        <w:t>Recognition and Rewards</w:t>
      </w:r>
    </w:p>
    <w:p w14:paraId="6B765347" w14:textId="3B242039" w:rsidR="00850A90" w:rsidRPr="00A702DA" w:rsidRDefault="00850A90" w:rsidP="002C52D2">
      <w:pPr>
        <w:pStyle w:val="ListParagraph"/>
        <w:numPr>
          <w:ilvl w:val="0"/>
          <w:numId w:val="8"/>
        </w:numPr>
        <w:jc w:val="both"/>
        <w:rPr>
          <w:rFonts w:asciiTheme="minorHAnsi" w:hAnsiTheme="minorHAnsi" w:cs="Arial"/>
          <w:color w:val="000000" w:themeColor="text1"/>
          <w:sz w:val="24"/>
          <w:szCs w:val="24"/>
        </w:rPr>
      </w:pPr>
      <w:r w:rsidRPr="00A702DA">
        <w:rPr>
          <w:rFonts w:asciiTheme="minorHAnsi" w:hAnsiTheme="minorHAnsi" w:cs="Arial"/>
          <w:color w:val="000000" w:themeColor="text1"/>
          <w:sz w:val="24"/>
          <w:szCs w:val="24"/>
        </w:rPr>
        <w:t xml:space="preserve">Leadership </w:t>
      </w:r>
    </w:p>
    <w:p w14:paraId="51D1A93B" w14:textId="77777777" w:rsidR="00EC4603" w:rsidRDefault="00EC4603" w:rsidP="002C52D2">
      <w:pPr>
        <w:jc w:val="both"/>
        <w:rPr>
          <w:rFonts w:asciiTheme="minorHAnsi" w:hAnsiTheme="minorHAnsi" w:cs="Arial"/>
          <w:color w:val="FF0000"/>
          <w:sz w:val="24"/>
          <w:szCs w:val="24"/>
        </w:rPr>
      </w:pPr>
    </w:p>
    <w:p w14:paraId="56E25397" w14:textId="21690B6C" w:rsidR="00850A90" w:rsidRPr="00C85750" w:rsidRDefault="00850A90" w:rsidP="002C52D2">
      <w:pPr>
        <w:jc w:val="both"/>
        <w:rPr>
          <w:rFonts w:asciiTheme="minorHAnsi" w:hAnsiTheme="minorHAnsi" w:cs="Arial"/>
          <w:color w:val="FF0000"/>
          <w:sz w:val="24"/>
          <w:szCs w:val="24"/>
        </w:rPr>
      </w:pPr>
    </w:p>
    <w:p w14:paraId="4BFF62FA" w14:textId="182E3FD5" w:rsidR="003A6735" w:rsidRPr="002B6199" w:rsidRDefault="003A6735" w:rsidP="002C52D2">
      <w:pPr>
        <w:jc w:val="both"/>
        <w:rPr>
          <w:rFonts w:asciiTheme="minorHAnsi" w:hAnsiTheme="minorHAnsi" w:cs="Arial"/>
          <w:b/>
          <w:bCs/>
          <w:color w:val="000000" w:themeColor="text1"/>
          <w:sz w:val="24"/>
          <w:szCs w:val="24"/>
        </w:rPr>
      </w:pPr>
      <w:r w:rsidRPr="002B6199">
        <w:rPr>
          <w:rFonts w:asciiTheme="minorHAnsi" w:hAnsiTheme="minorHAnsi" w:cs="Arial"/>
          <w:b/>
          <w:bCs/>
          <w:color w:val="000000" w:themeColor="text1"/>
          <w:sz w:val="24"/>
          <w:szCs w:val="24"/>
        </w:rPr>
        <w:t>Conclusion</w:t>
      </w:r>
    </w:p>
    <w:p w14:paraId="3AC96A38" w14:textId="03B840D9" w:rsidR="00277F24" w:rsidRDefault="00C85750" w:rsidP="002C52D2">
      <w:pPr>
        <w:jc w:val="both"/>
        <w:rPr>
          <w:rFonts w:asciiTheme="minorHAnsi" w:hAnsiTheme="minorHAnsi" w:cs="Arial"/>
          <w:color w:val="000000" w:themeColor="text1"/>
          <w:sz w:val="24"/>
          <w:szCs w:val="24"/>
        </w:rPr>
      </w:pPr>
      <w:r w:rsidRPr="00A569F1">
        <w:rPr>
          <w:rFonts w:asciiTheme="minorHAnsi" w:hAnsiTheme="minorHAnsi" w:cs="Arial"/>
          <w:color w:val="000000" w:themeColor="text1"/>
          <w:sz w:val="24"/>
          <w:szCs w:val="24"/>
        </w:rPr>
        <w:t xml:space="preserve">Past studies have been hugely encouraging of the concept and evolvement of employee engagement from being potentially one dimensional of just “doing your job well” to multi-dimensional with visible benefits to all stakeholders. We have seen in the last decade </w:t>
      </w:r>
      <w:r w:rsidR="00277F24">
        <w:rPr>
          <w:rFonts w:asciiTheme="minorHAnsi" w:hAnsiTheme="minorHAnsi" w:cs="Arial"/>
          <w:color w:val="000000" w:themeColor="text1"/>
          <w:sz w:val="24"/>
          <w:szCs w:val="24"/>
        </w:rPr>
        <w:t xml:space="preserve">increasing </w:t>
      </w:r>
      <w:r w:rsidRPr="00A569F1">
        <w:rPr>
          <w:rFonts w:asciiTheme="minorHAnsi" w:hAnsiTheme="minorHAnsi" w:cs="Arial"/>
          <w:color w:val="000000" w:themeColor="text1"/>
          <w:sz w:val="24"/>
          <w:szCs w:val="24"/>
        </w:rPr>
        <w:t>improvements in employee engagement levels</w:t>
      </w:r>
      <w:r w:rsidR="00277F24">
        <w:rPr>
          <w:rFonts w:asciiTheme="minorHAnsi" w:hAnsiTheme="minorHAnsi" w:cs="Arial"/>
          <w:color w:val="000000" w:themeColor="text1"/>
          <w:sz w:val="24"/>
          <w:szCs w:val="24"/>
        </w:rPr>
        <w:t>, coupling with positive business outcomes</w:t>
      </w:r>
      <w:r w:rsidRPr="00A569F1">
        <w:rPr>
          <w:rFonts w:asciiTheme="minorHAnsi" w:hAnsiTheme="minorHAnsi" w:cs="Arial"/>
          <w:color w:val="000000" w:themeColor="text1"/>
          <w:sz w:val="24"/>
          <w:szCs w:val="24"/>
        </w:rPr>
        <w:t xml:space="preserve"> through surveys, studies and reports. </w:t>
      </w:r>
    </w:p>
    <w:p w14:paraId="20D9D826" w14:textId="5E6FA3FD" w:rsidR="003A6735" w:rsidRDefault="00C85750" w:rsidP="002C52D2">
      <w:pPr>
        <w:jc w:val="both"/>
        <w:rPr>
          <w:rFonts w:asciiTheme="minorHAnsi" w:hAnsiTheme="minorHAnsi" w:cs="Arial"/>
          <w:color w:val="000000" w:themeColor="text1"/>
          <w:sz w:val="24"/>
          <w:szCs w:val="24"/>
        </w:rPr>
      </w:pPr>
      <w:r w:rsidRPr="00A569F1">
        <w:rPr>
          <w:rFonts w:asciiTheme="minorHAnsi" w:hAnsiTheme="minorHAnsi" w:cs="Arial"/>
          <w:color w:val="000000" w:themeColor="text1"/>
          <w:sz w:val="24"/>
          <w:szCs w:val="24"/>
        </w:rPr>
        <w:t>We must however</w:t>
      </w:r>
      <w:r w:rsidR="00277F24">
        <w:rPr>
          <w:rFonts w:asciiTheme="minorHAnsi" w:hAnsiTheme="minorHAnsi" w:cs="Arial"/>
          <w:color w:val="000000" w:themeColor="text1"/>
          <w:sz w:val="24"/>
          <w:szCs w:val="24"/>
        </w:rPr>
        <w:t>, on balance,</w:t>
      </w:r>
      <w:r w:rsidRPr="00A569F1">
        <w:rPr>
          <w:rFonts w:asciiTheme="minorHAnsi" w:hAnsiTheme="minorHAnsi" w:cs="Arial"/>
          <w:color w:val="000000" w:themeColor="text1"/>
          <w:sz w:val="24"/>
          <w:szCs w:val="24"/>
        </w:rPr>
        <w:t xml:space="preserve"> take into account</w:t>
      </w:r>
      <w:r w:rsidR="00277F24">
        <w:rPr>
          <w:rFonts w:asciiTheme="minorHAnsi" w:hAnsiTheme="minorHAnsi" w:cs="Arial"/>
          <w:color w:val="000000" w:themeColor="text1"/>
          <w:sz w:val="24"/>
          <w:szCs w:val="24"/>
        </w:rPr>
        <w:t xml:space="preserve"> </w:t>
      </w:r>
      <w:r w:rsidRPr="00A569F1">
        <w:rPr>
          <w:rFonts w:asciiTheme="minorHAnsi" w:hAnsiTheme="minorHAnsi" w:cs="Arial"/>
          <w:color w:val="000000" w:themeColor="text1"/>
          <w:sz w:val="24"/>
          <w:szCs w:val="24"/>
        </w:rPr>
        <w:t xml:space="preserve">the human factor involved with such data retrieval and that it has transient limitations. </w:t>
      </w:r>
      <w:r w:rsidR="00DD0368" w:rsidRPr="00A569F1">
        <w:rPr>
          <w:rFonts w:asciiTheme="minorHAnsi" w:hAnsiTheme="minorHAnsi" w:cs="Arial"/>
          <w:color w:val="000000" w:themeColor="text1"/>
          <w:sz w:val="24"/>
          <w:szCs w:val="24"/>
        </w:rPr>
        <w:t>Sadly,</w:t>
      </w:r>
      <w:r w:rsidRPr="00A569F1">
        <w:rPr>
          <w:rFonts w:asciiTheme="minorHAnsi" w:hAnsiTheme="minorHAnsi" w:cs="Arial"/>
          <w:color w:val="000000" w:themeColor="text1"/>
          <w:sz w:val="24"/>
          <w:szCs w:val="24"/>
        </w:rPr>
        <w:t xml:space="preserve"> it can also be used as a tool against non performing managers and also promote over-engagement. By this I refer to the potential of over- committed employees who can unbalance their work and home life leading to negative connotation and causal effect. </w:t>
      </w:r>
    </w:p>
    <w:p w14:paraId="3208D4EC" w14:textId="53B30A07" w:rsidR="00DD0368" w:rsidRDefault="00DD0368" w:rsidP="002C52D2">
      <w:pPr>
        <w:jc w:val="both"/>
        <w:rPr>
          <w:rFonts w:asciiTheme="minorHAnsi" w:hAnsiTheme="minorHAnsi" w:cs="Arial"/>
          <w:color w:val="000000" w:themeColor="text1"/>
          <w:sz w:val="24"/>
          <w:szCs w:val="24"/>
        </w:rPr>
      </w:pPr>
      <w:r>
        <w:rPr>
          <w:rFonts w:asciiTheme="minorHAnsi" w:hAnsiTheme="minorHAnsi" w:cs="Arial"/>
          <w:color w:val="000000" w:themeColor="text1"/>
          <w:sz w:val="24"/>
          <w:szCs w:val="24"/>
        </w:rPr>
        <w:t xml:space="preserve">Recent studies </w:t>
      </w:r>
      <w:r w:rsidR="00277F24">
        <w:rPr>
          <w:rFonts w:asciiTheme="minorHAnsi" w:hAnsiTheme="minorHAnsi" w:cs="Arial"/>
          <w:color w:val="000000" w:themeColor="text1"/>
          <w:sz w:val="24"/>
          <w:szCs w:val="24"/>
        </w:rPr>
        <w:t xml:space="preserve">in the last two years </w:t>
      </w:r>
      <w:r>
        <w:rPr>
          <w:rFonts w:asciiTheme="minorHAnsi" w:hAnsiTheme="minorHAnsi" w:cs="Arial"/>
          <w:color w:val="000000" w:themeColor="text1"/>
          <w:sz w:val="24"/>
          <w:szCs w:val="24"/>
        </w:rPr>
        <w:t xml:space="preserve">are indicating a decrease in </w:t>
      </w:r>
      <w:r w:rsidR="00277F24">
        <w:rPr>
          <w:rFonts w:asciiTheme="minorHAnsi" w:hAnsiTheme="minorHAnsi" w:cs="Arial"/>
          <w:color w:val="000000" w:themeColor="text1"/>
          <w:sz w:val="24"/>
          <w:szCs w:val="24"/>
        </w:rPr>
        <w:t xml:space="preserve">employee </w:t>
      </w:r>
      <w:r>
        <w:rPr>
          <w:rFonts w:asciiTheme="minorHAnsi" w:hAnsiTheme="minorHAnsi" w:cs="Arial"/>
          <w:color w:val="000000" w:themeColor="text1"/>
          <w:sz w:val="24"/>
          <w:szCs w:val="24"/>
        </w:rPr>
        <w:t>engagement</w:t>
      </w:r>
      <w:r w:rsidR="00277F24">
        <w:rPr>
          <w:rFonts w:asciiTheme="minorHAnsi" w:hAnsiTheme="minorHAnsi" w:cs="Arial"/>
          <w:color w:val="000000" w:themeColor="text1"/>
          <w:sz w:val="24"/>
          <w:szCs w:val="24"/>
        </w:rPr>
        <w:t xml:space="preserve"> unfortunately</w:t>
      </w:r>
      <w:r>
        <w:rPr>
          <w:rFonts w:asciiTheme="minorHAnsi" w:hAnsiTheme="minorHAnsi" w:cs="Arial"/>
          <w:color w:val="000000" w:themeColor="text1"/>
          <w:sz w:val="24"/>
          <w:szCs w:val="24"/>
        </w:rPr>
        <w:t xml:space="preserve"> with the pandemic being the main attributor. For this to regain balance much work will need to be done by organisations in the face of a buoyant employment market with </w:t>
      </w:r>
      <w:r>
        <w:rPr>
          <w:rFonts w:asciiTheme="minorHAnsi" w:hAnsiTheme="minorHAnsi" w:cs="Arial"/>
          <w:color w:val="000000" w:themeColor="text1"/>
          <w:sz w:val="24"/>
          <w:szCs w:val="24"/>
        </w:rPr>
        <w:lastRenderedPageBreak/>
        <w:t xml:space="preserve">empowered employees with new values. </w:t>
      </w:r>
      <w:r w:rsidR="000B7E54">
        <w:rPr>
          <w:rFonts w:asciiTheme="minorHAnsi" w:hAnsiTheme="minorHAnsi" w:cs="Arial"/>
          <w:color w:val="000000" w:themeColor="text1"/>
          <w:sz w:val="24"/>
          <w:szCs w:val="24"/>
        </w:rPr>
        <w:t xml:space="preserve">The pandemic has also seen an increase in general employment studies and two years more of lessening areas of concern such as the gender pay divide and location of place of work. </w:t>
      </w:r>
      <w:r w:rsidR="002B6199">
        <w:rPr>
          <w:rFonts w:asciiTheme="minorHAnsi" w:hAnsiTheme="minorHAnsi" w:cs="Arial"/>
          <w:color w:val="000000" w:themeColor="text1"/>
          <w:sz w:val="24"/>
          <w:szCs w:val="24"/>
        </w:rPr>
        <w:t>The pandemic outcomes are likely to bring lasting change</w:t>
      </w:r>
      <w:r w:rsidR="00277F24">
        <w:rPr>
          <w:rFonts w:asciiTheme="minorHAnsi" w:hAnsiTheme="minorHAnsi" w:cs="Arial"/>
          <w:color w:val="000000" w:themeColor="text1"/>
          <w:sz w:val="24"/>
          <w:szCs w:val="24"/>
        </w:rPr>
        <w:t xml:space="preserve"> such as an increased mobile workforce and hybrid home/office working. </w:t>
      </w:r>
    </w:p>
    <w:p w14:paraId="57676C0B" w14:textId="1D4060D6" w:rsidR="00C85750" w:rsidRDefault="002B6199" w:rsidP="002C52D2">
      <w:pPr>
        <w:jc w:val="both"/>
        <w:rPr>
          <w:rFonts w:asciiTheme="minorHAnsi" w:hAnsiTheme="minorHAnsi" w:cs="Arial"/>
          <w:color w:val="000000" w:themeColor="text1"/>
          <w:sz w:val="24"/>
          <w:szCs w:val="24"/>
        </w:rPr>
      </w:pPr>
      <w:r>
        <w:rPr>
          <w:rFonts w:asciiTheme="minorHAnsi" w:hAnsiTheme="minorHAnsi" w:cs="Arial"/>
          <w:color w:val="000000" w:themeColor="text1"/>
          <w:sz w:val="24"/>
          <w:szCs w:val="24"/>
        </w:rPr>
        <w:t>As the UK and global economy gain</w:t>
      </w:r>
      <w:r w:rsidR="00277F24">
        <w:rPr>
          <w:rFonts w:asciiTheme="minorHAnsi" w:hAnsiTheme="minorHAnsi" w:cs="Arial"/>
          <w:color w:val="000000" w:themeColor="text1"/>
          <w:sz w:val="24"/>
          <w:szCs w:val="24"/>
        </w:rPr>
        <w:t>s</w:t>
      </w:r>
      <w:r>
        <w:rPr>
          <w:rFonts w:asciiTheme="minorHAnsi" w:hAnsiTheme="minorHAnsi" w:cs="Arial"/>
          <w:color w:val="000000" w:themeColor="text1"/>
          <w:sz w:val="24"/>
          <w:szCs w:val="24"/>
        </w:rPr>
        <w:t xml:space="preserve"> strength and recover, employee engagement strategies are likely to be top priorities for leaders and HR functions. It will inevitably be crucial to have a focus on people priorities. </w:t>
      </w:r>
    </w:p>
    <w:p w14:paraId="49CFBF71" w14:textId="41F039C0" w:rsidR="00673003" w:rsidRDefault="00673003" w:rsidP="00C85750">
      <w:pPr>
        <w:rPr>
          <w:rFonts w:asciiTheme="minorHAnsi" w:hAnsiTheme="minorHAnsi" w:cs="Arial"/>
          <w:color w:val="000000" w:themeColor="text1"/>
          <w:sz w:val="24"/>
          <w:szCs w:val="24"/>
        </w:rPr>
      </w:pPr>
    </w:p>
    <w:p w14:paraId="37E46393" w14:textId="77777777" w:rsidR="00673003" w:rsidRPr="008B291B" w:rsidRDefault="00673003" w:rsidP="00C85750">
      <w:pPr>
        <w:rPr>
          <w:rFonts w:asciiTheme="minorHAnsi" w:hAnsiTheme="minorHAnsi" w:cs="Arial"/>
          <w:color w:val="000000" w:themeColor="text1"/>
          <w:sz w:val="24"/>
          <w:szCs w:val="24"/>
        </w:rPr>
      </w:pPr>
    </w:p>
    <w:sdt>
      <w:sdtPr>
        <w:rPr>
          <w:rFonts w:ascii="Calibri" w:eastAsia="Calibri" w:hAnsi="Calibri" w:cs="Times New Roman"/>
          <w:b w:val="0"/>
          <w:bCs w:val="0"/>
          <w:color w:val="auto"/>
          <w:sz w:val="22"/>
          <w:szCs w:val="22"/>
          <w:lang w:val="en-GB" w:bidi="ar-SA"/>
        </w:rPr>
        <w:id w:val="1786541069"/>
        <w:docPartObj>
          <w:docPartGallery w:val="Bibliographies"/>
          <w:docPartUnique/>
        </w:docPartObj>
      </w:sdtPr>
      <w:sdtEndPr/>
      <w:sdtContent>
        <w:p w14:paraId="26CC6F19" w14:textId="119C5390" w:rsidR="001326C4" w:rsidRPr="008B291B" w:rsidRDefault="001326C4">
          <w:pPr>
            <w:pStyle w:val="Heading1"/>
            <w:rPr>
              <w:color w:val="000000" w:themeColor="text1"/>
              <w:sz w:val="24"/>
              <w:szCs w:val="24"/>
            </w:rPr>
          </w:pPr>
          <w:r w:rsidRPr="008B291B">
            <w:rPr>
              <w:color w:val="000000" w:themeColor="text1"/>
              <w:sz w:val="24"/>
              <w:szCs w:val="24"/>
            </w:rPr>
            <w:t>Bibliography</w:t>
          </w:r>
        </w:p>
        <w:sdt>
          <w:sdtPr>
            <w:rPr>
              <w:sz w:val="24"/>
              <w:szCs w:val="24"/>
            </w:rPr>
            <w:id w:val="111145805"/>
            <w:bibliography/>
          </w:sdtPr>
          <w:sdtEndPr/>
          <w:sdtContent>
            <w:p w14:paraId="3EA3185A" w14:textId="77777777" w:rsidR="001326C4" w:rsidRPr="008B291B" w:rsidRDefault="001326C4" w:rsidP="001326C4">
              <w:pPr>
                <w:pStyle w:val="Bibliography"/>
                <w:ind w:left="720" w:hanging="720"/>
                <w:rPr>
                  <w:noProof/>
                  <w:sz w:val="24"/>
                  <w:szCs w:val="24"/>
                  <w:lang w:val="en-US"/>
                </w:rPr>
              </w:pPr>
              <w:r w:rsidRPr="008B291B">
                <w:rPr>
                  <w:sz w:val="24"/>
                  <w:szCs w:val="24"/>
                </w:rPr>
                <w:fldChar w:fldCharType="begin"/>
              </w:r>
              <w:r w:rsidRPr="008B291B">
                <w:rPr>
                  <w:sz w:val="24"/>
                  <w:szCs w:val="24"/>
                </w:rPr>
                <w:instrText xml:space="preserve"> BIBLIOGRAPHY </w:instrText>
              </w:r>
              <w:r w:rsidRPr="008B291B">
                <w:rPr>
                  <w:sz w:val="24"/>
                  <w:szCs w:val="24"/>
                </w:rPr>
                <w:fldChar w:fldCharType="separate"/>
              </w:r>
              <w:r w:rsidRPr="008B291B">
                <w:rPr>
                  <w:noProof/>
                  <w:sz w:val="24"/>
                  <w:szCs w:val="24"/>
                  <w:lang w:val="en-US"/>
                </w:rPr>
                <w:t xml:space="preserve">ACAS. (2022, February). </w:t>
              </w:r>
              <w:r w:rsidRPr="008B291B">
                <w:rPr>
                  <w:i/>
                  <w:iCs/>
                  <w:noProof/>
                  <w:sz w:val="24"/>
                  <w:szCs w:val="24"/>
                  <w:lang w:val="en-US"/>
                </w:rPr>
                <w:t>ACAS Working for Everyone</w:t>
              </w:r>
              <w:r w:rsidRPr="008B291B">
                <w:rPr>
                  <w:noProof/>
                  <w:sz w:val="24"/>
                  <w:szCs w:val="24"/>
                  <w:lang w:val="en-US"/>
                </w:rPr>
                <w:t>. Retrieved from ACAS: acas.org.uk/productivity and management</w:t>
              </w:r>
            </w:p>
            <w:p w14:paraId="11EA1222" w14:textId="77777777" w:rsidR="001326C4" w:rsidRPr="008B291B" w:rsidRDefault="001326C4" w:rsidP="001326C4">
              <w:pPr>
                <w:pStyle w:val="Bibliography"/>
                <w:ind w:left="720" w:hanging="720"/>
                <w:rPr>
                  <w:noProof/>
                  <w:sz w:val="24"/>
                  <w:szCs w:val="24"/>
                  <w:lang w:val="en-US"/>
                </w:rPr>
              </w:pPr>
              <w:r w:rsidRPr="008B291B">
                <w:rPr>
                  <w:noProof/>
                  <w:sz w:val="24"/>
                  <w:szCs w:val="24"/>
                  <w:lang w:val="en-US"/>
                </w:rPr>
                <w:t xml:space="preserve">CIPD. (2021). </w:t>
              </w:r>
              <w:r w:rsidRPr="008B291B">
                <w:rPr>
                  <w:i/>
                  <w:iCs/>
                  <w:noProof/>
                  <w:sz w:val="24"/>
                  <w:szCs w:val="24"/>
                  <w:lang w:val="en-US"/>
                </w:rPr>
                <w:t>Employee Communication.</w:t>
              </w:r>
              <w:r w:rsidRPr="008B291B">
                <w:rPr>
                  <w:noProof/>
                  <w:sz w:val="24"/>
                  <w:szCs w:val="24"/>
                  <w:lang w:val="en-US"/>
                </w:rPr>
                <w:t xml:space="preserve"> London: CIPD.</w:t>
              </w:r>
            </w:p>
            <w:p w14:paraId="5BC6693B" w14:textId="77777777" w:rsidR="001326C4" w:rsidRPr="008B291B" w:rsidRDefault="001326C4" w:rsidP="001326C4">
              <w:pPr>
                <w:pStyle w:val="Bibliography"/>
                <w:ind w:left="720" w:hanging="720"/>
                <w:rPr>
                  <w:noProof/>
                  <w:sz w:val="24"/>
                  <w:szCs w:val="24"/>
                  <w:lang w:val="en-US"/>
                </w:rPr>
              </w:pPr>
              <w:r w:rsidRPr="008B291B">
                <w:rPr>
                  <w:noProof/>
                  <w:sz w:val="24"/>
                  <w:szCs w:val="24"/>
                  <w:lang w:val="en-US"/>
                </w:rPr>
                <w:t xml:space="preserve">CIPD. (2021). </w:t>
              </w:r>
              <w:r w:rsidRPr="008B291B">
                <w:rPr>
                  <w:i/>
                  <w:iCs/>
                  <w:noProof/>
                  <w:sz w:val="24"/>
                  <w:szCs w:val="24"/>
                  <w:lang w:val="en-US"/>
                </w:rPr>
                <w:t>Employee Engagement and Motivation.</w:t>
              </w:r>
              <w:r w:rsidRPr="008B291B">
                <w:rPr>
                  <w:noProof/>
                  <w:sz w:val="24"/>
                  <w:szCs w:val="24"/>
                  <w:lang w:val="en-US"/>
                </w:rPr>
                <w:t xml:space="preserve"> London: CIPD.</w:t>
              </w:r>
            </w:p>
            <w:p w14:paraId="65BFF631" w14:textId="77777777" w:rsidR="001326C4" w:rsidRPr="008B291B" w:rsidRDefault="001326C4" w:rsidP="001326C4">
              <w:pPr>
                <w:pStyle w:val="Bibliography"/>
                <w:ind w:left="720" w:hanging="720"/>
                <w:rPr>
                  <w:noProof/>
                  <w:sz w:val="24"/>
                  <w:szCs w:val="24"/>
                  <w:lang w:val="en-US"/>
                </w:rPr>
              </w:pPr>
              <w:r w:rsidRPr="008B291B">
                <w:rPr>
                  <w:noProof/>
                  <w:sz w:val="24"/>
                  <w:szCs w:val="24"/>
                  <w:lang w:val="en-US"/>
                </w:rPr>
                <w:t xml:space="preserve">CIPD. (2021). </w:t>
              </w:r>
              <w:r w:rsidRPr="008B291B">
                <w:rPr>
                  <w:i/>
                  <w:iCs/>
                  <w:noProof/>
                  <w:sz w:val="24"/>
                  <w:szCs w:val="24"/>
                  <w:lang w:val="en-US"/>
                </w:rPr>
                <w:t>Employee Engagement: Definitions, measures and outcomes.</w:t>
              </w:r>
              <w:r w:rsidRPr="008B291B">
                <w:rPr>
                  <w:noProof/>
                  <w:sz w:val="24"/>
                  <w:szCs w:val="24"/>
                  <w:lang w:val="en-US"/>
                </w:rPr>
                <w:t xml:space="preserve"> London: CIPD.</w:t>
              </w:r>
            </w:p>
            <w:p w14:paraId="10549603" w14:textId="77777777" w:rsidR="001326C4" w:rsidRPr="008B291B" w:rsidRDefault="001326C4" w:rsidP="001326C4">
              <w:pPr>
                <w:pStyle w:val="Bibliography"/>
                <w:ind w:left="720" w:hanging="720"/>
                <w:rPr>
                  <w:noProof/>
                  <w:sz w:val="24"/>
                  <w:szCs w:val="24"/>
                  <w:lang w:val="en-US"/>
                </w:rPr>
              </w:pPr>
              <w:r w:rsidRPr="008B291B">
                <w:rPr>
                  <w:noProof/>
                  <w:sz w:val="24"/>
                  <w:szCs w:val="24"/>
                  <w:lang w:val="en-US"/>
                </w:rPr>
                <w:t xml:space="preserve">CIPD. (2021). </w:t>
              </w:r>
              <w:r w:rsidRPr="008B291B">
                <w:rPr>
                  <w:i/>
                  <w:iCs/>
                  <w:noProof/>
                  <w:sz w:val="24"/>
                  <w:szCs w:val="24"/>
                  <w:lang w:val="en-US"/>
                </w:rPr>
                <w:t>Evaluating Learning and Development.</w:t>
              </w:r>
              <w:r w:rsidRPr="008B291B">
                <w:rPr>
                  <w:noProof/>
                  <w:sz w:val="24"/>
                  <w:szCs w:val="24"/>
                  <w:lang w:val="en-US"/>
                </w:rPr>
                <w:t xml:space="preserve"> London: CIPD.</w:t>
              </w:r>
            </w:p>
            <w:p w14:paraId="180BAD43" w14:textId="77777777" w:rsidR="001326C4" w:rsidRPr="008B291B" w:rsidRDefault="001326C4" w:rsidP="001326C4">
              <w:pPr>
                <w:pStyle w:val="Bibliography"/>
                <w:ind w:left="720" w:hanging="720"/>
                <w:rPr>
                  <w:noProof/>
                  <w:sz w:val="24"/>
                  <w:szCs w:val="24"/>
                  <w:lang w:val="en-US"/>
                </w:rPr>
              </w:pPr>
              <w:r w:rsidRPr="008B291B">
                <w:rPr>
                  <w:noProof/>
                  <w:sz w:val="24"/>
                  <w:szCs w:val="24"/>
                  <w:lang w:val="en-US"/>
                </w:rPr>
                <w:t xml:space="preserve">Edwards, W. (2021). </w:t>
              </w:r>
              <w:r w:rsidRPr="008B291B">
                <w:rPr>
                  <w:i/>
                  <w:iCs/>
                  <w:noProof/>
                  <w:sz w:val="24"/>
                  <w:szCs w:val="24"/>
                  <w:lang w:val="en-US"/>
                </w:rPr>
                <w:t>The Deming Institute</w:t>
              </w:r>
              <w:r w:rsidRPr="008B291B">
                <w:rPr>
                  <w:noProof/>
                  <w:sz w:val="24"/>
                  <w:szCs w:val="24"/>
                  <w:lang w:val="en-US"/>
                </w:rPr>
                <w:t>. Retrieved from deming.org: deming.org/explore/pdsa/</w:t>
              </w:r>
            </w:p>
            <w:p w14:paraId="13029159" w14:textId="77777777" w:rsidR="001326C4" w:rsidRPr="008B291B" w:rsidRDefault="001326C4" w:rsidP="001326C4">
              <w:pPr>
                <w:pStyle w:val="Bibliography"/>
                <w:ind w:left="720" w:hanging="720"/>
                <w:rPr>
                  <w:noProof/>
                  <w:sz w:val="24"/>
                  <w:szCs w:val="24"/>
                  <w:lang w:val="en-US"/>
                </w:rPr>
              </w:pPr>
              <w:r w:rsidRPr="008B291B">
                <w:rPr>
                  <w:noProof/>
                  <w:sz w:val="24"/>
                  <w:szCs w:val="24"/>
                  <w:lang w:val="en-US"/>
                </w:rPr>
                <w:t xml:space="preserve">Gallup. (2017). </w:t>
              </w:r>
              <w:r w:rsidRPr="008B291B">
                <w:rPr>
                  <w:i/>
                  <w:iCs/>
                  <w:noProof/>
                  <w:sz w:val="24"/>
                  <w:szCs w:val="24"/>
                  <w:lang w:val="en-US"/>
                </w:rPr>
                <w:t>State of the Global Workplace.</w:t>
              </w:r>
              <w:r w:rsidRPr="008B291B">
                <w:rPr>
                  <w:noProof/>
                  <w:sz w:val="24"/>
                  <w:szCs w:val="24"/>
                  <w:lang w:val="en-US"/>
                </w:rPr>
                <w:t xml:space="preserve"> New York: Gallup.</w:t>
              </w:r>
            </w:p>
            <w:p w14:paraId="648ECB09" w14:textId="77777777" w:rsidR="001326C4" w:rsidRPr="008B291B" w:rsidRDefault="001326C4" w:rsidP="001326C4">
              <w:pPr>
                <w:pStyle w:val="Bibliography"/>
                <w:ind w:left="720" w:hanging="720"/>
                <w:rPr>
                  <w:noProof/>
                  <w:sz w:val="24"/>
                  <w:szCs w:val="24"/>
                  <w:lang w:val="en-US"/>
                </w:rPr>
              </w:pPr>
              <w:r w:rsidRPr="008B291B">
                <w:rPr>
                  <w:noProof/>
                  <w:sz w:val="24"/>
                  <w:szCs w:val="24"/>
                  <w:lang w:val="en-US"/>
                </w:rPr>
                <w:t xml:space="preserve">HSE. (2022). </w:t>
              </w:r>
              <w:r w:rsidRPr="008B291B">
                <w:rPr>
                  <w:i/>
                  <w:iCs/>
                  <w:noProof/>
                  <w:sz w:val="24"/>
                  <w:szCs w:val="24"/>
                  <w:lang w:val="en-US"/>
                </w:rPr>
                <w:t>HSE Health and Safety Executive</w:t>
              </w:r>
              <w:r w:rsidRPr="008B291B">
                <w:rPr>
                  <w:noProof/>
                  <w:sz w:val="24"/>
                  <w:szCs w:val="24"/>
                  <w:lang w:val="en-US"/>
                </w:rPr>
                <w:t>. Retrieved from HSE: hse.gov.uk/invlovement/</w:t>
              </w:r>
            </w:p>
            <w:p w14:paraId="551011F4" w14:textId="77777777" w:rsidR="001326C4" w:rsidRPr="008B291B" w:rsidRDefault="001326C4" w:rsidP="001326C4">
              <w:pPr>
                <w:pStyle w:val="Bibliography"/>
                <w:ind w:left="720" w:hanging="720"/>
                <w:rPr>
                  <w:noProof/>
                  <w:sz w:val="24"/>
                  <w:szCs w:val="24"/>
                  <w:lang w:val="en-US"/>
                </w:rPr>
              </w:pPr>
              <w:r w:rsidRPr="008B291B">
                <w:rPr>
                  <w:noProof/>
                  <w:sz w:val="24"/>
                  <w:szCs w:val="24"/>
                  <w:lang w:val="en-US"/>
                </w:rPr>
                <w:t xml:space="preserve">Kahn, W. (1990). Psychological conditions of personal engagement and disengagement at work. </w:t>
              </w:r>
              <w:r w:rsidRPr="008B291B">
                <w:rPr>
                  <w:i/>
                  <w:iCs/>
                  <w:noProof/>
                  <w:sz w:val="24"/>
                  <w:szCs w:val="24"/>
                  <w:lang w:val="en-US"/>
                </w:rPr>
                <w:t>Academy of Management</w:t>
              </w:r>
              <w:r w:rsidRPr="008B291B">
                <w:rPr>
                  <w:noProof/>
                  <w:sz w:val="24"/>
                  <w:szCs w:val="24"/>
                  <w:lang w:val="en-US"/>
                </w:rPr>
                <w:t>, 692.</w:t>
              </w:r>
            </w:p>
            <w:p w14:paraId="648D96E1" w14:textId="77777777" w:rsidR="001326C4" w:rsidRPr="008B291B" w:rsidRDefault="001326C4" w:rsidP="001326C4">
              <w:pPr>
                <w:pStyle w:val="Bibliography"/>
                <w:ind w:left="720" w:hanging="720"/>
                <w:rPr>
                  <w:noProof/>
                  <w:sz w:val="24"/>
                  <w:szCs w:val="24"/>
                  <w:lang w:val="en-US"/>
                </w:rPr>
              </w:pPr>
              <w:r w:rsidRPr="008B291B">
                <w:rPr>
                  <w:noProof/>
                  <w:sz w:val="24"/>
                  <w:szCs w:val="24"/>
                  <w:lang w:val="en-US"/>
                </w:rPr>
                <w:t xml:space="preserve">Oluwatayo, A. A. (2020). Influence of Employee Attributes, Work Context and Human Resource Management Prctices on Employee Job Engagement. </w:t>
              </w:r>
              <w:r w:rsidRPr="008B291B">
                <w:rPr>
                  <w:i/>
                  <w:iCs/>
                  <w:noProof/>
                  <w:sz w:val="24"/>
                  <w:szCs w:val="24"/>
                  <w:lang w:val="en-US"/>
                </w:rPr>
                <w:t>Global Institute of Flexible Management Systems</w:t>
              </w:r>
              <w:r w:rsidRPr="008B291B">
                <w:rPr>
                  <w:noProof/>
                  <w:sz w:val="24"/>
                  <w:szCs w:val="24"/>
                  <w:lang w:val="en-US"/>
                </w:rPr>
                <w:t>, 295-308.</w:t>
              </w:r>
            </w:p>
            <w:p w14:paraId="26E21C64" w14:textId="77777777" w:rsidR="001326C4" w:rsidRPr="008B291B" w:rsidRDefault="001326C4" w:rsidP="001326C4">
              <w:pPr>
                <w:pStyle w:val="Bibliography"/>
                <w:ind w:left="720" w:hanging="720"/>
                <w:rPr>
                  <w:noProof/>
                  <w:sz w:val="24"/>
                  <w:szCs w:val="24"/>
                  <w:lang w:val="en-US"/>
                </w:rPr>
              </w:pPr>
              <w:r w:rsidRPr="008B291B">
                <w:rPr>
                  <w:noProof/>
                  <w:sz w:val="24"/>
                  <w:szCs w:val="24"/>
                  <w:lang w:val="en-US"/>
                </w:rPr>
                <w:t xml:space="preserve">Richards, J. G. (2020). The Four Aspects of Culture that Drive Engagement. </w:t>
              </w:r>
              <w:r w:rsidRPr="008B291B">
                <w:rPr>
                  <w:i/>
                  <w:iCs/>
                  <w:noProof/>
                  <w:sz w:val="24"/>
                  <w:szCs w:val="24"/>
                  <w:lang w:val="en-US"/>
                </w:rPr>
                <w:t>Industry Week</w:t>
              </w:r>
              <w:r w:rsidRPr="008B291B">
                <w:rPr>
                  <w:noProof/>
                  <w:sz w:val="24"/>
                  <w:szCs w:val="24"/>
                  <w:lang w:val="en-US"/>
                </w:rPr>
                <w:t>.</w:t>
              </w:r>
            </w:p>
            <w:p w14:paraId="4B67FC53" w14:textId="77777777" w:rsidR="001326C4" w:rsidRPr="008B291B" w:rsidRDefault="001326C4" w:rsidP="001326C4">
              <w:pPr>
                <w:pStyle w:val="Bibliography"/>
                <w:ind w:left="720" w:hanging="720"/>
                <w:rPr>
                  <w:noProof/>
                  <w:sz w:val="24"/>
                  <w:szCs w:val="24"/>
                  <w:lang w:val="en-US"/>
                </w:rPr>
              </w:pPr>
              <w:r w:rsidRPr="008B291B">
                <w:rPr>
                  <w:noProof/>
                  <w:sz w:val="24"/>
                  <w:szCs w:val="24"/>
                  <w:lang w:val="en-US"/>
                </w:rPr>
                <w:t xml:space="preserve">Schaufeli, W. B. (2006). </w:t>
              </w:r>
              <w:r w:rsidRPr="008B291B">
                <w:rPr>
                  <w:i/>
                  <w:iCs/>
                  <w:noProof/>
                  <w:sz w:val="24"/>
                  <w:szCs w:val="24"/>
                  <w:lang w:val="en-US"/>
                </w:rPr>
                <w:t>The Measurement of Work Engagement.</w:t>
              </w:r>
              <w:r w:rsidRPr="008B291B">
                <w:rPr>
                  <w:noProof/>
                  <w:sz w:val="24"/>
                  <w:szCs w:val="24"/>
                  <w:lang w:val="en-US"/>
                </w:rPr>
                <w:t xml:space="preserve"> Utrecht Univeristy.</w:t>
              </w:r>
            </w:p>
            <w:p w14:paraId="6F47C761" w14:textId="77777777" w:rsidR="001326C4" w:rsidRPr="008B291B" w:rsidRDefault="001326C4" w:rsidP="001326C4">
              <w:pPr>
                <w:pStyle w:val="Bibliography"/>
                <w:ind w:left="720" w:hanging="720"/>
                <w:rPr>
                  <w:noProof/>
                  <w:sz w:val="24"/>
                  <w:szCs w:val="24"/>
                  <w:lang w:val="en-US"/>
                </w:rPr>
              </w:pPr>
              <w:r w:rsidRPr="008B291B">
                <w:rPr>
                  <w:noProof/>
                  <w:sz w:val="24"/>
                  <w:szCs w:val="24"/>
                  <w:lang w:val="en-US"/>
                </w:rPr>
                <w:t xml:space="preserve">Service, T. I. (2020). </w:t>
              </w:r>
              <w:r w:rsidRPr="008B291B">
                <w:rPr>
                  <w:i/>
                  <w:iCs/>
                  <w:noProof/>
                  <w:sz w:val="24"/>
                  <w:szCs w:val="24"/>
                  <w:lang w:val="en-US"/>
                </w:rPr>
                <w:t>The Customer Knows: How employee engagement leads to a greater customer satsfaction and loyalty.</w:t>
              </w:r>
              <w:r w:rsidRPr="008B291B">
                <w:rPr>
                  <w:noProof/>
                  <w:sz w:val="24"/>
                  <w:szCs w:val="24"/>
                  <w:lang w:val="en-US"/>
                </w:rPr>
                <w:t xml:space="preserve"> London: The Institute of Customer Service.</w:t>
              </w:r>
            </w:p>
            <w:p w14:paraId="2FB8BC2A" w14:textId="77777777" w:rsidR="001326C4" w:rsidRPr="008B291B" w:rsidRDefault="001326C4" w:rsidP="001326C4">
              <w:pPr>
                <w:pStyle w:val="Bibliography"/>
                <w:ind w:left="720" w:hanging="720"/>
                <w:rPr>
                  <w:noProof/>
                  <w:sz w:val="24"/>
                  <w:szCs w:val="24"/>
                  <w:lang w:val="en-US"/>
                </w:rPr>
              </w:pPr>
              <w:r w:rsidRPr="008B291B">
                <w:rPr>
                  <w:noProof/>
                  <w:sz w:val="24"/>
                  <w:szCs w:val="24"/>
                  <w:lang w:val="en-US"/>
                </w:rPr>
                <w:t xml:space="preserve">SHRM. (2006). Employee Engagement and Committment. </w:t>
              </w:r>
              <w:r w:rsidRPr="008B291B">
                <w:rPr>
                  <w:i/>
                  <w:iCs/>
                  <w:noProof/>
                  <w:sz w:val="24"/>
                  <w:szCs w:val="24"/>
                  <w:lang w:val="en-US"/>
                </w:rPr>
                <w:t>A guide to understanding measuring and increasing engagement in your organisation</w:t>
              </w:r>
              <w:r w:rsidRPr="008B291B">
                <w:rPr>
                  <w:noProof/>
                  <w:sz w:val="24"/>
                  <w:szCs w:val="24"/>
                  <w:lang w:val="en-US"/>
                </w:rPr>
                <w:t>.</w:t>
              </w:r>
            </w:p>
            <w:p w14:paraId="5D176EB3" w14:textId="77777777" w:rsidR="001326C4" w:rsidRPr="008B291B" w:rsidRDefault="001326C4" w:rsidP="001326C4">
              <w:pPr>
                <w:pStyle w:val="Bibliography"/>
                <w:ind w:left="720" w:hanging="720"/>
                <w:rPr>
                  <w:noProof/>
                  <w:sz w:val="24"/>
                  <w:szCs w:val="24"/>
                  <w:lang w:val="en-US"/>
                </w:rPr>
              </w:pPr>
              <w:r w:rsidRPr="008B291B">
                <w:rPr>
                  <w:noProof/>
                  <w:sz w:val="24"/>
                  <w:szCs w:val="24"/>
                  <w:lang w:val="en-US"/>
                </w:rPr>
                <w:t xml:space="preserve">Shuck, B. A. (2015). Exploring Organisationsal Alignment. Employee Engagement Linkages and Impact on Individual Performance. </w:t>
              </w:r>
              <w:r w:rsidRPr="008B291B">
                <w:rPr>
                  <w:i/>
                  <w:iCs/>
                  <w:noProof/>
                  <w:sz w:val="24"/>
                  <w:szCs w:val="24"/>
                  <w:lang w:val="en-US"/>
                </w:rPr>
                <w:t>Human Resource Development Review</w:t>
              </w:r>
              <w:r w:rsidRPr="008B291B">
                <w:rPr>
                  <w:noProof/>
                  <w:sz w:val="24"/>
                  <w:szCs w:val="24"/>
                  <w:lang w:val="en-US"/>
                </w:rPr>
                <w:t>.</w:t>
              </w:r>
            </w:p>
            <w:p w14:paraId="66FEA1E4" w14:textId="77777777" w:rsidR="001326C4" w:rsidRPr="008B291B" w:rsidRDefault="001326C4" w:rsidP="001326C4">
              <w:pPr>
                <w:pStyle w:val="Bibliography"/>
                <w:ind w:left="720" w:hanging="720"/>
                <w:rPr>
                  <w:noProof/>
                  <w:sz w:val="24"/>
                  <w:szCs w:val="24"/>
                  <w:lang w:val="en-US"/>
                </w:rPr>
              </w:pPr>
              <w:r w:rsidRPr="008B291B">
                <w:rPr>
                  <w:noProof/>
                  <w:sz w:val="24"/>
                  <w:szCs w:val="24"/>
                  <w:lang w:val="en-US"/>
                </w:rPr>
                <w:lastRenderedPageBreak/>
                <w:t xml:space="preserve">Wickens, Z. (2021, August). </w:t>
              </w:r>
              <w:r w:rsidRPr="008B291B">
                <w:rPr>
                  <w:i/>
                  <w:iCs/>
                  <w:noProof/>
                  <w:sz w:val="24"/>
                  <w:szCs w:val="24"/>
                  <w:lang w:val="en-US"/>
                </w:rPr>
                <w:t>Employee Benefits.</w:t>
              </w:r>
              <w:r w:rsidRPr="008B291B">
                <w:rPr>
                  <w:noProof/>
                  <w:sz w:val="24"/>
                  <w:szCs w:val="24"/>
                  <w:lang w:val="en-US"/>
                </w:rPr>
                <w:t xml:space="preserve"> Retrieved from Employee Benefits: employeebenefits.co.uk</w:t>
              </w:r>
            </w:p>
            <w:p w14:paraId="51959200" w14:textId="77777777" w:rsidR="001326C4" w:rsidRPr="008B291B" w:rsidRDefault="001326C4" w:rsidP="001326C4">
              <w:pPr>
                <w:pStyle w:val="Bibliography"/>
                <w:ind w:left="720" w:hanging="720"/>
                <w:rPr>
                  <w:noProof/>
                  <w:sz w:val="24"/>
                  <w:szCs w:val="24"/>
                  <w:lang w:val="en-US"/>
                </w:rPr>
              </w:pPr>
              <w:r w:rsidRPr="008B291B">
                <w:rPr>
                  <w:noProof/>
                  <w:sz w:val="24"/>
                  <w:szCs w:val="24"/>
                  <w:lang w:val="en-US"/>
                </w:rPr>
                <w:t xml:space="preserve">Wigert, B. A. (2021). The Wellbeing Paradix of 2020. </w:t>
              </w:r>
              <w:r w:rsidRPr="008B291B">
                <w:rPr>
                  <w:i/>
                  <w:iCs/>
                  <w:noProof/>
                  <w:sz w:val="24"/>
                  <w:szCs w:val="24"/>
                  <w:lang w:val="en-US"/>
                </w:rPr>
                <w:t>Workplace</w:t>
              </w:r>
              <w:r w:rsidRPr="008B291B">
                <w:rPr>
                  <w:noProof/>
                  <w:sz w:val="24"/>
                  <w:szCs w:val="24"/>
                  <w:lang w:val="en-US"/>
                </w:rPr>
                <w:t>.</w:t>
              </w:r>
            </w:p>
            <w:p w14:paraId="720EF299" w14:textId="77777777" w:rsidR="001326C4" w:rsidRPr="008B291B" w:rsidRDefault="001326C4" w:rsidP="001326C4">
              <w:pPr>
                <w:pStyle w:val="Bibliography"/>
                <w:ind w:left="720" w:hanging="720"/>
                <w:rPr>
                  <w:noProof/>
                  <w:sz w:val="24"/>
                  <w:szCs w:val="24"/>
                  <w:lang w:val="en-US"/>
                </w:rPr>
              </w:pPr>
              <w:r w:rsidRPr="008B291B">
                <w:rPr>
                  <w:noProof/>
                  <w:sz w:val="24"/>
                  <w:szCs w:val="24"/>
                  <w:lang w:val="en-US"/>
                </w:rPr>
                <w:t xml:space="preserve">Wiley, J. (2010). The Impact of Effective Leadership on Employee Engagement. </w:t>
              </w:r>
              <w:r w:rsidRPr="008B291B">
                <w:rPr>
                  <w:i/>
                  <w:iCs/>
                  <w:noProof/>
                  <w:sz w:val="24"/>
                  <w:szCs w:val="24"/>
                  <w:lang w:val="en-US"/>
                </w:rPr>
                <w:t>Employment Relations</w:t>
              </w:r>
              <w:r w:rsidRPr="008B291B">
                <w:rPr>
                  <w:noProof/>
                  <w:sz w:val="24"/>
                  <w:szCs w:val="24"/>
                  <w:lang w:val="en-US"/>
                </w:rPr>
                <w:t>.</w:t>
              </w:r>
            </w:p>
            <w:p w14:paraId="427DC74D" w14:textId="77777777" w:rsidR="001326C4" w:rsidRPr="008B291B" w:rsidRDefault="001326C4" w:rsidP="001326C4">
              <w:pPr>
                <w:pStyle w:val="Bibliography"/>
                <w:ind w:left="720" w:hanging="720"/>
                <w:rPr>
                  <w:noProof/>
                  <w:sz w:val="24"/>
                  <w:szCs w:val="24"/>
                  <w:lang w:val="en-US"/>
                </w:rPr>
              </w:pPr>
              <w:r w:rsidRPr="008B291B">
                <w:rPr>
                  <w:noProof/>
                  <w:sz w:val="24"/>
                  <w:szCs w:val="24"/>
                  <w:lang w:val="en-US"/>
                </w:rPr>
                <w:t xml:space="preserve">Zone, W. B. (2021). </w:t>
              </w:r>
              <w:r w:rsidRPr="008B291B">
                <w:rPr>
                  <w:i/>
                  <w:iCs/>
                  <w:noProof/>
                  <w:sz w:val="24"/>
                  <w:szCs w:val="24"/>
                  <w:lang w:val="en-US"/>
                </w:rPr>
                <w:t>The State of Employee Engagement 2021.</w:t>
              </w:r>
              <w:r w:rsidRPr="008B291B">
                <w:rPr>
                  <w:noProof/>
                  <w:sz w:val="24"/>
                  <w:szCs w:val="24"/>
                  <w:lang w:val="en-US"/>
                </w:rPr>
                <w:t xml:space="preserve"> Milton Keynes: Work Buzz.</w:t>
              </w:r>
            </w:p>
            <w:p w14:paraId="0BCED4B2" w14:textId="5293F7F5" w:rsidR="001326C4" w:rsidRDefault="001326C4" w:rsidP="001326C4">
              <w:r w:rsidRPr="008B291B">
                <w:rPr>
                  <w:b/>
                  <w:bCs/>
                  <w:noProof/>
                  <w:sz w:val="24"/>
                  <w:szCs w:val="24"/>
                </w:rPr>
                <w:fldChar w:fldCharType="end"/>
              </w:r>
            </w:p>
          </w:sdtContent>
        </w:sdt>
      </w:sdtContent>
    </w:sdt>
    <w:p w14:paraId="35A8C32E" w14:textId="781DB598" w:rsidR="00C85750" w:rsidRPr="002B49DD" w:rsidRDefault="00C85750" w:rsidP="00C85750">
      <w:pPr>
        <w:rPr>
          <w:rFonts w:asciiTheme="minorHAnsi" w:hAnsiTheme="minorHAnsi" w:cs="Arial"/>
          <w:color w:val="FF0000"/>
          <w:sz w:val="24"/>
          <w:szCs w:val="24"/>
        </w:rPr>
      </w:pPr>
    </w:p>
    <w:p w14:paraId="0B1BC433" w14:textId="43428542" w:rsidR="009219BA" w:rsidRPr="002B49DD" w:rsidRDefault="009219BA" w:rsidP="009219BA">
      <w:pPr>
        <w:rPr>
          <w:rFonts w:asciiTheme="minorHAnsi" w:hAnsiTheme="minorHAnsi" w:cs="Arial"/>
          <w:sz w:val="24"/>
          <w:szCs w:val="24"/>
        </w:rPr>
      </w:pPr>
    </w:p>
    <w:p w14:paraId="69FF1FAC" w14:textId="7B6EFC7F" w:rsidR="009219BA" w:rsidRPr="002B49DD" w:rsidRDefault="009219BA" w:rsidP="009219BA">
      <w:pPr>
        <w:rPr>
          <w:rFonts w:asciiTheme="minorHAnsi" w:hAnsiTheme="minorHAnsi" w:cs="Arial"/>
          <w:sz w:val="24"/>
          <w:szCs w:val="24"/>
        </w:rPr>
      </w:pPr>
    </w:p>
    <w:p w14:paraId="6BD98D5E" w14:textId="43128737" w:rsidR="009219BA" w:rsidRPr="002B49DD" w:rsidRDefault="009219BA" w:rsidP="009219BA">
      <w:pPr>
        <w:rPr>
          <w:rFonts w:asciiTheme="minorHAnsi" w:hAnsiTheme="minorHAnsi"/>
          <w:sz w:val="24"/>
          <w:szCs w:val="24"/>
        </w:rPr>
      </w:pPr>
    </w:p>
    <w:p w14:paraId="38DA19C1" w14:textId="1E880DBE" w:rsidR="009219BA" w:rsidRPr="002B49DD" w:rsidRDefault="009219BA" w:rsidP="009219BA">
      <w:pPr>
        <w:rPr>
          <w:rFonts w:asciiTheme="minorHAnsi" w:hAnsiTheme="minorHAnsi"/>
          <w:sz w:val="24"/>
          <w:szCs w:val="24"/>
        </w:rPr>
      </w:pPr>
    </w:p>
    <w:p w14:paraId="6483FE73" w14:textId="36C5661B" w:rsidR="009219BA" w:rsidRPr="002B49DD" w:rsidRDefault="009219BA" w:rsidP="009219BA">
      <w:pPr>
        <w:rPr>
          <w:rFonts w:asciiTheme="minorHAnsi" w:hAnsiTheme="minorHAnsi"/>
          <w:sz w:val="24"/>
          <w:szCs w:val="24"/>
        </w:rPr>
      </w:pPr>
    </w:p>
    <w:p w14:paraId="72A749AA" w14:textId="77777777" w:rsidR="00B12B4E" w:rsidRPr="002B49DD" w:rsidRDefault="00B12B4E" w:rsidP="009219BA">
      <w:pPr>
        <w:rPr>
          <w:rFonts w:asciiTheme="minorHAnsi" w:hAnsiTheme="minorHAnsi"/>
          <w:sz w:val="24"/>
          <w:szCs w:val="24"/>
        </w:rPr>
      </w:pPr>
    </w:p>
    <w:sectPr w:rsidR="00B12B4E" w:rsidRPr="002B49DD" w:rsidSect="002324D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74BF9" w14:textId="77777777" w:rsidR="00410AA8" w:rsidRDefault="00410AA8" w:rsidP="008B291B">
      <w:pPr>
        <w:spacing w:after="0"/>
      </w:pPr>
      <w:r>
        <w:separator/>
      </w:r>
    </w:p>
  </w:endnote>
  <w:endnote w:type="continuationSeparator" w:id="0">
    <w:p w14:paraId="5F892558" w14:textId="77777777" w:rsidR="00410AA8" w:rsidRDefault="00410AA8" w:rsidP="008B291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DA049" w14:textId="77777777" w:rsidR="00410AA8" w:rsidRDefault="00410AA8" w:rsidP="008B291B">
      <w:pPr>
        <w:spacing w:after="0"/>
      </w:pPr>
      <w:r>
        <w:separator/>
      </w:r>
    </w:p>
  </w:footnote>
  <w:footnote w:type="continuationSeparator" w:id="0">
    <w:p w14:paraId="02B65DD1" w14:textId="77777777" w:rsidR="00410AA8" w:rsidRDefault="00410AA8" w:rsidP="008B291B">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2572B"/>
    <w:multiLevelType w:val="hybridMultilevel"/>
    <w:tmpl w:val="8D600C1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BE2D71"/>
    <w:multiLevelType w:val="hybridMultilevel"/>
    <w:tmpl w:val="D5CEC224"/>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F75321"/>
    <w:multiLevelType w:val="hybridMultilevel"/>
    <w:tmpl w:val="E4320E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D258C5"/>
    <w:multiLevelType w:val="hybridMultilevel"/>
    <w:tmpl w:val="7090A6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9A71FA7"/>
    <w:multiLevelType w:val="hybridMultilevel"/>
    <w:tmpl w:val="EA904BF8"/>
    <w:lvl w:ilvl="0" w:tplc="D0EC90B0">
      <w:start w:val="1"/>
      <w:numFmt w:val="bullet"/>
      <w:lvlText w:val="•"/>
      <w:lvlJc w:val="left"/>
      <w:pPr>
        <w:tabs>
          <w:tab w:val="num" w:pos="720"/>
        </w:tabs>
        <w:ind w:left="720" w:hanging="360"/>
      </w:pPr>
      <w:rPr>
        <w:rFonts w:ascii="Arial" w:hAnsi="Arial" w:hint="default"/>
      </w:rPr>
    </w:lvl>
    <w:lvl w:ilvl="1" w:tplc="2F38FDE6" w:tentative="1">
      <w:start w:val="1"/>
      <w:numFmt w:val="bullet"/>
      <w:lvlText w:val="•"/>
      <w:lvlJc w:val="left"/>
      <w:pPr>
        <w:tabs>
          <w:tab w:val="num" w:pos="1440"/>
        </w:tabs>
        <w:ind w:left="1440" w:hanging="360"/>
      </w:pPr>
      <w:rPr>
        <w:rFonts w:ascii="Arial" w:hAnsi="Arial" w:hint="default"/>
      </w:rPr>
    </w:lvl>
    <w:lvl w:ilvl="2" w:tplc="28C80F0C" w:tentative="1">
      <w:start w:val="1"/>
      <w:numFmt w:val="bullet"/>
      <w:lvlText w:val="•"/>
      <w:lvlJc w:val="left"/>
      <w:pPr>
        <w:tabs>
          <w:tab w:val="num" w:pos="2160"/>
        </w:tabs>
        <w:ind w:left="2160" w:hanging="360"/>
      </w:pPr>
      <w:rPr>
        <w:rFonts w:ascii="Arial" w:hAnsi="Arial" w:hint="default"/>
      </w:rPr>
    </w:lvl>
    <w:lvl w:ilvl="3" w:tplc="B77A652E" w:tentative="1">
      <w:start w:val="1"/>
      <w:numFmt w:val="bullet"/>
      <w:lvlText w:val="•"/>
      <w:lvlJc w:val="left"/>
      <w:pPr>
        <w:tabs>
          <w:tab w:val="num" w:pos="2880"/>
        </w:tabs>
        <w:ind w:left="2880" w:hanging="360"/>
      </w:pPr>
      <w:rPr>
        <w:rFonts w:ascii="Arial" w:hAnsi="Arial" w:hint="default"/>
      </w:rPr>
    </w:lvl>
    <w:lvl w:ilvl="4" w:tplc="111CDA5A" w:tentative="1">
      <w:start w:val="1"/>
      <w:numFmt w:val="bullet"/>
      <w:lvlText w:val="•"/>
      <w:lvlJc w:val="left"/>
      <w:pPr>
        <w:tabs>
          <w:tab w:val="num" w:pos="3600"/>
        </w:tabs>
        <w:ind w:left="3600" w:hanging="360"/>
      </w:pPr>
      <w:rPr>
        <w:rFonts w:ascii="Arial" w:hAnsi="Arial" w:hint="default"/>
      </w:rPr>
    </w:lvl>
    <w:lvl w:ilvl="5" w:tplc="5FF48A50" w:tentative="1">
      <w:start w:val="1"/>
      <w:numFmt w:val="bullet"/>
      <w:lvlText w:val="•"/>
      <w:lvlJc w:val="left"/>
      <w:pPr>
        <w:tabs>
          <w:tab w:val="num" w:pos="4320"/>
        </w:tabs>
        <w:ind w:left="4320" w:hanging="360"/>
      </w:pPr>
      <w:rPr>
        <w:rFonts w:ascii="Arial" w:hAnsi="Arial" w:hint="default"/>
      </w:rPr>
    </w:lvl>
    <w:lvl w:ilvl="6" w:tplc="C4068B2C" w:tentative="1">
      <w:start w:val="1"/>
      <w:numFmt w:val="bullet"/>
      <w:lvlText w:val="•"/>
      <w:lvlJc w:val="left"/>
      <w:pPr>
        <w:tabs>
          <w:tab w:val="num" w:pos="5040"/>
        </w:tabs>
        <w:ind w:left="5040" w:hanging="360"/>
      </w:pPr>
      <w:rPr>
        <w:rFonts w:ascii="Arial" w:hAnsi="Arial" w:hint="default"/>
      </w:rPr>
    </w:lvl>
    <w:lvl w:ilvl="7" w:tplc="9CD4F514" w:tentative="1">
      <w:start w:val="1"/>
      <w:numFmt w:val="bullet"/>
      <w:lvlText w:val="•"/>
      <w:lvlJc w:val="left"/>
      <w:pPr>
        <w:tabs>
          <w:tab w:val="num" w:pos="5760"/>
        </w:tabs>
        <w:ind w:left="5760" w:hanging="360"/>
      </w:pPr>
      <w:rPr>
        <w:rFonts w:ascii="Arial" w:hAnsi="Arial" w:hint="default"/>
      </w:rPr>
    </w:lvl>
    <w:lvl w:ilvl="8" w:tplc="8312B3D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7E63E3E"/>
    <w:multiLevelType w:val="hybridMultilevel"/>
    <w:tmpl w:val="2A3492C2"/>
    <w:lvl w:ilvl="0" w:tplc="B3682AE8">
      <w:start w:val="1"/>
      <w:numFmt w:val="bullet"/>
      <w:lvlText w:val="•"/>
      <w:lvlJc w:val="left"/>
      <w:pPr>
        <w:tabs>
          <w:tab w:val="num" w:pos="720"/>
        </w:tabs>
        <w:ind w:left="720" w:hanging="360"/>
      </w:pPr>
      <w:rPr>
        <w:rFonts w:ascii="Arial" w:hAnsi="Arial" w:hint="default"/>
      </w:rPr>
    </w:lvl>
    <w:lvl w:ilvl="1" w:tplc="812C0366" w:tentative="1">
      <w:start w:val="1"/>
      <w:numFmt w:val="bullet"/>
      <w:lvlText w:val="•"/>
      <w:lvlJc w:val="left"/>
      <w:pPr>
        <w:tabs>
          <w:tab w:val="num" w:pos="1440"/>
        </w:tabs>
        <w:ind w:left="1440" w:hanging="360"/>
      </w:pPr>
      <w:rPr>
        <w:rFonts w:ascii="Arial" w:hAnsi="Arial" w:hint="default"/>
      </w:rPr>
    </w:lvl>
    <w:lvl w:ilvl="2" w:tplc="A85EAE8C" w:tentative="1">
      <w:start w:val="1"/>
      <w:numFmt w:val="bullet"/>
      <w:lvlText w:val="•"/>
      <w:lvlJc w:val="left"/>
      <w:pPr>
        <w:tabs>
          <w:tab w:val="num" w:pos="2160"/>
        </w:tabs>
        <w:ind w:left="2160" w:hanging="360"/>
      </w:pPr>
      <w:rPr>
        <w:rFonts w:ascii="Arial" w:hAnsi="Arial" w:hint="default"/>
      </w:rPr>
    </w:lvl>
    <w:lvl w:ilvl="3" w:tplc="B678AE74" w:tentative="1">
      <w:start w:val="1"/>
      <w:numFmt w:val="bullet"/>
      <w:lvlText w:val="•"/>
      <w:lvlJc w:val="left"/>
      <w:pPr>
        <w:tabs>
          <w:tab w:val="num" w:pos="2880"/>
        </w:tabs>
        <w:ind w:left="2880" w:hanging="360"/>
      </w:pPr>
      <w:rPr>
        <w:rFonts w:ascii="Arial" w:hAnsi="Arial" w:hint="default"/>
      </w:rPr>
    </w:lvl>
    <w:lvl w:ilvl="4" w:tplc="269C7A14" w:tentative="1">
      <w:start w:val="1"/>
      <w:numFmt w:val="bullet"/>
      <w:lvlText w:val="•"/>
      <w:lvlJc w:val="left"/>
      <w:pPr>
        <w:tabs>
          <w:tab w:val="num" w:pos="3600"/>
        </w:tabs>
        <w:ind w:left="3600" w:hanging="360"/>
      </w:pPr>
      <w:rPr>
        <w:rFonts w:ascii="Arial" w:hAnsi="Arial" w:hint="default"/>
      </w:rPr>
    </w:lvl>
    <w:lvl w:ilvl="5" w:tplc="E9366F30" w:tentative="1">
      <w:start w:val="1"/>
      <w:numFmt w:val="bullet"/>
      <w:lvlText w:val="•"/>
      <w:lvlJc w:val="left"/>
      <w:pPr>
        <w:tabs>
          <w:tab w:val="num" w:pos="4320"/>
        </w:tabs>
        <w:ind w:left="4320" w:hanging="360"/>
      </w:pPr>
      <w:rPr>
        <w:rFonts w:ascii="Arial" w:hAnsi="Arial" w:hint="default"/>
      </w:rPr>
    </w:lvl>
    <w:lvl w:ilvl="6" w:tplc="0CD006EC" w:tentative="1">
      <w:start w:val="1"/>
      <w:numFmt w:val="bullet"/>
      <w:lvlText w:val="•"/>
      <w:lvlJc w:val="left"/>
      <w:pPr>
        <w:tabs>
          <w:tab w:val="num" w:pos="5040"/>
        </w:tabs>
        <w:ind w:left="5040" w:hanging="360"/>
      </w:pPr>
      <w:rPr>
        <w:rFonts w:ascii="Arial" w:hAnsi="Arial" w:hint="default"/>
      </w:rPr>
    </w:lvl>
    <w:lvl w:ilvl="7" w:tplc="FBFEEA16" w:tentative="1">
      <w:start w:val="1"/>
      <w:numFmt w:val="bullet"/>
      <w:lvlText w:val="•"/>
      <w:lvlJc w:val="left"/>
      <w:pPr>
        <w:tabs>
          <w:tab w:val="num" w:pos="5760"/>
        </w:tabs>
        <w:ind w:left="5760" w:hanging="360"/>
      </w:pPr>
      <w:rPr>
        <w:rFonts w:ascii="Arial" w:hAnsi="Arial" w:hint="default"/>
      </w:rPr>
    </w:lvl>
    <w:lvl w:ilvl="8" w:tplc="04D6F16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EDB2275"/>
    <w:multiLevelType w:val="hybridMultilevel"/>
    <w:tmpl w:val="58923E7E"/>
    <w:lvl w:ilvl="0" w:tplc="C1987496">
      <w:start w:val="1"/>
      <w:numFmt w:val="bullet"/>
      <w:lvlText w:val="•"/>
      <w:lvlJc w:val="left"/>
      <w:pPr>
        <w:tabs>
          <w:tab w:val="num" w:pos="720"/>
        </w:tabs>
        <w:ind w:left="720" w:hanging="360"/>
      </w:pPr>
      <w:rPr>
        <w:rFonts w:ascii="Arial" w:hAnsi="Arial" w:hint="default"/>
      </w:rPr>
    </w:lvl>
    <w:lvl w:ilvl="1" w:tplc="27928CA8" w:tentative="1">
      <w:start w:val="1"/>
      <w:numFmt w:val="bullet"/>
      <w:lvlText w:val="•"/>
      <w:lvlJc w:val="left"/>
      <w:pPr>
        <w:tabs>
          <w:tab w:val="num" w:pos="1440"/>
        </w:tabs>
        <w:ind w:left="1440" w:hanging="360"/>
      </w:pPr>
      <w:rPr>
        <w:rFonts w:ascii="Arial" w:hAnsi="Arial" w:hint="default"/>
      </w:rPr>
    </w:lvl>
    <w:lvl w:ilvl="2" w:tplc="7040D0EE" w:tentative="1">
      <w:start w:val="1"/>
      <w:numFmt w:val="bullet"/>
      <w:lvlText w:val="•"/>
      <w:lvlJc w:val="left"/>
      <w:pPr>
        <w:tabs>
          <w:tab w:val="num" w:pos="2160"/>
        </w:tabs>
        <w:ind w:left="2160" w:hanging="360"/>
      </w:pPr>
      <w:rPr>
        <w:rFonts w:ascii="Arial" w:hAnsi="Arial" w:hint="default"/>
      </w:rPr>
    </w:lvl>
    <w:lvl w:ilvl="3" w:tplc="EF260332" w:tentative="1">
      <w:start w:val="1"/>
      <w:numFmt w:val="bullet"/>
      <w:lvlText w:val="•"/>
      <w:lvlJc w:val="left"/>
      <w:pPr>
        <w:tabs>
          <w:tab w:val="num" w:pos="2880"/>
        </w:tabs>
        <w:ind w:left="2880" w:hanging="360"/>
      </w:pPr>
      <w:rPr>
        <w:rFonts w:ascii="Arial" w:hAnsi="Arial" w:hint="default"/>
      </w:rPr>
    </w:lvl>
    <w:lvl w:ilvl="4" w:tplc="FFC6F228" w:tentative="1">
      <w:start w:val="1"/>
      <w:numFmt w:val="bullet"/>
      <w:lvlText w:val="•"/>
      <w:lvlJc w:val="left"/>
      <w:pPr>
        <w:tabs>
          <w:tab w:val="num" w:pos="3600"/>
        </w:tabs>
        <w:ind w:left="3600" w:hanging="360"/>
      </w:pPr>
      <w:rPr>
        <w:rFonts w:ascii="Arial" w:hAnsi="Arial" w:hint="default"/>
      </w:rPr>
    </w:lvl>
    <w:lvl w:ilvl="5" w:tplc="7E0629F8" w:tentative="1">
      <w:start w:val="1"/>
      <w:numFmt w:val="bullet"/>
      <w:lvlText w:val="•"/>
      <w:lvlJc w:val="left"/>
      <w:pPr>
        <w:tabs>
          <w:tab w:val="num" w:pos="4320"/>
        </w:tabs>
        <w:ind w:left="4320" w:hanging="360"/>
      </w:pPr>
      <w:rPr>
        <w:rFonts w:ascii="Arial" w:hAnsi="Arial" w:hint="default"/>
      </w:rPr>
    </w:lvl>
    <w:lvl w:ilvl="6" w:tplc="730AE42E" w:tentative="1">
      <w:start w:val="1"/>
      <w:numFmt w:val="bullet"/>
      <w:lvlText w:val="•"/>
      <w:lvlJc w:val="left"/>
      <w:pPr>
        <w:tabs>
          <w:tab w:val="num" w:pos="5040"/>
        </w:tabs>
        <w:ind w:left="5040" w:hanging="360"/>
      </w:pPr>
      <w:rPr>
        <w:rFonts w:ascii="Arial" w:hAnsi="Arial" w:hint="default"/>
      </w:rPr>
    </w:lvl>
    <w:lvl w:ilvl="7" w:tplc="504264E6" w:tentative="1">
      <w:start w:val="1"/>
      <w:numFmt w:val="bullet"/>
      <w:lvlText w:val="•"/>
      <w:lvlJc w:val="left"/>
      <w:pPr>
        <w:tabs>
          <w:tab w:val="num" w:pos="5760"/>
        </w:tabs>
        <w:ind w:left="5760" w:hanging="360"/>
      </w:pPr>
      <w:rPr>
        <w:rFonts w:ascii="Arial" w:hAnsi="Arial" w:hint="default"/>
      </w:rPr>
    </w:lvl>
    <w:lvl w:ilvl="8" w:tplc="40F213C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2057CA9"/>
    <w:multiLevelType w:val="hybridMultilevel"/>
    <w:tmpl w:val="5FF0D1FA"/>
    <w:lvl w:ilvl="0" w:tplc="2182007C">
      <w:start w:val="1"/>
      <w:numFmt w:val="bullet"/>
      <w:lvlText w:val="•"/>
      <w:lvlJc w:val="left"/>
      <w:pPr>
        <w:tabs>
          <w:tab w:val="num" w:pos="720"/>
        </w:tabs>
        <w:ind w:left="720" w:hanging="360"/>
      </w:pPr>
      <w:rPr>
        <w:rFonts w:ascii="Arial" w:hAnsi="Arial" w:hint="default"/>
      </w:rPr>
    </w:lvl>
    <w:lvl w:ilvl="1" w:tplc="03FE8510" w:tentative="1">
      <w:start w:val="1"/>
      <w:numFmt w:val="bullet"/>
      <w:lvlText w:val="•"/>
      <w:lvlJc w:val="left"/>
      <w:pPr>
        <w:tabs>
          <w:tab w:val="num" w:pos="1440"/>
        </w:tabs>
        <w:ind w:left="1440" w:hanging="360"/>
      </w:pPr>
      <w:rPr>
        <w:rFonts w:ascii="Arial" w:hAnsi="Arial" w:hint="default"/>
      </w:rPr>
    </w:lvl>
    <w:lvl w:ilvl="2" w:tplc="26B0A26A" w:tentative="1">
      <w:start w:val="1"/>
      <w:numFmt w:val="bullet"/>
      <w:lvlText w:val="•"/>
      <w:lvlJc w:val="left"/>
      <w:pPr>
        <w:tabs>
          <w:tab w:val="num" w:pos="2160"/>
        </w:tabs>
        <w:ind w:left="2160" w:hanging="360"/>
      </w:pPr>
      <w:rPr>
        <w:rFonts w:ascii="Arial" w:hAnsi="Arial" w:hint="default"/>
      </w:rPr>
    </w:lvl>
    <w:lvl w:ilvl="3" w:tplc="4AD4FC50" w:tentative="1">
      <w:start w:val="1"/>
      <w:numFmt w:val="bullet"/>
      <w:lvlText w:val="•"/>
      <w:lvlJc w:val="left"/>
      <w:pPr>
        <w:tabs>
          <w:tab w:val="num" w:pos="2880"/>
        </w:tabs>
        <w:ind w:left="2880" w:hanging="360"/>
      </w:pPr>
      <w:rPr>
        <w:rFonts w:ascii="Arial" w:hAnsi="Arial" w:hint="default"/>
      </w:rPr>
    </w:lvl>
    <w:lvl w:ilvl="4" w:tplc="1CE84B30" w:tentative="1">
      <w:start w:val="1"/>
      <w:numFmt w:val="bullet"/>
      <w:lvlText w:val="•"/>
      <w:lvlJc w:val="left"/>
      <w:pPr>
        <w:tabs>
          <w:tab w:val="num" w:pos="3600"/>
        </w:tabs>
        <w:ind w:left="3600" w:hanging="360"/>
      </w:pPr>
      <w:rPr>
        <w:rFonts w:ascii="Arial" w:hAnsi="Arial" w:hint="default"/>
      </w:rPr>
    </w:lvl>
    <w:lvl w:ilvl="5" w:tplc="D2103050" w:tentative="1">
      <w:start w:val="1"/>
      <w:numFmt w:val="bullet"/>
      <w:lvlText w:val="•"/>
      <w:lvlJc w:val="left"/>
      <w:pPr>
        <w:tabs>
          <w:tab w:val="num" w:pos="4320"/>
        </w:tabs>
        <w:ind w:left="4320" w:hanging="360"/>
      </w:pPr>
      <w:rPr>
        <w:rFonts w:ascii="Arial" w:hAnsi="Arial" w:hint="default"/>
      </w:rPr>
    </w:lvl>
    <w:lvl w:ilvl="6" w:tplc="CCEAC48C" w:tentative="1">
      <w:start w:val="1"/>
      <w:numFmt w:val="bullet"/>
      <w:lvlText w:val="•"/>
      <w:lvlJc w:val="left"/>
      <w:pPr>
        <w:tabs>
          <w:tab w:val="num" w:pos="5040"/>
        </w:tabs>
        <w:ind w:left="5040" w:hanging="360"/>
      </w:pPr>
      <w:rPr>
        <w:rFonts w:ascii="Arial" w:hAnsi="Arial" w:hint="default"/>
      </w:rPr>
    </w:lvl>
    <w:lvl w:ilvl="7" w:tplc="DDEE8B9A" w:tentative="1">
      <w:start w:val="1"/>
      <w:numFmt w:val="bullet"/>
      <w:lvlText w:val="•"/>
      <w:lvlJc w:val="left"/>
      <w:pPr>
        <w:tabs>
          <w:tab w:val="num" w:pos="5760"/>
        </w:tabs>
        <w:ind w:left="5760" w:hanging="360"/>
      </w:pPr>
      <w:rPr>
        <w:rFonts w:ascii="Arial" w:hAnsi="Arial" w:hint="default"/>
      </w:rPr>
    </w:lvl>
    <w:lvl w:ilvl="8" w:tplc="005AE11C"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6"/>
  </w:num>
  <w:num w:numId="3">
    <w:abstractNumId w:val="4"/>
  </w:num>
  <w:num w:numId="4">
    <w:abstractNumId w:val="7"/>
  </w:num>
  <w:num w:numId="5">
    <w:abstractNumId w:val="5"/>
  </w:num>
  <w:num w:numId="6">
    <w:abstractNumId w:val="2"/>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9BA"/>
    <w:rsid w:val="00000928"/>
    <w:rsid w:val="000067EA"/>
    <w:rsid w:val="00024A7E"/>
    <w:rsid w:val="00042F70"/>
    <w:rsid w:val="000656B1"/>
    <w:rsid w:val="00084A8E"/>
    <w:rsid w:val="00095465"/>
    <w:rsid w:val="000B7E54"/>
    <w:rsid w:val="000D3BD7"/>
    <w:rsid w:val="000F664C"/>
    <w:rsid w:val="00100B05"/>
    <w:rsid w:val="00100B36"/>
    <w:rsid w:val="00100D30"/>
    <w:rsid w:val="00101463"/>
    <w:rsid w:val="001060CA"/>
    <w:rsid w:val="00121541"/>
    <w:rsid w:val="001239B8"/>
    <w:rsid w:val="001326C4"/>
    <w:rsid w:val="00133FB3"/>
    <w:rsid w:val="0015226F"/>
    <w:rsid w:val="00181A61"/>
    <w:rsid w:val="001B037A"/>
    <w:rsid w:val="001C7173"/>
    <w:rsid w:val="001D2091"/>
    <w:rsid w:val="001F6D59"/>
    <w:rsid w:val="001F78D1"/>
    <w:rsid w:val="00204F3E"/>
    <w:rsid w:val="002324D3"/>
    <w:rsid w:val="00261CAA"/>
    <w:rsid w:val="002755D1"/>
    <w:rsid w:val="00277F24"/>
    <w:rsid w:val="002A4AAB"/>
    <w:rsid w:val="002B209A"/>
    <w:rsid w:val="002B49DD"/>
    <w:rsid w:val="002B6199"/>
    <w:rsid w:val="002C52D2"/>
    <w:rsid w:val="002C5737"/>
    <w:rsid w:val="002D60AE"/>
    <w:rsid w:val="002E6FF6"/>
    <w:rsid w:val="00303BCF"/>
    <w:rsid w:val="003121F6"/>
    <w:rsid w:val="00322E98"/>
    <w:rsid w:val="0034625E"/>
    <w:rsid w:val="00355C24"/>
    <w:rsid w:val="003654A9"/>
    <w:rsid w:val="003659A6"/>
    <w:rsid w:val="0039109A"/>
    <w:rsid w:val="003A6735"/>
    <w:rsid w:val="003C48EB"/>
    <w:rsid w:val="003D5C8D"/>
    <w:rsid w:val="003E71C0"/>
    <w:rsid w:val="00410043"/>
    <w:rsid w:val="00410AA8"/>
    <w:rsid w:val="00433EDB"/>
    <w:rsid w:val="004363AA"/>
    <w:rsid w:val="00453D3B"/>
    <w:rsid w:val="00454721"/>
    <w:rsid w:val="004647B7"/>
    <w:rsid w:val="0047089F"/>
    <w:rsid w:val="004A05A5"/>
    <w:rsid w:val="004B07F8"/>
    <w:rsid w:val="004B7438"/>
    <w:rsid w:val="004D56E2"/>
    <w:rsid w:val="0052142A"/>
    <w:rsid w:val="00543BE9"/>
    <w:rsid w:val="00550121"/>
    <w:rsid w:val="00595054"/>
    <w:rsid w:val="00595B6C"/>
    <w:rsid w:val="00614F39"/>
    <w:rsid w:val="00624645"/>
    <w:rsid w:val="0063163C"/>
    <w:rsid w:val="00644C3F"/>
    <w:rsid w:val="0066058E"/>
    <w:rsid w:val="00671E26"/>
    <w:rsid w:val="00673003"/>
    <w:rsid w:val="00675D45"/>
    <w:rsid w:val="006E03D4"/>
    <w:rsid w:val="0072122E"/>
    <w:rsid w:val="007242DE"/>
    <w:rsid w:val="00763C23"/>
    <w:rsid w:val="007C63A7"/>
    <w:rsid w:val="007F1D63"/>
    <w:rsid w:val="008236D8"/>
    <w:rsid w:val="0083764F"/>
    <w:rsid w:val="00850A90"/>
    <w:rsid w:val="00856527"/>
    <w:rsid w:val="008A1598"/>
    <w:rsid w:val="008A61D6"/>
    <w:rsid w:val="008B291B"/>
    <w:rsid w:val="008D13E0"/>
    <w:rsid w:val="008F174F"/>
    <w:rsid w:val="00902F31"/>
    <w:rsid w:val="009219BA"/>
    <w:rsid w:val="00946AB4"/>
    <w:rsid w:val="0097284F"/>
    <w:rsid w:val="00981372"/>
    <w:rsid w:val="009838B1"/>
    <w:rsid w:val="009C01AB"/>
    <w:rsid w:val="009C0703"/>
    <w:rsid w:val="009D31F4"/>
    <w:rsid w:val="009E7633"/>
    <w:rsid w:val="00A5188D"/>
    <w:rsid w:val="00A55C57"/>
    <w:rsid w:val="00A569F1"/>
    <w:rsid w:val="00A63589"/>
    <w:rsid w:val="00A702DA"/>
    <w:rsid w:val="00AC72C6"/>
    <w:rsid w:val="00B06C94"/>
    <w:rsid w:val="00B12B4E"/>
    <w:rsid w:val="00B16E28"/>
    <w:rsid w:val="00B456EE"/>
    <w:rsid w:val="00B572E5"/>
    <w:rsid w:val="00BA750E"/>
    <w:rsid w:val="00BD3ACD"/>
    <w:rsid w:val="00C07DC5"/>
    <w:rsid w:val="00C6559D"/>
    <w:rsid w:val="00C74442"/>
    <w:rsid w:val="00C76722"/>
    <w:rsid w:val="00C85750"/>
    <w:rsid w:val="00C877AA"/>
    <w:rsid w:val="00C96836"/>
    <w:rsid w:val="00CA26E8"/>
    <w:rsid w:val="00CD2B4F"/>
    <w:rsid w:val="00CE7332"/>
    <w:rsid w:val="00D40394"/>
    <w:rsid w:val="00D457D6"/>
    <w:rsid w:val="00D5277A"/>
    <w:rsid w:val="00D744B5"/>
    <w:rsid w:val="00D759B3"/>
    <w:rsid w:val="00DB0BB3"/>
    <w:rsid w:val="00DD0368"/>
    <w:rsid w:val="00E41232"/>
    <w:rsid w:val="00E64A61"/>
    <w:rsid w:val="00E67B6F"/>
    <w:rsid w:val="00EA1E79"/>
    <w:rsid w:val="00EC4603"/>
    <w:rsid w:val="00EF41A0"/>
    <w:rsid w:val="00F26D9C"/>
    <w:rsid w:val="00F40710"/>
    <w:rsid w:val="00F453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9E4066"/>
  <w15:chartTrackingRefBased/>
  <w15:docId w15:val="{4C6D8A74-25FB-8C42-909E-F3CB22D79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9BA"/>
    <w:pPr>
      <w:spacing w:after="200"/>
    </w:pPr>
    <w:rPr>
      <w:rFonts w:ascii="Calibri" w:eastAsia="Calibri" w:hAnsi="Calibri" w:cs="Times New Roman"/>
      <w:sz w:val="22"/>
      <w:szCs w:val="22"/>
    </w:rPr>
  </w:style>
  <w:style w:type="paragraph" w:styleId="Heading1">
    <w:name w:val="heading 1"/>
    <w:basedOn w:val="Normal"/>
    <w:next w:val="Normal"/>
    <w:link w:val="Heading1Char"/>
    <w:uiPriority w:val="9"/>
    <w:qFormat/>
    <w:rsid w:val="001326C4"/>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19BA"/>
    <w:pPr>
      <w:spacing w:after="0"/>
      <w:ind w:left="720"/>
      <w:contextualSpacing/>
    </w:pPr>
    <w:rPr>
      <w:rFonts w:ascii="Arial" w:hAnsi="Arial"/>
    </w:rPr>
  </w:style>
  <w:style w:type="paragraph" w:styleId="NormalWeb">
    <w:name w:val="Normal (Web)"/>
    <w:basedOn w:val="Normal"/>
    <w:uiPriority w:val="99"/>
    <w:semiHidden/>
    <w:unhideWhenUsed/>
    <w:rsid w:val="00B12B4E"/>
    <w:pPr>
      <w:spacing w:before="100" w:beforeAutospacing="1" w:after="100" w:afterAutospacing="1"/>
    </w:pPr>
    <w:rPr>
      <w:rFonts w:ascii="Times New Roman" w:eastAsia="Times New Roman" w:hAnsi="Times New Roman"/>
      <w:sz w:val="24"/>
      <w:szCs w:val="24"/>
      <w:lang w:eastAsia="en-GB"/>
    </w:rPr>
  </w:style>
  <w:style w:type="character" w:customStyle="1" w:styleId="Heading1Char">
    <w:name w:val="Heading 1 Char"/>
    <w:basedOn w:val="DefaultParagraphFont"/>
    <w:link w:val="Heading1"/>
    <w:uiPriority w:val="9"/>
    <w:rsid w:val="001326C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326C4"/>
  </w:style>
  <w:style w:type="paragraph" w:styleId="Header">
    <w:name w:val="header"/>
    <w:basedOn w:val="Normal"/>
    <w:link w:val="HeaderChar"/>
    <w:uiPriority w:val="99"/>
    <w:unhideWhenUsed/>
    <w:rsid w:val="008B291B"/>
    <w:pPr>
      <w:tabs>
        <w:tab w:val="center" w:pos="4680"/>
        <w:tab w:val="right" w:pos="9360"/>
      </w:tabs>
      <w:spacing w:after="0"/>
    </w:pPr>
  </w:style>
  <w:style w:type="character" w:customStyle="1" w:styleId="HeaderChar">
    <w:name w:val="Header Char"/>
    <w:basedOn w:val="DefaultParagraphFont"/>
    <w:link w:val="Header"/>
    <w:uiPriority w:val="99"/>
    <w:rsid w:val="008B291B"/>
    <w:rPr>
      <w:rFonts w:ascii="Calibri" w:eastAsia="Calibri" w:hAnsi="Calibri" w:cs="Times New Roman"/>
      <w:sz w:val="22"/>
      <w:szCs w:val="22"/>
    </w:rPr>
  </w:style>
  <w:style w:type="paragraph" w:styleId="Footer">
    <w:name w:val="footer"/>
    <w:basedOn w:val="Normal"/>
    <w:link w:val="FooterChar"/>
    <w:uiPriority w:val="99"/>
    <w:unhideWhenUsed/>
    <w:rsid w:val="008B291B"/>
    <w:pPr>
      <w:tabs>
        <w:tab w:val="center" w:pos="4680"/>
        <w:tab w:val="right" w:pos="9360"/>
      </w:tabs>
      <w:spacing w:after="0"/>
    </w:pPr>
  </w:style>
  <w:style w:type="character" w:customStyle="1" w:styleId="FooterChar">
    <w:name w:val="Footer Char"/>
    <w:basedOn w:val="DefaultParagraphFont"/>
    <w:link w:val="Footer"/>
    <w:uiPriority w:val="99"/>
    <w:rsid w:val="008B291B"/>
    <w:rPr>
      <w:rFonts w:ascii="Calibri" w:eastAsia="Calibri" w:hAnsi="Calibri" w:cs="Times New Roman"/>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15420">
      <w:bodyDiv w:val="1"/>
      <w:marLeft w:val="0"/>
      <w:marRight w:val="0"/>
      <w:marTop w:val="0"/>
      <w:marBottom w:val="0"/>
      <w:divBdr>
        <w:top w:val="none" w:sz="0" w:space="0" w:color="auto"/>
        <w:left w:val="none" w:sz="0" w:space="0" w:color="auto"/>
        <w:bottom w:val="none" w:sz="0" w:space="0" w:color="auto"/>
        <w:right w:val="none" w:sz="0" w:space="0" w:color="auto"/>
      </w:divBdr>
    </w:div>
    <w:div w:id="125704365">
      <w:bodyDiv w:val="1"/>
      <w:marLeft w:val="0"/>
      <w:marRight w:val="0"/>
      <w:marTop w:val="0"/>
      <w:marBottom w:val="0"/>
      <w:divBdr>
        <w:top w:val="none" w:sz="0" w:space="0" w:color="auto"/>
        <w:left w:val="none" w:sz="0" w:space="0" w:color="auto"/>
        <w:bottom w:val="none" w:sz="0" w:space="0" w:color="auto"/>
        <w:right w:val="none" w:sz="0" w:space="0" w:color="auto"/>
      </w:divBdr>
    </w:div>
    <w:div w:id="411975137">
      <w:bodyDiv w:val="1"/>
      <w:marLeft w:val="0"/>
      <w:marRight w:val="0"/>
      <w:marTop w:val="0"/>
      <w:marBottom w:val="0"/>
      <w:divBdr>
        <w:top w:val="none" w:sz="0" w:space="0" w:color="auto"/>
        <w:left w:val="none" w:sz="0" w:space="0" w:color="auto"/>
        <w:bottom w:val="none" w:sz="0" w:space="0" w:color="auto"/>
        <w:right w:val="none" w:sz="0" w:space="0" w:color="auto"/>
      </w:divBdr>
    </w:div>
    <w:div w:id="415397704">
      <w:bodyDiv w:val="1"/>
      <w:marLeft w:val="0"/>
      <w:marRight w:val="0"/>
      <w:marTop w:val="0"/>
      <w:marBottom w:val="0"/>
      <w:divBdr>
        <w:top w:val="none" w:sz="0" w:space="0" w:color="auto"/>
        <w:left w:val="none" w:sz="0" w:space="0" w:color="auto"/>
        <w:bottom w:val="none" w:sz="0" w:space="0" w:color="auto"/>
        <w:right w:val="none" w:sz="0" w:space="0" w:color="auto"/>
      </w:divBdr>
    </w:div>
    <w:div w:id="504396249">
      <w:bodyDiv w:val="1"/>
      <w:marLeft w:val="0"/>
      <w:marRight w:val="0"/>
      <w:marTop w:val="0"/>
      <w:marBottom w:val="0"/>
      <w:divBdr>
        <w:top w:val="none" w:sz="0" w:space="0" w:color="auto"/>
        <w:left w:val="none" w:sz="0" w:space="0" w:color="auto"/>
        <w:bottom w:val="none" w:sz="0" w:space="0" w:color="auto"/>
        <w:right w:val="none" w:sz="0" w:space="0" w:color="auto"/>
      </w:divBdr>
    </w:div>
    <w:div w:id="563105414">
      <w:bodyDiv w:val="1"/>
      <w:marLeft w:val="0"/>
      <w:marRight w:val="0"/>
      <w:marTop w:val="0"/>
      <w:marBottom w:val="0"/>
      <w:divBdr>
        <w:top w:val="none" w:sz="0" w:space="0" w:color="auto"/>
        <w:left w:val="none" w:sz="0" w:space="0" w:color="auto"/>
        <w:bottom w:val="none" w:sz="0" w:space="0" w:color="auto"/>
        <w:right w:val="none" w:sz="0" w:space="0" w:color="auto"/>
      </w:divBdr>
    </w:div>
    <w:div w:id="650139641">
      <w:bodyDiv w:val="1"/>
      <w:marLeft w:val="0"/>
      <w:marRight w:val="0"/>
      <w:marTop w:val="0"/>
      <w:marBottom w:val="0"/>
      <w:divBdr>
        <w:top w:val="none" w:sz="0" w:space="0" w:color="auto"/>
        <w:left w:val="none" w:sz="0" w:space="0" w:color="auto"/>
        <w:bottom w:val="none" w:sz="0" w:space="0" w:color="auto"/>
        <w:right w:val="none" w:sz="0" w:space="0" w:color="auto"/>
      </w:divBdr>
    </w:div>
    <w:div w:id="662858210">
      <w:bodyDiv w:val="1"/>
      <w:marLeft w:val="0"/>
      <w:marRight w:val="0"/>
      <w:marTop w:val="0"/>
      <w:marBottom w:val="0"/>
      <w:divBdr>
        <w:top w:val="none" w:sz="0" w:space="0" w:color="auto"/>
        <w:left w:val="none" w:sz="0" w:space="0" w:color="auto"/>
        <w:bottom w:val="none" w:sz="0" w:space="0" w:color="auto"/>
        <w:right w:val="none" w:sz="0" w:space="0" w:color="auto"/>
      </w:divBdr>
    </w:div>
    <w:div w:id="686567620">
      <w:bodyDiv w:val="1"/>
      <w:marLeft w:val="0"/>
      <w:marRight w:val="0"/>
      <w:marTop w:val="0"/>
      <w:marBottom w:val="0"/>
      <w:divBdr>
        <w:top w:val="none" w:sz="0" w:space="0" w:color="auto"/>
        <w:left w:val="none" w:sz="0" w:space="0" w:color="auto"/>
        <w:bottom w:val="none" w:sz="0" w:space="0" w:color="auto"/>
        <w:right w:val="none" w:sz="0" w:space="0" w:color="auto"/>
      </w:divBdr>
    </w:div>
    <w:div w:id="704524704">
      <w:bodyDiv w:val="1"/>
      <w:marLeft w:val="0"/>
      <w:marRight w:val="0"/>
      <w:marTop w:val="0"/>
      <w:marBottom w:val="0"/>
      <w:divBdr>
        <w:top w:val="none" w:sz="0" w:space="0" w:color="auto"/>
        <w:left w:val="none" w:sz="0" w:space="0" w:color="auto"/>
        <w:bottom w:val="none" w:sz="0" w:space="0" w:color="auto"/>
        <w:right w:val="none" w:sz="0" w:space="0" w:color="auto"/>
      </w:divBdr>
    </w:div>
    <w:div w:id="726489111">
      <w:bodyDiv w:val="1"/>
      <w:marLeft w:val="0"/>
      <w:marRight w:val="0"/>
      <w:marTop w:val="0"/>
      <w:marBottom w:val="0"/>
      <w:divBdr>
        <w:top w:val="none" w:sz="0" w:space="0" w:color="auto"/>
        <w:left w:val="none" w:sz="0" w:space="0" w:color="auto"/>
        <w:bottom w:val="none" w:sz="0" w:space="0" w:color="auto"/>
        <w:right w:val="none" w:sz="0" w:space="0" w:color="auto"/>
      </w:divBdr>
    </w:div>
    <w:div w:id="757024696">
      <w:bodyDiv w:val="1"/>
      <w:marLeft w:val="0"/>
      <w:marRight w:val="0"/>
      <w:marTop w:val="0"/>
      <w:marBottom w:val="0"/>
      <w:divBdr>
        <w:top w:val="none" w:sz="0" w:space="0" w:color="auto"/>
        <w:left w:val="none" w:sz="0" w:space="0" w:color="auto"/>
        <w:bottom w:val="none" w:sz="0" w:space="0" w:color="auto"/>
        <w:right w:val="none" w:sz="0" w:space="0" w:color="auto"/>
      </w:divBdr>
    </w:div>
    <w:div w:id="766314049">
      <w:bodyDiv w:val="1"/>
      <w:marLeft w:val="0"/>
      <w:marRight w:val="0"/>
      <w:marTop w:val="0"/>
      <w:marBottom w:val="0"/>
      <w:divBdr>
        <w:top w:val="none" w:sz="0" w:space="0" w:color="auto"/>
        <w:left w:val="none" w:sz="0" w:space="0" w:color="auto"/>
        <w:bottom w:val="none" w:sz="0" w:space="0" w:color="auto"/>
        <w:right w:val="none" w:sz="0" w:space="0" w:color="auto"/>
      </w:divBdr>
    </w:div>
    <w:div w:id="810026165">
      <w:bodyDiv w:val="1"/>
      <w:marLeft w:val="0"/>
      <w:marRight w:val="0"/>
      <w:marTop w:val="0"/>
      <w:marBottom w:val="0"/>
      <w:divBdr>
        <w:top w:val="none" w:sz="0" w:space="0" w:color="auto"/>
        <w:left w:val="none" w:sz="0" w:space="0" w:color="auto"/>
        <w:bottom w:val="none" w:sz="0" w:space="0" w:color="auto"/>
        <w:right w:val="none" w:sz="0" w:space="0" w:color="auto"/>
      </w:divBdr>
    </w:div>
    <w:div w:id="829949286">
      <w:bodyDiv w:val="1"/>
      <w:marLeft w:val="0"/>
      <w:marRight w:val="0"/>
      <w:marTop w:val="0"/>
      <w:marBottom w:val="0"/>
      <w:divBdr>
        <w:top w:val="none" w:sz="0" w:space="0" w:color="auto"/>
        <w:left w:val="none" w:sz="0" w:space="0" w:color="auto"/>
        <w:bottom w:val="none" w:sz="0" w:space="0" w:color="auto"/>
        <w:right w:val="none" w:sz="0" w:space="0" w:color="auto"/>
      </w:divBdr>
    </w:div>
    <w:div w:id="846946269">
      <w:bodyDiv w:val="1"/>
      <w:marLeft w:val="0"/>
      <w:marRight w:val="0"/>
      <w:marTop w:val="0"/>
      <w:marBottom w:val="0"/>
      <w:divBdr>
        <w:top w:val="none" w:sz="0" w:space="0" w:color="auto"/>
        <w:left w:val="none" w:sz="0" w:space="0" w:color="auto"/>
        <w:bottom w:val="none" w:sz="0" w:space="0" w:color="auto"/>
        <w:right w:val="none" w:sz="0" w:space="0" w:color="auto"/>
      </w:divBdr>
    </w:div>
    <w:div w:id="934943796">
      <w:bodyDiv w:val="1"/>
      <w:marLeft w:val="0"/>
      <w:marRight w:val="0"/>
      <w:marTop w:val="0"/>
      <w:marBottom w:val="0"/>
      <w:divBdr>
        <w:top w:val="none" w:sz="0" w:space="0" w:color="auto"/>
        <w:left w:val="none" w:sz="0" w:space="0" w:color="auto"/>
        <w:bottom w:val="none" w:sz="0" w:space="0" w:color="auto"/>
        <w:right w:val="none" w:sz="0" w:space="0" w:color="auto"/>
      </w:divBdr>
    </w:div>
    <w:div w:id="1075399221">
      <w:bodyDiv w:val="1"/>
      <w:marLeft w:val="0"/>
      <w:marRight w:val="0"/>
      <w:marTop w:val="0"/>
      <w:marBottom w:val="0"/>
      <w:divBdr>
        <w:top w:val="none" w:sz="0" w:space="0" w:color="auto"/>
        <w:left w:val="none" w:sz="0" w:space="0" w:color="auto"/>
        <w:bottom w:val="none" w:sz="0" w:space="0" w:color="auto"/>
        <w:right w:val="none" w:sz="0" w:space="0" w:color="auto"/>
      </w:divBdr>
    </w:div>
    <w:div w:id="1077895613">
      <w:bodyDiv w:val="1"/>
      <w:marLeft w:val="0"/>
      <w:marRight w:val="0"/>
      <w:marTop w:val="0"/>
      <w:marBottom w:val="0"/>
      <w:divBdr>
        <w:top w:val="none" w:sz="0" w:space="0" w:color="auto"/>
        <w:left w:val="none" w:sz="0" w:space="0" w:color="auto"/>
        <w:bottom w:val="none" w:sz="0" w:space="0" w:color="auto"/>
        <w:right w:val="none" w:sz="0" w:space="0" w:color="auto"/>
      </w:divBdr>
      <w:divsChild>
        <w:div w:id="1500072134">
          <w:marLeft w:val="547"/>
          <w:marRight w:val="0"/>
          <w:marTop w:val="120"/>
          <w:marBottom w:val="0"/>
          <w:divBdr>
            <w:top w:val="none" w:sz="0" w:space="0" w:color="auto"/>
            <w:left w:val="none" w:sz="0" w:space="0" w:color="auto"/>
            <w:bottom w:val="none" w:sz="0" w:space="0" w:color="auto"/>
            <w:right w:val="none" w:sz="0" w:space="0" w:color="auto"/>
          </w:divBdr>
        </w:div>
        <w:div w:id="276331708">
          <w:marLeft w:val="547"/>
          <w:marRight w:val="0"/>
          <w:marTop w:val="120"/>
          <w:marBottom w:val="0"/>
          <w:divBdr>
            <w:top w:val="none" w:sz="0" w:space="0" w:color="auto"/>
            <w:left w:val="none" w:sz="0" w:space="0" w:color="auto"/>
            <w:bottom w:val="none" w:sz="0" w:space="0" w:color="auto"/>
            <w:right w:val="none" w:sz="0" w:space="0" w:color="auto"/>
          </w:divBdr>
        </w:div>
        <w:div w:id="986712861">
          <w:marLeft w:val="547"/>
          <w:marRight w:val="0"/>
          <w:marTop w:val="120"/>
          <w:marBottom w:val="0"/>
          <w:divBdr>
            <w:top w:val="none" w:sz="0" w:space="0" w:color="auto"/>
            <w:left w:val="none" w:sz="0" w:space="0" w:color="auto"/>
            <w:bottom w:val="none" w:sz="0" w:space="0" w:color="auto"/>
            <w:right w:val="none" w:sz="0" w:space="0" w:color="auto"/>
          </w:divBdr>
        </w:div>
        <w:div w:id="790710497">
          <w:marLeft w:val="547"/>
          <w:marRight w:val="0"/>
          <w:marTop w:val="120"/>
          <w:marBottom w:val="0"/>
          <w:divBdr>
            <w:top w:val="none" w:sz="0" w:space="0" w:color="auto"/>
            <w:left w:val="none" w:sz="0" w:space="0" w:color="auto"/>
            <w:bottom w:val="none" w:sz="0" w:space="0" w:color="auto"/>
            <w:right w:val="none" w:sz="0" w:space="0" w:color="auto"/>
          </w:divBdr>
        </w:div>
        <w:div w:id="1372194219">
          <w:marLeft w:val="547"/>
          <w:marRight w:val="0"/>
          <w:marTop w:val="120"/>
          <w:marBottom w:val="0"/>
          <w:divBdr>
            <w:top w:val="none" w:sz="0" w:space="0" w:color="auto"/>
            <w:left w:val="none" w:sz="0" w:space="0" w:color="auto"/>
            <w:bottom w:val="none" w:sz="0" w:space="0" w:color="auto"/>
            <w:right w:val="none" w:sz="0" w:space="0" w:color="auto"/>
          </w:divBdr>
        </w:div>
        <w:div w:id="147946673">
          <w:marLeft w:val="547"/>
          <w:marRight w:val="0"/>
          <w:marTop w:val="120"/>
          <w:marBottom w:val="0"/>
          <w:divBdr>
            <w:top w:val="none" w:sz="0" w:space="0" w:color="auto"/>
            <w:left w:val="none" w:sz="0" w:space="0" w:color="auto"/>
            <w:bottom w:val="none" w:sz="0" w:space="0" w:color="auto"/>
            <w:right w:val="none" w:sz="0" w:space="0" w:color="auto"/>
          </w:divBdr>
        </w:div>
      </w:divsChild>
    </w:div>
    <w:div w:id="1123692904">
      <w:bodyDiv w:val="1"/>
      <w:marLeft w:val="0"/>
      <w:marRight w:val="0"/>
      <w:marTop w:val="0"/>
      <w:marBottom w:val="0"/>
      <w:divBdr>
        <w:top w:val="none" w:sz="0" w:space="0" w:color="auto"/>
        <w:left w:val="none" w:sz="0" w:space="0" w:color="auto"/>
        <w:bottom w:val="none" w:sz="0" w:space="0" w:color="auto"/>
        <w:right w:val="none" w:sz="0" w:space="0" w:color="auto"/>
      </w:divBdr>
    </w:div>
    <w:div w:id="1142969222">
      <w:bodyDiv w:val="1"/>
      <w:marLeft w:val="0"/>
      <w:marRight w:val="0"/>
      <w:marTop w:val="0"/>
      <w:marBottom w:val="0"/>
      <w:divBdr>
        <w:top w:val="none" w:sz="0" w:space="0" w:color="auto"/>
        <w:left w:val="none" w:sz="0" w:space="0" w:color="auto"/>
        <w:bottom w:val="none" w:sz="0" w:space="0" w:color="auto"/>
        <w:right w:val="none" w:sz="0" w:space="0" w:color="auto"/>
      </w:divBdr>
      <w:divsChild>
        <w:div w:id="1592737268">
          <w:marLeft w:val="547"/>
          <w:marRight w:val="0"/>
          <w:marTop w:val="144"/>
          <w:marBottom w:val="0"/>
          <w:divBdr>
            <w:top w:val="none" w:sz="0" w:space="0" w:color="auto"/>
            <w:left w:val="none" w:sz="0" w:space="0" w:color="auto"/>
            <w:bottom w:val="none" w:sz="0" w:space="0" w:color="auto"/>
            <w:right w:val="none" w:sz="0" w:space="0" w:color="auto"/>
          </w:divBdr>
        </w:div>
        <w:div w:id="851408340">
          <w:marLeft w:val="547"/>
          <w:marRight w:val="0"/>
          <w:marTop w:val="144"/>
          <w:marBottom w:val="0"/>
          <w:divBdr>
            <w:top w:val="none" w:sz="0" w:space="0" w:color="auto"/>
            <w:left w:val="none" w:sz="0" w:space="0" w:color="auto"/>
            <w:bottom w:val="none" w:sz="0" w:space="0" w:color="auto"/>
            <w:right w:val="none" w:sz="0" w:space="0" w:color="auto"/>
          </w:divBdr>
        </w:div>
        <w:div w:id="621569970">
          <w:marLeft w:val="547"/>
          <w:marRight w:val="0"/>
          <w:marTop w:val="144"/>
          <w:marBottom w:val="0"/>
          <w:divBdr>
            <w:top w:val="none" w:sz="0" w:space="0" w:color="auto"/>
            <w:left w:val="none" w:sz="0" w:space="0" w:color="auto"/>
            <w:bottom w:val="none" w:sz="0" w:space="0" w:color="auto"/>
            <w:right w:val="none" w:sz="0" w:space="0" w:color="auto"/>
          </w:divBdr>
        </w:div>
        <w:div w:id="157119254">
          <w:marLeft w:val="547"/>
          <w:marRight w:val="0"/>
          <w:marTop w:val="144"/>
          <w:marBottom w:val="0"/>
          <w:divBdr>
            <w:top w:val="none" w:sz="0" w:space="0" w:color="auto"/>
            <w:left w:val="none" w:sz="0" w:space="0" w:color="auto"/>
            <w:bottom w:val="none" w:sz="0" w:space="0" w:color="auto"/>
            <w:right w:val="none" w:sz="0" w:space="0" w:color="auto"/>
          </w:divBdr>
        </w:div>
        <w:div w:id="1887058376">
          <w:marLeft w:val="547"/>
          <w:marRight w:val="0"/>
          <w:marTop w:val="144"/>
          <w:marBottom w:val="0"/>
          <w:divBdr>
            <w:top w:val="none" w:sz="0" w:space="0" w:color="auto"/>
            <w:left w:val="none" w:sz="0" w:space="0" w:color="auto"/>
            <w:bottom w:val="none" w:sz="0" w:space="0" w:color="auto"/>
            <w:right w:val="none" w:sz="0" w:space="0" w:color="auto"/>
          </w:divBdr>
        </w:div>
      </w:divsChild>
    </w:div>
    <w:div w:id="1161847844">
      <w:bodyDiv w:val="1"/>
      <w:marLeft w:val="0"/>
      <w:marRight w:val="0"/>
      <w:marTop w:val="0"/>
      <w:marBottom w:val="0"/>
      <w:divBdr>
        <w:top w:val="none" w:sz="0" w:space="0" w:color="auto"/>
        <w:left w:val="none" w:sz="0" w:space="0" w:color="auto"/>
        <w:bottom w:val="none" w:sz="0" w:space="0" w:color="auto"/>
        <w:right w:val="none" w:sz="0" w:space="0" w:color="auto"/>
      </w:divBdr>
    </w:div>
    <w:div w:id="1165435827">
      <w:bodyDiv w:val="1"/>
      <w:marLeft w:val="0"/>
      <w:marRight w:val="0"/>
      <w:marTop w:val="0"/>
      <w:marBottom w:val="0"/>
      <w:divBdr>
        <w:top w:val="none" w:sz="0" w:space="0" w:color="auto"/>
        <w:left w:val="none" w:sz="0" w:space="0" w:color="auto"/>
        <w:bottom w:val="none" w:sz="0" w:space="0" w:color="auto"/>
        <w:right w:val="none" w:sz="0" w:space="0" w:color="auto"/>
      </w:divBdr>
    </w:div>
    <w:div w:id="1219711081">
      <w:bodyDiv w:val="1"/>
      <w:marLeft w:val="0"/>
      <w:marRight w:val="0"/>
      <w:marTop w:val="0"/>
      <w:marBottom w:val="0"/>
      <w:divBdr>
        <w:top w:val="none" w:sz="0" w:space="0" w:color="auto"/>
        <w:left w:val="none" w:sz="0" w:space="0" w:color="auto"/>
        <w:bottom w:val="none" w:sz="0" w:space="0" w:color="auto"/>
        <w:right w:val="none" w:sz="0" w:space="0" w:color="auto"/>
      </w:divBdr>
    </w:div>
    <w:div w:id="1536885801">
      <w:bodyDiv w:val="1"/>
      <w:marLeft w:val="0"/>
      <w:marRight w:val="0"/>
      <w:marTop w:val="0"/>
      <w:marBottom w:val="0"/>
      <w:divBdr>
        <w:top w:val="none" w:sz="0" w:space="0" w:color="auto"/>
        <w:left w:val="none" w:sz="0" w:space="0" w:color="auto"/>
        <w:bottom w:val="none" w:sz="0" w:space="0" w:color="auto"/>
        <w:right w:val="none" w:sz="0" w:space="0" w:color="auto"/>
      </w:divBdr>
    </w:div>
    <w:div w:id="1550023130">
      <w:bodyDiv w:val="1"/>
      <w:marLeft w:val="0"/>
      <w:marRight w:val="0"/>
      <w:marTop w:val="0"/>
      <w:marBottom w:val="0"/>
      <w:divBdr>
        <w:top w:val="none" w:sz="0" w:space="0" w:color="auto"/>
        <w:left w:val="none" w:sz="0" w:space="0" w:color="auto"/>
        <w:bottom w:val="none" w:sz="0" w:space="0" w:color="auto"/>
        <w:right w:val="none" w:sz="0" w:space="0" w:color="auto"/>
      </w:divBdr>
    </w:div>
    <w:div w:id="1553074177">
      <w:bodyDiv w:val="1"/>
      <w:marLeft w:val="0"/>
      <w:marRight w:val="0"/>
      <w:marTop w:val="0"/>
      <w:marBottom w:val="0"/>
      <w:divBdr>
        <w:top w:val="none" w:sz="0" w:space="0" w:color="auto"/>
        <w:left w:val="none" w:sz="0" w:space="0" w:color="auto"/>
        <w:bottom w:val="none" w:sz="0" w:space="0" w:color="auto"/>
        <w:right w:val="none" w:sz="0" w:space="0" w:color="auto"/>
      </w:divBdr>
    </w:div>
    <w:div w:id="1621718799">
      <w:bodyDiv w:val="1"/>
      <w:marLeft w:val="0"/>
      <w:marRight w:val="0"/>
      <w:marTop w:val="0"/>
      <w:marBottom w:val="0"/>
      <w:divBdr>
        <w:top w:val="none" w:sz="0" w:space="0" w:color="auto"/>
        <w:left w:val="none" w:sz="0" w:space="0" w:color="auto"/>
        <w:bottom w:val="none" w:sz="0" w:space="0" w:color="auto"/>
        <w:right w:val="none" w:sz="0" w:space="0" w:color="auto"/>
      </w:divBdr>
      <w:divsChild>
        <w:div w:id="428625028">
          <w:marLeft w:val="547"/>
          <w:marRight w:val="0"/>
          <w:marTop w:val="106"/>
          <w:marBottom w:val="0"/>
          <w:divBdr>
            <w:top w:val="none" w:sz="0" w:space="0" w:color="auto"/>
            <w:left w:val="none" w:sz="0" w:space="0" w:color="auto"/>
            <w:bottom w:val="none" w:sz="0" w:space="0" w:color="auto"/>
            <w:right w:val="none" w:sz="0" w:space="0" w:color="auto"/>
          </w:divBdr>
        </w:div>
        <w:div w:id="1373309479">
          <w:marLeft w:val="547"/>
          <w:marRight w:val="0"/>
          <w:marTop w:val="106"/>
          <w:marBottom w:val="0"/>
          <w:divBdr>
            <w:top w:val="none" w:sz="0" w:space="0" w:color="auto"/>
            <w:left w:val="none" w:sz="0" w:space="0" w:color="auto"/>
            <w:bottom w:val="none" w:sz="0" w:space="0" w:color="auto"/>
            <w:right w:val="none" w:sz="0" w:space="0" w:color="auto"/>
          </w:divBdr>
        </w:div>
        <w:div w:id="1003553561">
          <w:marLeft w:val="547"/>
          <w:marRight w:val="0"/>
          <w:marTop w:val="106"/>
          <w:marBottom w:val="0"/>
          <w:divBdr>
            <w:top w:val="none" w:sz="0" w:space="0" w:color="auto"/>
            <w:left w:val="none" w:sz="0" w:space="0" w:color="auto"/>
            <w:bottom w:val="none" w:sz="0" w:space="0" w:color="auto"/>
            <w:right w:val="none" w:sz="0" w:space="0" w:color="auto"/>
          </w:divBdr>
        </w:div>
        <w:div w:id="2003191292">
          <w:marLeft w:val="547"/>
          <w:marRight w:val="0"/>
          <w:marTop w:val="106"/>
          <w:marBottom w:val="0"/>
          <w:divBdr>
            <w:top w:val="none" w:sz="0" w:space="0" w:color="auto"/>
            <w:left w:val="none" w:sz="0" w:space="0" w:color="auto"/>
            <w:bottom w:val="none" w:sz="0" w:space="0" w:color="auto"/>
            <w:right w:val="none" w:sz="0" w:space="0" w:color="auto"/>
          </w:divBdr>
        </w:div>
        <w:div w:id="749889940">
          <w:marLeft w:val="547"/>
          <w:marRight w:val="0"/>
          <w:marTop w:val="106"/>
          <w:marBottom w:val="0"/>
          <w:divBdr>
            <w:top w:val="none" w:sz="0" w:space="0" w:color="auto"/>
            <w:left w:val="none" w:sz="0" w:space="0" w:color="auto"/>
            <w:bottom w:val="none" w:sz="0" w:space="0" w:color="auto"/>
            <w:right w:val="none" w:sz="0" w:space="0" w:color="auto"/>
          </w:divBdr>
        </w:div>
        <w:div w:id="1735734370">
          <w:marLeft w:val="547"/>
          <w:marRight w:val="0"/>
          <w:marTop w:val="106"/>
          <w:marBottom w:val="0"/>
          <w:divBdr>
            <w:top w:val="none" w:sz="0" w:space="0" w:color="auto"/>
            <w:left w:val="none" w:sz="0" w:space="0" w:color="auto"/>
            <w:bottom w:val="none" w:sz="0" w:space="0" w:color="auto"/>
            <w:right w:val="none" w:sz="0" w:space="0" w:color="auto"/>
          </w:divBdr>
        </w:div>
        <w:div w:id="1347442036">
          <w:marLeft w:val="547"/>
          <w:marRight w:val="0"/>
          <w:marTop w:val="106"/>
          <w:marBottom w:val="0"/>
          <w:divBdr>
            <w:top w:val="none" w:sz="0" w:space="0" w:color="auto"/>
            <w:left w:val="none" w:sz="0" w:space="0" w:color="auto"/>
            <w:bottom w:val="none" w:sz="0" w:space="0" w:color="auto"/>
            <w:right w:val="none" w:sz="0" w:space="0" w:color="auto"/>
          </w:divBdr>
        </w:div>
        <w:div w:id="1644309680">
          <w:marLeft w:val="547"/>
          <w:marRight w:val="0"/>
          <w:marTop w:val="106"/>
          <w:marBottom w:val="0"/>
          <w:divBdr>
            <w:top w:val="none" w:sz="0" w:space="0" w:color="auto"/>
            <w:left w:val="none" w:sz="0" w:space="0" w:color="auto"/>
            <w:bottom w:val="none" w:sz="0" w:space="0" w:color="auto"/>
            <w:right w:val="none" w:sz="0" w:space="0" w:color="auto"/>
          </w:divBdr>
        </w:div>
      </w:divsChild>
    </w:div>
    <w:div w:id="1834026876">
      <w:bodyDiv w:val="1"/>
      <w:marLeft w:val="0"/>
      <w:marRight w:val="0"/>
      <w:marTop w:val="0"/>
      <w:marBottom w:val="0"/>
      <w:divBdr>
        <w:top w:val="none" w:sz="0" w:space="0" w:color="auto"/>
        <w:left w:val="none" w:sz="0" w:space="0" w:color="auto"/>
        <w:bottom w:val="none" w:sz="0" w:space="0" w:color="auto"/>
        <w:right w:val="none" w:sz="0" w:space="0" w:color="auto"/>
      </w:divBdr>
    </w:div>
    <w:div w:id="2035615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Kah90</b:Tag>
    <b:SourceType>JournalArticle</b:SourceType>
    <b:Guid>{C3D4A4B1-60F9-ED48-8CF5-9A2723BC933E}</b:Guid>
    <b:Author>
      <b:Author>
        <b:NameList>
          <b:Person>
            <b:Last>Kahn</b:Last>
            <b:First>W.A</b:First>
          </b:Person>
        </b:NameList>
      </b:Author>
    </b:Author>
    <b:Title>Psychological conditions of personal engagement and disengagement at work</b:Title>
    <b:Year>1990</b:Year>
    <b:JournalName>Academy of Management</b:JournalName>
    <b:Pages>692</b:Pages>
    <b:RefOrder>7</b:RefOrder>
  </b:Source>
  <b:Source>
    <b:Tag>Ric20</b:Tag>
    <b:SourceType>JournalArticle</b:SourceType>
    <b:Guid>{964F0E9C-9932-E748-9BAA-A0DF0FA036E0}</b:Guid>
    <b:Author>
      <b:Author>
        <b:NameList>
          <b:Person>
            <b:Last>Richards</b:Last>
            <b:First>J.</b:First>
            <b:Middle>Grzyb, M</b:Middle>
          </b:Person>
        </b:NameList>
      </b:Author>
    </b:Author>
    <b:Title>The Four Aspects of Culture that Drive Engagement</b:Title>
    <b:JournalName>Industry Week</b:JournalName>
    <b:Year>2020</b:Year>
    <b:RefOrder>8</b:RefOrder>
  </b:Source>
  <b:Source>
    <b:Tag>Wil10</b:Tag>
    <b:SourceType>JournalArticle</b:SourceType>
    <b:Guid>{A1AB6D31-A724-0F4D-9B3C-69D818D9807C}</b:Guid>
    <b:Author>
      <b:Author>
        <b:NameList>
          <b:Person>
            <b:Last>Wiley</b:Last>
            <b:First>JW</b:First>
          </b:Person>
        </b:NameList>
      </b:Author>
    </b:Author>
    <b:Title>The Impact of Effective Leadership on Employee Engagement</b:Title>
    <b:JournalName>Employment Relations</b:JournalName>
    <b:Year>2010</b:Year>
    <b:RefOrder>6</b:RefOrder>
  </b:Source>
  <b:Source>
    <b:Tag>Shu15</b:Tag>
    <b:SourceType>JournalArticle</b:SourceType>
    <b:Guid>{4D7EA41F-2A62-2940-8BFF-D8C440508887}</b:Guid>
    <b:Author>
      <b:Author>
        <b:NameList>
          <b:Person>
            <b:Last>Shuck</b:Last>
            <b:First>B.</b:First>
            <b:Middle>Alagaraja, M</b:Middle>
          </b:Person>
        </b:NameList>
      </b:Author>
    </b:Author>
    <b:Title>Exploring Organisationsal Alignment. Employee Engagement Linkages and Impact on Individual Performance</b:Title>
    <b:JournalName>Human Resource Development Review</b:JournalName>
    <b:Year>2015</b:Year>
    <b:RefOrder>9</b:RefOrder>
  </b:Source>
  <b:Source>
    <b:Tag>WEd21</b:Tag>
    <b:SourceType>InternetSite</b:SourceType>
    <b:Guid>{E37E125D-5125-1D45-8C86-6B0C3B5BF37A}</b:Guid>
    <b:Title>The Deming Institute</b:Title>
    <b:Year>2021</b:Year>
    <b:Author>
      <b:Author>
        <b:NameList>
          <b:Person>
            <b:Last>Edwards</b:Last>
            <b:First>W.</b:First>
          </b:Person>
        </b:NameList>
      </b:Author>
    </b:Author>
    <b:InternetSiteTitle>deming.org</b:InternetSiteTitle>
    <b:URL>deming.org/explore/pdsa/</b:URL>
    <b:RefOrder>10</b:RefOrder>
  </b:Source>
  <b:Source>
    <b:Tag>Olu20</b:Tag>
    <b:SourceType>JournalArticle</b:SourceType>
    <b:Guid>{1647D152-B1F3-F346-A868-92A7F74EE3C1}</b:Guid>
    <b:Title>Influence of Employee Attributes, Work Context and Human Resource Management Prctices on Employee Job Engagement</b:Title>
    <b:Year>2020</b:Year>
    <b:Author>
      <b:Author>
        <b:NameList>
          <b:Person>
            <b:Last>Oluwatayo</b:Last>
            <b:First>A.A.</b:First>
            <b:Middle>Adetoro, O.</b:Middle>
          </b:Person>
        </b:NameList>
      </b:Author>
    </b:Author>
    <b:JournalName>Global Institute of Flexible Management Systems</b:JournalName>
    <b:Pages>295-308</b:Pages>
    <b:RefOrder>11</b:RefOrder>
  </b:Source>
  <b:Source>
    <b:Tag>CIP21</b:Tag>
    <b:SourceType>Report</b:SourceType>
    <b:Guid>{2EA29B59-AFD6-D24E-B11C-FB0E5B1D0B4D}</b:Guid>
    <b:Title>Employee Engagement and Motivation</b:Title>
    <b:Year>2021</b:Year>
    <b:Author>
      <b:Author>
        <b:NameList>
          <b:Person>
            <b:Last>CIPD</b:Last>
          </b:Person>
        </b:NameList>
      </b:Author>
    </b:Author>
    <b:Publisher>CIPD</b:Publisher>
    <b:City>London</b:City>
    <b:RefOrder>1</b:RefOrder>
  </b:Source>
  <b:Source>
    <b:Tag>Sch06</b:Tag>
    <b:SourceType>Report</b:SourceType>
    <b:Guid>{06440BA8-F2FC-6C4A-8A48-2F48110B5F36}</b:Guid>
    <b:Author>
      <b:Author>
        <b:NameList>
          <b:Person>
            <b:Last>Schaufeli</b:Last>
            <b:First>W.</b:First>
            <b:Middle>Bakker, A. Salanova, M.</b:Middle>
          </b:Person>
        </b:NameList>
      </b:Author>
    </b:Author>
    <b:Title>The Measurement of Work Engagement</b:Title>
    <b:Publisher>Utrecht Univeristy</b:Publisher>
    <b:Year>2006</b:Year>
    <b:RefOrder>2</b:RefOrder>
  </b:Source>
  <b:Source>
    <b:Tag>SHR06</b:Tag>
    <b:SourceType>ArticleInAPeriodical</b:SourceType>
    <b:Guid>{5F11D05E-5359-164D-8830-CA2B4980DC47}</b:Guid>
    <b:Title>Employee Engagement and Committment</b:Title>
    <b:Year>2006</b:Year>
    <b:Author>
      <b:Author>
        <b:NameList>
          <b:Person>
            <b:Last>SHRM</b:Last>
          </b:Person>
        </b:NameList>
      </b:Author>
    </b:Author>
    <b:PeriodicalTitle>A guide to understanding measuring and increasing engagement in your organisation</b:PeriodicalTitle>
    <b:RefOrder>3</b:RefOrder>
  </b:Source>
  <b:Source>
    <b:Tag>CIP211</b:Tag>
    <b:SourceType>Report</b:SourceType>
    <b:Guid>{299A3EE1-2C5A-A441-B890-399C3453B2F1}</b:Guid>
    <b:Title>Evaluating Learning and Development</b:Title>
    <b:Year>2021</b:Year>
    <b:Author>
      <b:Author>
        <b:NameList>
          <b:Person>
            <b:Last>CIPD</b:Last>
          </b:Person>
        </b:NameList>
      </b:Author>
    </b:Author>
    <b:Publisher>CIPD</b:Publisher>
    <b:City>London</b:City>
    <b:RefOrder>5</b:RefOrder>
  </b:Source>
  <b:Source>
    <b:Tag>Gal17</b:Tag>
    <b:SourceType>Report</b:SourceType>
    <b:Guid>{643B637A-53B8-B44E-BE5D-A084DD532CC3}</b:Guid>
    <b:Author>
      <b:Author>
        <b:NameList>
          <b:Person>
            <b:Last>Gallup</b:Last>
          </b:Person>
        </b:NameList>
      </b:Author>
    </b:Author>
    <b:Title>State of the Global Workplace</b:Title>
    <b:Publisher>Gallup</b:Publisher>
    <b:City>New York</b:City>
    <b:Year>2017</b:Year>
    <b:RefOrder>12</b:RefOrder>
  </b:Source>
  <b:Source>
    <b:Tag>HSE22</b:Tag>
    <b:SourceType>InternetSite</b:SourceType>
    <b:Guid>{D032D7CB-2904-344D-A6A6-091FF3A166B4}</b:Guid>
    <b:Title>HSE Health and Safety Executive</b:Title>
    <b:Year>2022</b:Year>
    <b:Author>
      <b:Author>
        <b:NameList>
          <b:Person>
            <b:Last>HSE</b:Last>
          </b:Person>
        </b:NameList>
      </b:Author>
    </b:Author>
    <b:InternetSiteTitle>HSE</b:InternetSiteTitle>
    <b:URL>hse.gov.uk/invlovement/</b:URL>
    <b:RefOrder>15</b:RefOrder>
  </b:Source>
  <b:Source>
    <b:Tag>CIP212</b:Tag>
    <b:SourceType>Report</b:SourceType>
    <b:Guid>{E49D846E-2591-4D4C-B979-9EEE634370B7}</b:Guid>
    <b:Title>Employee Communication</b:Title>
    <b:Year>2021</b:Year>
    <b:Author>
      <b:Author>
        <b:NameList>
          <b:Person>
            <b:Last>CIPD</b:Last>
          </b:Person>
        </b:NameList>
      </b:Author>
    </b:Author>
    <b:Publisher>CIPD</b:Publisher>
    <b:City>London</b:City>
    <b:RefOrder>4</b:RefOrder>
  </b:Source>
  <b:Source>
    <b:Tag>Wig21</b:Tag>
    <b:SourceType>JournalArticle</b:SourceType>
    <b:Guid>{CB17977A-CD77-F449-B4E5-B6CD3C673B9A}</b:Guid>
    <b:Title>The Wellbeing Paradix of 2020</b:Title>
    <b:Year>2021</b:Year>
    <b:Author>
      <b:Author>
        <b:NameList>
          <b:Person>
            <b:Last>Wigert</b:Last>
            <b:First>B.</b:First>
            <b:Middle>Agrawal,S.</b:Middle>
          </b:Person>
        </b:NameList>
      </b:Author>
    </b:Author>
    <b:JournalName>Workplace</b:JournalName>
    <b:RefOrder>13</b:RefOrder>
  </b:Source>
  <b:Source>
    <b:Tag>The20</b:Tag>
    <b:SourceType>Report</b:SourceType>
    <b:Guid>{1FC023DC-B1D3-9849-9DE7-28D10C320B34}</b:Guid>
    <b:Author>
      <b:Author>
        <b:NameList>
          <b:Person>
            <b:Last>Service</b:Last>
            <b:First>The</b:First>
            <b:Middle>Institute of Customer</b:Middle>
          </b:Person>
        </b:NameList>
      </b:Author>
    </b:Author>
    <b:Title>The Customer Knows: How employee engagement leads to a greater customer satsfaction and loyalty</b:Title>
    <b:Year>2020</b:Year>
    <b:Publisher>The Institute of Customer Service</b:Publisher>
    <b:City>London</b:City>
    <b:RefOrder>14</b:RefOrder>
  </b:Source>
  <b:Source>
    <b:Tag>ACA22</b:Tag>
    <b:SourceType>InternetSite</b:SourceType>
    <b:Guid>{3A2FCB07-4222-5040-A449-79A57255E681}</b:Guid>
    <b:Title>ACAS Working for Everyone</b:Title>
    <b:Year>2022</b:Year>
    <b:Author>
      <b:Author>
        <b:NameList>
          <b:Person>
            <b:Last>ACAS</b:Last>
          </b:Person>
        </b:NameList>
      </b:Author>
    </b:Author>
    <b:InternetSiteTitle>ACAS</b:InternetSiteTitle>
    <b:URL>acas.org.uk/productivity and management</b:URL>
    <b:Month>February</b:Month>
    <b:RefOrder>16</b:RefOrder>
  </b:Source>
  <b:Source>
    <b:Tag>CIP213</b:Tag>
    <b:SourceType>Report</b:SourceType>
    <b:Guid>{11A27669-41FF-6C41-9888-D2815743E8E0}</b:Guid>
    <b:Title>Employee Engagement: Definitions, measures and outcomes</b:Title>
    <b:Year>2021</b:Year>
    <b:Author>
      <b:Author>
        <b:NameList>
          <b:Person>
            <b:Last>CIPD</b:Last>
          </b:Person>
        </b:NameList>
      </b:Author>
    </b:Author>
    <b:Publisher>CIPD</b:Publisher>
    <b:City>London</b:City>
    <b:RefOrder>19</b:RefOrder>
  </b:Source>
  <b:Source>
    <b:Tag>Zoe21</b:Tag>
    <b:SourceType>DocumentFromInternetSite</b:SourceType>
    <b:Guid>{F8D3643E-8F23-D040-9898-C2A71CFB18AA}</b:Guid>
    <b:Title>Employee Benefits</b:Title>
    <b:Year>2021</b:Year>
    <b:Author>
      <b:Author>
        <b:NameList>
          <b:Person>
            <b:Last>Wickens</b:Last>
            <b:First>Zoe</b:First>
          </b:Person>
        </b:NameList>
      </b:Author>
    </b:Author>
    <b:InternetSiteTitle>Employee Benefits</b:InternetSiteTitle>
    <b:URL>employeebenefits.co.uk</b:URL>
    <b:Month>August</b:Month>
    <b:RefOrder>17</b:RefOrder>
  </b:Source>
  <b:Source>
    <b:Tag>Wor21</b:Tag>
    <b:SourceType>Report</b:SourceType>
    <b:Guid>{22BDF7BA-E470-BB48-90CB-CC5CD3A1CF41}</b:Guid>
    <b:Title>The State of Employee Engagement 2021</b:Title>
    <b:Year>2021</b:Year>
    <b:Author>
      <b:Author>
        <b:NameList>
          <b:Person>
            <b:Last>Zone</b:Last>
            <b:First>Work</b:First>
            <b:Middle>Buzz and HR</b:Middle>
          </b:Person>
        </b:NameList>
      </b:Author>
    </b:Author>
    <b:Publisher>Work Buzz</b:Publisher>
    <b:City>Milton Keynes</b:City>
    <b:RefOrder>18</b:RefOrder>
  </b:Source>
</b:Sources>
</file>

<file path=customXml/itemProps1.xml><?xml version="1.0" encoding="utf-8"?>
<ds:datastoreItem xmlns:ds="http://schemas.openxmlformats.org/officeDocument/2006/customXml" ds:itemID="{D06FB8A0-C535-5343-957C-823D6C99C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3090</Words>
  <Characters>17372</Characters>
  <Application>Microsoft Office Word</Application>
  <DocSecurity>0</DocSecurity>
  <Lines>315</Lines>
  <Paragraphs>96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20366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Owens</dc:creator>
  <cp:keywords/>
  <dc:description/>
  <cp:lastModifiedBy>Alys Owens</cp:lastModifiedBy>
  <cp:revision>2</cp:revision>
  <dcterms:created xsi:type="dcterms:W3CDTF">2022-02-15T17:35:00Z</dcterms:created>
  <dcterms:modified xsi:type="dcterms:W3CDTF">2022-02-15T17:35:00Z</dcterms:modified>
  <cp:category/>
</cp:coreProperties>
</file>