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7506F7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F69AF">
              <w:rPr>
                <w:rFonts w:ascii="Times New Roman" w:hAnsi="Times New Roman" w:cs="Times New Roman"/>
                <w:b/>
                <w:color w:val="auto"/>
                <w:sz w:val="48"/>
              </w:rPr>
              <w:t>Rhian Maddocks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F9D008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C410F">
              <w:rPr>
                <w:rFonts w:ascii="Times New Roman" w:hAnsi="Times New Roman" w:cs="Times New Roman"/>
                <w:b/>
                <w:color w:val="auto"/>
                <w:sz w:val="48"/>
              </w:rPr>
              <w:t xml:space="preserve"> </w:t>
            </w:r>
            <w:r w:rsidR="009F69AF">
              <w:rPr>
                <w:rFonts w:ascii="Times New Roman" w:hAnsi="Times New Roman" w:cs="Times New Roman"/>
                <w:b/>
                <w:color w:val="auto"/>
                <w:sz w:val="48"/>
              </w:rPr>
              <w:t>r.maddocks3@npt.gov.uk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EDACD72" w14:textId="77777777" w:rsidR="002C3B66" w:rsidRPr="002C3B66" w:rsidRDefault="002C3B66" w:rsidP="002C3B66">
            <w:pPr>
              <w:overflowPunct/>
              <w:autoSpaceDE/>
              <w:autoSpaceDN/>
              <w:adjustRightInd/>
              <w:ind w:right="-957"/>
              <w:textAlignment w:val="auto"/>
              <w:rPr>
                <w:rFonts w:ascii="Times New Roman" w:hAnsi="Times New Roman" w:cs="Times New Roman"/>
                <w:b/>
                <w:color w:val="auto"/>
                <w:sz w:val="48"/>
              </w:rPr>
            </w:pPr>
            <w:r w:rsidRPr="002C3B66">
              <w:rPr>
                <w:rFonts w:ascii="Times New Roman" w:hAnsi="Times New Roman" w:cs="Times New Roman"/>
                <w:b/>
                <w:color w:val="auto"/>
                <w:sz w:val="48"/>
              </w:rPr>
              <w:t xml:space="preserve">2328602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98B8259" w14:textId="77777777" w:rsidR="009F69AF" w:rsidRPr="00DF02E2" w:rsidRDefault="009F69AF" w:rsidP="009F69AF">
            <w:pPr>
              <w:rPr>
                <w:rFonts w:cs="Times New Roman"/>
              </w:rPr>
            </w:pPr>
            <w:r w:rsidRPr="00790C88">
              <w:rPr>
                <w:rFonts w:cs="Times New Roman"/>
              </w:rPr>
              <w:t>In Wales, adult safeguarding is an essential component of social work, with the aim of protecting individuals who are vulnerable from abuse, neglect, or harm. With a strong legal foundation, organisational, governmental, and national policies and procedures as their guides, social workers are essential to this process. The function of professional social workers in protecting adults is examined in this essay, along with the laws and policies, signs of harm, characteristics that identify an adult as being at risk, and the significance of identifying desired outcomes for safeguarding interventions.</w:t>
            </w:r>
          </w:p>
          <w:p w14:paraId="48145065" w14:textId="77777777" w:rsidR="009F69AF" w:rsidRPr="00790C88" w:rsidRDefault="009F69AF" w:rsidP="009F69AF">
            <w:pPr>
              <w:rPr>
                <w:rFonts w:cs="Times New Roman"/>
              </w:rPr>
            </w:pPr>
          </w:p>
          <w:p w14:paraId="4E5D1825" w14:textId="77777777" w:rsidR="009F69AF" w:rsidRDefault="009F69AF" w:rsidP="009F69AF">
            <w:pPr>
              <w:rPr>
                <w:rFonts w:cs="Times New Roman"/>
              </w:rPr>
            </w:pPr>
            <w:r>
              <w:rPr>
                <w:rFonts w:cs="Times New Roman"/>
              </w:rPr>
              <w:t>Core legislation in Wales</w:t>
            </w:r>
            <w:r w:rsidRPr="009F40C5">
              <w:rPr>
                <w:rFonts w:cs="Times New Roman"/>
              </w:rPr>
              <w:t xml:space="preserve"> </w:t>
            </w:r>
            <w:r>
              <w:rPr>
                <w:rFonts w:cs="Times New Roman"/>
              </w:rPr>
              <w:t>include the</w:t>
            </w:r>
            <w:r w:rsidRPr="009F40C5">
              <w:rPr>
                <w:rFonts w:cs="Times New Roman"/>
              </w:rPr>
              <w:t xml:space="preserve"> Social Services and Well-Being Wales Act</w:t>
            </w:r>
            <w:r>
              <w:rPr>
                <w:rFonts w:cs="Times New Roman"/>
              </w:rPr>
              <w:t xml:space="preserve"> 2014 (Part 7)</w:t>
            </w:r>
            <w:r w:rsidRPr="009F40C5">
              <w:rPr>
                <w:rFonts w:cs="Times New Roman"/>
              </w:rPr>
              <w:t>. It gives local government agencies an obligation to safeguard and advance people's wel</w:t>
            </w:r>
            <w:r>
              <w:rPr>
                <w:rFonts w:cs="Times New Roman"/>
              </w:rPr>
              <w:t>lbeing</w:t>
            </w:r>
            <w:r w:rsidRPr="009F40C5">
              <w:rPr>
                <w:rFonts w:cs="Times New Roman"/>
              </w:rPr>
              <w:t>. It highlights the need of a person-centred approach, ensuring that people participate in choices regarding their care and support</w:t>
            </w:r>
            <w:r>
              <w:rPr>
                <w:rFonts w:cs="Times New Roman"/>
              </w:rPr>
              <w:t xml:space="preserve"> through giving them voice and control. It focuses on early intervention and prevention, coproduction and multi-agency working. It also includes the Wales Safeguarding Procedures 2019 which provide clear guidance and expectations for safeguarding both adults and children. It is the role of Regional Safeguarding Boards to protect adults in their area who are at risk or experiencing abuse neglect or other harm advise the Welsh Government on how to improve arrangements for protecting children and adults.</w:t>
            </w:r>
          </w:p>
          <w:p w14:paraId="64741B08" w14:textId="77777777" w:rsidR="009F69AF" w:rsidRPr="009F40C5" w:rsidRDefault="009F69AF" w:rsidP="009F69AF">
            <w:pPr>
              <w:rPr>
                <w:rFonts w:cs="Times New Roman"/>
              </w:rPr>
            </w:pPr>
          </w:p>
          <w:p w14:paraId="553DE8B5" w14:textId="77777777" w:rsidR="009F69AF" w:rsidRDefault="009F69AF" w:rsidP="009F69AF">
            <w:r w:rsidRPr="00020DE0">
              <w:rPr>
                <w:rFonts w:cs="Times New Roman"/>
              </w:rPr>
              <w:t>A basis for protecting adults at risk is provided by Wales's legal framework pertaining to adult safeguarding. Important components include the Human Rights Act of 1998, which</w:t>
            </w:r>
            <w:r>
              <w:rPr>
                <w:rFonts w:cs="Times New Roman"/>
              </w:rPr>
              <w:t xml:space="preserve"> for example</w:t>
            </w:r>
            <w:r w:rsidRPr="00020DE0">
              <w:rPr>
                <w:rFonts w:cs="Times New Roman"/>
              </w:rPr>
              <w:t xml:space="preserve"> </w:t>
            </w:r>
            <w:r>
              <w:rPr>
                <w:rFonts w:cs="Times New Roman"/>
              </w:rPr>
              <w:t>argues for Article 2,</w:t>
            </w:r>
            <w:r w:rsidRPr="00020DE0">
              <w:rPr>
                <w:rFonts w:cs="Times New Roman"/>
              </w:rPr>
              <w:t xml:space="preserve"> people's rights to life,</w:t>
            </w:r>
            <w:r>
              <w:rPr>
                <w:rFonts w:cs="Times New Roman"/>
              </w:rPr>
              <w:t xml:space="preserve"> Article 3, Freedom from torture, Article 4,</w:t>
            </w:r>
            <w:r w:rsidRPr="00020DE0">
              <w:rPr>
                <w:rFonts w:cs="Times New Roman"/>
              </w:rPr>
              <w:t xml:space="preserve"> </w:t>
            </w:r>
            <w:r>
              <w:rPr>
                <w:rFonts w:cs="Times New Roman"/>
              </w:rPr>
              <w:t>F</w:t>
            </w:r>
            <w:r w:rsidRPr="00020DE0">
              <w:rPr>
                <w:rFonts w:cs="Times New Roman"/>
              </w:rPr>
              <w:t xml:space="preserve">reedom from </w:t>
            </w:r>
            <w:r>
              <w:rPr>
                <w:rFonts w:cs="Times New Roman"/>
              </w:rPr>
              <w:t>slavery and forced labour</w:t>
            </w:r>
            <w:r w:rsidRPr="00020DE0">
              <w:rPr>
                <w:rFonts w:cs="Times New Roman"/>
              </w:rPr>
              <w:t>,</w:t>
            </w:r>
            <w:r>
              <w:rPr>
                <w:rFonts w:cs="Times New Roman"/>
              </w:rPr>
              <w:t xml:space="preserve"> Article 5, Right to liberty and security</w:t>
            </w:r>
            <w:r w:rsidRPr="00020DE0">
              <w:rPr>
                <w:rFonts w:cs="Times New Roman"/>
              </w:rPr>
              <w:t xml:space="preserve"> and</w:t>
            </w:r>
            <w:r>
              <w:rPr>
                <w:rFonts w:cs="Times New Roman"/>
              </w:rPr>
              <w:t xml:space="preserve"> Article 8</w:t>
            </w:r>
            <w:r w:rsidRPr="00020DE0">
              <w:rPr>
                <w:rFonts w:cs="Times New Roman"/>
              </w:rPr>
              <w:t xml:space="preserve"> respect for </w:t>
            </w:r>
            <w:r>
              <w:rPr>
                <w:rFonts w:cs="Times New Roman"/>
              </w:rPr>
              <w:t>your</w:t>
            </w:r>
            <w:r w:rsidRPr="00020DE0">
              <w:rPr>
                <w:rFonts w:cs="Times New Roman"/>
              </w:rPr>
              <w:t xml:space="preserve"> priva</w:t>
            </w:r>
            <w:r>
              <w:rPr>
                <w:rFonts w:cs="Times New Roman"/>
              </w:rPr>
              <w:t>te</w:t>
            </w:r>
            <w:r w:rsidRPr="00020DE0">
              <w:rPr>
                <w:rFonts w:cs="Times New Roman"/>
              </w:rPr>
              <w:t xml:space="preserve"> and family life</w:t>
            </w:r>
            <w:r>
              <w:rPr>
                <w:rFonts w:cs="Times New Roman"/>
              </w:rPr>
              <w:t xml:space="preserve"> and Article 14, Protection from discrimination. The Equality Act 2010 safeguards against protected characteristics such as disability, age, gender, pregnancy, race and religion. Well-being of Future Generations (Wales) Act 2015. Welsh Language Measure 2011 and Code of Professional Practice for Social Workers 2017. </w:t>
            </w:r>
            <w:r>
              <w:t xml:space="preserve">The </w:t>
            </w:r>
            <w:r w:rsidRPr="007A4721">
              <w:t>Mental capacity Act 2005 protects individuals who may lack the mental capacity to make decisions about their care and treatment</w:t>
            </w:r>
            <w:r>
              <w:t>.</w:t>
            </w:r>
            <w:r w:rsidRPr="007A4721">
              <w:t xml:space="preserve"> </w:t>
            </w:r>
            <w:r>
              <w:t>I</w:t>
            </w:r>
            <w:r w:rsidRPr="007A4721">
              <w:t>t includes provisions for making decisions in the best interests of the individual.</w:t>
            </w:r>
            <w:r w:rsidRPr="00C822B8">
              <w:t xml:space="preserve"> </w:t>
            </w:r>
            <w:r>
              <w:t xml:space="preserve">(Livingston, Redcliffe and </w:t>
            </w:r>
            <w:proofErr w:type="spellStart"/>
            <w:r>
              <w:t>Abyd</w:t>
            </w:r>
            <w:proofErr w:type="spellEnd"/>
            <w:r>
              <w:t xml:space="preserve"> Quinn Aziz, 2023), (Brammer, 2009).</w:t>
            </w:r>
          </w:p>
          <w:p w14:paraId="431549AF" w14:textId="77777777" w:rsidR="009F69AF" w:rsidRPr="00EF5880" w:rsidRDefault="009F69AF" w:rsidP="009F69AF">
            <w:pPr>
              <w:rPr>
                <w:rFonts w:cs="Times New Roman"/>
              </w:rPr>
            </w:pPr>
          </w:p>
          <w:p w14:paraId="22B8A7ED" w14:textId="77777777" w:rsidR="009F69AF" w:rsidRDefault="009F69AF" w:rsidP="009F69AF">
            <w:r w:rsidRPr="00C02873">
              <w:t xml:space="preserve">Indicators of harm, neglect, or abuse in adults may include physical indicators: and </w:t>
            </w:r>
            <w:r>
              <w:t>un</w:t>
            </w:r>
            <w:r w:rsidRPr="00C02873">
              <w:t>explained injuries, bruises, b</w:t>
            </w:r>
            <w:r>
              <w:t>urn</w:t>
            </w:r>
            <w:r w:rsidRPr="00C02873">
              <w:t>s, or fractures. Signs of restraint, malnutrition, or poor personal hygiene.</w:t>
            </w:r>
          </w:p>
          <w:p w14:paraId="210EF169" w14:textId="77777777" w:rsidR="009F69AF" w:rsidRDefault="009F69AF" w:rsidP="009F69AF">
            <w:r w:rsidRPr="00C02873">
              <w:t xml:space="preserve">Behaviour and indicators </w:t>
            </w:r>
            <w:r>
              <w:t>such as</w:t>
            </w:r>
            <w:r w:rsidRPr="00C02873">
              <w:t xml:space="preserve"> withdrawal, anxiety, depression, fearfulness, or </w:t>
            </w:r>
            <w:r>
              <w:t xml:space="preserve">general </w:t>
            </w:r>
            <w:r w:rsidRPr="00C02873">
              <w:t xml:space="preserve">changes in behaviour. </w:t>
            </w:r>
            <w:r>
              <w:t>R</w:t>
            </w:r>
            <w:r w:rsidRPr="00C02873">
              <w:t xml:space="preserve">eluctance to speak about personal issues </w:t>
            </w:r>
            <w:r>
              <w:t>or a</w:t>
            </w:r>
            <w:r w:rsidRPr="00C02873">
              <w:t xml:space="preserve"> sudden change in financial circumstances.</w:t>
            </w:r>
          </w:p>
          <w:p w14:paraId="55501977" w14:textId="77777777" w:rsidR="009F69AF" w:rsidRDefault="009F69AF" w:rsidP="009F69AF">
            <w:r w:rsidRPr="00C02873">
              <w:t>Environmental indicators</w:t>
            </w:r>
            <w:r>
              <w:t xml:space="preserve"> may present as</w:t>
            </w:r>
            <w:r w:rsidRPr="00C02873">
              <w:t xml:space="preserve"> unsanitary living conditions, lack of </w:t>
            </w:r>
            <w:r>
              <w:t>necessities</w:t>
            </w:r>
            <w:r w:rsidRPr="00C02873">
              <w:t>,</w:t>
            </w:r>
            <w:r>
              <w:t xml:space="preserve"> or</w:t>
            </w:r>
            <w:r w:rsidRPr="00C02873">
              <w:t xml:space="preserve"> evidence of hoarding.</w:t>
            </w:r>
            <w:r>
              <w:t xml:space="preserve"> </w:t>
            </w:r>
          </w:p>
          <w:p w14:paraId="7CEDDFA4" w14:textId="77777777" w:rsidR="009F69AF" w:rsidRDefault="009F69AF" w:rsidP="009F69AF">
            <w:pPr>
              <w:rPr>
                <w:rFonts w:ascii="Times New Roman" w:hAnsi="Times New Roman" w:cs="Times New Roman"/>
              </w:rPr>
            </w:pPr>
            <w:r w:rsidRPr="00DF52ED">
              <w:rPr>
                <w:rFonts w:cs="Times New Roman"/>
              </w:rPr>
              <w:t xml:space="preserve">In conclusion, the process of adult safeguarding in Wales is intricate and diverse, directed by policies and procedures at the national, local, and organisational levels and supported by an extensive legal framework. In </w:t>
            </w:r>
            <w:r w:rsidRPr="00DF52ED">
              <w:rPr>
                <w:rFonts w:cs="Times New Roman"/>
              </w:rPr>
              <w:lastRenderedPageBreak/>
              <w:t>order to identify, assess, and safeguard adults who are at risk, social workers are incredibly important. Effective safeguarding practises must prioritise individual preferences, identify early indications of risk, and comprehend the circumstances that increase vulnerability. Social workers may ensure that adults at risk obtain the safety and assistance they require to lead secure and satisfying lives by implementing a person-centred approach while working within the legal policy frameworks</w:t>
            </w:r>
            <w:r w:rsidRPr="00DF52ED">
              <w:rPr>
                <w:rFonts w:ascii="Times New Roman" w:hAnsi="Times New Roman" w:cs="Times New Roman"/>
              </w:rPr>
              <w:t>.</w:t>
            </w:r>
            <w:r>
              <w:rPr>
                <w:rFonts w:ascii="Times New Roman" w:hAnsi="Times New Roman" w:cs="Times New Roman"/>
              </w:rPr>
              <w:t xml:space="preserve"> (Brammer, 2009), </w:t>
            </w:r>
            <w:r>
              <w:t xml:space="preserve">(Livingston, Redcliffe and </w:t>
            </w:r>
            <w:proofErr w:type="spellStart"/>
            <w:r>
              <w:t>Abyd</w:t>
            </w:r>
            <w:proofErr w:type="spellEnd"/>
            <w:r>
              <w:t xml:space="preserve"> Quinn Aziz, 2023),(</w:t>
            </w:r>
            <w:r>
              <w:rPr>
                <w:rFonts w:ascii="Times New Roman" w:hAnsi="Times New Roman" w:cs="Times New Roman"/>
              </w:rPr>
              <w:t xml:space="preserve"> Mantell and Scragg, 2011).</w:t>
            </w:r>
          </w:p>
          <w:p w14:paraId="53FAFDB1" w14:textId="77777777" w:rsidR="009F69AF" w:rsidRPr="00DF52ED" w:rsidRDefault="009F69AF" w:rsidP="009F69AF">
            <w:pPr>
              <w:rPr>
                <w:rFonts w:ascii="Times New Roman" w:hAnsi="Times New Roman" w:cs="Times New Roman"/>
              </w:rPr>
            </w:pPr>
          </w:p>
          <w:p w14:paraId="4CA9889E" w14:textId="250F211B" w:rsidR="009F69AF" w:rsidRDefault="009F69AF" w:rsidP="009F69AF">
            <w:r>
              <w:t>(Word Count 548)</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7CE4938" w14:textId="77777777" w:rsidR="000A799F" w:rsidRDefault="000A799F" w:rsidP="000A799F">
            <w:pPr>
              <w:rPr>
                <w:rFonts w:ascii="Times New Roman" w:hAnsi="Times New Roman" w:cs="Times New Roman"/>
              </w:rPr>
            </w:pPr>
            <w:r w:rsidRPr="007636BD">
              <w:rPr>
                <w:rFonts w:cs="Times New Roman"/>
              </w:rPr>
              <w:t>Wales has different legal frameworks, policies, and practises for adults and children, therefore safeguarding entails different approaches for each group. Safeguarding involves protecting individuals from abuse, neglect, and exploitation</w:t>
            </w:r>
            <w:r w:rsidRPr="007636BD">
              <w:rPr>
                <w:rFonts w:ascii="Times New Roman" w:hAnsi="Times New Roman" w:cs="Times New Roman"/>
              </w:rPr>
              <w:t>.</w:t>
            </w:r>
          </w:p>
          <w:p w14:paraId="6FDBE127" w14:textId="77777777" w:rsidR="000A799F" w:rsidRPr="007636BD" w:rsidRDefault="000A799F" w:rsidP="000A799F">
            <w:pPr>
              <w:rPr>
                <w:rFonts w:ascii="Times New Roman" w:hAnsi="Times New Roman" w:cs="Times New Roman"/>
              </w:rPr>
            </w:pPr>
          </w:p>
          <w:p w14:paraId="61598004" w14:textId="77777777" w:rsidR="000A799F" w:rsidRDefault="000A799F" w:rsidP="000A799F">
            <w:pPr>
              <w:rPr>
                <w:rFonts w:cs="Times New Roman"/>
              </w:rPr>
            </w:pPr>
            <w:r w:rsidRPr="000D15E6">
              <w:rPr>
                <w:rFonts w:cs="Times New Roman"/>
              </w:rPr>
              <w:t>Children are individuals under the age of 18. Safeguarding children entails detecting and responding to a wide range of possible harms, such as physical, emotional, and sexual abuse, as well as neglect. The emphasis is on early intervention to reduce harm and promote healthy development. Family dynamics, parental concerns such as substance misuse,</w:t>
            </w:r>
            <w:r>
              <w:rPr>
                <w:rFonts w:cs="Times New Roman"/>
              </w:rPr>
              <w:t xml:space="preserve"> domestic abuse</w:t>
            </w:r>
            <w:r w:rsidRPr="000D15E6">
              <w:rPr>
                <w:rFonts w:cs="Times New Roman"/>
              </w:rPr>
              <w:t xml:space="preserve"> and socioeconomic status are all common risk factors for children.</w:t>
            </w:r>
            <w:r w:rsidRPr="00F1054F">
              <w:t xml:space="preserve"> </w:t>
            </w:r>
            <w:r>
              <w:t xml:space="preserve">(Livingston, Redcliffe and </w:t>
            </w:r>
            <w:proofErr w:type="spellStart"/>
            <w:r>
              <w:t>Abyd</w:t>
            </w:r>
            <w:proofErr w:type="spellEnd"/>
            <w:r>
              <w:t xml:space="preserve"> Quinn Aziz, 2023)</w:t>
            </w:r>
            <w:r>
              <w:rPr>
                <w:rFonts w:cs="Times New Roman"/>
              </w:rPr>
              <w:t>, (Brammer, 2009).</w:t>
            </w:r>
          </w:p>
          <w:p w14:paraId="4190F431" w14:textId="77777777" w:rsidR="000A799F" w:rsidRPr="000D15E6" w:rsidRDefault="000A799F" w:rsidP="000A799F">
            <w:pPr>
              <w:rPr>
                <w:rFonts w:ascii="Times New Roman" w:hAnsi="Times New Roman" w:cs="Times New Roman"/>
              </w:rPr>
            </w:pPr>
            <w:r w:rsidRPr="000D15E6">
              <w:rPr>
                <w:rFonts w:cs="Times New Roman"/>
              </w:rPr>
              <w:t xml:space="preserve"> </w:t>
            </w:r>
            <w:r w:rsidRPr="000D15E6">
              <w:rPr>
                <w:rFonts w:cs="Times New Roman"/>
              </w:rPr>
              <w:br/>
              <w:t xml:space="preserve">Adults at risk, on the other hand, may require care and support because of their age, disability, </w:t>
            </w:r>
            <w:r>
              <w:rPr>
                <w:rFonts w:cs="Times New Roman"/>
              </w:rPr>
              <w:t>ill mental or physical health</w:t>
            </w:r>
            <w:r w:rsidRPr="000D15E6">
              <w:rPr>
                <w:rFonts w:cs="Times New Roman"/>
              </w:rPr>
              <w:t>, or other circumstances that prevent them from protecting themselves from danger. The safeguarding process for adults is more focused on individual autonomy and choice, acknowledging that individuals have the right to make decisions about their lives, even if those decisions</w:t>
            </w:r>
            <w:r w:rsidRPr="00F97C44">
              <w:rPr>
                <w:rFonts w:cs="Times New Roman"/>
              </w:rPr>
              <w:t xml:space="preserve"> may involve risk. </w:t>
            </w:r>
            <w:r w:rsidRPr="00F97C44">
              <w:t>Risk factors for adults include social isolation, cognitive</w:t>
            </w:r>
            <w:r>
              <w:t xml:space="preserve"> and physical</w:t>
            </w:r>
            <w:r w:rsidRPr="00F97C44">
              <w:t xml:space="preserve"> impairments, and dependency on others for care.</w:t>
            </w:r>
          </w:p>
          <w:p w14:paraId="70F4D45D" w14:textId="77777777" w:rsidR="000A799F" w:rsidRDefault="000A799F" w:rsidP="000A799F">
            <w:pPr>
              <w:rPr>
                <w:rFonts w:ascii="Times New Roman" w:hAnsi="Times New Roman" w:cs="Times New Roman"/>
              </w:rPr>
            </w:pPr>
            <w:r w:rsidRPr="00482D72">
              <w:rPr>
                <w:rFonts w:cs="Times New Roman"/>
              </w:rPr>
              <w:t>Adult safeguarding practices highlight person-centred approaches that respect the individual's rights and choices. The standards outlined in the Mental Capacity Act of 2005 are critical in ensuring that any intervention considers the adult's capacity to make decisions and their best interests. Multi-agency adult protection committees oversee safeguarding, ensuring coordination among specialists</w:t>
            </w:r>
            <w:r w:rsidRPr="00482D72">
              <w:rPr>
                <w:rFonts w:ascii="Times New Roman" w:hAnsi="Times New Roman" w:cs="Times New Roman"/>
              </w:rPr>
              <w:t>.</w:t>
            </w:r>
            <w:r>
              <w:rPr>
                <w:rFonts w:ascii="Times New Roman" w:hAnsi="Times New Roman" w:cs="Times New Roman"/>
              </w:rPr>
              <w:t xml:space="preserve"> (Mantell, 2011),  (Mantel and Scragg, 2011).</w:t>
            </w:r>
          </w:p>
          <w:p w14:paraId="7B83E872" w14:textId="77777777" w:rsidR="000A799F" w:rsidRDefault="000A799F" w:rsidP="000A799F"/>
          <w:p w14:paraId="0E795694" w14:textId="77777777" w:rsidR="000A799F" w:rsidRDefault="000A799F" w:rsidP="000A799F">
            <w:pPr>
              <w:rPr>
                <w:rFonts w:cs="Times New Roman"/>
              </w:rPr>
            </w:pPr>
            <w:r w:rsidRPr="003B49E2">
              <w:rPr>
                <w:rFonts w:cs="Times New Roman"/>
              </w:rPr>
              <w:t xml:space="preserve">The primary distinction between adult and child services is that the emphasis on protecting adults differs from that of protecting children in that it involves striking a balance between protection and autonomy. Decisions made in a child's best interest frequently take precedence over their preferences since children are typically perceived as naturally defenceless and in need of adult protection. If they are able to make informed decisions, </w:t>
            </w:r>
            <w:r w:rsidRPr="003B49E2">
              <w:rPr>
                <w:rFonts w:cs="Times New Roman"/>
              </w:rPr>
              <w:lastRenderedPageBreak/>
              <w:t>protecting adults, on the other hand, lays more emphasis on upholding their autonomy and choices</w:t>
            </w:r>
            <w:r>
              <w:rPr>
                <w:rFonts w:cs="Times New Roman"/>
              </w:rPr>
              <w:t xml:space="preserve">, </w:t>
            </w:r>
            <w:r w:rsidRPr="003B49E2">
              <w:rPr>
                <w:rFonts w:cs="Times New Roman"/>
              </w:rPr>
              <w:t xml:space="preserve">even in situations where they are </w:t>
            </w:r>
            <w:r>
              <w:rPr>
                <w:rFonts w:cs="Times New Roman"/>
              </w:rPr>
              <w:t>potentially at risk of harm.</w:t>
            </w:r>
          </w:p>
          <w:p w14:paraId="5FFB144D" w14:textId="77777777" w:rsidR="000A799F" w:rsidRPr="003B49E2" w:rsidRDefault="000A799F" w:rsidP="000A799F">
            <w:pPr>
              <w:rPr>
                <w:rFonts w:cs="Times New Roman"/>
              </w:rPr>
            </w:pPr>
          </w:p>
          <w:p w14:paraId="3E46B214" w14:textId="77777777" w:rsidR="000A799F" w:rsidRPr="00B64FF7" w:rsidRDefault="000A799F" w:rsidP="000A799F">
            <w:pPr>
              <w:rPr>
                <w:rFonts w:cs="Times New Roman"/>
              </w:rPr>
            </w:pPr>
            <w:r w:rsidRPr="00B64FF7">
              <w:rPr>
                <w:rFonts w:cs="Times New Roman"/>
              </w:rPr>
              <w:t>In conclusion Safeguarding in Wales is adapted to the individual needs and vulnerabilities of children and adults, guided by distinct legal frameworks and practices. The approach for children is protective and preventative, with a focus on their developmental requirements and the creation of secure surroundings. For adults, the approach is empowering and supportive of autonomy, with a purpose of supporting and protecting persons at risk while respecting their right to make their own decisions. Understanding these distinctions is critical for effectively safeguarding both populations while respecting their individual needs and situations.</w:t>
            </w:r>
            <w:r>
              <w:rPr>
                <w:rFonts w:cs="Times New Roman"/>
              </w:rPr>
              <w:t xml:space="preserve"> (Hothersall &amp; Maas-</w:t>
            </w:r>
            <w:proofErr w:type="spellStart"/>
            <w:r>
              <w:rPr>
                <w:rFonts w:cs="Times New Roman"/>
              </w:rPr>
              <w:t>Lowitt</w:t>
            </w:r>
            <w:proofErr w:type="spellEnd"/>
            <w:r>
              <w:rPr>
                <w:rFonts w:cs="Times New Roman"/>
              </w:rPr>
              <w:t xml:space="preserve">, 2010), </w:t>
            </w:r>
            <w:r>
              <w:t xml:space="preserve">(Livingston, Redcliffe and </w:t>
            </w:r>
            <w:proofErr w:type="spellStart"/>
            <w:r>
              <w:t>Abyd</w:t>
            </w:r>
            <w:proofErr w:type="spellEnd"/>
            <w:r>
              <w:t xml:space="preserve"> Quinn Aziz, 2023),</w:t>
            </w:r>
            <w:r>
              <w:rPr>
                <w:rFonts w:cs="Times New Roman"/>
              </w:rPr>
              <w:t>(Rowe, 2017).</w:t>
            </w:r>
          </w:p>
          <w:p w14:paraId="392A7684" w14:textId="77777777" w:rsidR="000A799F" w:rsidRPr="00B64FF7" w:rsidRDefault="000A799F" w:rsidP="000A799F"/>
          <w:p w14:paraId="795C6051" w14:textId="0F7C9D3B" w:rsidR="00FC0334" w:rsidRDefault="000A799F" w:rsidP="00FC0334">
            <w:pPr>
              <w:jc w:val="both"/>
              <w:rPr>
                <w:sz w:val="24"/>
                <w:szCs w:val="24"/>
              </w:rPr>
            </w:pPr>
            <w:r>
              <w:rPr>
                <w:sz w:val="24"/>
                <w:szCs w:val="24"/>
              </w:rPr>
              <w:t>(Word Count 438)</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99F"/>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378"/>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B66"/>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1178"/>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001"/>
    <w:rsid w:val="00682334"/>
    <w:rsid w:val="00684732"/>
    <w:rsid w:val="00684B16"/>
    <w:rsid w:val="00687016"/>
    <w:rsid w:val="006872A0"/>
    <w:rsid w:val="0069625A"/>
    <w:rsid w:val="00696A88"/>
    <w:rsid w:val="00696F65"/>
    <w:rsid w:val="00697572"/>
    <w:rsid w:val="006B4496"/>
    <w:rsid w:val="006B5E67"/>
    <w:rsid w:val="006B6612"/>
    <w:rsid w:val="006B78A8"/>
    <w:rsid w:val="006C2EB5"/>
    <w:rsid w:val="006D18A3"/>
    <w:rsid w:val="006D5970"/>
    <w:rsid w:val="006E2975"/>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69AF"/>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10F"/>
    <w:rsid w:val="00CC7226"/>
    <w:rsid w:val="00CD0735"/>
    <w:rsid w:val="00CD45E3"/>
    <w:rsid w:val="00CD4771"/>
    <w:rsid w:val="00CD5089"/>
    <w:rsid w:val="00CD5D3F"/>
    <w:rsid w:val="00CD7E1F"/>
    <w:rsid w:val="00CE4BC4"/>
    <w:rsid w:val="00CE7DA2"/>
    <w:rsid w:val="00CF2F8A"/>
    <w:rsid w:val="00CF3DB3"/>
    <w:rsid w:val="00D0274B"/>
    <w:rsid w:val="00D04A7A"/>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4851"/>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489471">
      <w:bodyDiv w:val="1"/>
      <w:marLeft w:val="0"/>
      <w:marRight w:val="0"/>
      <w:marTop w:val="0"/>
      <w:marBottom w:val="0"/>
      <w:divBdr>
        <w:top w:val="none" w:sz="0" w:space="0" w:color="auto"/>
        <w:left w:val="none" w:sz="0" w:space="0" w:color="auto"/>
        <w:bottom w:val="none" w:sz="0" w:space="0" w:color="auto"/>
        <w:right w:val="none" w:sz="0" w:space="0" w:color="auto"/>
      </w:divBdr>
    </w:div>
    <w:div w:id="190533220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1192</Words>
  <Characters>7038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Maddocks</cp:lastModifiedBy>
  <cp:revision>6</cp:revision>
  <cp:lastPrinted>2020-02-11T19:20:00Z</cp:lastPrinted>
  <dcterms:created xsi:type="dcterms:W3CDTF">2025-02-16T16:41:00Z</dcterms:created>
  <dcterms:modified xsi:type="dcterms:W3CDTF">2025-02-16T21:42:00Z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