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8E8DE7" w14:textId="77777777" w:rsidR="009C3EBF" w:rsidRDefault="009C3EBF" w:rsidP="009C3EBF">
      <w:pPr>
        <w:rPr>
          <w:rFonts w:cs="Arial"/>
          <w:color w:val="58595B"/>
          <w:sz w:val="36"/>
          <w:szCs w:val="36"/>
        </w:rPr>
      </w:pPr>
      <w:r>
        <w:rPr>
          <w:rFonts w:cs="Arial"/>
          <w:color w:val="58595B"/>
          <w:sz w:val="36"/>
          <w:szCs w:val="36"/>
        </w:rPr>
        <w:t>Qualification: CIPD Diploma in Applied Human Resources</w:t>
      </w:r>
    </w:p>
    <w:p w14:paraId="5CE6927C" w14:textId="77777777" w:rsidR="009C3EBF" w:rsidRDefault="009C3EBF" w:rsidP="009C3EBF">
      <w:pPr>
        <w:rPr>
          <w:rFonts w:cs="Arial"/>
          <w:color w:val="58595B"/>
          <w:sz w:val="36"/>
          <w:szCs w:val="36"/>
        </w:rPr>
      </w:pPr>
    </w:p>
    <w:p w14:paraId="148E8866" w14:textId="77777777" w:rsidR="009C3EBF" w:rsidRDefault="009C3EBF" w:rsidP="009C3EBF">
      <w:pPr>
        <w:rPr>
          <w:rFonts w:cs="Arial"/>
          <w:color w:val="58595B"/>
          <w:sz w:val="36"/>
          <w:szCs w:val="36"/>
        </w:rPr>
      </w:pPr>
      <w:r>
        <w:rPr>
          <w:rFonts w:cs="Arial"/>
          <w:color w:val="58595B"/>
          <w:sz w:val="36"/>
          <w:szCs w:val="36"/>
        </w:rPr>
        <w:t>Module Name: Understanding the Business Context of Human Resources</w:t>
      </w:r>
    </w:p>
    <w:p w14:paraId="3B13735E" w14:textId="77777777" w:rsidR="009C3EBF" w:rsidRDefault="009C3EBF" w:rsidP="009C3EBF">
      <w:pPr>
        <w:rPr>
          <w:rFonts w:cs="Arial"/>
          <w:color w:val="58595B"/>
          <w:sz w:val="36"/>
          <w:szCs w:val="36"/>
        </w:rPr>
      </w:pPr>
    </w:p>
    <w:p w14:paraId="743DAD78" w14:textId="77777777" w:rsidR="009C3EBF" w:rsidRDefault="009C3EBF" w:rsidP="009C3EBF">
      <w:pPr>
        <w:rPr>
          <w:rFonts w:cs="Arial"/>
          <w:color w:val="58595B"/>
          <w:sz w:val="36"/>
          <w:szCs w:val="36"/>
        </w:rPr>
      </w:pPr>
      <w:r>
        <w:rPr>
          <w:rFonts w:cs="Arial"/>
          <w:color w:val="58595B"/>
          <w:sz w:val="36"/>
          <w:szCs w:val="36"/>
        </w:rPr>
        <w:t>Assignment Understanding the Business Context of Human Resources</w:t>
      </w:r>
    </w:p>
    <w:p w14:paraId="7D34CA01" w14:textId="77777777" w:rsidR="009C3EBF" w:rsidRDefault="009C3EBF" w:rsidP="009C3EBF">
      <w:pPr>
        <w:rPr>
          <w:rFonts w:cs="Arial"/>
          <w:color w:val="58595B"/>
          <w:sz w:val="36"/>
          <w:szCs w:val="36"/>
        </w:rPr>
      </w:pPr>
    </w:p>
    <w:p w14:paraId="6D367A7A" w14:textId="77777777" w:rsidR="009C3EBF" w:rsidRDefault="009C3EBF" w:rsidP="009C3EBF">
      <w:pPr>
        <w:rPr>
          <w:rFonts w:cs="Arial"/>
          <w:color w:val="58595B"/>
          <w:sz w:val="36"/>
          <w:szCs w:val="36"/>
        </w:rPr>
      </w:pPr>
    </w:p>
    <w:p w14:paraId="5E058CBC" w14:textId="77777777" w:rsidR="009C3EBF" w:rsidRDefault="009C3EBF" w:rsidP="009C3EBF">
      <w:pPr>
        <w:rPr>
          <w:rFonts w:cs="Arial"/>
          <w:color w:val="58595B"/>
          <w:sz w:val="36"/>
          <w:szCs w:val="36"/>
        </w:rPr>
      </w:pPr>
    </w:p>
    <w:p w14:paraId="15F4F03A" w14:textId="77777777" w:rsidR="009C3EBF" w:rsidRDefault="009C3EBF" w:rsidP="009C3EBF">
      <w:pPr>
        <w:rPr>
          <w:rFonts w:cs="Arial"/>
          <w:color w:val="58595B"/>
          <w:sz w:val="36"/>
          <w:szCs w:val="36"/>
        </w:rPr>
      </w:pPr>
      <w:r>
        <w:rPr>
          <w:rFonts w:cs="Arial"/>
          <w:color w:val="58595B"/>
          <w:sz w:val="36"/>
          <w:szCs w:val="36"/>
        </w:rPr>
        <w:t>Word Count:</w:t>
      </w:r>
    </w:p>
    <w:p w14:paraId="70B09212" w14:textId="77777777" w:rsidR="009C3EBF" w:rsidRDefault="009C3EBF" w:rsidP="009C3EBF">
      <w:pPr>
        <w:rPr>
          <w:rFonts w:cs="Arial"/>
          <w:color w:val="58595B"/>
          <w:sz w:val="36"/>
          <w:szCs w:val="36"/>
        </w:rPr>
      </w:pPr>
    </w:p>
    <w:p w14:paraId="40E0B4CD" w14:textId="77777777" w:rsidR="009C3EBF" w:rsidRDefault="009C3EBF" w:rsidP="009C3EBF">
      <w:pPr>
        <w:rPr>
          <w:rFonts w:cs="Arial"/>
          <w:color w:val="58595B"/>
          <w:sz w:val="36"/>
          <w:szCs w:val="36"/>
        </w:rPr>
      </w:pPr>
    </w:p>
    <w:p w14:paraId="0784E47C" w14:textId="77777777" w:rsidR="009C3EBF" w:rsidRDefault="009C3EBF" w:rsidP="009C3EBF">
      <w:pPr>
        <w:rPr>
          <w:rFonts w:cs="Arial"/>
          <w:color w:val="58595B"/>
          <w:sz w:val="36"/>
          <w:szCs w:val="36"/>
        </w:rPr>
      </w:pPr>
    </w:p>
    <w:p w14:paraId="103E0B84" w14:textId="77777777" w:rsidR="009C3EBF" w:rsidRDefault="009C3EBF" w:rsidP="009C3EBF">
      <w:pPr>
        <w:rPr>
          <w:rFonts w:cs="Arial"/>
          <w:color w:val="58595B"/>
          <w:sz w:val="36"/>
          <w:szCs w:val="36"/>
        </w:rPr>
      </w:pPr>
    </w:p>
    <w:p w14:paraId="374C8FB6" w14:textId="77777777" w:rsidR="009C3EBF" w:rsidRDefault="009C3EBF" w:rsidP="009C3EBF">
      <w:pPr>
        <w:rPr>
          <w:rFonts w:cs="Arial"/>
          <w:color w:val="58595B"/>
          <w:sz w:val="36"/>
          <w:szCs w:val="36"/>
        </w:rPr>
      </w:pPr>
    </w:p>
    <w:p w14:paraId="0F31FAE8" w14:textId="77777777" w:rsidR="009C3EBF" w:rsidRDefault="009C3EBF" w:rsidP="009C3EBF">
      <w:pPr>
        <w:rPr>
          <w:rFonts w:cs="Arial"/>
          <w:color w:val="58595B"/>
          <w:sz w:val="36"/>
          <w:szCs w:val="36"/>
        </w:rPr>
      </w:pPr>
    </w:p>
    <w:p w14:paraId="0B735C31" w14:textId="77777777" w:rsidR="009C3EBF" w:rsidRDefault="009C3EBF" w:rsidP="009C3EBF">
      <w:pPr>
        <w:rPr>
          <w:rFonts w:cs="Arial"/>
          <w:color w:val="58595B"/>
          <w:sz w:val="36"/>
          <w:szCs w:val="36"/>
        </w:rPr>
      </w:pPr>
    </w:p>
    <w:p w14:paraId="63A48955" w14:textId="77777777" w:rsidR="009C3EBF" w:rsidRDefault="009C3EBF" w:rsidP="009C3EBF">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Tara Jeffreys</w:t>
      </w:r>
      <w:r>
        <w:rPr>
          <w:rFonts w:cs="Arial"/>
          <w:color w:val="58595B"/>
          <w:sz w:val="36"/>
          <w:szCs w:val="36"/>
        </w:rPr>
        <w:tab/>
      </w:r>
      <w:r>
        <w:rPr>
          <w:rFonts w:cs="Arial"/>
          <w:color w:val="58595B"/>
          <w:sz w:val="36"/>
          <w:szCs w:val="36"/>
        </w:rPr>
        <w:tab/>
      </w:r>
      <w:r>
        <w:rPr>
          <w:rFonts w:cs="Arial"/>
          <w:color w:val="58595B"/>
          <w:sz w:val="36"/>
          <w:szCs w:val="36"/>
        </w:rPr>
        <w:tab/>
      </w:r>
    </w:p>
    <w:p w14:paraId="3A35714C" w14:textId="77777777" w:rsidR="009C3EBF" w:rsidRDefault="009C3EBF" w:rsidP="009C3EBF">
      <w:pPr>
        <w:rPr>
          <w:rFonts w:cs="Arial"/>
          <w:color w:val="58595B"/>
          <w:sz w:val="36"/>
          <w:szCs w:val="36"/>
        </w:rPr>
      </w:pPr>
      <w:r>
        <w:rPr>
          <w:rFonts w:cs="Arial"/>
          <w:color w:val="58595B"/>
          <w:sz w:val="36"/>
          <w:szCs w:val="36"/>
        </w:rPr>
        <w:t>Student Number:</w:t>
      </w:r>
      <w:r>
        <w:rPr>
          <w:rFonts w:cs="Arial"/>
          <w:color w:val="58595B"/>
          <w:sz w:val="36"/>
          <w:szCs w:val="36"/>
        </w:rPr>
        <w:tab/>
        <w:t>2005784</w:t>
      </w:r>
      <w:r>
        <w:rPr>
          <w:rFonts w:cs="Arial"/>
          <w:color w:val="58595B"/>
          <w:sz w:val="36"/>
          <w:szCs w:val="36"/>
        </w:rPr>
        <w:tab/>
      </w:r>
      <w:r>
        <w:rPr>
          <w:rFonts w:cs="Arial"/>
          <w:color w:val="58595B"/>
          <w:sz w:val="36"/>
          <w:szCs w:val="36"/>
        </w:rPr>
        <w:tab/>
      </w:r>
      <w:r>
        <w:rPr>
          <w:rFonts w:cs="Arial"/>
          <w:color w:val="58595B"/>
          <w:sz w:val="36"/>
          <w:szCs w:val="36"/>
        </w:rPr>
        <w:tab/>
      </w:r>
    </w:p>
    <w:p w14:paraId="2F484E45" w14:textId="77777777" w:rsidR="009C3EBF" w:rsidRDefault="009C3EBF" w:rsidP="009C3EBF">
      <w:pPr>
        <w:rPr>
          <w:rFonts w:cs="Arial"/>
          <w:color w:val="58595B"/>
          <w:sz w:val="36"/>
          <w:szCs w:val="36"/>
        </w:rPr>
      </w:pPr>
      <w:r>
        <w:rPr>
          <w:rFonts w:cs="Arial"/>
          <w:color w:val="58595B"/>
          <w:sz w:val="36"/>
          <w:szCs w:val="36"/>
        </w:rPr>
        <w:t>CIPD Membership Number:  80931290</w:t>
      </w:r>
      <w:r>
        <w:rPr>
          <w:rFonts w:cs="Arial"/>
          <w:color w:val="58595B"/>
          <w:sz w:val="36"/>
          <w:szCs w:val="36"/>
        </w:rPr>
        <w:tab/>
      </w:r>
    </w:p>
    <w:p w14:paraId="03EF88DC" w14:textId="77777777" w:rsidR="009C3EBF" w:rsidRDefault="009C3EBF" w:rsidP="009C3EBF">
      <w:pPr>
        <w:rPr>
          <w:rFonts w:cs="Arial"/>
          <w:color w:val="58595B"/>
          <w:sz w:val="36"/>
          <w:szCs w:val="36"/>
        </w:rPr>
      </w:pPr>
    </w:p>
    <w:p w14:paraId="17620098" w14:textId="77777777" w:rsidR="009C3EBF" w:rsidRDefault="009C3EBF" w:rsidP="009C3EBF">
      <w:pPr>
        <w:rPr>
          <w:rFonts w:cs="Arial"/>
          <w:color w:val="58595B"/>
          <w:sz w:val="36"/>
          <w:szCs w:val="36"/>
        </w:rPr>
      </w:pPr>
    </w:p>
    <w:p w14:paraId="25BD8230" w14:textId="77777777" w:rsidR="009C3EBF" w:rsidRDefault="009C3EBF" w:rsidP="009C3EBF">
      <w:pPr>
        <w:rPr>
          <w:rFonts w:cs="Arial"/>
          <w:color w:val="58595B"/>
          <w:sz w:val="36"/>
          <w:szCs w:val="36"/>
        </w:rPr>
      </w:pPr>
    </w:p>
    <w:p w14:paraId="72384367" w14:textId="77777777" w:rsidR="009C3EBF" w:rsidRDefault="009C3EBF" w:rsidP="009C3EBF">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37EA9B2" w14:textId="77777777" w:rsidR="009C3EBF" w:rsidRDefault="009C3EBF" w:rsidP="009C3EBF">
      <w:pPr>
        <w:rPr>
          <w:rFonts w:cs="Arial"/>
          <w:color w:val="58595B"/>
          <w:sz w:val="36"/>
          <w:szCs w:val="36"/>
        </w:rPr>
      </w:pPr>
    </w:p>
    <w:p w14:paraId="5D41056D" w14:textId="77777777" w:rsidR="009C3EBF" w:rsidRDefault="009C3EBF" w:rsidP="009C3EBF">
      <w:pPr>
        <w:rPr>
          <w:rFonts w:cs="Arial"/>
          <w:color w:val="58595B"/>
          <w:sz w:val="36"/>
          <w:szCs w:val="36"/>
        </w:rPr>
      </w:pPr>
    </w:p>
    <w:p w14:paraId="227A18DE" w14:textId="1566D295" w:rsidR="009C3EBF" w:rsidRDefault="009C3EBF" w:rsidP="009C3EBF">
      <w:pPr>
        <w:rPr>
          <w:rFonts w:cs="Arial"/>
          <w:color w:val="58595B"/>
          <w:sz w:val="36"/>
          <w:szCs w:val="36"/>
        </w:rPr>
      </w:pPr>
      <w:r>
        <w:rPr>
          <w:rFonts w:cs="Arial"/>
          <w:color w:val="58595B"/>
          <w:sz w:val="36"/>
          <w:szCs w:val="36"/>
        </w:rPr>
        <w:t xml:space="preserve">Signed: </w:t>
      </w:r>
      <w:r>
        <w:rPr>
          <w:rFonts w:cs="Arial"/>
          <w:color w:val="58595B"/>
          <w:sz w:val="36"/>
          <w:szCs w:val="36"/>
        </w:rPr>
        <w:tab/>
      </w:r>
      <w:r>
        <w:rPr>
          <w:rFonts w:cs="Arial"/>
          <w:color w:val="58595B"/>
          <w:sz w:val="36"/>
          <w:szCs w:val="36"/>
        </w:rPr>
        <w:tab/>
      </w:r>
      <w:r w:rsidR="00BD474D">
        <w:rPr>
          <w:rFonts w:cs="Arial"/>
          <w:color w:val="58595B"/>
          <w:sz w:val="36"/>
          <w:szCs w:val="36"/>
        </w:rPr>
        <w:t>Tara Jeffreys</w:t>
      </w:r>
    </w:p>
    <w:p w14:paraId="4118B033" w14:textId="5310473F" w:rsidR="009C3EBF" w:rsidRDefault="009C3EBF" w:rsidP="009C3EBF">
      <w:pPr>
        <w:rPr>
          <w:rFonts w:cs="Arial"/>
          <w:color w:val="58595B"/>
          <w:sz w:val="36"/>
          <w:szCs w:val="36"/>
        </w:rPr>
      </w:pPr>
      <w:r>
        <w:rPr>
          <w:rFonts w:cs="Arial"/>
          <w:color w:val="58595B"/>
          <w:sz w:val="36"/>
          <w:szCs w:val="36"/>
        </w:rPr>
        <w:t xml:space="preserve">Date: </w:t>
      </w:r>
      <w:r w:rsidR="00BD474D">
        <w:rPr>
          <w:rFonts w:cs="Arial"/>
          <w:color w:val="58595B"/>
          <w:sz w:val="36"/>
          <w:szCs w:val="36"/>
        </w:rPr>
        <w:t xml:space="preserve">             20/02/21</w:t>
      </w:r>
    </w:p>
    <w:p w14:paraId="6B2C6D2A" w14:textId="77777777" w:rsidR="009C3EBF" w:rsidRDefault="009C3EBF" w:rsidP="009C3EBF"/>
    <w:p w14:paraId="2264DFE4" w14:textId="77777777" w:rsidR="00B4225C" w:rsidRDefault="00AC1A6D">
      <w:r>
        <w:lastRenderedPageBreak/>
        <w:t>Activity 1</w:t>
      </w:r>
    </w:p>
    <w:p w14:paraId="12EDFC95" w14:textId="77777777" w:rsidR="00AC1A6D" w:rsidRDefault="00AC1A6D"/>
    <w:p w14:paraId="4EFF8FEF" w14:textId="77777777" w:rsidR="008D56A2" w:rsidRDefault="008D56A2">
      <w:r>
        <w:t xml:space="preserve">For the purposes of this </w:t>
      </w:r>
      <w:r w:rsidR="008861E7">
        <w:t>report</w:t>
      </w:r>
      <w:r>
        <w:t xml:space="preserve"> I will be using the following organisations for use in comparison</w:t>
      </w:r>
      <w:r w:rsidR="003A55E1">
        <w:t xml:space="preserve"> </w:t>
      </w:r>
      <w:r>
        <w:t>Morrisons Supermarkets PLC</w:t>
      </w:r>
      <w:r w:rsidR="00321CBA">
        <w:t xml:space="preserve"> and </w:t>
      </w:r>
      <w:r>
        <w:t>Pembrokeshire County Council</w:t>
      </w:r>
      <w:r w:rsidR="00321CBA">
        <w:t>.</w:t>
      </w:r>
    </w:p>
    <w:p w14:paraId="3D419951" w14:textId="77777777" w:rsidR="001A223D" w:rsidRDefault="001A223D">
      <w:r>
        <w:t xml:space="preserve">Morrisons Supermarkets </w:t>
      </w:r>
      <w:r w:rsidR="008D0A9B">
        <w:t xml:space="preserve">PLC is a large private sector organisation and PCC is a large public sector organisation.  </w:t>
      </w:r>
    </w:p>
    <w:p w14:paraId="18A39BEF" w14:textId="77777777" w:rsidR="009032A9" w:rsidRDefault="009032A9"/>
    <w:p w14:paraId="57A1DBB1" w14:textId="77777777" w:rsidR="007D14F0" w:rsidRDefault="007D14F0">
      <w:r>
        <w:t xml:space="preserve">There are 6 models of organisational structure </w:t>
      </w:r>
    </w:p>
    <w:p w14:paraId="7775F428" w14:textId="77777777" w:rsidR="007D14F0" w:rsidRDefault="007D14F0" w:rsidP="007D14F0">
      <w:pPr>
        <w:pStyle w:val="ListParagraph"/>
        <w:numPr>
          <w:ilvl w:val="0"/>
          <w:numId w:val="1"/>
        </w:numPr>
      </w:pPr>
      <w:r>
        <w:t xml:space="preserve">Bureaucracy, </w:t>
      </w:r>
    </w:p>
    <w:p w14:paraId="0324A117" w14:textId="77777777" w:rsidR="007D14F0" w:rsidRDefault="007D14F0" w:rsidP="007D14F0">
      <w:pPr>
        <w:pStyle w:val="ListParagraph"/>
        <w:numPr>
          <w:ilvl w:val="0"/>
          <w:numId w:val="1"/>
        </w:numPr>
      </w:pPr>
      <w:r>
        <w:t>Divisionalisation</w:t>
      </w:r>
    </w:p>
    <w:p w14:paraId="2F449AE4" w14:textId="77777777" w:rsidR="007D14F0" w:rsidRDefault="007D14F0" w:rsidP="007D14F0">
      <w:pPr>
        <w:pStyle w:val="ListParagraph"/>
        <w:numPr>
          <w:ilvl w:val="0"/>
          <w:numId w:val="1"/>
        </w:numPr>
      </w:pPr>
      <w:r>
        <w:t xml:space="preserve">Matrix Organisation </w:t>
      </w:r>
    </w:p>
    <w:p w14:paraId="75F6E4C2" w14:textId="77777777" w:rsidR="007D14F0" w:rsidRDefault="007D14F0" w:rsidP="007D14F0">
      <w:pPr>
        <w:pStyle w:val="ListParagraph"/>
        <w:numPr>
          <w:ilvl w:val="0"/>
          <w:numId w:val="1"/>
        </w:numPr>
      </w:pPr>
      <w:r>
        <w:t xml:space="preserve">Networks </w:t>
      </w:r>
    </w:p>
    <w:p w14:paraId="1BB2E5B5" w14:textId="77777777" w:rsidR="007D14F0" w:rsidRDefault="007D14F0" w:rsidP="007D14F0">
      <w:pPr>
        <w:pStyle w:val="ListParagraph"/>
        <w:numPr>
          <w:ilvl w:val="0"/>
          <w:numId w:val="1"/>
        </w:numPr>
      </w:pPr>
      <w:r>
        <w:t>Visual Organisations</w:t>
      </w:r>
    </w:p>
    <w:p w14:paraId="392314B7" w14:textId="77777777" w:rsidR="007D14F0" w:rsidRDefault="007D14F0" w:rsidP="007D14F0">
      <w:pPr>
        <w:pStyle w:val="ListParagraph"/>
        <w:numPr>
          <w:ilvl w:val="0"/>
          <w:numId w:val="1"/>
        </w:numPr>
      </w:pPr>
      <w:r>
        <w:t>Strategic Alliances (Kew and Stredwick, 2013)</w:t>
      </w:r>
    </w:p>
    <w:p w14:paraId="11DE80A8" w14:textId="77777777" w:rsidR="007D14F0" w:rsidRDefault="007D14F0" w:rsidP="007D14F0"/>
    <w:p w14:paraId="1FFA6E25" w14:textId="58FAE917" w:rsidR="009032A9" w:rsidRDefault="007D14F0" w:rsidP="007D14F0">
      <w:r>
        <w:t xml:space="preserve">Bureaucracy </w:t>
      </w:r>
      <w:r w:rsidR="008C1F15">
        <w:t xml:space="preserve">has three central principles, Specialism, where tasks are </w:t>
      </w:r>
      <w:r w:rsidR="00BD474D">
        <w:t>segregated,</w:t>
      </w:r>
      <w:r w:rsidR="008C1F15">
        <w:t xml:space="preserve"> and people are employed for a specific task in a specific department, movement between departments is very rare.  </w:t>
      </w:r>
    </w:p>
    <w:p w14:paraId="6560555C" w14:textId="77777777" w:rsidR="009032A9" w:rsidRDefault="008C1F15" w:rsidP="007D14F0">
      <w:r>
        <w:t xml:space="preserve">Hierarchy, where along with specific tasks there are specific roles and positions of power, a very top down approach, promotion through the hierarchy is possible based on merit or length of service.  </w:t>
      </w:r>
    </w:p>
    <w:p w14:paraId="3BB7950C" w14:textId="77777777" w:rsidR="007D14F0" w:rsidRDefault="008C1F15" w:rsidP="007D14F0">
      <w:r>
        <w:t>Impersonal rationality, power is held by the. position and not the individual, where decisions were made based on principles, preventing corruption and nepotism</w:t>
      </w:r>
      <w:r w:rsidR="00D36FB6">
        <w:t xml:space="preserve"> (Weber, 1964)</w:t>
      </w:r>
    </w:p>
    <w:p w14:paraId="0CDDB30C" w14:textId="77777777" w:rsidR="00D36FB6" w:rsidRDefault="00D36FB6" w:rsidP="007D14F0"/>
    <w:p w14:paraId="302A83FD" w14:textId="77777777" w:rsidR="00D36FB6" w:rsidRDefault="00D36FB6" w:rsidP="007D14F0">
      <w:r>
        <w:t>Divisionalism, is a development of bureaucracy, when a company gets too large it becomes difficult to run all areas from a central position, the company gets split into divisions and each division will have decision making powers, this model was effectively invented in the 1920’s by Alfred Sloan from General Motors in the US.  Major decisions in this model</w:t>
      </w:r>
      <w:r w:rsidR="009032A9">
        <w:t xml:space="preserve"> </w:t>
      </w:r>
      <w:r>
        <w:t xml:space="preserve">will still be made by head office, such as investment decisions and </w:t>
      </w:r>
      <w:r w:rsidR="009032A9">
        <w:t>target setting (Boxall and Purcell, 2008)</w:t>
      </w:r>
    </w:p>
    <w:p w14:paraId="6A165653" w14:textId="77777777" w:rsidR="009032A9" w:rsidRDefault="009032A9" w:rsidP="007D14F0"/>
    <w:p w14:paraId="75FAB10D" w14:textId="5E850102" w:rsidR="009032A9" w:rsidRDefault="009032A9" w:rsidP="007D14F0">
      <w:r>
        <w:t xml:space="preserve">Matrix Organisation, this model was developed in the US aerospace industry in the 1960’s, this involves </w:t>
      </w:r>
      <w:r w:rsidR="00BD474D">
        <w:t>short- or medium-term</w:t>
      </w:r>
      <w:r>
        <w:t xml:space="preserve"> projects, where departments will work together on a project, colleagues involved will report to both department managers and the project manager (Kew and Stredwick, 2013)</w:t>
      </w:r>
    </w:p>
    <w:p w14:paraId="2D672614" w14:textId="77777777" w:rsidR="009032A9" w:rsidRDefault="009032A9" w:rsidP="007D14F0"/>
    <w:p w14:paraId="692C8589" w14:textId="0B1F732F" w:rsidR="009032A9" w:rsidRDefault="00BD474D" w:rsidP="007D14F0">
      <w:r>
        <w:t>Networks, in</w:t>
      </w:r>
      <w:r w:rsidR="009032A9">
        <w:t xml:space="preserve"> a more informal version of matrix, where </w:t>
      </w:r>
      <w:r w:rsidR="00912008">
        <w:t>an organisation encourages work between different departments to ensure faster diffusion of ideas through the organisation(Boxall and Purcell, 2008)</w:t>
      </w:r>
    </w:p>
    <w:p w14:paraId="6C0BC26B" w14:textId="77777777" w:rsidR="00912008" w:rsidRDefault="00912008" w:rsidP="007D14F0"/>
    <w:p w14:paraId="1A2E610F" w14:textId="23533EC8" w:rsidR="00912008" w:rsidRDefault="00912008" w:rsidP="007D14F0">
      <w:r>
        <w:t>Virtual Organisations</w:t>
      </w:r>
      <w:r w:rsidR="0027721E">
        <w:t xml:space="preserve">, where physical assets are replaced by computer networks. Warner and Witzel (2003) identify six </w:t>
      </w:r>
      <w:r w:rsidR="00BD474D">
        <w:t>characteristics</w:t>
      </w:r>
      <w:r w:rsidR="0027721E">
        <w:t>, lack of physical structure, reliance on communications technology, mobile network, hybrid forms, boundaryless and inclusive and flexible responsiveness.</w:t>
      </w:r>
    </w:p>
    <w:p w14:paraId="004E3C5E" w14:textId="77777777" w:rsidR="0027721E" w:rsidRDefault="0027721E" w:rsidP="007D14F0"/>
    <w:p w14:paraId="546E934D" w14:textId="40F22232" w:rsidR="0027721E" w:rsidRDefault="0027721E" w:rsidP="007D14F0">
      <w:r>
        <w:t xml:space="preserve">Strategic alliances, medium to long term relationships between different companies, </w:t>
      </w:r>
      <w:r w:rsidR="00B3001B">
        <w:t>(</w:t>
      </w:r>
      <w:r>
        <w:t>Contractor and Lorence 1998) identify six main objectives for alliance, reduction of risk, achievement of economies of scale, technology exchange, countering competition, overcoming government trade or investment barriers and vertical quasi-integration advantages.</w:t>
      </w:r>
    </w:p>
    <w:p w14:paraId="3115D0CF" w14:textId="77777777" w:rsidR="0027721E" w:rsidRDefault="0027721E" w:rsidP="007D14F0"/>
    <w:p w14:paraId="2CF86347" w14:textId="77777777" w:rsidR="00A74297" w:rsidRPr="000626C2" w:rsidRDefault="0083325F"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sidRPr="000626C2">
        <w:rPr>
          <w:rFonts w:ascii="Arial" w:hAnsi="Arial" w:cs="Arial"/>
          <w:color w:val="2F5496" w:themeColor="accent1" w:themeShade="BF"/>
          <w:sz w:val="22"/>
          <w:szCs w:val="22"/>
        </w:rPr>
        <w:t xml:space="preserve">Morrisons Supermarkets PLC is a </w:t>
      </w:r>
      <w:r w:rsidR="005277C6" w:rsidRPr="000626C2">
        <w:rPr>
          <w:rFonts w:ascii="Arial" w:hAnsi="Arial" w:cs="Arial"/>
          <w:color w:val="2F5496" w:themeColor="accent1" w:themeShade="BF"/>
          <w:sz w:val="22"/>
          <w:szCs w:val="22"/>
        </w:rPr>
        <w:t xml:space="preserve">divisional organisation while PCC is a bureaucracy.  The core purpose of Morrisons supermarkets plc is “to make and provide food, we’re all proud of, where everyone’s effort is worthwhile, so more and more people, can afford to eat well”. The </w:t>
      </w:r>
      <w:r w:rsidR="005277C6" w:rsidRPr="000626C2">
        <w:rPr>
          <w:rFonts w:ascii="Arial" w:hAnsi="Arial" w:cs="Arial"/>
          <w:color w:val="2F5496" w:themeColor="accent1" w:themeShade="BF"/>
          <w:sz w:val="22"/>
          <w:szCs w:val="22"/>
        </w:rPr>
        <w:lastRenderedPageBreak/>
        <w:t xml:space="preserve">core purpose of. PCC is working together, improving lives, the work to this goal is underpinned by three principles, </w:t>
      </w:r>
    </w:p>
    <w:p w14:paraId="5005589C" w14:textId="77777777" w:rsidR="00A74297" w:rsidRPr="000626C2" w:rsidRDefault="005277C6"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sidRPr="000626C2">
        <w:rPr>
          <w:rFonts w:ascii="Arial" w:hAnsi="Arial" w:cs="Arial"/>
          <w:color w:val="2F5496" w:themeColor="accent1" w:themeShade="BF"/>
          <w:sz w:val="22"/>
          <w:szCs w:val="22"/>
        </w:rPr>
        <w:t xml:space="preserve">sense of purpose: the purpose is to inspire and support individuals, communities and organisations to secure improvements in social, economic and environmental well-being.  </w:t>
      </w:r>
    </w:p>
    <w:p w14:paraId="78252CE3" w14:textId="77777777" w:rsidR="00A74297" w:rsidRPr="000626C2" w:rsidRDefault="005277C6"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sidRPr="000626C2">
        <w:rPr>
          <w:rFonts w:ascii="Arial" w:hAnsi="Arial" w:cs="Arial"/>
          <w:color w:val="2F5496" w:themeColor="accent1" w:themeShade="BF"/>
          <w:sz w:val="22"/>
          <w:szCs w:val="22"/>
        </w:rPr>
        <w:t>Improvement: aim to transform the way in which the organisation works, innovating and seeking best practice to help deliver in a more effective and efficient ways. Aiming to continue to make prudent choices, by living within our means</w:t>
      </w:r>
      <w:r w:rsidR="00A74297" w:rsidRPr="000626C2">
        <w:rPr>
          <w:rFonts w:ascii="Arial" w:hAnsi="Arial" w:cs="Arial"/>
          <w:color w:val="2F5496" w:themeColor="accent1" w:themeShade="BF"/>
          <w:sz w:val="22"/>
          <w:szCs w:val="22"/>
        </w:rPr>
        <w:t xml:space="preserve"> and avoiding unnecessary processes and waste.  </w:t>
      </w:r>
    </w:p>
    <w:p w14:paraId="453806F6" w14:textId="7A2084B6" w:rsidR="0027721E" w:rsidRPr="000626C2" w:rsidRDefault="00A74297"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sidRPr="000626C2">
        <w:rPr>
          <w:rFonts w:ascii="Arial" w:hAnsi="Arial" w:cs="Arial"/>
          <w:color w:val="2F5496" w:themeColor="accent1" w:themeShade="BF"/>
          <w:sz w:val="22"/>
          <w:szCs w:val="22"/>
        </w:rPr>
        <w:t xml:space="preserve">Working together: working together to help provide joined up support and services for Pembrokeshire people, visitors to the county, communities and organisations. We are </w:t>
      </w:r>
      <w:r w:rsidR="00BD474D" w:rsidRPr="000626C2">
        <w:rPr>
          <w:rFonts w:ascii="Arial" w:hAnsi="Arial" w:cs="Arial"/>
          <w:color w:val="2F5496" w:themeColor="accent1" w:themeShade="BF"/>
          <w:sz w:val="22"/>
          <w:szCs w:val="22"/>
        </w:rPr>
        <w:t>committed</w:t>
      </w:r>
      <w:r w:rsidRPr="000626C2">
        <w:rPr>
          <w:rFonts w:ascii="Arial" w:hAnsi="Arial" w:cs="Arial"/>
          <w:color w:val="2F5496" w:themeColor="accent1" w:themeShade="BF"/>
          <w:sz w:val="22"/>
          <w:szCs w:val="22"/>
        </w:rPr>
        <w:t xml:space="preserve"> to the continued development of effective partnerships with voluntary, private and public sector bodies within and out of the county. </w:t>
      </w:r>
      <w:r w:rsidR="005277C6" w:rsidRPr="000626C2">
        <w:rPr>
          <w:rFonts w:ascii="Arial" w:hAnsi="Arial" w:cs="Arial"/>
          <w:color w:val="2F5496" w:themeColor="accent1" w:themeShade="BF"/>
          <w:sz w:val="22"/>
          <w:szCs w:val="22"/>
        </w:rPr>
        <w:t xml:space="preserve">  </w:t>
      </w:r>
    </w:p>
    <w:p w14:paraId="116FE702" w14:textId="77777777" w:rsidR="00A74297" w:rsidRPr="000626C2" w:rsidRDefault="00A74297"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p>
    <w:p w14:paraId="0CFDF0D3" w14:textId="5D0BC04A" w:rsidR="00597B19" w:rsidRDefault="00A74297"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sidRPr="000626C2">
        <w:rPr>
          <w:rFonts w:ascii="Arial" w:hAnsi="Arial" w:cs="Arial"/>
          <w:color w:val="2F5496" w:themeColor="accent1" w:themeShade="BF"/>
          <w:sz w:val="22"/>
          <w:szCs w:val="22"/>
        </w:rPr>
        <w:t xml:space="preserve">As a divisional organisation morrisons operates various different divisions under the one company </w:t>
      </w:r>
      <w:r w:rsidR="00BD474D" w:rsidRPr="000626C2">
        <w:rPr>
          <w:rFonts w:ascii="Arial" w:hAnsi="Arial" w:cs="Arial"/>
          <w:color w:val="2F5496" w:themeColor="accent1" w:themeShade="BF"/>
          <w:sz w:val="22"/>
          <w:szCs w:val="22"/>
        </w:rPr>
        <w:t>umbrella</w:t>
      </w:r>
      <w:r w:rsidRPr="000626C2">
        <w:rPr>
          <w:rFonts w:ascii="Arial" w:hAnsi="Arial" w:cs="Arial"/>
          <w:color w:val="2F5496" w:themeColor="accent1" w:themeShade="BF"/>
          <w:sz w:val="22"/>
          <w:szCs w:val="22"/>
        </w:rPr>
        <w:t xml:space="preserve">, </w:t>
      </w:r>
      <w:r w:rsidR="00BD474D" w:rsidRPr="000626C2">
        <w:rPr>
          <w:rFonts w:ascii="Arial" w:hAnsi="Arial" w:cs="Arial"/>
          <w:color w:val="2F5496" w:themeColor="accent1" w:themeShade="BF"/>
          <w:sz w:val="22"/>
          <w:szCs w:val="22"/>
        </w:rPr>
        <w:t>manufacturing</w:t>
      </w:r>
      <w:r w:rsidRPr="000626C2">
        <w:rPr>
          <w:rFonts w:ascii="Arial" w:hAnsi="Arial" w:cs="Arial"/>
          <w:color w:val="2F5496" w:themeColor="accent1" w:themeShade="BF"/>
          <w:sz w:val="22"/>
          <w:szCs w:val="22"/>
        </w:rPr>
        <w:t>, logistics, retail and head office, to support the breadth of the company</w:t>
      </w:r>
      <w:r w:rsidR="00BF1DF4" w:rsidRPr="000626C2">
        <w:rPr>
          <w:rFonts w:ascii="Arial" w:hAnsi="Arial" w:cs="Arial"/>
          <w:color w:val="2F5496" w:themeColor="accent1" w:themeShade="BF"/>
          <w:sz w:val="22"/>
          <w:szCs w:val="22"/>
        </w:rPr>
        <w:t>,</w:t>
      </w:r>
      <w:r w:rsidRPr="000626C2">
        <w:rPr>
          <w:rFonts w:ascii="Arial" w:hAnsi="Arial" w:cs="Arial"/>
          <w:color w:val="2F5496" w:themeColor="accent1" w:themeShade="BF"/>
          <w:sz w:val="22"/>
          <w:szCs w:val="22"/>
        </w:rPr>
        <w:t xml:space="preserve"> the HR function within Morrisons </w:t>
      </w:r>
      <w:r w:rsidR="00BF1DF4" w:rsidRPr="000626C2">
        <w:rPr>
          <w:rFonts w:ascii="Arial" w:hAnsi="Arial" w:cs="Arial"/>
          <w:color w:val="2F5496" w:themeColor="accent1" w:themeShade="BF"/>
          <w:sz w:val="22"/>
          <w:szCs w:val="22"/>
        </w:rPr>
        <w:t xml:space="preserve">follows </w:t>
      </w:r>
      <w:r w:rsidRPr="000626C2">
        <w:rPr>
          <w:rFonts w:ascii="Arial" w:hAnsi="Arial" w:cs="Arial"/>
          <w:color w:val="2F5496" w:themeColor="accent1" w:themeShade="BF"/>
          <w:sz w:val="22"/>
          <w:szCs w:val="22"/>
        </w:rPr>
        <w:t xml:space="preserve">the Ulrich </w:t>
      </w:r>
      <w:r w:rsidR="00BD474D" w:rsidRPr="000626C2">
        <w:rPr>
          <w:rFonts w:ascii="Arial" w:hAnsi="Arial" w:cs="Arial"/>
          <w:color w:val="2F5496" w:themeColor="accent1" w:themeShade="BF"/>
          <w:sz w:val="22"/>
          <w:szCs w:val="22"/>
        </w:rPr>
        <w:t>3-legged</w:t>
      </w:r>
      <w:r w:rsidRPr="000626C2">
        <w:rPr>
          <w:rFonts w:ascii="Arial" w:hAnsi="Arial" w:cs="Arial"/>
          <w:color w:val="2F5496" w:themeColor="accent1" w:themeShade="BF"/>
          <w:sz w:val="22"/>
          <w:szCs w:val="22"/>
        </w:rPr>
        <w:t xml:space="preserve"> stool model</w:t>
      </w:r>
      <w:r w:rsidR="00246E4E" w:rsidRPr="000626C2">
        <w:rPr>
          <w:rFonts w:ascii="Arial" w:hAnsi="Arial" w:cs="Arial"/>
          <w:color w:val="2F5496" w:themeColor="accent1" w:themeShade="BF"/>
          <w:sz w:val="22"/>
          <w:szCs w:val="22"/>
        </w:rPr>
        <w:t xml:space="preserve">. </w:t>
      </w:r>
      <w:r w:rsidR="00597B19">
        <w:rPr>
          <w:rFonts w:ascii="Arial" w:hAnsi="Arial" w:cs="Arial"/>
          <w:color w:val="2F5496" w:themeColor="accent1" w:themeShade="BF"/>
          <w:sz w:val="22"/>
          <w:szCs w:val="22"/>
        </w:rPr>
        <w:t xml:space="preserve">PCC </w:t>
      </w:r>
      <w:r w:rsidR="00176EC3">
        <w:rPr>
          <w:rFonts w:ascii="Arial" w:hAnsi="Arial" w:cs="Arial"/>
          <w:color w:val="2F5496" w:themeColor="accent1" w:themeShade="BF"/>
          <w:sz w:val="22"/>
          <w:szCs w:val="22"/>
        </w:rPr>
        <w:t>being</w:t>
      </w:r>
      <w:r w:rsidR="00597B19">
        <w:rPr>
          <w:rFonts w:ascii="Arial" w:hAnsi="Arial" w:cs="Arial"/>
          <w:color w:val="2F5496" w:themeColor="accent1" w:themeShade="BF"/>
          <w:sz w:val="22"/>
          <w:szCs w:val="22"/>
        </w:rPr>
        <w:t xml:space="preserve"> part of the civil service</w:t>
      </w:r>
      <w:r w:rsidR="00176EC3">
        <w:rPr>
          <w:rFonts w:ascii="Arial" w:hAnsi="Arial" w:cs="Arial"/>
          <w:color w:val="2F5496" w:themeColor="accent1" w:themeShade="BF"/>
          <w:sz w:val="22"/>
          <w:szCs w:val="22"/>
        </w:rPr>
        <w:t xml:space="preserve"> is a bureaucracy</w:t>
      </w:r>
      <w:r w:rsidR="00597B19">
        <w:rPr>
          <w:rFonts w:ascii="Arial" w:hAnsi="Arial" w:cs="Arial"/>
          <w:color w:val="2F5496" w:themeColor="accent1" w:themeShade="BF"/>
          <w:sz w:val="22"/>
          <w:szCs w:val="22"/>
        </w:rPr>
        <w:t xml:space="preserve"> and operates a </w:t>
      </w:r>
      <w:r w:rsidR="00BD474D">
        <w:rPr>
          <w:rFonts w:ascii="Arial" w:hAnsi="Arial" w:cs="Arial"/>
          <w:color w:val="2F5496" w:themeColor="accent1" w:themeShade="BF"/>
          <w:sz w:val="22"/>
          <w:szCs w:val="22"/>
        </w:rPr>
        <w:t>hierarchical</w:t>
      </w:r>
      <w:r w:rsidR="00597B19">
        <w:rPr>
          <w:rFonts w:ascii="Arial" w:hAnsi="Arial" w:cs="Arial"/>
          <w:color w:val="2F5496" w:themeColor="accent1" w:themeShade="BF"/>
          <w:sz w:val="22"/>
          <w:szCs w:val="22"/>
        </w:rPr>
        <w:t xml:space="preserve"> HR function.</w:t>
      </w:r>
    </w:p>
    <w:p w14:paraId="050C91DE" w14:textId="77777777" w:rsidR="00597B19" w:rsidRDefault="00597B19"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p>
    <w:p w14:paraId="4E44A280" w14:textId="77777777" w:rsidR="00597B19" w:rsidRDefault="00597B19" w:rsidP="00A74297">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There are</w:t>
      </w:r>
      <w:r w:rsidR="00176EC3">
        <w:rPr>
          <w:rFonts w:ascii="Arial" w:hAnsi="Arial" w:cs="Arial"/>
          <w:color w:val="2F5496" w:themeColor="accent1" w:themeShade="BF"/>
          <w:sz w:val="22"/>
          <w:szCs w:val="22"/>
        </w:rPr>
        <w:t xml:space="preserve"> seven</w:t>
      </w:r>
      <w:r w:rsidR="0022405D">
        <w:rPr>
          <w:rFonts w:ascii="Arial" w:hAnsi="Arial" w:cs="Arial"/>
          <w:color w:val="2F5496" w:themeColor="accent1" w:themeShade="BF"/>
          <w:sz w:val="22"/>
          <w:szCs w:val="22"/>
        </w:rPr>
        <w:t xml:space="preserve"> internal</w:t>
      </w:r>
      <w:r w:rsidR="00176EC3">
        <w:rPr>
          <w:rFonts w:ascii="Arial" w:hAnsi="Arial" w:cs="Arial"/>
          <w:color w:val="2F5496" w:themeColor="accent1" w:themeShade="BF"/>
          <w:sz w:val="22"/>
          <w:szCs w:val="22"/>
        </w:rPr>
        <w:t xml:space="preserve"> factors that affect organisations and HR</w:t>
      </w:r>
    </w:p>
    <w:p w14:paraId="3A1AF2D3"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Social</w:t>
      </w:r>
      <w:r w:rsidR="00A56223">
        <w:rPr>
          <w:rFonts w:ascii="Arial" w:hAnsi="Arial" w:cs="Arial"/>
          <w:color w:val="2F5496" w:themeColor="accent1" w:themeShade="BF"/>
          <w:sz w:val="22"/>
          <w:szCs w:val="22"/>
        </w:rPr>
        <w:t xml:space="preserve"> – the structure, practices and policies</w:t>
      </w:r>
    </w:p>
    <w:p w14:paraId="36E258D4"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Communication</w:t>
      </w:r>
      <w:r w:rsidR="00A56223">
        <w:rPr>
          <w:rFonts w:ascii="Arial" w:hAnsi="Arial" w:cs="Arial"/>
          <w:color w:val="2F5496" w:themeColor="accent1" w:themeShade="BF"/>
          <w:sz w:val="22"/>
          <w:szCs w:val="22"/>
        </w:rPr>
        <w:t xml:space="preserve"> – affects. How an organisation functions, email, face to face affects speed of communication</w:t>
      </w:r>
    </w:p>
    <w:p w14:paraId="24767E21"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Culture</w:t>
      </w:r>
      <w:r w:rsidR="00A56223">
        <w:rPr>
          <w:rFonts w:ascii="Arial" w:hAnsi="Arial" w:cs="Arial"/>
          <w:color w:val="2F5496" w:themeColor="accent1" w:themeShade="BF"/>
          <w:sz w:val="22"/>
          <w:szCs w:val="22"/>
        </w:rPr>
        <w:t xml:space="preserve"> – the way things are done, culture </w:t>
      </w:r>
      <w:r w:rsidR="00B978C2">
        <w:rPr>
          <w:rFonts w:ascii="Arial" w:hAnsi="Arial" w:cs="Arial"/>
          <w:color w:val="2F5496" w:themeColor="accent1" w:themeShade="BF"/>
          <w:sz w:val="22"/>
          <w:szCs w:val="22"/>
        </w:rPr>
        <w:t xml:space="preserve">has 3 levels, artefacts, values and assumptions (Shein, </w:t>
      </w:r>
      <w:r w:rsidR="0022405D">
        <w:rPr>
          <w:rFonts w:ascii="Arial" w:hAnsi="Arial" w:cs="Arial"/>
          <w:color w:val="2F5496" w:themeColor="accent1" w:themeShade="BF"/>
          <w:sz w:val="22"/>
          <w:szCs w:val="22"/>
        </w:rPr>
        <w:t>1997)</w:t>
      </w:r>
    </w:p>
    <w:p w14:paraId="70D18BE8"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Layout</w:t>
      </w:r>
      <w:r w:rsidR="00A56223">
        <w:rPr>
          <w:rFonts w:ascii="Arial" w:hAnsi="Arial" w:cs="Arial"/>
          <w:color w:val="2F5496" w:themeColor="accent1" w:themeShade="BF"/>
          <w:sz w:val="22"/>
          <w:szCs w:val="22"/>
        </w:rPr>
        <w:t xml:space="preserve"> – the location, the layout</w:t>
      </w:r>
      <w:r w:rsidR="0022405D">
        <w:rPr>
          <w:rFonts w:ascii="Arial" w:hAnsi="Arial" w:cs="Arial"/>
          <w:color w:val="2F5496" w:themeColor="accent1" w:themeShade="BF"/>
          <w:sz w:val="22"/>
          <w:szCs w:val="22"/>
        </w:rPr>
        <w:t>, style and decoration</w:t>
      </w:r>
    </w:p>
    <w:p w14:paraId="31F12DE8"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Technology</w:t>
      </w:r>
      <w:r w:rsidR="0022405D">
        <w:rPr>
          <w:rFonts w:ascii="Arial" w:hAnsi="Arial" w:cs="Arial"/>
          <w:color w:val="2F5496" w:themeColor="accent1" w:themeShade="BF"/>
          <w:sz w:val="22"/>
          <w:szCs w:val="22"/>
        </w:rPr>
        <w:t xml:space="preserve"> – processes, materials and knowledge</w:t>
      </w:r>
    </w:p>
    <w:p w14:paraId="0C7AE30B"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Power Conflict</w:t>
      </w:r>
      <w:r w:rsidR="0022405D">
        <w:rPr>
          <w:rFonts w:ascii="Arial" w:hAnsi="Arial" w:cs="Arial"/>
          <w:color w:val="2F5496" w:themeColor="accent1" w:themeShade="BF"/>
          <w:sz w:val="22"/>
          <w:szCs w:val="22"/>
        </w:rPr>
        <w:t xml:space="preserve"> – sources of power</w:t>
      </w:r>
    </w:p>
    <w:p w14:paraId="6164D497" w14:textId="77777777" w:rsidR="00176EC3" w:rsidRDefault="00176EC3" w:rsidP="00176EC3">
      <w:pPr>
        <w:pStyle w:val="NormalWeb"/>
        <w:numPr>
          <w:ilvl w:val="0"/>
          <w:numId w:val="2"/>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Financial</w:t>
      </w:r>
      <w:r w:rsidR="0022405D">
        <w:rPr>
          <w:rFonts w:ascii="Arial" w:hAnsi="Arial" w:cs="Arial"/>
          <w:color w:val="2F5496" w:themeColor="accent1" w:themeShade="BF"/>
          <w:sz w:val="22"/>
          <w:szCs w:val="22"/>
        </w:rPr>
        <w:t xml:space="preserve"> – investors, share price or funding</w:t>
      </w:r>
    </w:p>
    <w:p w14:paraId="743C9C83" w14:textId="77777777" w:rsidR="004954E0" w:rsidRDefault="0022405D" w:rsidP="0022405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Culture is the</w:t>
      </w:r>
      <w:r w:rsidR="004954E0">
        <w:rPr>
          <w:rFonts w:ascii="Arial" w:hAnsi="Arial" w:cs="Arial"/>
          <w:color w:val="2F5496" w:themeColor="accent1" w:themeShade="BF"/>
          <w:sz w:val="22"/>
          <w:szCs w:val="22"/>
        </w:rPr>
        <w:t xml:space="preserve"> internal</w:t>
      </w:r>
      <w:r>
        <w:rPr>
          <w:rFonts w:ascii="Arial" w:hAnsi="Arial" w:cs="Arial"/>
          <w:color w:val="2F5496" w:themeColor="accent1" w:themeShade="BF"/>
          <w:sz w:val="22"/>
          <w:szCs w:val="22"/>
        </w:rPr>
        <w:t xml:space="preserve"> factor that has the greatest impact on an organisations performance, HR should support effective culture and change cultures that are inappropriate. There are 4 types of</w:t>
      </w:r>
      <w:r w:rsidR="0031642B">
        <w:rPr>
          <w:rFonts w:ascii="Arial" w:hAnsi="Arial" w:cs="Arial"/>
          <w:color w:val="2F5496" w:themeColor="accent1" w:themeShade="BF"/>
          <w:sz w:val="22"/>
          <w:szCs w:val="22"/>
        </w:rPr>
        <w:t xml:space="preserve"> culture</w:t>
      </w:r>
      <w:r w:rsidR="004954E0">
        <w:rPr>
          <w:rFonts w:ascii="Arial" w:hAnsi="Arial" w:cs="Arial"/>
          <w:color w:val="2F5496" w:themeColor="accent1" w:themeShade="BF"/>
          <w:sz w:val="22"/>
          <w:szCs w:val="22"/>
        </w:rPr>
        <w:t>;</w:t>
      </w:r>
    </w:p>
    <w:p w14:paraId="544D50DD" w14:textId="77777777" w:rsidR="004954E0" w:rsidRDefault="0031642B" w:rsidP="0022405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Power</w:t>
      </w:r>
      <w:r w:rsidR="004954E0">
        <w:rPr>
          <w:rFonts w:ascii="Arial" w:hAnsi="Arial" w:cs="Arial"/>
          <w:color w:val="2F5496" w:themeColor="accent1" w:themeShade="BF"/>
          <w:sz w:val="22"/>
          <w:szCs w:val="22"/>
        </w:rPr>
        <w:t xml:space="preserve"> – This is a very autocratic culture, a top down approach, creates quick decision making, the downside is low colleague engagement</w:t>
      </w:r>
      <w:r>
        <w:rPr>
          <w:rFonts w:ascii="Arial" w:hAnsi="Arial" w:cs="Arial"/>
          <w:color w:val="2F5496" w:themeColor="accent1" w:themeShade="BF"/>
          <w:sz w:val="22"/>
          <w:szCs w:val="22"/>
        </w:rPr>
        <w:t xml:space="preserve"> </w:t>
      </w:r>
    </w:p>
    <w:p w14:paraId="3524111E" w14:textId="77777777" w:rsidR="004954E0" w:rsidRDefault="0031642B" w:rsidP="0022405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People</w:t>
      </w:r>
      <w:r w:rsidR="004954E0">
        <w:rPr>
          <w:rFonts w:ascii="Arial" w:hAnsi="Arial" w:cs="Arial"/>
          <w:color w:val="2F5496" w:themeColor="accent1" w:themeShade="BF"/>
          <w:sz w:val="22"/>
          <w:szCs w:val="22"/>
        </w:rPr>
        <w:t>- the leadt popular culture, very high levels of colleague engagement, the downside to this type of culture is slow decision making due to the lack of any hierarchy</w:t>
      </w:r>
    </w:p>
    <w:p w14:paraId="43B175C7" w14:textId="4C8E6834" w:rsidR="004954E0" w:rsidRDefault="0031642B" w:rsidP="0022405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w:t>
      </w:r>
      <w:r w:rsidR="00BD474D">
        <w:rPr>
          <w:rFonts w:ascii="Arial" w:hAnsi="Arial" w:cs="Arial"/>
          <w:color w:val="2F5496" w:themeColor="accent1" w:themeShade="BF"/>
          <w:sz w:val="22"/>
          <w:szCs w:val="22"/>
        </w:rPr>
        <w:t>Task -</w:t>
      </w:r>
      <w:r w:rsidR="004954E0">
        <w:rPr>
          <w:rFonts w:ascii="Arial" w:hAnsi="Arial" w:cs="Arial"/>
          <w:color w:val="2F5496" w:themeColor="accent1" w:themeShade="BF"/>
          <w:sz w:val="22"/>
          <w:szCs w:val="22"/>
        </w:rPr>
        <w:t xml:space="preserve"> this focuses on the task and the skills required for the task rather than specific roles, tends to be project </w:t>
      </w:r>
      <w:r w:rsidR="00BD474D">
        <w:rPr>
          <w:rFonts w:ascii="Arial" w:hAnsi="Arial" w:cs="Arial"/>
          <w:color w:val="2F5496" w:themeColor="accent1" w:themeShade="BF"/>
          <w:sz w:val="22"/>
          <w:szCs w:val="22"/>
        </w:rPr>
        <w:t>based, the</w:t>
      </w:r>
      <w:r w:rsidR="004954E0">
        <w:rPr>
          <w:rFonts w:ascii="Arial" w:hAnsi="Arial" w:cs="Arial"/>
          <w:color w:val="2F5496" w:themeColor="accent1" w:themeShade="BF"/>
          <w:sz w:val="22"/>
          <w:szCs w:val="22"/>
        </w:rPr>
        <w:t xml:space="preserve"> downside to this culture is it can lead to conflict as there is no clear structure or role definition </w:t>
      </w:r>
    </w:p>
    <w:p w14:paraId="0A0030E2" w14:textId="77777777" w:rsidR="0022405D" w:rsidRPr="00176EC3" w:rsidRDefault="0031642B" w:rsidP="0022405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Role</w:t>
      </w:r>
      <w:r w:rsidR="004954E0">
        <w:rPr>
          <w:rFonts w:ascii="Arial" w:hAnsi="Arial" w:cs="Arial"/>
          <w:color w:val="2F5496" w:themeColor="accent1" w:themeShade="BF"/>
          <w:sz w:val="22"/>
          <w:szCs w:val="22"/>
        </w:rPr>
        <w:t xml:space="preserve"> – focus on formal rules and regulations, this culture is more about the position than the person (Harrison, 1972)</w:t>
      </w:r>
    </w:p>
    <w:p w14:paraId="77DD61D1" w14:textId="77777777" w:rsidR="00BD474D" w:rsidRDefault="00836843"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In addition to internal factors above HR must be aware of external factors that affect an organisation </w:t>
      </w:r>
      <w:r w:rsidR="00697975">
        <w:rPr>
          <w:rFonts w:ascii="Arial" w:hAnsi="Arial" w:cs="Arial"/>
          <w:color w:val="2F5496" w:themeColor="accent1" w:themeShade="BF"/>
          <w:sz w:val="22"/>
          <w:szCs w:val="22"/>
        </w:rPr>
        <w:t xml:space="preserve">in order to inform strategy. </w:t>
      </w:r>
    </w:p>
    <w:p w14:paraId="445FFC8F" w14:textId="7702C1FB" w:rsidR="00176EC3" w:rsidRDefault="00697975"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lastRenderedPageBreak/>
        <w:t>According to Quinn (1980) “A strategy is the</w:t>
      </w:r>
      <w:r w:rsidR="00A353B2">
        <w:rPr>
          <w:rFonts w:ascii="Arial" w:hAnsi="Arial" w:cs="Arial"/>
          <w:color w:val="2F5496" w:themeColor="accent1" w:themeShade="BF"/>
          <w:sz w:val="22"/>
          <w:szCs w:val="22"/>
        </w:rPr>
        <w:t xml:space="preserve"> p</w:t>
      </w:r>
      <w:r>
        <w:rPr>
          <w:rFonts w:ascii="Arial" w:hAnsi="Arial" w:cs="Arial"/>
          <w:color w:val="2F5496" w:themeColor="accent1" w:themeShade="BF"/>
          <w:sz w:val="22"/>
          <w:szCs w:val="22"/>
        </w:rPr>
        <w:t>attern or plan that integrates an organisation’s major goals, policies and actions into a coherent whole</w:t>
      </w:r>
      <w:r w:rsidR="00A353B2">
        <w:rPr>
          <w:rFonts w:ascii="Arial" w:hAnsi="Arial" w:cs="Arial"/>
          <w:color w:val="2F5496" w:themeColor="accent1" w:themeShade="BF"/>
          <w:sz w:val="22"/>
          <w:szCs w:val="22"/>
        </w:rPr>
        <w:t>.</w:t>
      </w:r>
      <w:r w:rsidR="00BD474D">
        <w:rPr>
          <w:rFonts w:ascii="Arial" w:hAnsi="Arial" w:cs="Arial"/>
          <w:color w:val="2F5496" w:themeColor="accent1" w:themeShade="BF"/>
          <w:sz w:val="22"/>
          <w:szCs w:val="22"/>
        </w:rPr>
        <w:t xml:space="preserve"> </w:t>
      </w:r>
    </w:p>
    <w:p w14:paraId="620AD58E" w14:textId="7282B3F2" w:rsidR="00845526" w:rsidRPr="00BD474D" w:rsidRDefault="00BD474D" w:rsidP="00BD474D">
      <w:pPr>
        <w:pStyle w:val="NormalWeb"/>
        <w:numPr>
          <w:ilvl w:val="0"/>
          <w:numId w:val="3"/>
        </w:numPr>
        <w:shd w:val="clear" w:color="auto" w:fill="FFFFFF"/>
        <w:spacing w:before="0" w:after="150"/>
        <w:rPr>
          <w:rFonts w:cs="Arial"/>
          <w:color w:val="2F5496" w:themeColor="accent1" w:themeShade="BF"/>
          <w:lang w:val="en-US"/>
        </w:rPr>
      </w:pPr>
      <w:r w:rsidRPr="00BD474D">
        <w:rPr>
          <w:rFonts w:cs="Arial"/>
          <w:color w:val="2F5496" w:themeColor="accent1" w:themeShade="BF"/>
          <w:lang w:val="en-US"/>
        </w:rPr>
        <w:t>Most important goals to be achieved, policy guidelines for action and programmes to accomplish defined goals</w:t>
      </w:r>
    </w:p>
    <w:p w14:paraId="54AF9E4C" w14:textId="77777777" w:rsidR="00845526" w:rsidRPr="00BD474D" w:rsidRDefault="00BD474D" w:rsidP="00BD474D">
      <w:pPr>
        <w:pStyle w:val="NormalWeb"/>
        <w:numPr>
          <w:ilvl w:val="0"/>
          <w:numId w:val="3"/>
        </w:numPr>
        <w:shd w:val="clear" w:color="auto" w:fill="FFFFFF"/>
        <w:spacing w:before="0" w:after="150"/>
        <w:rPr>
          <w:rFonts w:cs="Arial"/>
          <w:color w:val="2F5496" w:themeColor="accent1" w:themeShade="BF"/>
        </w:rPr>
      </w:pPr>
      <w:r w:rsidRPr="00BD474D">
        <w:rPr>
          <w:rFonts w:cs="Arial"/>
          <w:color w:val="2F5496" w:themeColor="accent1" w:themeShade="BF"/>
        </w:rPr>
        <w:t>Effective strategies develop around a few key concepts</w:t>
      </w:r>
    </w:p>
    <w:p w14:paraId="7058B128" w14:textId="77777777" w:rsidR="00845526" w:rsidRPr="00BD474D" w:rsidRDefault="00BD474D" w:rsidP="00BD474D">
      <w:pPr>
        <w:pStyle w:val="NormalWeb"/>
        <w:numPr>
          <w:ilvl w:val="0"/>
          <w:numId w:val="3"/>
        </w:numPr>
        <w:shd w:val="clear" w:color="auto" w:fill="FFFFFF"/>
        <w:spacing w:before="0" w:after="150"/>
        <w:rPr>
          <w:rFonts w:cs="Arial"/>
          <w:color w:val="2F5496" w:themeColor="accent1" w:themeShade="BF"/>
        </w:rPr>
      </w:pPr>
      <w:r w:rsidRPr="00BD474D">
        <w:rPr>
          <w:rFonts w:cs="Arial"/>
          <w:color w:val="2F5496" w:themeColor="accent1" w:themeShade="BF"/>
        </w:rPr>
        <w:t>They deal with the unpredictable and unknowable</w:t>
      </w:r>
    </w:p>
    <w:p w14:paraId="15914CC9" w14:textId="77777777" w:rsidR="00845526" w:rsidRPr="00BD474D" w:rsidRDefault="00BD474D" w:rsidP="00BD474D">
      <w:pPr>
        <w:pStyle w:val="NormalWeb"/>
        <w:numPr>
          <w:ilvl w:val="0"/>
          <w:numId w:val="3"/>
        </w:numPr>
        <w:shd w:val="clear" w:color="auto" w:fill="FFFFFF"/>
        <w:spacing w:before="0" w:after="150"/>
        <w:rPr>
          <w:rFonts w:cs="Arial"/>
          <w:color w:val="2F5496" w:themeColor="accent1" w:themeShade="BF"/>
        </w:rPr>
      </w:pPr>
      <w:r w:rsidRPr="00BD474D">
        <w:rPr>
          <w:rFonts w:cs="Arial"/>
          <w:color w:val="2F5496" w:themeColor="accent1" w:themeShade="BF"/>
        </w:rPr>
        <w:t>Organisations have a number of hierarchic and mutually related supporting strategies</w:t>
      </w:r>
    </w:p>
    <w:p w14:paraId="3FD8B96A" w14:textId="2FCE1995" w:rsidR="00BD474D" w:rsidRDefault="00BD474D" w:rsidP="00BD474D">
      <w:pPr>
        <w:pStyle w:val="NormalWeb"/>
        <w:shd w:val="clear" w:color="auto" w:fill="FFFFFF"/>
        <w:spacing w:before="0" w:beforeAutospacing="0" w:after="150" w:afterAutospacing="0"/>
        <w:ind w:left="720"/>
        <w:rPr>
          <w:rFonts w:ascii="Arial" w:hAnsi="Arial" w:cs="Arial"/>
          <w:color w:val="2F5496" w:themeColor="accent1" w:themeShade="BF"/>
          <w:sz w:val="22"/>
          <w:szCs w:val="22"/>
        </w:rPr>
      </w:pPr>
    </w:p>
    <w:p w14:paraId="22C6E247" w14:textId="010A2119"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 strategy is a plan advising what an organisation plans to do to achieve its mission, the process used to achieve this is known as a strategy formulation. (Ulwick,1999)</w:t>
      </w:r>
    </w:p>
    <w:p w14:paraId="3168C51A" w14:textId="52AC2353" w:rsidR="00A353B2"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 There are different approaches to formulation of business strategy</w:t>
      </w:r>
    </w:p>
    <w:p w14:paraId="5368A61D" w14:textId="6E262F35"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Rational / classic – whereby senior leadership team undertake a continual appraisal of external and internal factors and use tools such as SWOT analysis </w:t>
      </w:r>
    </w:p>
    <w:p w14:paraId="2ABD253E" w14:textId="6320FA59"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Symbolic /Radical – this strategy is where an organisation tries thing first</w:t>
      </w:r>
    </w:p>
    <w:p w14:paraId="3C5EC6A9" w14:textId="2C73DBE0"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Emergent/Logical incrementalism – this approach is influenced by external factors and can change over time </w:t>
      </w:r>
    </w:p>
    <w:p w14:paraId="73C6E9E0" w14:textId="36AF2343"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According to Higgins and Vince, 1993 there are five stages of strategic management</w:t>
      </w:r>
    </w:p>
    <w:p w14:paraId="77E89315" w14:textId="368B85D5"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Formulation of vision – what an organisation wants to achieve where the goal is communicated to key stakeholders through a mission statement</w:t>
      </w:r>
    </w:p>
    <w:p w14:paraId="6581016C" w14:textId="4D7ABA0D"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Determination of strategic objectives – assess the orgnaisations current situation using tools such as PESTLE and SWOT</w:t>
      </w:r>
    </w:p>
    <w:p w14:paraId="7139D9C6" w14:textId="2DA15A50"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Formulation of strategies – review the information gathered from the analysis and build objectives</w:t>
      </w:r>
    </w:p>
    <w:p w14:paraId="24D897C6" w14:textId="45D81D3B"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Implementation of strategies. – the action stage of the process</w:t>
      </w:r>
    </w:p>
    <w:p w14:paraId="5AE84035" w14:textId="5D8427D7"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Evaluation and control of strategies – a continuous review of strategies to meet demand from changing environment and assess the organisations performance</w:t>
      </w:r>
    </w:p>
    <w:p w14:paraId="7596346A" w14:textId="1E65B57B"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p>
    <w:p w14:paraId="3EEFE39C" w14:textId="30D3FF1F"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An organisation may take different approaches to strategy formulation depending on several factors such as the type of markets they operate in, the culture in the organisation, the structure within the organisation and management style</w:t>
      </w:r>
    </w:p>
    <w:p w14:paraId="4FEF052E" w14:textId="164239F0"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Top down approach – this is formulated by senior leadership</w:t>
      </w:r>
    </w:p>
    <w:p w14:paraId="1CFB7808" w14:textId="506BBF0F"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Bottom up approach – formulated from the business units and approved by senior leadership</w:t>
      </w:r>
    </w:p>
    <w:p w14:paraId="2937633D" w14:textId="6FE4450E"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Interactive approach – formulated together</w:t>
      </w:r>
    </w:p>
    <w:p w14:paraId="251AC9BA" w14:textId="4FD46636"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Semi-autonomous approach - formulated separately</w:t>
      </w:r>
    </w:p>
    <w:p w14:paraId="2262066D" w14:textId="77777777"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p>
    <w:p w14:paraId="0DC69D01" w14:textId="1673BBD9"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Successful strategy implementation comprises of 5 main features</w:t>
      </w:r>
    </w:p>
    <w:p w14:paraId="70FA43A1" w14:textId="625A3D22"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Communicating</w:t>
      </w:r>
    </w:p>
    <w:p w14:paraId="3AE82B00" w14:textId="13920DE9"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Starting with a good idea </w:t>
      </w:r>
    </w:p>
    <w:p w14:paraId="652C571E" w14:textId="45331E64"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lastRenderedPageBreak/>
        <w:t>Gaining employee commitment and. Involvement</w:t>
      </w:r>
    </w:p>
    <w:p w14:paraId="1F3EF892" w14:textId="4DD2C3BE"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Providing sufficient resources </w:t>
      </w:r>
    </w:p>
    <w:p w14:paraId="621BA812" w14:textId="2557CD84"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Developing an implementation plan (Alexander, 1985)</w:t>
      </w:r>
    </w:p>
    <w:p w14:paraId="3473FCF9" w14:textId="60BCA2E3"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p>
    <w:p w14:paraId="4E5D3A7A" w14:textId="4643BED8"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HR Strategy</w:t>
      </w:r>
    </w:p>
    <w:p w14:paraId="2FFD402F" w14:textId="4F24F6B5"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According to Tyson, (1995) HR strategy is “A set of ideas, policies and practices which management adopt in order to achieve a people management objective”</w:t>
      </w:r>
    </w:p>
    <w:p w14:paraId="72F2A0BB" w14:textId="6BC3D15F"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There are four key dimensions in developing HR strategy, Culture – the beliefs in an organisation, Organisation – the structure/line reporting, People - the skills and capability, HR systems – processes to support such as recruitment/reward and recognition</w:t>
      </w:r>
    </w:p>
    <w:p w14:paraId="4D5BAE9F" w14:textId="5146D909"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p>
    <w:p w14:paraId="26010EDB" w14:textId="25E172A8" w:rsidR="00BD474D"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HR can contribute in formulating organisational strategy through strategic HRM, this supports an organisations long term business goals with an overall planned and coherent framework. Strategic HRM is not formed from the business strategy the two must work in partnership however, individual HR strategies may be shaped by the business strategy.  There are different approaches to the formation of HR strategy</w:t>
      </w:r>
    </w:p>
    <w:p w14:paraId="7BD42301" w14:textId="77777777"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Best Fit / Contingency </w:t>
      </w:r>
    </w:p>
    <w:p w14:paraId="2F4847DC" w14:textId="57EED4D4"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Ensuring the HR strategies are appropriate to the organisation, no one size fits all, the main charachteristics of this approach is its integration with the business strategy both horizontally – all aspects of hr strategy are aligned and vertically where the HR strategies align with the business. Strategies.  The greater the degree of integration the more effective the strategy will be. This approach is widely used by managers to help them align their HR strategies with business strategies</w:t>
      </w:r>
    </w:p>
    <w:p w14:paraId="2D6B826E" w14:textId="77777777"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Best practice / High commitment </w:t>
      </w:r>
    </w:p>
    <w:p w14:paraId="1266303E" w14:textId="266054E2"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Universally used HR practices that can fit any organisation, tried and tested approach.  Whatever the strategy an organisation adopts, the same basic bundle of HR practices need to be adopted to enhance its chances of success (Pfeffer 1994, Huselid, 1995, Purcell et al 2003)</w:t>
      </w:r>
    </w:p>
    <w:p w14:paraId="2DBD6D46" w14:textId="0E84C2CA"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Kew and Stedwick (2016) identified 10 best practices linked to high levels of employee commitment</w:t>
      </w:r>
    </w:p>
    <w:p w14:paraId="5595F601" w14:textId="79705654"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Flexibility / team working</w:t>
      </w:r>
    </w:p>
    <w:p w14:paraId="65ACDFF5" w14:textId="7F77FF05"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Employee involvement</w:t>
      </w:r>
    </w:p>
    <w:p w14:paraId="6E2D66C9" w14:textId="4AB846D4"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Employee voice</w:t>
      </w:r>
    </w:p>
    <w:p w14:paraId="1A8208A0" w14:textId="41AE371D"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Performance related reward</w:t>
      </w:r>
    </w:p>
    <w:p w14:paraId="578DDA89" w14:textId="37B0AE34"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Employee ownership</w:t>
      </w:r>
    </w:p>
    <w:p w14:paraId="1017D257" w14:textId="368F5197"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Sophisticated selection</w:t>
      </w:r>
    </w:p>
    <w:p w14:paraId="3339DE68" w14:textId="32AA2C29"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Internal promotion</w:t>
      </w:r>
    </w:p>
    <w:p w14:paraId="456CF497" w14:textId="0051A552"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Commitment to learning</w:t>
      </w:r>
    </w:p>
    <w:p w14:paraId="573FE44C" w14:textId="5F326B58"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Employment security</w:t>
      </w:r>
    </w:p>
    <w:p w14:paraId="2C4CE86F" w14:textId="06059FC4" w:rsidR="00BD474D" w:rsidRDefault="00BD474D" w:rsidP="00BD474D">
      <w:pPr>
        <w:pStyle w:val="NormalWeb"/>
        <w:numPr>
          <w:ilvl w:val="0"/>
          <w:numId w:val="7"/>
        </w:numPr>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Harmonisation of terms and conditions</w:t>
      </w:r>
    </w:p>
    <w:p w14:paraId="350082B2" w14:textId="77777777"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lastRenderedPageBreak/>
        <w:t xml:space="preserve">Resource Based Thinking </w:t>
      </w:r>
    </w:p>
    <w:p w14:paraId="36EA4F03" w14:textId="03528330"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 relatively new approach to HR strategy which developed in the 1980’s/1990’s which focuses on internal resources and builds HR practices around them, a custom made fit, where you look inside the organisation to find sources of competitive advantage instead of looking from the outside in. This approach focuses on resources that are unique to the organisation, most valuable, rare and non-substitutable (Barney, 1991)</w:t>
      </w:r>
    </w:p>
    <w:p w14:paraId="011145CB" w14:textId="0EAF22BD"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p>
    <w:p w14:paraId="6FD463A8" w14:textId="38852D8A"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 xml:space="preserve">The evolution of HR from personnel management to SHRM has been influenced by several forces which has resulted in the need for HR professionals to be more business focussed. The CIPD viewpoint </w:t>
      </w:r>
    </w:p>
    <w:p w14:paraId="6830CE16" w14:textId="41A1F178"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“As the world of work grows ever more complex, diverse and ambiguous, traditional models of working are starting to give way to more flexible forms of organisation and employment. Technology, globalisation, changing workforce demographics and skills shortages add to the challenges facing organisarions.</w:t>
      </w:r>
    </w:p>
    <w:p w14:paraId="7CB9510C" w14:textId="6DA826BE"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r>
        <w:rPr>
          <w:rFonts w:ascii="Arial" w:hAnsi="Arial" w:cs="Arial"/>
          <w:color w:val="2F5496" w:themeColor="accent1" w:themeShade="BF"/>
          <w:sz w:val="22"/>
          <w:szCs w:val="22"/>
        </w:rPr>
        <w:t>In this context the role of HR must evolve and grow to play a greater part in developing organisations for the future. As widely accepted norms for managing the employment relationship change, so the pressure will grow for HR professionals to develop a deeper understanding of the global context, business needs and strategy, and to innovate more to be not just efficient, but more effective” ((CIPD, 2015)</w:t>
      </w:r>
    </w:p>
    <w:p w14:paraId="454E819C" w14:textId="77777777"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p>
    <w:p w14:paraId="674D9277" w14:textId="77777777" w:rsidR="00BD474D" w:rsidRDefault="00BD474D" w:rsidP="00BD474D">
      <w:pPr>
        <w:pStyle w:val="NormalWeb"/>
        <w:shd w:val="clear" w:color="auto" w:fill="FFFFFF"/>
        <w:spacing w:before="0" w:beforeAutospacing="0" w:after="150" w:afterAutospacing="0"/>
        <w:rPr>
          <w:rFonts w:ascii="Arial" w:hAnsi="Arial" w:cs="Arial"/>
          <w:color w:val="2F5496" w:themeColor="accent1" w:themeShade="BF"/>
          <w:sz w:val="22"/>
          <w:szCs w:val="22"/>
        </w:rPr>
      </w:pPr>
    </w:p>
    <w:p w14:paraId="72FF6B8C" w14:textId="77777777" w:rsidR="00BD474D" w:rsidRPr="000626C2" w:rsidRDefault="00BD474D" w:rsidP="00176EC3">
      <w:pPr>
        <w:pStyle w:val="NormalWeb"/>
        <w:shd w:val="clear" w:color="auto" w:fill="FFFFFF"/>
        <w:spacing w:before="0" w:beforeAutospacing="0" w:after="150" w:afterAutospacing="0"/>
        <w:rPr>
          <w:rFonts w:ascii="Arial" w:hAnsi="Arial" w:cs="Arial"/>
          <w:color w:val="2F5496" w:themeColor="accent1" w:themeShade="BF"/>
          <w:sz w:val="22"/>
          <w:szCs w:val="22"/>
        </w:rPr>
      </w:pPr>
    </w:p>
    <w:p w14:paraId="1B5E5768" w14:textId="77777777" w:rsidR="007D14F0" w:rsidRPr="000626C2" w:rsidRDefault="007D14F0">
      <w:pPr>
        <w:rPr>
          <w:rFonts w:cs="Arial"/>
          <w:color w:val="595959" w:themeColor="text1" w:themeTint="A6"/>
        </w:rPr>
      </w:pPr>
    </w:p>
    <w:p w14:paraId="0D4BE5E9" w14:textId="77777777" w:rsidR="00321CBA" w:rsidRPr="000626C2" w:rsidRDefault="00321CBA">
      <w:pPr>
        <w:rPr>
          <w:rFonts w:cs="Arial"/>
          <w:color w:val="595959" w:themeColor="text1" w:themeTint="A6"/>
        </w:rPr>
      </w:pPr>
    </w:p>
    <w:p w14:paraId="33BFC6CE" w14:textId="77777777" w:rsidR="00321CBA" w:rsidRPr="000626C2" w:rsidRDefault="00321CBA">
      <w:pPr>
        <w:rPr>
          <w:rFonts w:cs="Arial"/>
          <w:color w:val="8EAADB" w:themeColor="accent1" w:themeTint="99"/>
        </w:rPr>
      </w:pPr>
    </w:p>
    <w:p w14:paraId="5F3A984A" w14:textId="77777777" w:rsidR="00AC1A6D" w:rsidRPr="000626C2" w:rsidRDefault="00AC1A6D">
      <w:pPr>
        <w:rPr>
          <w:rFonts w:cs="Arial"/>
          <w:color w:val="8EAADB" w:themeColor="accent1" w:themeTint="99"/>
        </w:rPr>
      </w:pPr>
    </w:p>
    <w:p w14:paraId="65F12559" w14:textId="77777777" w:rsidR="00AC1A6D" w:rsidRPr="000626C2" w:rsidRDefault="00AC1A6D">
      <w:pPr>
        <w:rPr>
          <w:rFonts w:cs="Arial"/>
        </w:rPr>
      </w:pPr>
    </w:p>
    <w:p w14:paraId="6F32B8B2" w14:textId="77777777" w:rsidR="007D14F0" w:rsidRPr="000626C2" w:rsidRDefault="007D14F0">
      <w:pPr>
        <w:rPr>
          <w:rFonts w:cs="Arial"/>
        </w:rPr>
      </w:pPr>
    </w:p>
    <w:p w14:paraId="07E47E0D" w14:textId="77777777" w:rsidR="007D14F0" w:rsidRPr="000626C2" w:rsidRDefault="007D14F0">
      <w:pPr>
        <w:rPr>
          <w:rFonts w:cs="Arial"/>
        </w:rPr>
      </w:pPr>
    </w:p>
    <w:p w14:paraId="63C47616" w14:textId="77777777" w:rsidR="007D14F0" w:rsidRPr="000626C2" w:rsidRDefault="007D14F0">
      <w:pPr>
        <w:rPr>
          <w:rFonts w:cs="Arial"/>
        </w:rPr>
      </w:pPr>
    </w:p>
    <w:p w14:paraId="02F32122" w14:textId="77777777" w:rsidR="007D14F0" w:rsidRPr="000626C2" w:rsidRDefault="007D14F0">
      <w:pPr>
        <w:rPr>
          <w:rFonts w:cs="Arial"/>
        </w:rPr>
      </w:pPr>
    </w:p>
    <w:p w14:paraId="444AC17C" w14:textId="77777777" w:rsidR="007D14F0" w:rsidRPr="000626C2" w:rsidRDefault="007D14F0">
      <w:pPr>
        <w:rPr>
          <w:rFonts w:cs="Arial"/>
        </w:rPr>
      </w:pPr>
    </w:p>
    <w:p w14:paraId="02ED8B5E" w14:textId="77777777" w:rsidR="007D14F0" w:rsidRPr="000626C2" w:rsidRDefault="007D14F0">
      <w:pPr>
        <w:rPr>
          <w:rFonts w:cs="Arial"/>
        </w:rPr>
      </w:pPr>
    </w:p>
    <w:p w14:paraId="6E084D0B" w14:textId="77777777" w:rsidR="007D14F0" w:rsidRPr="000626C2" w:rsidRDefault="007D14F0">
      <w:pPr>
        <w:rPr>
          <w:rFonts w:cs="Arial"/>
        </w:rPr>
      </w:pPr>
    </w:p>
    <w:p w14:paraId="4F808C2B" w14:textId="77777777" w:rsidR="007D14F0" w:rsidRPr="000626C2" w:rsidRDefault="007D14F0">
      <w:pPr>
        <w:rPr>
          <w:rFonts w:cs="Arial"/>
        </w:rPr>
      </w:pPr>
    </w:p>
    <w:p w14:paraId="118E310E" w14:textId="77777777" w:rsidR="007D14F0" w:rsidRPr="000626C2" w:rsidRDefault="007D14F0">
      <w:pPr>
        <w:rPr>
          <w:rFonts w:cs="Arial"/>
        </w:rPr>
      </w:pPr>
    </w:p>
    <w:p w14:paraId="16FC9AFD" w14:textId="77777777" w:rsidR="007D14F0" w:rsidRDefault="007D14F0"/>
    <w:p w14:paraId="73D29886" w14:textId="77777777" w:rsidR="007D14F0" w:rsidRDefault="007D14F0"/>
    <w:p w14:paraId="71324ADB" w14:textId="77777777" w:rsidR="007D14F0" w:rsidRDefault="007D14F0"/>
    <w:p w14:paraId="316EAF44" w14:textId="77777777" w:rsidR="007D14F0" w:rsidRDefault="007D14F0"/>
    <w:p w14:paraId="7E469958" w14:textId="77777777" w:rsidR="007D14F0" w:rsidRDefault="007D14F0"/>
    <w:p w14:paraId="7575B668" w14:textId="77777777" w:rsidR="007D14F0" w:rsidRDefault="007D14F0"/>
    <w:p w14:paraId="3FE3B449" w14:textId="77777777" w:rsidR="007D14F0" w:rsidRDefault="007D14F0"/>
    <w:p w14:paraId="1D881BC7" w14:textId="77777777" w:rsidR="007D14F0" w:rsidRDefault="007D14F0"/>
    <w:p w14:paraId="099E712C" w14:textId="77777777" w:rsidR="007D14F0" w:rsidRDefault="007D14F0"/>
    <w:p w14:paraId="1E684A3A" w14:textId="77777777" w:rsidR="007D14F0" w:rsidRDefault="007D14F0"/>
    <w:p w14:paraId="21F4511D" w14:textId="77777777" w:rsidR="007D14F0" w:rsidRDefault="007D14F0"/>
    <w:p w14:paraId="34D8884C" w14:textId="77777777" w:rsidR="007D14F0" w:rsidRDefault="007D14F0"/>
    <w:p w14:paraId="3AAADB74" w14:textId="77777777" w:rsidR="00BD474D" w:rsidRDefault="00BD474D"/>
    <w:p w14:paraId="340CC653" w14:textId="4EAC14E8" w:rsidR="00BD474D" w:rsidRDefault="00BD474D">
      <w:r>
        <w:lastRenderedPageBreak/>
        <w:t xml:space="preserve">Activity 2 </w:t>
      </w:r>
    </w:p>
    <w:p w14:paraId="56790E2D" w14:textId="2FF4DB55" w:rsidR="00BD474D" w:rsidRDefault="00BD474D">
      <w:r>
        <w:t>For the purposes of this report I have used Morrisons Supermarkets PLC, the company operates in the retail sector and the smallest of the largest four supermarkets, based in the UK and Gibraltar, the company employs over 110,000 colleagues and serves over 11 million customers a week.</w:t>
      </w:r>
    </w:p>
    <w:p w14:paraId="3DCBF50C" w14:textId="6A89F530" w:rsidR="00BD474D" w:rsidRDefault="00BD474D"/>
    <w:p w14:paraId="48F2F13D" w14:textId="2B1D9F3B" w:rsidR="00BD474D" w:rsidRDefault="00BD474D"/>
    <w:tbl>
      <w:tblPr>
        <w:tblStyle w:val="TableGrid"/>
        <w:tblW w:w="0" w:type="auto"/>
        <w:tblLook w:val="04A0" w:firstRow="1" w:lastRow="0" w:firstColumn="1" w:lastColumn="0" w:noHBand="0" w:noVBand="1"/>
      </w:tblPr>
      <w:tblGrid>
        <w:gridCol w:w="4505"/>
        <w:gridCol w:w="4505"/>
      </w:tblGrid>
      <w:tr w:rsidR="00BD474D" w14:paraId="6CFABD3E" w14:textId="77777777" w:rsidTr="00BD474D">
        <w:tc>
          <w:tcPr>
            <w:tcW w:w="4505" w:type="dxa"/>
            <w:shd w:val="clear" w:color="auto" w:fill="ACB9CA" w:themeFill="text2" w:themeFillTint="66"/>
          </w:tcPr>
          <w:p w14:paraId="1402EF55" w14:textId="05B36336" w:rsidR="00BD474D" w:rsidRDefault="00BD474D">
            <w:r>
              <w:t>Strengths</w:t>
            </w:r>
          </w:p>
        </w:tc>
        <w:tc>
          <w:tcPr>
            <w:tcW w:w="4505" w:type="dxa"/>
            <w:shd w:val="clear" w:color="auto" w:fill="ACB9CA" w:themeFill="text2" w:themeFillTint="66"/>
          </w:tcPr>
          <w:p w14:paraId="4FA44BBF" w14:textId="3EEEF222" w:rsidR="00BD474D" w:rsidRDefault="00BD474D">
            <w:r>
              <w:t>Weaknesses</w:t>
            </w:r>
          </w:p>
        </w:tc>
      </w:tr>
      <w:tr w:rsidR="00BD474D" w14:paraId="43CA0230" w14:textId="77777777" w:rsidTr="00BD474D">
        <w:tc>
          <w:tcPr>
            <w:tcW w:w="4505" w:type="dxa"/>
          </w:tcPr>
          <w:p w14:paraId="6D240C3D" w14:textId="135697E5" w:rsidR="00BD474D" w:rsidRDefault="00BD474D" w:rsidP="00BD474D">
            <w:pPr>
              <w:pStyle w:val="ListParagraph"/>
              <w:numPr>
                <w:ilvl w:val="0"/>
                <w:numId w:val="8"/>
              </w:numPr>
            </w:pPr>
            <w:r>
              <w:t>Food makers with a strong fresh food offer as a point of difference</w:t>
            </w:r>
          </w:p>
          <w:p w14:paraId="7C0DE462" w14:textId="63650CE6" w:rsidR="00BD474D" w:rsidRDefault="00BD474D" w:rsidP="00BD474D">
            <w:pPr>
              <w:pStyle w:val="ListParagraph"/>
              <w:numPr>
                <w:ilvl w:val="0"/>
                <w:numId w:val="8"/>
              </w:numPr>
            </w:pPr>
            <w:r>
              <w:t>Strong distribution and supply chain, with a high level of vertical integration</w:t>
            </w:r>
          </w:p>
          <w:p w14:paraId="4953A7D5" w14:textId="19B2CB4C" w:rsidR="00BD474D" w:rsidRDefault="00BD474D" w:rsidP="00BD474D">
            <w:pPr>
              <w:pStyle w:val="ListParagraph"/>
              <w:numPr>
                <w:ilvl w:val="0"/>
                <w:numId w:val="8"/>
              </w:numPr>
            </w:pPr>
            <w:r>
              <w:t>Large product portfolio</w:t>
            </w:r>
          </w:p>
          <w:p w14:paraId="1F569D87" w14:textId="2A0789D2" w:rsidR="00BD474D" w:rsidRDefault="00BD474D" w:rsidP="00BD474D">
            <w:pPr>
              <w:pStyle w:val="ListParagraph"/>
              <w:numPr>
                <w:ilvl w:val="0"/>
                <w:numId w:val="8"/>
              </w:numPr>
            </w:pPr>
            <w:r>
              <w:t>Highly customer focused</w:t>
            </w:r>
          </w:p>
          <w:p w14:paraId="4B3A258C" w14:textId="4DA5460D" w:rsidR="00BD474D" w:rsidRDefault="00BD474D" w:rsidP="00BD474D">
            <w:pPr>
              <w:pStyle w:val="ListParagraph"/>
              <w:numPr>
                <w:ilvl w:val="0"/>
                <w:numId w:val="8"/>
              </w:numPr>
            </w:pPr>
            <w:r>
              <w:t>Partnership with Ocado and amazon</w:t>
            </w:r>
          </w:p>
          <w:p w14:paraId="587D2CEC" w14:textId="1AFFE205" w:rsidR="00BD474D" w:rsidRDefault="00BD474D" w:rsidP="00BD474D">
            <w:pPr>
              <w:pStyle w:val="ListParagraph"/>
              <w:numPr>
                <w:ilvl w:val="0"/>
                <w:numId w:val="8"/>
              </w:numPr>
            </w:pPr>
            <w:r>
              <w:t>4</w:t>
            </w:r>
            <w:r w:rsidRPr="00BD474D">
              <w:rPr>
                <w:vertAlign w:val="superscript"/>
              </w:rPr>
              <w:t>th</w:t>
            </w:r>
            <w:r>
              <w:t xml:space="preserve"> largest supermarket retailer in UK</w:t>
            </w:r>
          </w:p>
          <w:p w14:paraId="7BE1831A" w14:textId="77777777" w:rsidR="00BD474D" w:rsidRDefault="00BD474D"/>
          <w:p w14:paraId="6A3AF213" w14:textId="00BCFC34" w:rsidR="00BD474D" w:rsidRDefault="00BD474D"/>
        </w:tc>
        <w:tc>
          <w:tcPr>
            <w:tcW w:w="4505" w:type="dxa"/>
          </w:tcPr>
          <w:p w14:paraId="4847DAF6" w14:textId="77777777" w:rsidR="00BD474D" w:rsidRDefault="00BD474D" w:rsidP="00BD474D">
            <w:pPr>
              <w:pStyle w:val="ListParagraph"/>
              <w:numPr>
                <w:ilvl w:val="0"/>
                <w:numId w:val="8"/>
              </w:numPr>
            </w:pPr>
            <w:r>
              <w:t>Limited geographical presence</w:t>
            </w:r>
          </w:p>
          <w:p w14:paraId="3F696687" w14:textId="77777777" w:rsidR="00BD474D" w:rsidRDefault="00BD474D" w:rsidP="00BD474D">
            <w:pPr>
              <w:pStyle w:val="ListParagraph"/>
              <w:numPr>
                <w:ilvl w:val="0"/>
                <w:numId w:val="8"/>
              </w:numPr>
            </w:pPr>
            <w:r>
              <w:t>Weak customer loyalty programme</w:t>
            </w:r>
          </w:p>
          <w:p w14:paraId="17B4C6E9" w14:textId="62801989" w:rsidR="00BD474D" w:rsidRDefault="00BD474D" w:rsidP="00BD474D">
            <w:pPr>
              <w:pStyle w:val="ListParagraph"/>
              <w:numPr>
                <w:ilvl w:val="0"/>
                <w:numId w:val="8"/>
              </w:numPr>
            </w:pPr>
            <w:r>
              <w:t>Labor intensive work</w:t>
            </w:r>
            <w:r w:rsidR="00B3001B">
              <w:t xml:space="preserve"> resulting in a high payroll cost </w:t>
            </w:r>
          </w:p>
          <w:p w14:paraId="7265BB29" w14:textId="0B2B5050" w:rsidR="00BD474D" w:rsidRDefault="00BD474D" w:rsidP="00BD474D">
            <w:pPr>
              <w:pStyle w:val="ListParagraph"/>
            </w:pPr>
          </w:p>
        </w:tc>
      </w:tr>
      <w:tr w:rsidR="00BD474D" w14:paraId="312F47A1" w14:textId="77777777" w:rsidTr="00BD474D">
        <w:tc>
          <w:tcPr>
            <w:tcW w:w="4505" w:type="dxa"/>
            <w:shd w:val="clear" w:color="auto" w:fill="ACB9CA" w:themeFill="text2" w:themeFillTint="66"/>
          </w:tcPr>
          <w:p w14:paraId="37C2D3AA" w14:textId="7E887205" w:rsidR="00BD474D" w:rsidRDefault="00BD474D">
            <w:r>
              <w:t>Opportunities</w:t>
            </w:r>
          </w:p>
        </w:tc>
        <w:tc>
          <w:tcPr>
            <w:tcW w:w="4505" w:type="dxa"/>
            <w:shd w:val="clear" w:color="auto" w:fill="ACB9CA" w:themeFill="text2" w:themeFillTint="66"/>
          </w:tcPr>
          <w:p w14:paraId="483EEDA2" w14:textId="4E0A6B23" w:rsidR="00BD474D" w:rsidRDefault="00BD474D">
            <w:r>
              <w:t>Threats</w:t>
            </w:r>
          </w:p>
        </w:tc>
      </w:tr>
      <w:tr w:rsidR="00BD474D" w14:paraId="6F80E9D8" w14:textId="77777777" w:rsidTr="00BD474D">
        <w:tc>
          <w:tcPr>
            <w:tcW w:w="4505" w:type="dxa"/>
          </w:tcPr>
          <w:p w14:paraId="1A779706" w14:textId="77777777" w:rsidR="00BD474D" w:rsidRDefault="00BD474D" w:rsidP="00BD474D">
            <w:pPr>
              <w:pStyle w:val="ListParagraph"/>
              <w:numPr>
                <w:ilvl w:val="0"/>
                <w:numId w:val="9"/>
              </w:numPr>
            </w:pPr>
            <w:r>
              <w:t>International growth</w:t>
            </w:r>
          </w:p>
          <w:p w14:paraId="7F5FE9AA" w14:textId="597C8719" w:rsidR="00BD474D" w:rsidRDefault="00BD474D" w:rsidP="00BD474D">
            <w:pPr>
              <w:pStyle w:val="ListParagraph"/>
              <w:numPr>
                <w:ilvl w:val="0"/>
                <w:numId w:val="9"/>
              </w:numPr>
            </w:pPr>
            <w:r>
              <w:t>Nonfood retailing</w:t>
            </w:r>
          </w:p>
          <w:p w14:paraId="3D91AA5C" w14:textId="77777777" w:rsidR="00BD474D" w:rsidRDefault="00BD474D" w:rsidP="00BD474D">
            <w:pPr>
              <w:pStyle w:val="ListParagraph"/>
              <w:numPr>
                <w:ilvl w:val="0"/>
                <w:numId w:val="9"/>
              </w:numPr>
            </w:pPr>
            <w:r>
              <w:t>Convenience market</w:t>
            </w:r>
          </w:p>
          <w:p w14:paraId="3FD81F64" w14:textId="77777777" w:rsidR="00BD474D" w:rsidRDefault="00BD474D" w:rsidP="00BD474D">
            <w:pPr>
              <w:pStyle w:val="ListParagraph"/>
              <w:numPr>
                <w:ilvl w:val="0"/>
                <w:numId w:val="9"/>
              </w:numPr>
            </w:pPr>
            <w:r>
              <w:t>Online operation</w:t>
            </w:r>
          </w:p>
          <w:p w14:paraId="7DDBB4EA" w14:textId="1B78B62A" w:rsidR="00BD474D" w:rsidRDefault="00BD474D" w:rsidP="00BD474D">
            <w:pPr>
              <w:pStyle w:val="ListParagraph"/>
              <w:numPr>
                <w:ilvl w:val="0"/>
                <w:numId w:val="9"/>
              </w:numPr>
            </w:pPr>
            <w:r>
              <w:t>Automation and artificial intelligence</w:t>
            </w:r>
          </w:p>
        </w:tc>
        <w:tc>
          <w:tcPr>
            <w:tcW w:w="4505" w:type="dxa"/>
          </w:tcPr>
          <w:p w14:paraId="6F9AFFD8" w14:textId="77777777" w:rsidR="00BD474D" w:rsidRDefault="00BD474D" w:rsidP="00BD474D">
            <w:pPr>
              <w:pStyle w:val="ListParagraph"/>
              <w:numPr>
                <w:ilvl w:val="0"/>
                <w:numId w:val="9"/>
              </w:numPr>
            </w:pPr>
            <w:r>
              <w:t>Ever change customer expectations</w:t>
            </w:r>
          </w:p>
          <w:p w14:paraId="4A874A0D" w14:textId="77777777" w:rsidR="00BD474D" w:rsidRDefault="00BD474D" w:rsidP="00BD474D">
            <w:pPr>
              <w:pStyle w:val="ListParagraph"/>
              <w:numPr>
                <w:ilvl w:val="0"/>
                <w:numId w:val="9"/>
              </w:numPr>
            </w:pPr>
            <w:r>
              <w:t>Brexit</w:t>
            </w:r>
          </w:p>
          <w:p w14:paraId="2214D2B9" w14:textId="77777777" w:rsidR="00BD474D" w:rsidRDefault="00BD474D" w:rsidP="00BD474D">
            <w:pPr>
              <w:pStyle w:val="ListParagraph"/>
              <w:numPr>
                <w:ilvl w:val="0"/>
                <w:numId w:val="9"/>
              </w:numPr>
            </w:pPr>
            <w:r>
              <w:t>Growing competition from discount retailers</w:t>
            </w:r>
          </w:p>
          <w:p w14:paraId="3FA22FE1" w14:textId="77777777" w:rsidR="00BD474D" w:rsidRDefault="00BD474D" w:rsidP="00BD474D">
            <w:pPr>
              <w:pStyle w:val="ListParagraph"/>
              <w:numPr>
                <w:ilvl w:val="0"/>
                <w:numId w:val="9"/>
              </w:numPr>
            </w:pPr>
            <w:r>
              <w:t>Technological risks</w:t>
            </w:r>
          </w:p>
          <w:p w14:paraId="36708954" w14:textId="77777777" w:rsidR="00BD474D" w:rsidRDefault="00BD474D" w:rsidP="00BD474D">
            <w:pPr>
              <w:pStyle w:val="ListParagraph"/>
              <w:numPr>
                <w:ilvl w:val="0"/>
                <w:numId w:val="9"/>
              </w:numPr>
            </w:pPr>
            <w:r>
              <w:t>Cyber security</w:t>
            </w:r>
          </w:p>
          <w:p w14:paraId="70B87582" w14:textId="31E84CB9" w:rsidR="00BD474D" w:rsidRDefault="00BD474D" w:rsidP="00BD474D">
            <w:pPr>
              <w:pStyle w:val="ListParagraph"/>
              <w:numPr>
                <w:ilvl w:val="0"/>
                <w:numId w:val="9"/>
              </w:numPr>
            </w:pPr>
            <w:r>
              <w:t>Changing rules and regulations</w:t>
            </w:r>
          </w:p>
        </w:tc>
      </w:tr>
    </w:tbl>
    <w:p w14:paraId="2A726DC1" w14:textId="77777777" w:rsidR="00BD474D" w:rsidRDefault="00BD474D"/>
    <w:tbl>
      <w:tblPr>
        <w:tblStyle w:val="TableGrid"/>
        <w:tblW w:w="0" w:type="auto"/>
        <w:tblLook w:val="04A0" w:firstRow="1" w:lastRow="0" w:firstColumn="1" w:lastColumn="0" w:noHBand="0" w:noVBand="1"/>
      </w:tblPr>
      <w:tblGrid>
        <w:gridCol w:w="2263"/>
        <w:gridCol w:w="6747"/>
      </w:tblGrid>
      <w:tr w:rsidR="00BD474D" w14:paraId="41C8052C" w14:textId="77777777" w:rsidTr="00BD474D">
        <w:trPr>
          <w:trHeight w:val="335"/>
        </w:trPr>
        <w:tc>
          <w:tcPr>
            <w:tcW w:w="2263" w:type="dxa"/>
            <w:shd w:val="clear" w:color="auto" w:fill="C5E0B3" w:themeFill="accent6" w:themeFillTint="66"/>
          </w:tcPr>
          <w:p w14:paraId="5ECC034C" w14:textId="77777777" w:rsidR="00BD474D" w:rsidRDefault="00BD474D">
            <w:r>
              <w:t>Political</w:t>
            </w:r>
          </w:p>
          <w:p w14:paraId="2BCE8E5D" w14:textId="2ED28F30" w:rsidR="00BD474D" w:rsidRDefault="00BD474D"/>
        </w:tc>
        <w:tc>
          <w:tcPr>
            <w:tcW w:w="6747" w:type="dxa"/>
          </w:tcPr>
          <w:p w14:paraId="09CEBF0B" w14:textId="77777777" w:rsidR="00BD474D" w:rsidRDefault="00BD474D">
            <w:r>
              <w:t>Brexit</w:t>
            </w:r>
          </w:p>
          <w:p w14:paraId="2E3852AA" w14:textId="341FC4AC" w:rsidR="00BD474D" w:rsidRDefault="00BD474D">
            <w:r>
              <w:t>Changes to taxes duties and imports</w:t>
            </w:r>
          </w:p>
        </w:tc>
      </w:tr>
      <w:tr w:rsidR="00BD474D" w14:paraId="5422357C" w14:textId="77777777" w:rsidTr="00BD474D">
        <w:tc>
          <w:tcPr>
            <w:tcW w:w="2263" w:type="dxa"/>
            <w:shd w:val="clear" w:color="auto" w:fill="C5E0B3" w:themeFill="accent6" w:themeFillTint="66"/>
          </w:tcPr>
          <w:p w14:paraId="5520544B" w14:textId="77777777" w:rsidR="00BD474D" w:rsidRDefault="00BD474D">
            <w:r>
              <w:t>Economical</w:t>
            </w:r>
          </w:p>
          <w:p w14:paraId="317B326A" w14:textId="53A752CD" w:rsidR="00BD474D" w:rsidRDefault="00BD474D"/>
        </w:tc>
        <w:tc>
          <w:tcPr>
            <w:tcW w:w="6747" w:type="dxa"/>
          </w:tcPr>
          <w:p w14:paraId="5F6B5A87" w14:textId="77777777" w:rsidR="00BD474D" w:rsidRDefault="00BD474D">
            <w:r>
              <w:t>Changing exchange rates</w:t>
            </w:r>
          </w:p>
          <w:p w14:paraId="5E49E6A5" w14:textId="662E8B90" w:rsidR="00BD474D" w:rsidRDefault="00BD474D">
            <w:r>
              <w:t>Wage increases</w:t>
            </w:r>
          </w:p>
        </w:tc>
      </w:tr>
      <w:tr w:rsidR="00BD474D" w14:paraId="407A89D6" w14:textId="77777777" w:rsidTr="00BD474D">
        <w:tc>
          <w:tcPr>
            <w:tcW w:w="2263" w:type="dxa"/>
            <w:shd w:val="clear" w:color="auto" w:fill="C5E0B3" w:themeFill="accent6" w:themeFillTint="66"/>
          </w:tcPr>
          <w:p w14:paraId="68A5D562" w14:textId="77777777" w:rsidR="00BD474D" w:rsidRDefault="00BD474D">
            <w:r>
              <w:t>Social</w:t>
            </w:r>
          </w:p>
          <w:p w14:paraId="3F6AC551" w14:textId="544EA892" w:rsidR="00BD474D" w:rsidRDefault="00BD474D"/>
        </w:tc>
        <w:tc>
          <w:tcPr>
            <w:tcW w:w="6747" w:type="dxa"/>
          </w:tcPr>
          <w:p w14:paraId="40AB20B7" w14:textId="77777777" w:rsidR="00BD474D" w:rsidRDefault="00BD474D">
            <w:r>
              <w:t>Increased use of social media</w:t>
            </w:r>
          </w:p>
          <w:p w14:paraId="63DCDCAD" w14:textId="77777777" w:rsidR="00BD474D" w:rsidRDefault="00BD474D">
            <w:r>
              <w:t>Rise in single person households</w:t>
            </w:r>
          </w:p>
          <w:p w14:paraId="7E208425" w14:textId="319EEDBD" w:rsidR="00BD474D" w:rsidRDefault="00BD474D">
            <w:r>
              <w:t>Rise in age of population</w:t>
            </w:r>
          </w:p>
        </w:tc>
      </w:tr>
      <w:tr w:rsidR="00BD474D" w14:paraId="6C1AA74A" w14:textId="77777777" w:rsidTr="00BD474D">
        <w:tc>
          <w:tcPr>
            <w:tcW w:w="2263" w:type="dxa"/>
            <w:shd w:val="clear" w:color="auto" w:fill="C5E0B3" w:themeFill="accent6" w:themeFillTint="66"/>
          </w:tcPr>
          <w:p w14:paraId="11A9D788" w14:textId="77777777" w:rsidR="00BD474D" w:rsidRDefault="00BD474D">
            <w:r>
              <w:t>Technological</w:t>
            </w:r>
          </w:p>
          <w:p w14:paraId="38069D1A" w14:textId="3CF80378" w:rsidR="00BD474D" w:rsidRDefault="00BD474D"/>
        </w:tc>
        <w:tc>
          <w:tcPr>
            <w:tcW w:w="6747" w:type="dxa"/>
          </w:tcPr>
          <w:p w14:paraId="547F942B" w14:textId="77777777" w:rsidR="00BD474D" w:rsidRDefault="00BD474D">
            <w:r>
              <w:t>Increase of mobile payment technology</w:t>
            </w:r>
          </w:p>
          <w:p w14:paraId="70C5B76C" w14:textId="12FD62B6" w:rsidR="00BD474D" w:rsidRDefault="00BD474D">
            <w:r>
              <w:t>Increase in artificial intelligence</w:t>
            </w:r>
          </w:p>
        </w:tc>
      </w:tr>
      <w:tr w:rsidR="00BD474D" w14:paraId="65EE3108" w14:textId="77777777" w:rsidTr="00BD474D">
        <w:tc>
          <w:tcPr>
            <w:tcW w:w="2263" w:type="dxa"/>
            <w:shd w:val="clear" w:color="auto" w:fill="C5E0B3" w:themeFill="accent6" w:themeFillTint="66"/>
          </w:tcPr>
          <w:p w14:paraId="0AE0BB89" w14:textId="77777777" w:rsidR="00BD474D" w:rsidRDefault="00BD474D">
            <w:r>
              <w:t>Legal</w:t>
            </w:r>
          </w:p>
          <w:p w14:paraId="5590A1DD" w14:textId="3BBE3414" w:rsidR="00BD474D" w:rsidRDefault="00BD474D"/>
        </w:tc>
        <w:tc>
          <w:tcPr>
            <w:tcW w:w="6747" w:type="dxa"/>
          </w:tcPr>
          <w:p w14:paraId="7EDF6203" w14:textId="77777777" w:rsidR="00BD474D" w:rsidRDefault="00BD474D">
            <w:r>
              <w:t>Employment Law</w:t>
            </w:r>
          </w:p>
          <w:p w14:paraId="71C1402D" w14:textId="77777777" w:rsidR="00BD474D" w:rsidRDefault="00BD474D">
            <w:r>
              <w:t>Data Protection Law</w:t>
            </w:r>
          </w:p>
          <w:p w14:paraId="183CF518" w14:textId="77777777" w:rsidR="00BD474D" w:rsidRDefault="00BD474D">
            <w:r>
              <w:t>Health and Safety Law</w:t>
            </w:r>
          </w:p>
          <w:p w14:paraId="73481D31" w14:textId="77777777" w:rsidR="00BD474D" w:rsidRDefault="00BD474D">
            <w:r>
              <w:t>Food Safety Law</w:t>
            </w:r>
          </w:p>
          <w:p w14:paraId="289E8F5A" w14:textId="3C193348" w:rsidR="00BD474D" w:rsidRDefault="00BD474D">
            <w:r>
              <w:t>Anti-trust law in retail</w:t>
            </w:r>
          </w:p>
        </w:tc>
      </w:tr>
      <w:tr w:rsidR="00BD474D" w14:paraId="4EB8411F" w14:textId="77777777" w:rsidTr="00BD474D">
        <w:tc>
          <w:tcPr>
            <w:tcW w:w="2263" w:type="dxa"/>
            <w:shd w:val="clear" w:color="auto" w:fill="C5E0B3" w:themeFill="accent6" w:themeFillTint="66"/>
          </w:tcPr>
          <w:p w14:paraId="5E44465E" w14:textId="21B7A1D4" w:rsidR="00BD474D" w:rsidRDefault="00BD474D">
            <w:r>
              <w:t>Environmental</w:t>
            </w:r>
          </w:p>
          <w:p w14:paraId="7DDBE8BA" w14:textId="6A872932" w:rsidR="00BD474D" w:rsidRDefault="00BD474D"/>
        </w:tc>
        <w:tc>
          <w:tcPr>
            <w:tcW w:w="6747" w:type="dxa"/>
          </w:tcPr>
          <w:p w14:paraId="2F49E3CC" w14:textId="77777777" w:rsidR="00BD474D" w:rsidRDefault="00BD474D">
            <w:r>
              <w:t>Recycling</w:t>
            </w:r>
          </w:p>
          <w:p w14:paraId="67988904" w14:textId="7D31DC15" w:rsidR="00BD474D" w:rsidRDefault="00BD474D">
            <w:r>
              <w:t>Plastic usage</w:t>
            </w:r>
          </w:p>
          <w:p w14:paraId="0B1AA210" w14:textId="77777777" w:rsidR="00BD474D" w:rsidRDefault="00BD474D">
            <w:r>
              <w:t>Sustainable resourcing</w:t>
            </w:r>
          </w:p>
          <w:p w14:paraId="787C2C31" w14:textId="174503A2" w:rsidR="00BD474D" w:rsidRDefault="00BD474D">
            <w:r>
              <w:t>Carbon footprint</w:t>
            </w:r>
          </w:p>
        </w:tc>
      </w:tr>
    </w:tbl>
    <w:p w14:paraId="360CBFFC" w14:textId="5F8F0D71" w:rsidR="00BD474D" w:rsidRDefault="00BD474D"/>
    <w:p w14:paraId="0E037F6C" w14:textId="1CC81710" w:rsidR="00BD474D" w:rsidRDefault="00BD474D"/>
    <w:p w14:paraId="43297A82" w14:textId="1068D4CB" w:rsidR="00BD474D" w:rsidRDefault="00B3001B">
      <w:r>
        <w:t>Summary of findings</w:t>
      </w:r>
    </w:p>
    <w:p w14:paraId="2E03D92B" w14:textId="06F8B35F" w:rsidR="00BD474D" w:rsidRDefault="00BD474D">
      <w:r>
        <w:t xml:space="preserve">I have chosen to use two methods for analysis SWOT and PESTLE. SWOT analysis is a planning tool used to understand key factors in an organisation, </w:t>
      </w:r>
      <w:r w:rsidR="00B3001B">
        <w:t>it</w:t>
      </w:r>
      <w:r>
        <w:t xml:space="preserve"> is a </w:t>
      </w:r>
      <w:r w:rsidR="00B3001B">
        <w:t>self-assessment</w:t>
      </w:r>
      <w:r>
        <w:t xml:space="preserve"> tool that reviews internal (strengths and weaknesses) and external (opportunities and threats) </w:t>
      </w:r>
      <w:r>
        <w:lastRenderedPageBreak/>
        <w:t xml:space="preserve">factors that can either support an organisations objectives or be </w:t>
      </w:r>
      <w:r w:rsidR="00B3001B">
        <w:t>unfavorable</w:t>
      </w:r>
      <w:r>
        <w:t xml:space="preserve"> to achieving the objective (CIPD, 2020)</w:t>
      </w:r>
    </w:p>
    <w:p w14:paraId="3DB959BE" w14:textId="77777777" w:rsidR="00BD474D" w:rsidRDefault="00BD474D"/>
    <w:p w14:paraId="725FA6FF" w14:textId="2B38064B" w:rsidR="00BD474D" w:rsidRDefault="00BD474D">
      <w:r>
        <w:t>PESTLE analysis focuses on six external factors that influence an organisations strateg</w:t>
      </w:r>
      <w:r w:rsidR="00B3001B">
        <w:t>ies the PESTLE analysis is used as a broad fact-finding activity to help an organisation review external factors that can impact decisions (</w:t>
      </w:r>
      <w:r>
        <w:t>CIPD,2020)</w:t>
      </w:r>
      <w:r w:rsidR="00B3001B">
        <w:t xml:space="preserve"> </w:t>
      </w:r>
    </w:p>
    <w:p w14:paraId="099906F2" w14:textId="20B8373B" w:rsidR="00BD474D" w:rsidRDefault="00BD474D"/>
    <w:p w14:paraId="562B90D9" w14:textId="27E322F8" w:rsidR="00B3001B" w:rsidRDefault="00B3001B">
      <w:r>
        <w:t xml:space="preserve">From the two analysis’s I have reviewed the external factors that can affect decisions made in the organisation. </w:t>
      </w:r>
    </w:p>
    <w:p w14:paraId="211357D1" w14:textId="7E1CA57E" w:rsidR="00B3001B" w:rsidRDefault="00B3001B"/>
    <w:p w14:paraId="2C05D84C" w14:textId="1E49C681" w:rsidR="00B3001B" w:rsidRDefault="00B3001B">
      <w:r>
        <w:t>Brexit</w:t>
      </w:r>
    </w:p>
    <w:p w14:paraId="43DB0C1A" w14:textId="1F45F93A" w:rsidR="00B3001B" w:rsidRDefault="00B3001B">
      <w:r>
        <w:t xml:space="preserve">Due to Covid 19 many companies have put Brexit planning on the back burner, following the end of the transition period on 31 December 2020, this now needs to be top of the agenda.  Post Brexit there will be several factors that will impact HR, in terms of employment laws a large number of UK employment law has derived from EU legislation, so this will not impact however from 1 January 2021 any employment rights guaranteed by EU law will no longer be guaranteed.  Employment tribunals will no longer be able to refer to EU law and any decision made by the European Court of Justice will no longer have a binding effect on decision made in UK tribunals. </w:t>
      </w:r>
    </w:p>
    <w:p w14:paraId="5DF5617C" w14:textId="1FF719D5" w:rsidR="00B3001B" w:rsidRDefault="00B3001B">
      <w:r>
        <w:t>The ability for people to move freely through the EU will end 01 January 2021, any EU nationals who re employed in the UK can apply to remain under the EU settlement scheme, however any future recruitment from outside the UK will follow the UK points-based system, HR functions will have to ensure they apply for a sponsor licence.</w:t>
      </w:r>
    </w:p>
    <w:p w14:paraId="0F50FEF6" w14:textId="1ED3F141" w:rsidR="00B3001B" w:rsidRDefault="00B3001B">
      <w:r>
        <w:t>(HR Solutions, 2020)</w:t>
      </w:r>
    </w:p>
    <w:p w14:paraId="4386A0CF" w14:textId="77777777" w:rsidR="00B3001B" w:rsidRDefault="00B3001B"/>
    <w:p w14:paraId="2321E6D6" w14:textId="0FA8B3BD" w:rsidR="00B3001B" w:rsidRDefault="00B3001B">
      <w:r>
        <w:t>Competitor Growth</w:t>
      </w:r>
    </w:p>
    <w:p w14:paraId="56040A96" w14:textId="42B77F3D" w:rsidR="00B3001B" w:rsidRDefault="00B3001B">
      <w:r>
        <w:t xml:space="preserve">With customer focus on basket spend there is increasing competition from discounters such as ALDI and LIDL, in addition to the customer spend competition the German based discounters are also effective the labour market for the 4 large UK supermarkets by increasing the hourly rate they pay their colleagues, from 1 February 29020 Aldi will pay it’s </w:t>
      </w:r>
      <w:bookmarkStart w:id="0" w:name="_GoBack"/>
      <w:bookmarkEnd w:id="0"/>
      <w:r>
        <w:t>colleagues 9.40 per hour and 10.90 per hour in London area, the German supermarket have also introduced an increased hourly rate for loyal colleague who remain with them for over 3 years, 10.41 per hour and London area 11.15 per hour.  HR in UK supermarkets needs to address their own reward and recognition policies to continue to entice people to work for them. (The guardian, 2020)</w:t>
      </w:r>
    </w:p>
    <w:p w14:paraId="32D0CF2D" w14:textId="77777777" w:rsidR="00B3001B" w:rsidRDefault="00B3001B"/>
    <w:p w14:paraId="599A33A1" w14:textId="4E222198" w:rsidR="00B3001B" w:rsidRDefault="00B3001B"/>
    <w:p w14:paraId="0F8AB993" w14:textId="77777777" w:rsidR="00B3001B" w:rsidRDefault="00B3001B"/>
    <w:p w14:paraId="2245D1E7" w14:textId="40CE7BC1" w:rsidR="00BD474D" w:rsidRDefault="00BD474D"/>
    <w:p w14:paraId="675BD8BD" w14:textId="4996A6E6" w:rsidR="00BD474D" w:rsidRDefault="00BD474D"/>
    <w:p w14:paraId="338D9009" w14:textId="58DB71E0" w:rsidR="00BD474D" w:rsidRDefault="00BD474D"/>
    <w:p w14:paraId="75AC7896" w14:textId="749B0701" w:rsidR="00BD474D" w:rsidRDefault="00BD474D"/>
    <w:p w14:paraId="7A689C95" w14:textId="77777777" w:rsidR="00BD474D" w:rsidRDefault="00BD474D"/>
    <w:p w14:paraId="440F9FFD" w14:textId="77777777" w:rsidR="00B3001B" w:rsidRDefault="00B3001B"/>
    <w:p w14:paraId="1DD49534" w14:textId="77777777" w:rsidR="00B3001B" w:rsidRDefault="00B3001B"/>
    <w:p w14:paraId="05B4A49E" w14:textId="77777777" w:rsidR="00B3001B" w:rsidRDefault="00B3001B"/>
    <w:p w14:paraId="109C91EA" w14:textId="77777777" w:rsidR="00B3001B" w:rsidRDefault="00B3001B"/>
    <w:p w14:paraId="63A372AF" w14:textId="77777777" w:rsidR="00B3001B" w:rsidRDefault="00B3001B"/>
    <w:p w14:paraId="3A5CD4A5" w14:textId="77777777" w:rsidR="00B3001B" w:rsidRDefault="00B3001B"/>
    <w:p w14:paraId="12742C0E" w14:textId="77777777" w:rsidR="00B3001B" w:rsidRDefault="00B3001B"/>
    <w:p w14:paraId="3ACA27F7" w14:textId="77777777" w:rsidR="00B3001B" w:rsidRDefault="00B3001B"/>
    <w:p w14:paraId="6027C206" w14:textId="77777777" w:rsidR="00B3001B" w:rsidRDefault="00B3001B"/>
    <w:p w14:paraId="14B7F88E" w14:textId="77777777" w:rsidR="00B3001B" w:rsidRDefault="00B3001B"/>
    <w:p w14:paraId="221608C2" w14:textId="77777777" w:rsidR="00B3001B" w:rsidRDefault="00B3001B"/>
    <w:p w14:paraId="313F7CB8" w14:textId="77777777" w:rsidR="00B3001B" w:rsidRDefault="00B3001B"/>
    <w:p w14:paraId="4F80BF57" w14:textId="2416ADE2" w:rsidR="007D14F0" w:rsidRDefault="007D14F0">
      <w:r>
        <w:lastRenderedPageBreak/>
        <w:t>References</w:t>
      </w:r>
    </w:p>
    <w:p w14:paraId="15198927" w14:textId="0FAF4CAD" w:rsidR="00B3001B" w:rsidRDefault="00B3001B"/>
    <w:p w14:paraId="531D4277" w14:textId="670612AC" w:rsidR="00B3001B" w:rsidRDefault="00B3001B">
      <w:r>
        <w:t>Alexander, L, (1985) Successful implementing strategic decisions, Elsevier LTD</w:t>
      </w:r>
    </w:p>
    <w:p w14:paraId="60586F0D" w14:textId="3BA924BB" w:rsidR="00B3001B" w:rsidRDefault="00B3001B"/>
    <w:p w14:paraId="62F3000F" w14:textId="07FF237E" w:rsidR="00B3001B" w:rsidRDefault="00B3001B">
      <w:r>
        <w:t>Barney, J (1991) Firm resources and sustained competitive advantage, Journal of Management</w:t>
      </w:r>
    </w:p>
    <w:p w14:paraId="5303BE1E" w14:textId="51A167E1" w:rsidR="00B3001B" w:rsidRDefault="00B3001B"/>
    <w:p w14:paraId="381AFA8E" w14:textId="1E1BE4EE" w:rsidR="00B3001B" w:rsidRDefault="00B3001B">
      <w:r>
        <w:t>Boxall, P, and Purcell, J, (2015) Strategy and Human resource management, 4</w:t>
      </w:r>
      <w:r w:rsidRPr="00B3001B">
        <w:rPr>
          <w:vertAlign w:val="superscript"/>
        </w:rPr>
        <w:t>th</w:t>
      </w:r>
      <w:r>
        <w:t xml:space="preserve"> edition, Basingstoke: Palgrave Macmillan</w:t>
      </w:r>
    </w:p>
    <w:p w14:paraId="5C9509DC" w14:textId="77777777" w:rsidR="00B3001B" w:rsidRDefault="00B3001B"/>
    <w:p w14:paraId="6686888A" w14:textId="76ECA97A" w:rsidR="00B3001B" w:rsidRDefault="00B3001B">
      <w:r>
        <w:t>CIPD, (2020) factsheet SWOT analysis, Chartered Institute of Personnel development</w:t>
      </w:r>
    </w:p>
    <w:p w14:paraId="702E9B3D" w14:textId="47065EFB" w:rsidR="00B3001B" w:rsidRDefault="00B3001B"/>
    <w:p w14:paraId="5A76ABB5" w14:textId="25AFFB41" w:rsidR="00B3001B" w:rsidRDefault="00B3001B">
      <w:r>
        <w:t xml:space="preserve">CIPD, (2020), PESTLE analysis, </w:t>
      </w:r>
      <w:r>
        <w:t>Chartered Institute of Personnel development</w:t>
      </w:r>
    </w:p>
    <w:p w14:paraId="6B46C387" w14:textId="77777777" w:rsidR="00B3001B" w:rsidRDefault="00B3001B"/>
    <w:p w14:paraId="20B22FBA" w14:textId="5C04C5F2" w:rsidR="00B3001B" w:rsidRDefault="00B3001B">
      <w:r>
        <w:t>CIPD, Changing. HR operating models, (2015), Chartered Institute of Personnel Development</w:t>
      </w:r>
    </w:p>
    <w:p w14:paraId="72997717" w14:textId="77777777" w:rsidR="00B3001B" w:rsidRDefault="00B3001B"/>
    <w:p w14:paraId="143352DD" w14:textId="27C67816" w:rsidR="00B3001B" w:rsidRDefault="00B3001B">
      <w:r>
        <w:t>Guardian, (Jan 2020) Aldi to become the UK’s best paying supermarket</w:t>
      </w:r>
    </w:p>
    <w:p w14:paraId="2597A435" w14:textId="4583411F" w:rsidR="00B3001B" w:rsidRDefault="00B3001B"/>
    <w:p w14:paraId="5766211F" w14:textId="3A91422E" w:rsidR="00B3001B" w:rsidRDefault="00B3001B">
      <w:r>
        <w:t>Harrison, R, (1972) Understanding your organisations character, Harvard Business Review</w:t>
      </w:r>
    </w:p>
    <w:p w14:paraId="6E339D38" w14:textId="4D235618" w:rsidR="00B3001B" w:rsidRDefault="00B3001B"/>
    <w:p w14:paraId="5FAAAE29" w14:textId="27140105" w:rsidR="00B3001B" w:rsidRDefault="00B3001B">
      <w:r>
        <w:t>HR solutions, (23/10/20) Brexit the latest implications for HR, accessed 20/02/21</w:t>
      </w:r>
    </w:p>
    <w:p w14:paraId="193942B3" w14:textId="0432443B" w:rsidR="007D14F0" w:rsidRDefault="007D14F0"/>
    <w:p w14:paraId="17703FE3" w14:textId="09283718" w:rsidR="00B3001B" w:rsidRDefault="00B3001B">
      <w:proofErr w:type="spellStart"/>
      <w:r>
        <w:t>Huselid</w:t>
      </w:r>
      <w:proofErr w:type="spellEnd"/>
      <w:r>
        <w:t>, M, A, (1995) The impact of human resource management practices on Turnover, productivity, and corporate financial performance, Academy of Management Journal</w:t>
      </w:r>
    </w:p>
    <w:p w14:paraId="4FCB39C1" w14:textId="77777777" w:rsidR="00B3001B" w:rsidRDefault="00B3001B"/>
    <w:p w14:paraId="44C09B8D" w14:textId="3A0935D0" w:rsidR="007D14F0" w:rsidRDefault="007D14F0">
      <w:r>
        <w:t xml:space="preserve">Kew, J, and Stredwick, J, (2013) Human </w:t>
      </w:r>
      <w:r w:rsidR="00BD474D">
        <w:t>Resource</w:t>
      </w:r>
      <w:r>
        <w:t xml:space="preserve"> management in a business </w:t>
      </w:r>
      <w:r w:rsidR="00BD474D">
        <w:t>context</w:t>
      </w:r>
      <w:r>
        <w:t>, 2</w:t>
      </w:r>
      <w:r w:rsidRPr="007D14F0">
        <w:rPr>
          <w:vertAlign w:val="superscript"/>
        </w:rPr>
        <w:t>nd</w:t>
      </w:r>
      <w:r>
        <w:t xml:space="preserve"> edition, London Chartered Institute </w:t>
      </w:r>
      <w:r w:rsidR="00BD474D">
        <w:t>of</w:t>
      </w:r>
      <w:r>
        <w:t xml:space="preserve"> Personnel and Development</w:t>
      </w:r>
    </w:p>
    <w:p w14:paraId="0E62450E" w14:textId="6AFFF16A" w:rsidR="00B3001B" w:rsidRDefault="00B3001B"/>
    <w:p w14:paraId="77DD6CB6" w14:textId="05E215A6" w:rsidR="00B3001B" w:rsidRDefault="00B3001B">
      <w:r>
        <w:t>Linkedin.com, (18/06/19) HR best practices, accessed 20/02/21</w:t>
      </w:r>
    </w:p>
    <w:p w14:paraId="42D28F0F" w14:textId="22C70087" w:rsidR="00B3001B" w:rsidRDefault="00B3001B"/>
    <w:p w14:paraId="476BF8DC" w14:textId="760CE778" w:rsidR="00B3001B" w:rsidRDefault="00B3001B">
      <w:r>
        <w:t>Mbaskool.com, (22/01/18) HR strategy accessed 20/02/21</w:t>
      </w:r>
    </w:p>
    <w:p w14:paraId="6818EAB1" w14:textId="1EF06B22" w:rsidR="00B3001B" w:rsidRDefault="00B3001B"/>
    <w:p w14:paraId="084AC13C" w14:textId="4425B151" w:rsidR="00B3001B" w:rsidRDefault="00B3001B">
      <w:r>
        <w:t>Pffeferr, J, (1994) Competitive advantage through people, Boston Harvard Business School press</w:t>
      </w:r>
    </w:p>
    <w:p w14:paraId="75105234" w14:textId="0E2E96AB" w:rsidR="00B3001B" w:rsidRDefault="00B3001B"/>
    <w:p w14:paraId="2C56E8AD" w14:textId="3E2AB9C5" w:rsidR="00B3001B" w:rsidRDefault="00B3001B">
      <w:r>
        <w:t>Purcell, J, Kinnie, N, Hutchinson, S, Rayton, B, Swart, J, (2003) Understanding the people and performance link: unlocking the black box, Chartered Institute of Personnel Development</w:t>
      </w:r>
    </w:p>
    <w:p w14:paraId="3E1712E8" w14:textId="163D2E0B" w:rsidR="00B3001B" w:rsidRDefault="00B3001B"/>
    <w:p w14:paraId="441C14B8" w14:textId="56335B6E" w:rsidR="00B3001B" w:rsidRDefault="00B3001B">
      <w:r>
        <w:t>Quinn, J, B, (1980) Strategies for change, Irwin Homewood</w:t>
      </w:r>
    </w:p>
    <w:p w14:paraId="2C1C57DA" w14:textId="2EFFCA91" w:rsidR="007D14F0" w:rsidRDefault="00BD474D">
      <w:r>
        <w:t xml:space="preserve"> </w:t>
      </w:r>
    </w:p>
    <w:p w14:paraId="260AEA28" w14:textId="000030DD" w:rsidR="00B3001B" w:rsidRDefault="00B3001B">
      <w:r>
        <w:t>Shein, E H (1997) Organisational Culture and Leadership, 2</w:t>
      </w:r>
      <w:r w:rsidRPr="00B3001B">
        <w:rPr>
          <w:vertAlign w:val="superscript"/>
        </w:rPr>
        <w:t>nd</w:t>
      </w:r>
      <w:r>
        <w:t xml:space="preserve"> edition, San Francisco Jossey Bass</w:t>
      </w:r>
    </w:p>
    <w:p w14:paraId="515E3E0C" w14:textId="277F4048" w:rsidR="00B3001B" w:rsidRDefault="00B3001B"/>
    <w:p w14:paraId="57D1CF8A" w14:textId="7712A689" w:rsidR="00B3001B" w:rsidRDefault="00B3001B">
      <w:r>
        <w:t>Tyson, S, (1995) Human resource strategy, financial times/Prentice hall</w:t>
      </w:r>
    </w:p>
    <w:p w14:paraId="738CBAF9" w14:textId="7CAEDFAB" w:rsidR="00B3001B" w:rsidRDefault="00B3001B"/>
    <w:p w14:paraId="5BC7922A" w14:textId="600D492E" w:rsidR="00B3001B" w:rsidRDefault="00B3001B">
      <w:r>
        <w:t>Ulwick, A, (1999) Business Strategy Formulation: Theory, process and the intellectual revolution, Quorum books London.</w:t>
      </w:r>
    </w:p>
    <w:p w14:paraId="78BD5F6C" w14:textId="77777777" w:rsidR="00B3001B" w:rsidRDefault="00B3001B"/>
    <w:p w14:paraId="596DBB85" w14:textId="4D653E25" w:rsidR="00B3001B" w:rsidRDefault="00B3001B">
      <w:r>
        <w:t>Warner, M and Witzel, M, (2003) Managing in virtual Organisations, London Routledge</w:t>
      </w:r>
    </w:p>
    <w:p w14:paraId="400DFE2A" w14:textId="73DC5A3C" w:rsidR="00B3001B" w:rsidRDefault="00B3001B"/>
    <w:p w14:paraId="677EACDA" w14:textId="20F2915F" w:rsidR="00B3001B" w:rsidRDefault="00B3001B">
      <w:r>
        <w:t>Weber, M, (1964) the theory of economic and social organisation, New York free press</w:t>
      </w:r>
    </w:p>
    <w:p w14:paraId="14BF9AE4" w14:textId="15A5EB35" w:rsidR="00B3001B" w:rsidRDefault="00B3001B"/>
    <w:p w14:paraId="193D0395" w14:textId="54BF2EDD" w:rsidR="00B3001B" w:rsidRDefault="00B3001B"/>
    <w:p w14:paraId="4575B5EB" w14:textId="6BA07888" w:rsidR="00B3001B" w:rsidRDefault="00B3001B">
      <w:r>
        <w:lastRenderedPageBreak/>
        <w:t>Bibliography</w:t>
      </w:r>
    </w:p>
    <w:p w14:paraId="063CE382" w14:textId="14C806DC" w:rsidR="00B3001B" w:rsidRDefault="00B3001B"/>
    <w:p w14:paraId="58BBE04A" w14:textId="40E7995A" w:rsidR="00B3001B" w:rsidRDefault="00B3001B">
      <w:r>
        <w:t xml:space="preserve">CIPD, (2020), Factsheet, Line Managers role in supporting the people profession, </w:t>
      </w:r>
      <w:r>
        <w:t>Chartered Institute of Personnel development</w:t>
      </w:r>
    </w:p>
    <w:sectPr w:rsidR="00B3001B" w:rsidSect="006E30D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62F36"/>
    <w:multiLevelType w:val="hybridMultilevel"/>
    <w:tmpl w:val="DAEE5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F56DC"/>
    <w:multiLevelType w:val="hybridMultilevel"/>
    <w:tmpl w:val="E236BE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6F6E7A"/>
    <w:multiLevelType w:val="hybridMultilevel"/>
    <w:tmpl w:val="CB1A5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C3427E"/>
    <w:multiLevelType w:val="hybridMultilevel"/>
    <w:tmpl w:val="440AA532"/>
    <w:lvl w:ilvl="0" w:tplc="DC6C99F6">
      <w:start w:val="1"/>
      <w:numFmt w:val="bullet"/>
      <w:lvlText w:val=""/>
      <w:lvlJc w:val="left"/>
      <w:pPr>
        <w:tabs>
          <w:tab w:val="num" w:pos="720"/>
        </w:tabs>
        <w:ind w:left="720" w:hanging="360"/>
      </w:pPr>
      <w:rPr>
        <w:rFonts w:ascii="Wingdings" w:hAnsi="Wingdings" w:hint="default"/>
      </w:rPr>
    </w:lvl>
    <w:lvl w:ilvl="1" w:tplc="DE54DFD6" w:tentative="1">
      <w:start w:val="1"/>
      <w:numFmt w:val="bullet"/>
      <w:lvlText w:val=""/>
      <w:lvlJc w:val="left"/>
      <w:pPr>
        <w:tabs>
          <w:tab w:val="num" w:pos="1440"/>
        </w:tabs>
        <w:ind w:left="1440" w:hanging="360"/>
      </w:pPr>
      <w:rPr>
        <w:rFonts w:ascii="Wingdings" w:hAnsi="Wingdings" w:hint="default"/>
      </w:rPr>
    </w:lvl>
    <w:lvl w:ilvl="2" w:tplc="A29EFEA8" w:tentative="1">
      <w:start w:val="1"/>
      <w:numFmt w:val="bullet"/>
      <w:lvlText w:val=""/>
      <w:lvlJc w:val="left"/>
      <w:pPr>
        <w:tabs>
          <w:tab w:val="num" w:pos="2160"/>
        </w:tabs>
        <w:ind w:left="2160" w:hanging="360"/>
      </w:pPr>
      <w:rPr>
        <w:rFonts w:ascii="Wingdings" w:hAnsi="Wingdings" w:hint="default"/>
      </w:rPr>
    </w:lvl>
    <w:lvl w:ilvl="3" w:tplc="FCBECF42" w:tentative="1">
      <w:start w:val="1"/>
      <w:numFmt w:val="bullet"/>
      <w:lvlText w:val=""/>
      <w:lvlJc w:val="left"/>
      <w:pPr>
        <w:tabs>
          <w:tab w:val="num" w:pos="2880"/>
        </w:tabs>
        <w:ind w:left="2880" w:hanging="360"/>
      </w:pPr>
      <w:rPr>
        <w:rFonts w:ascii="Wingdings" w:hAnsi="Wingdings" w:hint="default"/>
      </w:rPr>
    </w:lvl>
    <w:lvl w:ilvl="4" w:tplc="B120AFCA" w:tentative="1">
      <w:start w:val="1"/>
      <w:numFmt w:val="bullet"/>
      <w:lvlText w:val=""/>
      <w:lvlJc w:val="left"/>
      <w:pPr>
        <w:tabs>
          <w:tab w:val="num" w:pos="3600"/>
        </w:tabs>
        <w:ind w:left="3600" w:hanging="360"/>
      </w:pPr>
      <w:rPr>
        <w:rFonts w:ascii="Wingdings" w:hAnsi="Wingdings" w:hint="default"/>
      </w:rPr>
    </w:lvl>
    <w:lvl w:ilvl="5" w:tplc="74C41326" w:tentative="1">
      <w:start w:val="1"/>
      <w:numFmt w:val="bullet"/>
      <w:lvlText w:val=""/>
      <w:lvlJc w:val="left"/>
      <w:pPr>
        <w:tabs>
          <w:tab w:val="num" w:pos="4320"/>
        </w:tabs>
        <w:ind w:left="4320" w:hanging="360"/>
      </w:pPr>
      <w:rPr>
        <w:rFonts w:ascii="Wingdings" w:hAnsi="Wingdings" w:hint="default"/>
      </w:rPr>
    </w:lvl>
    <w:lvl w:ilvl="6" w:tplc="FDC6637E" w:tentative="1">
      <w:start w:val="1"/>
      <w:numFmt w:val="bullet"/>
      <w:lvlText w:val=""/>
      <w:lvlJc w:val="left"/>
      <w:pPr>
        <w:tabs>
          <w:tab w:val="num" w:pos="5040"/>
        </w:tabs>
        <w:ind w:left="5040" w:hanging="360"/>
      </w:pPr>
      <w:rPr>
        <w:rFonts w:ascii="Wingdings" w:hAnsi="Wingdings" w:hint="default"/>
      </w:rPr>
    </w:lvl>
    <w:lvl w:ilvl="7" w:tplc="306AE388" w:tentative="1">
      <w:start w:val="1"/>
      <w:numFmt w:val="bullet"/>
      <w:lvlText w:val=""/>
      <w:lvlJc w:val="left"/>
      <w:pPr>
        <w:tabs>
          <w:tab w:val="num" w:pos="5760"/>
        </w:tabs>
        <w:ind w:left="5760" w:hanging="360"/>
      </w:pPr>
      <w:rPr>
        <w:rFonts w:ascii="Wingdings" w:hAnsi="Wingdings" w:hint="default"/>
      </w:rPr>
    </w:lvl>
    <w:lvl w:ilvl="8" w:tplc="9DEE2CE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D35F28"/>
    <w:multiLevelType w:val="hybridMultilevel"/>
    <w:tmpl w:val="E132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7F25EE"/>
    <w:multiLevelType w:val="hybridMultilevel"/>
    <w:tmpl w:val="AFF4C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575AF3"/>
    <w:multiLevelType w:val="hybridMultilevel"/>
    <w:tmpl w:val="AA40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0A5350"/>
    <w:multiLevelType w:val="hybridMultilevel"/>
    <w:tmpl w:val="F0C66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4D6158"/>
    <w:multiLevelType w:val="hybridMultilevel"/>
    <w:tmpl w:val="58EC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3"/>
  </w:num>
  <w:num w:numId="5">
    <w:abstractNumId w:val="5"/>
  </w:num>
  <w:num w:numId="6">
    <w:abstractNumId w:val="1"/>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4C"/>
    <w:rsid w:val="000626C2"/>
    <w:rsid w:val="00077C4C"/>
    <w:rsid w:val="00176EC3"/>
    <w:rsid w:val="001A223D"/>
    <w:rsid w:val="0022405D"/>
    <w:rsid w:val="00246E4E"/>
    <w:rsid w:val="0027721E"/>
    <w:rsid w:val="0031642B"/>
    <w:rsid w:val="00321CBA"/>
    <w:rsid w:val="003311B0"/>
    <w:rsid w:val="003A55E1"/>
    <w:rsid w:val="004954E0"/>
    <w:rsid w:val="005277C6"/>
    <w:rsid w:val="00597B19"/>
    <w:rsid w:val="00697975"/>
    <w:rsid w:val="006E30D5"/>
    <w:rsid w:val="007D14F0"/>
    <w:rsid w:val="0083325F"/>
    <w:rsid w:val="00836843"/>
    <w:rsid w:val="00845526"/>
    <w:rsid w:val="008861E7"/>
    <w:rsid w:val="008B4544"/>
    <w:rsid w:val="008C1F15"/>
    <w:rsid w:val="008D0A9B"/>
    <w:rsid w:val="008D56A2"/>
    <w:rsid w:val="009032A9"/>
    <w:rsid w:val="00912008"/>
    <w:rsid w:val="009C3EBF"/>
    <w:rsid w:val="00A353B2"/>
    <w:rsid w:val="00A56223"/>
    <w:rsid w:val="00A74297"/>
    <w:rsid w:val="00AC1A6D"/>
    <w:rsid w:val="00B3001B"/>
    <w:rsid w:val="00B4225C"/>
    <w:rsid w:val="00B978C2"/>
    <w:rsid w:val="00BD474D"/>
    <w:rsid w:val="00BF1DF4"/>
    <w:rsid w:val="00CC0AD8"/>
    <w:rsid w:val="00D36FB6"/>
    <w:rsid w:val="00DF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49F52"/>
  <w15:chartTrackingRefBased/>
  <w15:docId w15:val="{C09749B8-770A-5743-A425-D8D16593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EBF"/>
    <w:pPr>
      <w:suppressAutoHyphens/>
    </w:pPr>
    <w:rPr>
      <w:rFonts w:ascii="Arial" w:eastAsia="Calibri" w:hAnsi="Arial" w:cs="Times New Roman"/>
      <w:color w:val="1F497D"/>
      <w:sz w:val="22"/>
      <w:szCs w:val="22"/>
      <w:lang w:val="en-US"/>
    </w:rPr>
  </w:style>
  <w:style w:type="paragraph" w:styleId="Heading3">
    <w:name w:val="heading 3"/>
    <w:basedOn w:val="Normal"/>
    <w:link w:val="Heading3Char"/>
    <w:uiPriority w:val="9"/>
    <w:qFormat/>
    <w:rsid w:val="005277C6"/>
    <w:pPr>
      <w:suppressAutoHyphens w:val="0"/>
      <w:spacing w:before="100" w:beforeAutospacing="1" w:after="100" w:afterAutospacing="1"/>
      <w:outlineLvl w:val="2"/>
    </w:pPr>
    <w:rPr>
      <w:rFonts w:ascii="Times New Roman" w:eastAsia="Times New Roman" w:hAnsi="Times New Roman"/>
      <w:b/>
      <w:bCs/>
      <w:color w:val="auto"/>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1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14F0"/>
    <w:pPr>
      <w:ind w:left="720"/>
      <w:contextualSpacing/>
    </w:pPr>
  </w:style>
  <w:style w:type="character" w:customStyle="1" w:styleId="Heading3Char">
    <w:name w:val="Heading 3 Char"/>
    <w:basedOn w:val="DefaultParagraphFont"/>
    <w:link w:val="Heading3"/>
    <w:uiPriority w:val="9"/>
    <w:rsid w:val="005277C6"/>
    <w:rPr>
      <w:rFonts w:ascii="Times New Roman" w:eastAsia="Times New Roman" w:hAnsi="Times New Roman" w:cs="Times New Roman"/>
      <w:b/>
      <w:bCs/>
      <w:sz w:val="27"/>
      <w:szCs w:val="27"/>
    </w:rPr>
  </w:style>
  <w:style w:type="paragraph" w:styleId="NormalWeb">
    <w:name w:val="Normal (Web)"/>
    <w:basedOn w:val="Normal"/>
    <w:uiPriority w:val="99"/>
    <w:unhideWhenUsed/>
    <w:rsid w:val="005277C6"/>
    <w:pPr>
      <w:suppressAutoHyphens w:val="0"/>
      <w:spacing w:before="100" w:beforeAutospacing="1" w:after="100" w:afterAutospacing="1"/>
    </w:pPr>
    <w:rPr>
      <w:rFonts w:ascii="Times New Roman" w:eastAsia="Times New Roman" w:hAnsi="Times New Roman"/>
      <w:color w:val="auto"/>
      <w:sz w:val="24"/>
      <w:szCs w:val="24"/>
      <w:lang w:val="en-GB"/>
    </w:rPr>
  </w:style>
  <w:style w:type="character" w:styleId="Emphasis">
    <w:name w:val="Emphasis"/>
    <w:basedOn w:val="DefaultParagraphFont"/>
    <w:uiPriority w:val="20"/>
    <w:qFormat/>
    <w:rsid w:val="005277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186698">
      <w:bodyDiv w:val="1"/>
      <w:marLeft w:val="0"/>
      <w:marRight w:val="0"/>
      <w:marTop w:val="0"/>
      <w:marBottom w:val="0"/>
      <w:divBdr>
        <w:top w:val="none" w:sz="0" w:space="0" w:color="auto"/>
        <w:left w:val="none" w:sz="0" w:space="0" w:color="auto"/>
        <w:bottom w:val="none" w:sz="0" w:space="0" w:color="auto"/>
        <w:right w:val="none" w:sz="0" w:space="0" w:color="auto"/>
      </w:divBdr>
      <w:divsChild>
        <w:div w:id="1173255547">
          <w:marLeft w:val="547"/>
          <w:marRight w:val="0"/>
          <w:marTop w:val="106"/>
          <w:marBottom w:val="0"/>
          <w:divBdr>
            <w:top w:val="none" w:sz="0" w:space="0" w:color="auto"/>
            <w:left w:val="none" w:sz="0" w:space="0" w:color="auto"/>
            <w:bottom w:val="none" w:sz="0" w:space="0" w:color="auto"/>
            <w:right w:val="none" w:sz="0" w:space="0" w:color="auto"/>
          </w:divBdr>
        </w:div>
        <w:div w:id="439758709">
          <w:marLeft w:val="547"/>
          <w:marRight w:val="0"/>
          <w:marTop w:val="106"/>
          <w:marBottom w:val="0"/>
          <w:divBdr>
            <w:top w:val="none" w:sz="0" w:space="0" w:color="auto"/>
            <w:left w:val="none" w:sz="0" w:space="0" w:color="auto"/>
            <w:bottom w:val="none" w:sz="0" w:space="0" w:color="auto"/>
            <w:right w:val="none" w:sz="0" w:space="0" w:color="auto"/>
          </w:divBdr>
        </w:div>
        <w:div w:id="366609049">
          <w:marLeft w:val="547"/>
          <w:marRight w:val="0"/>
          <w:marTop w:val="106"/>
          <w:marBottom w:val="0"/>
          <w:divBdr>
            <w:top w:val="none" w:sz="0" w:space="0" w:color="auto"/>
            <w:left w:val="none" w:sz="0" w:space="0" w:color="auto"/>
            <w:bottom w:val="none" w:sz="0" w:space="0" w:color="auto"/>
            <w:right w:val="none" w:sz="0" w:space="0" w:color="auto"/>
          </w:divBdr>
        </w:div>
        <w:div w:id="735125908">
          <w:marLeft w:val="547"/>
          <w:marRight w:val="0"/>
          <w:marTop w:val="106"/>
          <w:marBottom w:val="0"/>
          <w:divBdr>
            <w:top w:val="none" w:sz="0" w:space="0" w:color="auto"/>
            <w:left w:val="none" w:sz="0" w:space="0" w:color="auto"/>
            <w:bottom w:val="none" w:sz="0" w:space="0" w:color="auto"/>
            <w:right w:val="none" w:sz="0" w:space="0" w:color="auto"/>
          </w:divBdr>
        </w:div>
      </w:divsChild>
    </w:div>
    <w:div w:id="1166213322">
      <w:bodyDiv w:val="1"/>
      <w:marLeft w:val="0"/>
      <w:marRight w:val="0"/>
      <w:marTop w:val="0"/>
      <w:marBottom w:val="0"/>
      <w:divBdr>
        <w:top w:val="none" w:sz="0" w:space="0" w:color="auto"/>
        <w:left w:val="none" w:sz="0" w:space="0" w:color="auto"/>
        <w:bottom w:val="none" w:sz="0" w:space="0" w:color="auto"/>
        <w:right w:val="none" w:sz="0" w:space="0" w:color="auto"/>
      </w:divBdr>
    </w:div>
    <w:div w:id="150466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91037-9656-7243-93EB-6DE56CE6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2722</Words>
  <Characters>15519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Jeffreys (2005784)</dc:creator>
  <cp:keywords/>
  <dc:description/>
  <cp:lastModifiedBy>Tara Jeffreys (2005784)</cp:lastModifiedBy>
  <cp:revision>2</cp:revision>
  <dcterms:created xsi:type="dcterms:W3CDTF">2021-02-26T14:17:00Z</dcterms:created>
  <dcterms:modified xsi:type="dcterms:W3CDTF">2021-02-26T14:17:00Z</dcterms:modified>
</cp:coreProperties>
</file>