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D41BC" w:rsidRPr="00BD41BC" w:rsidRDefault="00BD41BC" w:rsidP="00BD41BC">
      <w:pPr>
        <w:spacing w:after="0" w:line="240" w:lineRule="auto"/>
        <w:jc w:val="center"/>
        <w:rPr>
          <w:rFonts w:ascii="Times New Roman" w:eastAsia="Times New Roman" w:hAnsi="Times New Roman" w:cs="Times New Roman"/>
          <w:sz w:val="24"/>
          <w:szCs w:val="24"/>
          <w:lang w:eastAsia="en-GB"/>
        </w:rPr>
      </w:pPr>
      <w:r w:rsidRPr="00BD41BC">
        <w:rPr>
          <w:rFonts w:ascii="Times New Roman" w:eastAsia="Times New Roman" w:hAnsi="Times New Roman" w:cs="Times New Roman"/>
          <w:b/>
          <w:bCs/>
          <w:color w:val="000000"/>
          <w:sz w:val="28"/>
          <w:szCs w:val="28"/>
          <w:u w:val="single"/>
          <w:lang w:eastAsia="en-GB"/>
        </w:rPr>
        <w:t xml:space="preserve">Explain why teacher subject knowledge is important in relation to teaching Language and Mathematics in primary schools in Wales. </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 xml:space="preserve">In this essay, the importance of teacher subject knowledge will be discussed in relation to the teaching of one element of language and one element of mathematics. There are government guidelines in place that state that trainees must achieve ‘a standard equivalent to a grade four in the GCSE examinations in English and mathematics’ (Department for Education, 2019). This ensures that there is a certain understanding and knowledge of these core subjects that one must possess in order to teach pupils. Teacher subject knowledge is becoming more and more important, especially in language and mathematics. This is due to the large number of pupils not achieving the expected outcome. Out of the 28,195 children in year two, only 84% achieved the expected outcome in the Area of Learning ‘Language, Literacy and Communication’ (Welsh Government, 2018). In the Area of Learning ‘Mathematical Development’ only 86.6% of the 36,261 year two pupils achieved the expected outcome (Welsh Government, 2018). This leaves 4,511 pupils not achieving the expected outcome in ‘Language, Literacy and Communication’ and 4,859 pupils not achieving the expected outcome in ‘Mathematical Development’. This creates a learning gap which, if left unaddressed, will widen. If underpinning academic skills such as reading, writing, etc. ‘are not acquired are not acquired by students early on in their education, it may be more difficult for them to learn these foundational skills later on’ </w:t>
      </w:r>
      <w:r w:rsidRPr="00BD41BC">
        <w:rPr>
          <w:rFonts w:ascii="Times New Roman" w:eastAsia="Times New Roman" w:hAnsi="Times New Roman" w:cs="Times New Roman"/>
          <w:color w:val="000000"/>
          <w:sz w:val="24"/>
          <w:szCs w:val="24"/>
          <w:shd w:val="clear" w:color="auto" w:fill="FFFFFF"/>
          <w:lang w:eastAsia="en-GB"/>
        </w:rPr>
        <w:t xml:space="preserve">(Great Schools Partnership, 2013). </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Teachers must have a certain degree of knowledge of the subjects they are teaching. This is supported be Coe et al who state that ‘The most effective teachers have deep knowledge of the subjects they teach’ (Coe et al, 2014, p. 2).</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Within this essay, the trainee and class teacher’s subject knowledge will be discussed as well as their pedagogical knowledge. This will be done by reflecting on a number of lessons observed and taught by the trainee while taking part on a Professional Teaching Experience (PTE) at a local primary school. The lesson’s which will be evaluated took place in a class consisting of pupils in years one, two and three totalling twenty pupils. Within the ‘Language, Literacy and Communication’ Area of Learning, the strand being developed was reading, specifically focussing on the element of locating, selecting and using information, using the aspect of reading strategies. The curriculum states that pupils in year one should be able to;</w:t>
      </w:r>
    </w:p>
    <w:p w:rsidR="00BD41BC" w:rsidRPr="00BD41BC" w:rsidRDefault="00BD41BC" w:rsidP="00BD41BC">
      <w:pPr>
        <w:spacing w:after="0" w:line="240" w:lineRule="auto"/>
        <w:ind w:firstLine="720"/>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w:t>
      </w:r>
      <w:r w:rsidRPr="00BD41BC">
        <w:rPr>
          <w:rFonts w:ascii="Times New Roman" w:eastAsia="Times New Roman" w:hAnsi="Times New Roman" w:cs="Times New Roman"/>
          <w:i/>
          <w:iCs/>
          <w:color w:val="000000"/>
          <w:sz w:val="24"/>
          <w:szCs w:val="24"/>
          <w:lang w:eastAsia="en-GB"/>
        </w:rPr>
        <w:t>Apply the following reading strategies with increasing independence: – phonic strategies to decode words – recognition of high-frequency words – context clues, e.g. prior knowledge – graphic and syntactic clues – self-correction, including re-reading and reading ahead</w:t>
      </w:r>
      <w:r w:rsidRPr="00BD41BC">
        <w:rPr>
          <w:rFonts w:ascii="Times New Roman" w:eastAsia="Times New Roman" w:hAnsi="Times New Roman" w:cs="Times New Roman"/>
          <w:color w:val="000000"/>
          <w:sz w:val="24"/>
          <w:szCs w:val="24"/>
          <w:lang w:eastAsia="en-GB"/>
        </w:rPr>
        <w:t>’ (Department for Education and Skills, 2015, p. 19).</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The curriculum also states that pupils in year two should be able to;</w:t>
      </w:r>
    </w:p>
    <w:p w:rsidR="00BD41BC" w:rsidRPr="00BD41BC" w:rsidRDefault="00BD41BC" w:rsidP="00BD41BC">
      <w:pPr>
        <w:spacing w:after="0" w:line="240" w:lineRule="auto"/>
        <w:ind w:firstLine="720"/>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w:t>
      </w:r>
      <w:r w:rsidRPr="00BD41BC">
        <w:rPr>
          <w:rFonts w:ascii="Times New Roman" w:eastAsia="Times New Roman" w:hAnsi="Times New Roman" w:cs="Times New Roman"/>
          <w:i/>
          <w:iCs/>
          <w:color w:val="000000"/>
          <w:sz w:val="24"/>
          <w:szCs w:val="24"/>
          <w:lang w:eastAsia="en-GB"/>
        </w:rPr>
        <w:t>Apply the following reading strategies with increasing independence to a range of familiar and unfamiliar texts: – phonic strategies – recognition of high-frequency words – context clues, e.g. prior knowledge – graphic and syntactic clues – self-correction, including re-reading and reading ahead</w:t>
      </w:r>
      <w:r w:rsidRPr="00BD41BC">
        <w:rPr>
          <w:rFonts w:ascii="Times New Roman" w:eastAsia="Times New Roman" w:hAnsi="Times New Roman" w:cs="Times New Roman"/>
          <w:color w:val="000000"/>
          <w:sz w:val="24"/>
          <w:szCs w:val="24"/>
          <w:lang w:eastAsia="en-GB"/>
        </w:rPr>
        <w:t>’ (Department for Education and Skills, 2015, p. 19).</w:t>
      </w:r>
      <w:r w:rsidRPr="00BD41BC">
        <w:rPr>
          <w:rFonts w:ascii="Times New Roman" w:eastAsia="Times New Roman" w:hAnsi="Times New Roman" w:cs="Times New Roman"/>
          <w:i/>
          <w:iCs/>
          <w:color w:val="000000"/>
          <w:sz w:val="24"/>
          <w:szCs w:val="24"/>
          <w:lang w:eastAsia="en-GB"/>
        </w:rPr>
        <w:t xml:space="preserve"> </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This shows that both year groups must continue to apply the same reading strategies however children in year two must apply this to a range of texts such as fictional, non-fictional, leaflets etc. Within the ‘Mathematical Development’ Area of Learning, the strand being developed was using measuring skills, specifically focussing on the elements of length, weight/mass and capacity. While in the class, the trainee observed and taught lessons focussing on length with only the years one and two involved in the session. According to the Foundation Phase Framework, children in year one should be able to ‘use non-standard units to measure length, height and distance’ (Department for Education and Skills, 2015, p. 33) while pupils in</w:t>
      </w:r>
      <w:bookmarkStart w:id="0" w:name="_GoBack"/>
      <w:bookmarkEnd w:id="0"/>
      <w:r w:rsidRPr="00BD41BC">
        <w:rPr>
          <w:rFonts w:ascii="Times New Roman" w:eastAsia="Times New Roman" w:hAnsi="Times New Roman" w:cs="Times New Roman"/>
          <w:color w:val="000000"/>
          <w:sz w:val="24"/>
          <w:szCs w:val="24"/>
          <w:lang w:eastAsia="en-GB"/>
        </w:rPr>
        <w:t xml:space="preserve"> year </w:t>
      </w:r>
      <w:r w:rsidRPr="00BD41BC">
        <w:rPr>
          <w:rFonts w:ascii="Times New Roman" w:eastAsia="Times New Roman" w:hAnsi="Times New Roman" w:cs="Times New Roman"/>
          <w:color w:val="000000"/>
          <w:sz w:val="24"/>
          <w:szCs w:val="24"/>
          <w:lang w:eastAsia="en-GB"/>
        </w:rPr>
        <w:lastRenderedPageBreak/>
        <w:t xml:space="preserve">two should be able to ‘use standard units to measure length, height and distance’ (Department for Education and Skills, 2015, p. 33). </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Reading was the skill being developed in the Area of Learning ‘Language, Literacy and Communication’. When working with the year one children consisting of seven children, the focus was on phonics and consonant, vowel, consonant (CVC) words. Rather than learning the actual letters, the children were learning the sounds that the letters make. ‘</w:t>
      </w:r>
      <w:r w:rsidRPr="00BD41BC">
        <w:rPr>
          <w:rFonts w:ascii="Times New Roman" w:eastAsia="Times New Roman" w:hAnsi="Times New Roman" w:cs="Times New Roman"/>
          <w:color w:val="000000"/>
          <w:sz w:val="24"/>
          <w:szCs w:val="24"/>
          <w:shd w:val="clear" w:color="auto" w:fill="FFFFFF"/>
          <w:lang w:eastAsia="en-GB"/>
        </w:rPr>
        <w:t>U.S. children were better at providing the names of letters than English children. English children outperformed U.S. children on letter-sound tasks’ (Ellefson et al, 2010)</w:t>
      </w:r>
      <w:r w:rsidRPr="00BD41BC">
        <w:rPr>
          <w:rFonts w:ascii="Times New Roman" w:eastAsia="Times New Roman" w:hAnsi="Times New Roman" w:cs="Times New Roman"/>
          <w:color w:val="000000"/>
          <w:sz w:val="24"/>
          <w:szCs w:val="24"/>
          <w:lang w:eastAsia="en-GB"/>
        </w:rPr>
        <w:t>. This is a result of the education system in the two countries as children in America usually learn about the letters themselves e.g. learning the alphabet, whereas in the United Kingdom children usually learn about the sounds that letters make. Children who recognise letters ‘will have an easier time learning about letter sounds and word spellings than a child who does not know the letters of the alphabet’ (Wood and McLemore, 2001, p. 1). Contrary to this, Jarrell believes that teaching letter sounds is ‘</w:t>
      </w:r>
      <w:r w:rsidRPr="00BD41BC">
        <w:rPr>
          <w:rFonts w:ascii="Times New Roman" w:eastAsia="Times New Roman" w:hAnsi="Times New Roman" w:cs="Times New Roman"/>
          <w:color w:val="000000"/>
          <w:sz w:val="24"/>
          <w:szCs w:val="24"/>
          <w:shd w:val="clear" w:color="auto" w:fill="FFFFFF"/>
          <w:lang w:eastAsia="en-GB"/>
        </w:rPr>
        <w:t>less confusing for children, and it enables them to more quickly begin to write and read’ (</w:t>
      </w:r>
      <w:r w:rsidRPr="00BD41BC">
        <w:rPr>
          <w:rFonts w:ascii="Times New Roman" w:eastAsia="Times New Roman" w:hAnsi="Times New Roman" w:cs="Times New Roman"/>
          <w:color w:val="000000"/>
          <w:sz w:val="24"/>
          <w:szCs w:val="24"/>
          <w:lang w:eastAsia="en-GB"/>
        </w:rPr>
        <w:t>Jarrell, 2018</w:t>
      </w:r>
      <w:r w:rsidRPr="00BD41BC">
        <w:rPr>
          <w:rFonts w:ascii="Times New Roman" w:eastAsia="Times New Roman" w:hAnsi="Times New Roman" w:cs="Times New Roman"/>
          <w:color w:val="000000"/>
          <w:sz w:val="24"/>
          <w:szCs w:val="24"/>
          <w:shd w:val="clear" w:color="auto" w:fill="FFFFFF"/>
          <w:lang w:eastAsia="en-GB"/>
        </w:rPr>
        <w:t xml:space="preserve">). During PTE, it was evident that the children were learning about the letter sounds rather than the alphabet. Consequently, the children were able to sound out the different letters and spell the words correctly. </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shd w:val="clear" w:color="auto" w:fill="FFFFFF"/>
          <w:lang w:eastAsia="en-GB"/>
        </w:rPr>
        <w:t>In this lesson, the children were able to identify the sound a letter made when showed what it looked like. The lesson progressed when the children were shown CVC words. The pupils were able to sound out the different letters and put them together to work out the words. The children could also correctly write down a word which the trainee said by working out what sounds they could hear. The operant conditioning approach (positive reinforcement and negative reinforcement)</w:t>
      </w:r>
      <w:r w:rsidRPr="00BD41BC">
        <w:rPr>
          <w:rFonts w:ascii="Times New Roman" w:eastAsia="Times New Roman" w:hAnsi="Times New Roman" w:cs="Times New Roman"/>
          <w:color w:val="000000"/>
          <w:sz w:val="24"/>
          <w:szCs w:val="24"/>
          <w:lang w:eastAsia="en-GB"/>
        </w:rPr>
        <w:t xml:space="preserve"> was utilised in the lesson through the use of verbal praise when the children completed a task correctly, and they were given immediate correction if something was incorrect because </w:t>
      </w:r>
      <w:r w:rsidRPr="00BD41BC">
        <w:rPr>
          <w:rFonts w:ascii="Times New Roman" w:eastAsia="Times New Roman" w:hAnsi="Times New Roman" w:cs="Times New Roman"/>
          <w:color w:val="000000"/>
          <w:sz w:val="24"/>
          <w:szCs w:val="24"/>
          <w:shd w:val="clear" w:color="auto" w:fill="FFFFFF"/>
          <w:lang w:eastAsia="en-GB"/>
        </w:rPr>
        <w:t xml:space="preserve">‘rewards and punishments control the majority of human behaviours’ (Skinner, 1958, p. 9). The children continued to stay on task and were becoming more confident when given verbal praise. Constructivism is another approach which was used as the children learnt ‘new information [which was] built into and added onto an individual’s current structure of knowledge, understanding and skills’ (Pritchard, 2014, p. 18). It was evident that the children had prior knowledge on the sounds that letters make and could clearly distinguish between them. This provided a good level of base knowledge which allowed the children to build on their understanding and knowledge of phonics by reading and writing using letter sounds. </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 xml:space="preserve">The trainee ensured that the children were working in their ‘Zone of Proximal Development’. Vygotsky’s ‘Zone of Proximal Development’ was implemented through the differentiation of the task. Children are said to be working in the ‘Zone of Proximal Development’ when they are completing ‘skills too difficult for a child to master on his/her own, but can be done with guidance and encouragement from a knowledgeable person’ (McLeod, 2019). The trainee ensured that the lower ability children were completing easier work than the more able and talented children, for example, the lower ability children were just writing the CVC words, the medium ability children were writing sentences using CVC words and the more able and talented were writing sentences including four letter words. By doing this, the trainee ensured that each child was being challenged but not so much that they could not do or enjoy the work. </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 xml:space="preserve">The trainee’s knowledge on this subject was good as the trainee has a high standard of English. The activity was fairly simple and did not involve much research prior to the lesson. </w:t>
      </w:r>
      <w:r w:rsidRPr="00BD41BC">
        <w:rPr>
          <w:rFonts w:ascii="Times New Roman" w:eastAsia="Times New Roman" w:hAnsi="Times New Roman" w:cs="Times New Roman"/>
          <w:color w:val="000000"/>
          <w:sz w:val="24"/>
          <w:szCs w:val="24"/>
          <w:lang w:eastAsia="en-GB"/>
        </w:rPr>
        <w:lastRenderedPageBreak/>
        <w:t xml:space="preserve">The trainee spent time looking over the children’s previous work to see what standard each child was working at. The trainee also worked with the Learning Support Assistant (LSA) to ensure that the work was suitable and built upon work which the children had previously completed. Although the trainee had suitable knowledge on the subject, the trainee had to research different ways in which it could be taught. To do this, the trainee observed a read, write, ink session taught to a group of seven year one pupils by the LSA. The trainee was able to see how the session was differentiated to suit the needs of each child and also help the trainee to plan a session as she could see the standard of each child. The trainee could also see how the children behaved as well as to make notes on the method in which this subject could be taught. This allowed the trainee to become more confident in the pedagogy of teaching a read, write ink session as well as to keep the format of the session the same so that it was familiar to the children. </w:t>
      </w:r>
      <w:r w:rsidRPr="00BD41BC">
        <w:rPr>
          <w:rFonts w:ascii="Times New Roman" w:eastAsia="Times New Roman" w:hAnsi="Times New Roman" w:cs="Times New Roman"/>
          <w:color w:val="000000"/>
          <w:sz w:val="24"/>
          <w:szCs w:val="24"/>
          <w:shd w:val="clear" w:color="auto" w:fill="FFFFFF"/>
          <w:lang w:eastAsia="en-GB"/>
        </w:rPr>
        <w:t xml:space="preserve">The trainee wanted to keep the lesson as familiar as possible because </w:t>
      </w:r>
      <w:r w:rsidRPr="00BD41BC">
        <w:rPr>
          <w:rFonts w:ascii="Times New Roman" w:eastAsia="Times New Roman" w:hAnsi="Times New Roman" w:cs="Times New Roman"/>
          <w:color w:val="000000"/>
          <w:sz w:val="24"/>
          <w:szCs w:val="24"/>
          <w:lang w:eastAsia="en-GB"/>
        </w:rPr>
        <w:t xml:space="preserve">‘As </w:t>
      </w:r>
      <w:r w:rsidRPr="00BD41BC">
        <w:rPr>
          <w:rFonts w:ascii="Times New Roman" w:eastAsia="Times New Roman" w:hAnsi="Times New Roman" w:cs="Times New Roman"/>
          <w:color w:val="000000"/>
          <w:sz w:val="24"/>
          <w:szCs w:val="24"/>
          <w:shd w:val="clear" w:color="auto" w:fill="FFFFFF"/>
          <w:lang w:eastAsia="en-GB"/>
        </w:rPr>
        <w:t>soon as something disrupts that feeling of consistency, children are reluctant to embrace it’ (Cox, 2019).</w:t>
      </w:r>
      <w:r w:rsidRPr="00BD41BC">
        <w:rPr>
          <w:rFonts w:ascii="Times New Roman" w:eastAsia="Times New Roman" w:hAnsi="Times New Roman" w:cs="Times New Roman"/>
          <w:color w:val="000000"/>
          <w:sz w:val="24"/>
          <w:szCs w:val="24"/>
          <w:lang w:eastAsia="en-GB"/>
        </w:rPr>
        <w:t xml:space="preserve"> It is important to ‘establish consistency in teaching and learning’ (Education Development Trust, 2014) because it allows children to feel comfortable and safe especially if the children lack consistency at home. </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The trainee could have also included modelling into this session. As the saying goes, ‘monkey see, monkey do’. Mirror neurons are believed to ‘p</w:t>
      </w:r>
      <w:r w:rsidRPr="00BD41BC">
        <w:rPr>
          <w:rFonts w:ascii="Times New Roman" w:eastAsia="Times New Roman" w:hAnsi="Times New Roman" w:cs="Times New Roman"/>
          <w:color w:val="000000"/>
          <w:sz w:val="24"/>
          <w:szCs w:val="24"/>
          <w:shd w:val="clear" w:color="auto" w:fill="FFFFFF"/>
          <w:lang w:eastAsia="en-GB"/>
        </w:rPr>
        <w:t>lay a critical role in how and why we understand other people’s actions’ (Association for Psychological Science, 2011). By modelling the writing, children can see what the letters and words look like and how they are drawn, developing their gross motor skills. The children can then copy this without needing to understand why the letters look the way they do.</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 xml:space="preserve">Measuring was the skill being developed in the Area of Learning ‘Mathematical Development’. When working with the year one and two children consisting of twelve children, the focus was on measuring using standard and non-standard units of measurements. The Foundation Phase Framework states that children in year one should be measuring using non-standard units of measurements while the year two children should be measuring using standard units of measurements (Welsh Government, 2015). Children at this age learn well through visual resources and concrete experiences therefore ‘by representing a maths concept with everyday objects, children can visualise, explore and manipulate them, giving easier access to mathematical knowledge and understanding’ (Todd, 2017). Using non-standard measurements of units allowed the children to compare the sizes of objects in the classroom to something that they are familiar with e.g. unifix. </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In this session, the trainee began by modelling how to measure using non-standard units of measurement. Modelling the work was an effective teaching method based on Bandura’s ‘Social Learning Theory’ which states;</w:t>
      </w:r>
    </w:p>
    <w:p w:rsidR="00BD41BC" w:rsidRPr="00BD41BC" w:rsidRDefault="00BD41BC" w:rsidP="00BD41BC">
      <w:pPr>
        <w:spacing w:after="0" w:line="240" w:lineRule="auto"/>
        <w:ind w:firstLine="720"/>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w:t>
      </w:r>
      <w:r w:rsidRPr="00BD41BC">
        <w:rPr>
          <w:rFonts w:ascii="Times New Roman" w:eastAsia="Times New Roman" w:hAnsi="Times New Roman" w:cs="Times New Roman"/>
          <w:i/>
          <w:iCs/>
          <w:color w:val="000000"/>
          <w:sz w:val="24"/>
          <w:szCs w:val="24"/>
          <w:shd w:val="clear" w:color="auto" w:fill="FFFFFF"/>
          <w:lang w:eastAsia="en-GB"/>
        </w:rPr>
        <w:t>Most human behavior is learned observationally through modeling: from observing others, one forms an idea of how new behaviors are performed, and on later occasions this coded information serves as a guide for action</w:t>
      </w:r>
      <w:r w:rsidRPr="00BD41BC">
        <w:rPr>
          <w:rFonts w:ascii="Times New Roman" w:eastAsia="Times New Roman" w:hAnsi="Times New Roman" w:cs="Times New Roman"/>
          <w:color w:val="000000"/>
          <w:sz w:val="24"/>
          <w:szCs w:val="24"/>
          <w:shd w:val="clear" w:color="auto" w:fill="FFFFFF"/>
          <w:lang w:eastAsia="en-GB"/>
        </w:rPr>
        <w:t xml:space="preserve">’ (Bandura, 1977, p. 22) </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The trainee used unifix to measure inanimate objects from around the classroom. Unifix was an ideal tool to use as the children were familiar with handling them. This not only developed the children’s understanding of non-standard units of measurement but also created an opportunity for the children to estimate and count meeting the criteria ‘</w:t>
      </w:r>
      <w:r w:rsidRPr="00BD41BC">
        <w:rPr>
          <w:rFonts w:ascii="Times New Roman" w:eastAsia="Times New Roman" w:hAnsi="Times New Roman" w:cs="Times New Roman"/>
          <w:color w:val="000000"/>
          <w:sz w:val="24"/>
          <w:szCs w:val="24"/>
          <w:shd w:val="clear" w:color="auto" w:fill="FFFFFF"/>
          <w:lang w:eastAsia="en-GB"/>
        </w:rPr>
        <w:t xml:space="preserve">count reliably up to 20 objects’ and ‘make a sensible estimate of a number of objects that can be checked by counting’ (Welsh Government, 2014). </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shd w:val="clear" w:color="auto" w:fill="FFFFFF"/>
          <w:lang w:eastAsia="en-GB"/>
        </w:rPr>
        <w:lastRenderedPageBreak/>
        <w:t xml:space="preserve">For the main session the trainee went on to question the children about how to use a ruler as this allowed the trainee to find out what knowledge the children already possessed. This again led to the trainee modelling how to use a ruler to ensure that all of the children understood and could do the task independently. This built upon the children’s knowledge on non-standard units of measurement as all of the children were now using standard units of measurement. This is a form of Vygotsky’s scaffolding approach as the children progressively moved towards a ‘stronger understanding and, ultimately, greater independence in the learning process’ (Great Schools Partnership, 2014). The trainee then lead the children outside to take part in a scavenger hunt where they had to find and measure the hidden rabbits. ‘Early math programs must be concrete, filled with play and exploration’ (Act for Libraries, 2017) to keep the children engaged. For this reason, the trainee planned and taught an exciting lesson basing the theme around something the children were interested in - Easter bunnies. </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Another way in which the trainee could have taught this session is through Vygotsky’s social constructivism which ‘</w:t>
      </w:r>
      <w:r w:rsidRPr="00BD41BC">
        <w:rPr>
          <w:rFonts w:ascii="Times New Roman" w:eastAsia="Times New Roman" w:hAnsi="Times New Roman" w:cs="Times New Roman"/>
          <w:color w:val="000000"/>
          <w:sz w:val="24"/>
          <w:szCs w:val="24"/>
          <w:shd w:val="clear" w:color="auto" w:fill="FFFFFF"/>
          <w:lang w:eastAsia="en-GB"/>
        </w:rPr>
        <w:t>comprises cognitive structures that are still in the process of maturing, but which can only mature under the guidance of or in collaboration with others’ (Berkeley Graduate Division, 2019). The trainee could have implemented this approach by splitting the children into mixed ability groups. The children could have then selected different objects from around the classroom to measure and record using non-standard units. The children could have then chosen between a ruler, metre rule, tape measure or a trundle wheel to measure each other. This would have allowed the children to practice measuring using a variety of tools. This is a form of child-led learning which can be seen in many forms from the ‘children [being] responsible for deciding what to learn ... [to deciding what] methods and materials are used for study’ (Cicerchia, 2017).</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The level of subject knowledge required for this lesson was easy for the trainee as she already possessed a good level of understanding. As the trainee knew what skills needed to be taught, the trainee did not undertake much research prior to the lesson. The trainee ensured to look at the curriculum documents to ensure that the lesson met the correct curriculum for both year groups. The trainee researched different methods in which this lesson could be taught but could not find a lesson which she thought would engage all of the children. The trainee wanted to use the outdoor learning area as ‘it is essential that young children get frequent and regular opportunities to explore and learn in the outdoor environment’ (Council for Learning Outside the Classroom, 2009, p. 1). The trainee decided to create resources that would interest the children and as soon as the children saw one of the Easter bunnies, they were all excited and ready to begin the session. The trainee implemented the strategy of using Vygotsky’s more knowledgeable other which refers to</w:t>
      </w:r>
      <w:r w:rsidRPr="00BD41BC">
        <w:rPr>
          <w:rFonts w:ascii="Times New Roman" w:eastAsia="Times New Roman" w:hAnsi="Times New Roman" w:cs="Times New Roman"/>
          <w:color w:val="000000"/>
          <w:sz w:val="24"/>
          <w:szCs w:val="24"/>
          <w:shd w:val="clear" w:color="auto" w:fill="FFFFFF"/>
          <w:lang w:eastAsia="en-GB"/>
        </w:rPr>
        <w:t xml:space="preserve"> someone who possesses a ‘better understanding or a higher ability level than the learner’ (McLeod, 2018). The trainee used this strategy by using mixed ability pairs. The higher ability child in the pairs would be able to do the task independently however, by pairing them with a lower ability child, they were able to describe how to measure and work on leadership skills. It is important to instil children with leadership skills as it will allow children to develop a number of skills including confidence, problem-solving and team work (PennState Extension, 2016). Furthermore, allowing the children to work independently causes</w:t>
      </w:r>
      <w:r w:rsidRPr="00BD41BC">
        <w:rPr>
          <w:rFonts w:ascii="Times New Roman" w:eastAsia="Times New Roman" w:hAnsi="Times New Roman" w:cs="Times New Roman"/>
          <w:color w:val="000000"/>
          <w:sz w:val="24"/>
          <w:szCs w:val="24"/>
          <w:lang w:eastAsia="en-GB"/>
        </w:rPr>
        <w:t xml:space="preserve"> ‘improved motivation and better management of their learning’ (Meyer et al, 2008).</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 xml:space="preserve">In conclusion, it’s clear that teacher subject knowledge is important in relation to the teaching of not only language and mathematics but across all of the subjects/Areas of Learning. It is important to have a good level of subject knowledge because if the teacher does not </w:t>
      </w:r>
      <w:r w:rsidRPr="00BD41BC">
        <w:rPr>
          <w:rFonts w:ascii="Times New Roman" w:eastAsia="Times New Roman" w:hAnsi="Times New Roman" w:cs="Times New Roman"/>
          <w:color w:val="000000"/>
          <w:sz w:val="24"/>
          <w:szCs w:val="24"/>
          <w:lang w:eastAsia="en-GB"/>
        </w:rPr>
        <w:lastRenderedPageBreak/>
        <w:t xml:space="preserve">understand the skills or the different methods in which the subject can be taught, it will be far more difficult for the children to understand and develop their knowledge. With the new curriculum being implemented it is more important than ever for teachers to have good subject knowledge as language and mathematics will have to be taught </w:t>
      </w:r>
      <w:r>
        <w:rPr>
          <w:rFonts w:ascii="Times New Roman" w:eastAsia="Times New Roman" w:hAnsi="Times New Roman" w:cs="Times New Roman"/>
          <w:color w:val="000000"/>
          <w:sz w:val="24"/>
          <w:szCs w:val="24"/>
          <w:lang w:eastAsia="en-GB"/>
        </w:rPr>
        <w:t>in a cross-curricular method</w:t>
      </w:r>
      <w:r w:rsidRPr="00BD41BC">
        <w:rPr>
          <w:rFonts w:ascii="Times New Roman" w:eastAsia="Times New Roman" w:hAnsi="Times New Roman" w:cs="Times New Roman"/>
          <w:color w:val="000000"/>
          <w:sz w:val="24"/>
          <w:szCs w:val="24"/>
          <w:lang w:eastAsia="en-GB"/>
        </w:rPr>
        <w:t xml:space="preserve">. As well as having good subject knowledge, it is also crucial that teachers have good pedagogical knowledge because teachers need a good understanding of how to teach pupils, not just what they teach. Shulman (1987) states, pedagogical subject knowledge ‘represents the blending of content and pedagogy’ to meet the diverse interests, abilities and needs of all pupils. The trainee has good subject knowledge on the lessons taught however the trainee needs to gain more knowledge and understanding on the methods in which these skills can be taught. Although the trainee had a good level of subject knowledge in the skills mentioned (reading and measuring), there are other aspects in language and mathematics which the trainee needs to develop and improve on the subject knowledge. By having an increased level of subject and pedagogical knowledge, the trainee will be able to deliver sessions/information more effectively allowing the children to learn more successfully. </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Word count: 2,73</w:t>
      </w:r>
      <w:r w:rsidRPr="00BD41BC">
        <w:rPr>
          <w:rFonts w:ascii="Times New Roman" w:eastAsia="Times New Roman" w:hAnsi="Times New Roman" w:cs="Times New Roman"/>
          <w:color w:val="000000"/>
          <w:sz w:val="24"/>
          <w:szCs w:val="24"/>
          <w:lang w:eastAsia="en-GB"/>
        </w:rPr>
        <w:t>7</w:t>
      </w:r>
    </w:p>
    <w:p w:rsidR="00BD41BC" w:rsidRPr="00BD41BC" w:rsidRDefault="00BD41BC" w:rsidP="00BD41BC">
      <w:pPr>
        <w:spacing w:after="24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sz w:val="24"/>
          <w:szCs w:val="24"/>
          <w:lang w:eastAsia="en-GB"/>
        </w:rPr>
        <w:br/>
      </w:r>
      <w:r w:rsidRPr="00BD41BC">
        <w:rPr>
          <w:rFonts w:ascii="Times New Roman" w:eastAsia="Times New Roman" w:hAnsi="Times New Roman" w:cs="Times New Roman"/>
          <w:sz w:val="24"/>
          <w:szCs w:val="24"/>
          <w:lang w:eastAsia="en-GB"/>
        </w:rPr>
        <w:br/>
      </w:r>
      <w:r w:rsidRPr="00BD41BC">
        <w:rPr>
          <w:rFonts w:ascii="Times New Roman" w:eastAsia="Times New Roman" w:hAnsi="Times New Roman" w:cs="Times New Roman"/>
          <w:sz w:val="24"/>
          <w:szCs w:val="24"/>
          <w:lang w:eastAsia="en-GB"/>
        </w:rPr>
        <w:br/>
      </w:r>
      <w:r w:rsidRPr="00BD41BC">
        <w:rPr>
          <w:rFonts w:ascii="Times New Roman" w:eastAsia="Times New Roman" w:hAnsi="Times New Roman" w:cs="Times New Roman"/>
          <w:sz w:val="24"/>
          <w:szCs w:val="24"/>
          <w:lang w:eastAsia="en-GB"/>
        </w:rPr>
        <w:br/>
      </w:r>
      <w:r w:rsidRPr="00BD41BC">
        <w:rPr>
          <w:rFonts w:ascii="Times New Roman" w:eastAsia="Times New Roman" w:hAnsi="Times New Roman" w:cs="Times New Roman"/>
          <w:sz w:val="24"/>
          <w:szCs w:val="24"/>
          <w:lang w:eastAsia="en-GB"/>
        </w:rPr>
        <w:br/>
      </w:r>
      <w:r w:rsidRPr="00BD41BC">
        <w:rPr>
          <w:rFonts w:ascii="Times New Roman" w:eastAsia="Times New Roman" w:hAnsi="Times New Roman" w:cs="Times New Roman"/>
          <w:sz w:val="24"/>
          <w:szCs w:val="24"/>
          <w:lang w:eastAsia="en-GB"/>
        </w:rPr>
        <w:br/>
      </w:r>
      <w:r w:rsidRPr="00BD41BC">
        <w:rPr>
          <w:rFonts w:ascii="Times New Roman" w:eastAsia="Times New Roman" w:hAnsi="Times New Roman" w:cs="Times New Roman"/>
          <w:sz w:val="24"/>
          <w:szCs w:val="24"/>
          <w:lang w:eastAsia="en-GB"/>
        </w:rPr>
        <w:br/>
      </w:r>
      <w:r w:rsidRPr="00BD41BC">
        <w:rPr>
          <w:rFonts w:ascii="Times New Roman" w:eastAsia="Times New Roman" w:hAnsi="Times New Roman" w:cs="Times New Roman"/>
          <w:sz w:val="24"/>
          <w:szCs w:val="24"/>
          <w:lang w:eastAsia="en-GB"/>
        </w:rPr>
        <w:br/>
      </w:r>
      <w:r w:rsidRPr="00BD41BC">
        <w:rPr>
          <w:rFonts w:ascii="Times New Roman" w:eastAsia="Times New Roman" w:hAnsi="Times New Roman" w:cs="Times New Roman"/>
          <w:sz w:val="24"/>
          <w:szCs w:val="24"/>
          <w:lang w:eastAsia="en-GB"/>
        </w:rPr>
        <w:br/>
      </w:r>
      <w:r w:rsidRPr="00BD41BC">
        <w:rPr>
          <w:rFonts w:ascii="Times New Roman" w:eastAsia="Times New Roman" w:hAnsi="Times New Roman" w:cs="Times New Roman"/>
          <w:sz w:val="24"/>
          <w:szCs w:val="24"/>
          <w:lang w:eastAsia="en-GB"/>
        </w:rPr>
        <w:br/>
      </w:r>
      <w:r w:rsidRPr="00BD41BC">
        <w:rPr>
          <w:rFonts w:ascii="Times New Roman" w:eastAsia="Times New Roman" w:hAnsi="Times New Roman" w:cs="Times New Roman"/>
          <w:sz w:val="24"/>
          <w:szCs w:val="24"/>
          <w:lang w:eastAsia="en-GB"/>
        </w:rPr>
        <w:br/>
      </w:r>
      <w:r w:rsidRPr="00BD41BC">
        <w:rPr>
          <w:rFonts w:ascii="Times New Roman" w:eastAsia="Times New Roman" w:hAnsi="Times New Roman" w:cs="Times New Roman"/>
          <w:sz w:val="24"/>
          <w:szCs w:val="24"/>
          <w:lang w:eastAsia="en-GB"/>
        </w:rPr>
        <w:br/>
      </w:r>
      <w:r w:rsidRPr="00BD41BC">
        <w:rPr>
          <w:rFonts w:ascii="Times New Roman" w:eastAsia="Times New Roman" w:hAnsi="Times New Roman" w:cs="Times New Roman"/>
          <w:sz w:val="24"/>
          <w:szCs w:val="24"/>
          <w:lang w:eastAsia="en-GB"/>
        </w:rPr>
        <w:br/>
      </w:r>
      <w:r w:rsidRPr="00BD41BC">
        <w:rPr>
          <w:rFonts w:ascii="Times New Roman" w:eastAsia="Times New Roman" w:hAnsi="Times New Roman" w:cs="Times New Roman"/>
          <w:sz w:val="24"/>
          <w:szCs w:val="24"/>
          <w:lang w:eastAsia="en-GB"/>
        </w:rPr>
        <w:br/>
      </w:r>
      <w:r w:rsidRPr="00BD41BC">
        <w:rPr>
          <w:rFonts w:ascii="Times New Roman" w:eastAsia="Times New Roman" w:hAnsi="Times New Roman" w:cs="Times New Roman"/>
          <w:sz w:val="24"/>
          <w:szCs w:val="24"/>
          <w:lang w:eastAsia="en-GB"/>
        </w:rPr>
        <w:br/>
      </w:r>
      <w:r w:rsidRPr="00BD41BC">
        <w:rPr>
          <w:rFonts w:ascii="Times New Roman" w:eastAsia="Times New Roman" w:hAnsi="Times New Roman" w:cs="Times New Roman"/>
          <w:sz w:val="24"/>
          <w:szCs w:val="24"/>
          <w:lang w:eastAsia="en-GB"/>
        </w:rPr>
        <w:br/>
      </w:r>
      <w:r w:rsidRPr="00BD41BC">
        <w:rPr>
          <w:rFonts w:ascii="Times New Roman" w:eastAsia="Times New Roman" w:hAnsi="Times New Roman" w:cs="Times New Roman"/>
          <w:sz w:val="24"/>
          <w:szCs w:val="24"/>
          <w:lang w:eastAsia="en-GB"/>
        </w:rPr>
        <w:br/>
      </w:r>
      <w:r w:rsidRPr="00BD41BC">
        <w:rPr>
          <w:rFonts w:ascii="Times New Roman" w:eastAsia="Times New Roman" w:hAnsi="Times New Roman" w:cs="Times New Roman"/>
          <w:sz w:val="24"/>
          <w:szCs w:val="24"/>
          <w:lang w:eastAsia="en-GB"/>
        </w:rPr>
        <w:br/>
      </w:r>
      <w:r w:rsidRPr="00BD41BC">
        <w:rPr>
          <w:rFonts w:ascii="Times New Roman" w:eastAsia="Times New Roman" w:hAnsi="Times New Roman" w:cs="Times New Roman"/>
          <w:sz w:val="24"/>
          <w:szCs w:val="24"/>
          <w:lang w:eastAsia="en-GB"/>
        </w:rPr>
        <w:br/>
      </w:r>
      <w:r w:rsidRPr="00BD41BC">
        <w:rPr>
          <w:rFonts w:ascii="Times New Roman" w:eastAsia="Times New Roman" w:hAnsi="Times New Roman" w:cs="Times New Roman"/>
          <w:sz w:val="24"/>
          <w:szCs w:val="24"/>
          <w:lang w:eastAsia="en-GB"/>
        </w:rPr>
        <w:br/>
      </w:r>
    </w:p>
    <w:p w:rsidR="00BD41BC" w:rsidRDefault="00BD41BC" w:rsidP="00BD41BC">
      <w:pPr>
        <w:spacing w:after="0" w:line="240" w:lineRule="auto"/>
        <w:rPr>
          <w:rFonts w:ascii="Times New Roman" w:eastAsia="Times New Roman" w:hAnsi="Times New Roman" w:cs="Times New Roman"/>
          <w:color w:val="000000"/>
          <w:sz w:val="24"/>
          <w:szCs w:val="24"/>
          <w:lang w:eastAsia="en-GB"/>
        </w:rPr>
      </w:pPr>
    </w:p>
    <w:p w:rsidR="00BD41BC" w:rsidRDefault="00BD41BC" w:rsidP="00BD41BC">
      <w:pPr>
        <w:spacing w:after="0" w:line="240" w:lineRule="auto"/>
        <w:rPr>
          <w:rFonts w:ascii="Times New Roman" w:eastAsia="Times New Roman" w:hAnsi="Times New Roman" w:cs="Times New Roman"/>
          <w:color w:val="000000"/>
          <w:sz w:val="24"/>
          <w:szCs w:val="24"/>
          <w:lang w:eastAsia="en-GB"/>
        </w:rPr>
      </w:pPr>
    </w:p>
    <w:p w:rsidR="00BD41BC" w:rsidRDefault="00BD41BC" w:rsidP="00BD41BC">
      <w:pPr>
        <w:spacing w:after="0" w:line="240" w:lineRule="auto"/>
        <w:rPr>
          <w:rFonts w:ascii="Times New Roman" w:eastAsia="Times New Roman" w:hAnsi="Times New Roman" w:cs="Times New Roman"/>
          <w:color w:val="000000"/>
          <w:sz w:val="24"/>
          <w:szCs w:val="24"/>
          <w:lang w:eastAsia="en-GB"/>
        </w:rPr>
      </w:pPr>
    </w:p>
    <w:p w:rsidR="00BD41BC" w:rsidRDefault="00BD41BC" w:rsidP="00BD41BC">
      <w:pPr>
        <w:spacing w:after="0" w:line="240" w:lineRule="auto"/>
        <w:rPr>
          <w:rFonts w:ascii="Times New Roman" w:eastAsia="Times New Roman" w:hAnsi="Times New Roman" w:cs="Times New Roman"/>
          <w:color w:val="000000"/>
          <w:sz w:val="24"/>
          <w:szCs w:val="24"/>
          <w:lang w:eastAsia="en-GB"/>
        </w:rPr>
      </w:pPr>
    </w:p>
    <w:p w:rsidR="00BD41BC" w:rsidRDefault="00BD41BC" w:rsidP="00BD41BC">
      <w:pPr>
        <w:spacing w:after="0" w:line="240" w:lineRule="auto"/>
        <w:rPr>
          <w:rFonts w:ascii="Times New Roman" w:eastAsia="Times New Roman" w:hAnsi="Times New Roman" w:cs="Times New Roman"/>
          <w:color w:val="000000"/>
          <w:sz w:val="24"/>
          <w:szCs w:val="24"/>
          <w:lang w:eastAsia="en-GB"/>
        </w:rPr>
      </w:pPr>
    </w:p>
    <w:p w:rsidR="00BD41BC" w:rsidRDefault="00BD41BC" w:rsidP="00BD41BC">
      <w:pPr>
        <w:spacing w:after="0" w:line="240" w:lineRule="auto"/>
        <w:rPr>
          <w:rFonts w:ascii="Times New Roman" w:eastAsia="Times New Roman" w:hAnsi="Times New Roman" w:cs="Times New Roman"/>
          <w:color w:val="000000"/>
          <w:sz w:val="24"/>
          <w:szCs w:val="24"/>
          <w:lang w:eastAsia="en-GB"/>
        </w:rPr>
      </w:pPr>
    </w:p>
    <w:p w:rsidR="00BD41BC" w:rsidRDefault="00BD41BC" w:rsidP="00BD41BC">
      <w:pPr>
        <w:spacing w:after="0" w:line="240" w:lineRule="auto"/>
        <w:rPr>
          <w:rFonts w:ascii="Times New Roman" w:eastAsia="Times New Roman" w:hAnsi="Times New Roman" w:cs="Times New Roman"/>
          <w:color w:val="000000"/>
          <w:sz w:val="24"/>
          <w:szCs w:val="24"/>
          <w:lang w:eastAsia="en-GB"/>
        </w:rPr>
      </w:pPr>
    </w:p>
    <w:p w:rsidR="00BD41BC" w:rsidRDefault="00BD41BC" w:rsidP="00BD41BC">
      <w:pPr>
        <w:spacing w:after="0" w:line="240" w:lineRule="auto"/>
        <w:rPr>
          <w:rFonts w:ascii="Times New Roman" w:eastAsia="Times New Roman" w:hAnsi="Times New Roman" w:cs="Times New Roman"/>
          <w:color w:val="000000"/>
          <w:sz w:val="24"/>
          <w:szCs w:val="24"/>
          <w:lang w:eastAsia="en-GB"/>
        </w:rPr>
      </w:pPr>
    </w:p>
    <w:p w:rsidR="00BD41BC" w:rsidRDefault="00BD41BC" w:rsidP="00BD41BC">
      <w:pPr>
        <w:spacing w:after="0" w:line="240" w:lineRule="auto"/>
        <w:rPr>
          <w:rFonts w:ascii="Times New Roman" w:eastAsia="Times New Roman" w:hAnsi="Times New Roman" w:cs="Times New Roman"/>
          <w:color w:val="000000"/>
          <w:sz w:val="24"/>
          <w:szCs w:val="24"/>
          <w:lang w:eastAsia="en-GB"/>
        </w:rPr>
      </w:pPr>
    </w:p>
    <w:p w:rsidR="00BD41BC" w:rsidRDefault="00BD41BC" w:rsidP="00BD41BC">
      <w:pPr>
        <w:spacing w:after="0" w:line="240" w:lineRule="auto"/>
        <w:rPr>
          <w:rFonts w:ascii="Times New Roman" w:eastAsia="Times New Roman" w:hAnsi="Times New Roman" w:cs="Times New Roman"/>
          <w:color w:val="000000"/>
          <w:sz w:val="24"/>
          <w:szCs w:val="24"/>
          <w:lang w:eastAsia="en-GB"/>
        </w:rPr>
      </w:pPr>
    </w:p>
    <w:p w:rsidR="00BD41BC" w:rsidRDefault="00BD41BC" w:rsidP="00BD41BC">
      <w:pPr>
        <w:spacing w:after="0" w:line="240" w:lineRule="auto"/>
        <w:rPr>
          <w:rFonts w:ascii="Times New Roman" w:eastAsia="Times New Roman" w:hAnsi="Times New Roman" w:cs="Times New Roman"/>
          <w:color w:val="000000"/>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lastRenderedPageBreak/>
        <w:t>Reference List</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shd w:val="clear" w:color="auto" w:fill="FFFFFF"/>
          <w:lang w:eastAsia="en-GB"/>
        </w:rPr>
        <w:t xml:space="preserve">Act for Libraries (2017). </w:t>
      </w:r>
      <w:r w:rsidRPr="00BD41BC">
        <w:rPr>
          <w:rFonts w:ascii="Times New Roman" w:eastAsia="Times New Roman" w:hAnsi="Times New Roman" w:cs="Times New Roman"/>
          <w:i/>
          <w:iCs/>
          <w:color w:val="000000"/>
          <w:sz w:val="24"/>
          <w:szCs w:val="24"/>
          <w:shd w:val="clear" w:color="auto" w:fill="FFFFFF"/>
          <w:lang w:eastAsia="en-GB"/>
        </w:rPr>
        <w:t>Math Manipulatives Unifix Cubes value of Learning Educational Resources Geometric</w:t>
      </w:r>
      <w:r w:rsidRPr="00BD41BC">
        <w:rPr>
          <w:rFonts w:ascii="Times New Roman" w:eastAsia="Times New Roman" w:hAnsi="Times New Roman" w:cs="Times New Roman"/>
          <w:color w:val="000000"/>
          <w:sz w:val="24"/>
          <w:szCs w:val="24"/>
          <w:shd w:val="clear" w:color="auto" w:fill="FFFFFF"/>
          <w:lang w:eastAsia="en-GB"/>
        </w:rPr>
        <w:t xml:space="preserve">. Available at: </w:t>
      </w:r>
      <w:hyperlink r:id="rId6" w:history="1">
        <w:r w:rsidRPr="00BD41BC">
          <w:rPr>
            <w:rFonts w:ascii="Times New Roman" w:eastAsia="Times New Roman" w:hAnsi="Times New Roman" w:cs="Times New Roman"/>
            <w:color w:val="1155CC"/>
            <w:sz w:val="24"/>
            <w:szCs w:val="24"/>
            <w:u w:val="single"/>
            <w:shd w:val="clear" w:color="auto" w:fill="FFFFFF"/>
            <w:lang w:eastAsia="en-GB"/>
          </w:rPr>
          <w:t>http://www.actforlibraries.org/math-manipulatives-unifix-cubes-value-of-learning-educational-resources-geometric/</w:t>
        </w:r>
      </w:hyperlink>
      <w:r w:rsidRPr="00BD41BC">
        <w:rPr>
          <w:rFonts w:ascii="Times New Roman" w:eastAsia="Times New Roman" w:hAnsi="Times New Roman" w:cs="Times New Roman"/>
          <w:color w:val="1C425A"/>
          <w:sz w:val="24"/>
          <w:szCs w:val="24"/>
          <w:shd w:val="clear" w:color="auto" w:fill="FFFFFF"/>
          <w:lang w:eastAsia="en-GB"/>
        </w:rPr>
        <w:t xml:space="preserve"> </w:t>
      </w:r>
      <w:r w:rsidRPr="00BD41BC">
        <w:rPr>
          <w:rFonts w:ascii="Times New Roman" w:eastAsia="Times New Roman" w:hAnsi="Times New Roman" w:cs="Times New Roman"/>
          <w:color w:val="000000"/>
          <w:sz w:val="24"/>
          <w:szCs w:val="24"/>
          <w:shd w:val="clear" w:color="auto" w:fill="FFFFFF"/>
          <w:lang w:eastAsia="en-GB"/>
        </w:rPr>
        <w:t>(Accessed: 27 April 2019)</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shd w:val="clear" w:color="auto" w:fill="FFFFFF"/>
          <w:lang w:eastAsia="en-GB"/>
        </w:rPr>
        <w:t xml:space="preserve">Association for Psychological Science (2011). </w:t>
      </w:r>
      <w:r w:rsidRPr="00BD41BC">
        <w:rPr>
          <w:rFonts w:ascii="Times New Roman" w:eastAsia="Times New Roman" w:hAnsi="Times New Roman" w:cs="Times New Roman"/>
          <w:i/>
          <w:iCs/>
          <w:color w:val="000000"/>
          <w:sz w:val="24"/>
          <w:szCs w:val="24"/>
          <w:shd w:val="clear" w:color="auto" w:fill="FFFFFF"/>
          <w:lang w:eastAsia="en-GB"/>
        </w:rPr>
        <w:t>Monkey See, Monkey Do? The Role of Mirror Neurons in Human Behavior</w:t>
      </w:r>
      <w:r w:rsidRPr="00BD41BC">
        <w:rPr>
          <w:rFonts w:ascii="Times New Roman" w:eastAsia="Times New Roman" w:hAnsi="Times New Roman" w:cs="Times New Roman"/>
          <w:color w:val="000000"/>
          <w:sz w:val="24"/>
          <w:szCs w:val="24"/>
          <w:shd w:val="clear" w:color="auto" w:fill="FFFFFF"/>
          <w:lang w:eastAsia="en-GB"/>
        </w:rPr>
        <w:t xml:space="preserve">. Available at: </w:t>
      </w:r>
      <w:hyperlink r:id="rId7" w:history="1">
        <w:r w:rsidRPr="00BD41BC">
          <w:rPr>
            <w:rFonts w:ascii="Times New Roman" w:eastAsia="Times New Roman" w:hAnsi="Times New Roman" w:cs="Times New Roman"/>
            <w:color w:val="1155CC"/>
            <w:sz w:val="24"/>
            <w:szCs w:val="24"/>
            <w:u w:val="single"/>
            <w:shd w:val="clear" w:color="auto" w:fill="FFFFFF"/>
            <w:lang w:eastAsia="en-GB"/>
          </w:rPr>
          <w:t>https://www.psychologicalscience.org/news/releases/monkey-see-monkey-do-the-role-of-mirror-neurons-in-human-behavior.html</w:t>
        </w:r>
      </w:hyperlink>
      <w:r w:rsidRPr="00BD41BC">
        <w:rPr>
          <w:rFonts w:ascii="Times New Roman" w:eastAsia="Times New Roman" w:hAnsi="Times New Roman" w:cs="Times New Roman"/>
          <w:color w:val="000000"/>
          <w:sz w:val="24"/>
          <w:szCs w:val="24"/>
          <w:shd w:val="clear" w:color="auto" w:fill="FFFFFF"/>
          <w:lang w:eastAsia="en-GB"/>
        </w:rPr>
        <w:t xml:space="preserve"> (Accessed: 29 April 2019)</w:t>
      </w:r>
    </w:p>
    <w:p w:rsidR="00BD41BC" w:rsidRPr="00BD41BC" w:rsidRDefault="00BD41BC" w:rsidP="00BD41BC">
      <w:pPr>
        <w:spacing w:after="24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shd w:val="clear" w:color="auto" w:fill="FFFFFF"/>
          <w:lang w:eastAsia="en-GB"/>
        </w:rPr>
        <w:t xml:space="preserve">Bandura, A. (1997). </w:t>
      </w:r>
      <w:r w:rsidRPr="00BD41BC">
        <w:rPr>
          <w:rFonts w:ascii="Times New Roman" w:eastAsia="Times New Roman" w:hAnsi="Times New Roman" w:cs="Times New Roman"/>
          <w:i/>
          <w:iCs/>
          <w:color w:val="000000"/>
          <w:sz w:val="24"/>
          <w:szCs w:val="24"/>
          <w:shd w:val="clear" w:color="auto" w:fill="FFFFFF"/>
          <w:lang w:eastAsia="en-GB"/>
        </w:rPr>
        <w:t>Self-efficacy: The exercise of control.</w:t>
      </w:r>
      <w:r w:rsidRPr="00BD41BC">
        <w:rPr>
          <w:rFonts w:ascii="Times New Roman" w:eastAsia="Times New Roman" w:hAnsi="Times New Roman" w:cs="Times New Roman"/>
          <w:color w:val="000000"/>
          <w:sz w:val="24"/>
          <w:szCs w:val="24"/>
          <w:shd w:val="clear" w:color="auto" w:fill="FFFFFF"/>
          <w:lang w:eastAsia="en-GB"/>
        </w:rPr>
        <w:t xml:space="preserve"> New York: W.H. Freeman.</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 xml:space="preserve">Berkeley Graduate Division (2019). </w:t>
      </w:r>
      <w:r w:rsidRPr="00BD41BC">
        <w:rPr>
          <w:rFonts w:ascii="Times New Roman" w:eastAsia="Times New Roman" w:hAnsi="Times New Roman" w:cs="Times New Roman"/>
          <w:i/>
          <w:iCs/>
          <w:color w:val="000000"/>
          <w:sz w:val="24"/>
          <w:szCs w:val="24"/>
          <w:lang w:eastAsia="en-GB"/>
        </w:rPr>
        <w:t>Social Constructivism</w:t>
      </w:r>
      <w:r w:rsidRPr="00BD41BC">
        <w:rPr>
          <w:rFonts w:ascii="Times New Roman" w:eastAsia="Times New Roman" w:hAnsi="Times New Roman" w:cs="Times New Roman"/>
          <w:color w:val="000000"/>
          <w:sz w:val="24"/>
          <w:szCs w:val="24"/>
          <w:lang w:eastAsia="en-GB"/>
        </w:rPr>
        <w:t xml:space="preserve">. Available at: </w:t>
      </w:r>
      <w:hyperlink r:id="rId8" w:history="1">
        <w:r w:rsidRPr="00BD41BC">
          <w:rPr>
            <w:rFonts w:ascii="Times New Roman" w:eastAsia="Times New Roman" w:hAnsi="Times New Roman" w:cs="Times New Roman"/>
            <w:color w:val="1155CC"/>
            <w:sz w:val="24"/>
            <w:szCs w:val="24"/>
            <w:u w:val="single"/>
            <w:lang w:eastAsia="en-GB"/>
          </w:rPr>
          <w:t>https://gsi.berkeley.edu/gsi-guide-contents/learning-theory-research/social-constructivism/</w:t>
        </w:r>
      </w:hyperlink>
      <w:r w:rsidRPr="00BD41BC">
        <w:rPr>
          <w:rFonts w:ascii="Times New Roman" w:eastAsia="Times New Roman" w:hAnsi="Times New Roman" w:cs="Times New Roman"/>
          <w:color w:val="000000"/>
          <w:sz w:val="24"/>
          <w:szCs w:val="24"/>
          <w:lang w:eastAsia="en-GB"/>
        </w:rPr>
        <w:t xml:space="preserve"> (Accessed: 29 April 2019)</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shd w:val="clear" w:color="auto" w:fill="FFFFFF"/>
          <w:lang w:eastAsia="en-GB"/>
        </w:rPr>
        <w:t xml:space="preserve">Cicerchia, M. (2017). </w:t>
      </w:r>
      <w:r w:rsidRPr="00BD41BC">
        <w:rPr>
          <w:rFonts w:ascii="Times New Roman" w:eastAsia="Times New Roman" w:hAnsi="Times New Roman" w:cs="Times New Roman"/>
          <w:i/>
          <w:iCs/>
          <w:color w:val="000000"/>
          <w:sz w:val="24"/>
          <w:szCs w:val="24"/>
          <w:shd w:val="clear" w:color="auto" w:fill="FFFFFF"/>
          <w:lang w:eastAsia="en-GB"/>
        </w:rPr>
        <w:t>What is child-led learning?</w:t>
      </w:r>
      <w:r w:rsidRPr="00BD41BC">
        <w:rPr>
          <w:rFonts w:ascii="Times New Roman" w:eastAsia="Times New Roman" w:hAnsi="Times New Roman" w:cs="Times New Roman"/>
          <w:color w:val="000000"/>
          <w:sz w:val="24"/>
          <w:szCs w:val="24"/>
          <w:shd w:val="clear" w:color="auto" w:fill="FFFFFF"/>
          <w:lang w:eastAsia="en-GB"/>
        </w:rPr>
        <w:t xml:space="preserve">. Available at: </w:t>
      </w:r>
      <w:hyperlink r:id="rId9" w:history="1">
        <w:r w:rsidRPr="00BD41BC">
          <w:rPr>
            <w:rFonts w:ascii="Times New Roman" w:eastAsia="Times New Roman" w:hAnsi="Times New Roman" w:cs="Times New Roman"/>
            <w:color w:val="1155CC"/>
            <w:sz w:val="24"/>
            <w:szCs w:val="24"/>
            <w:u w:val="single"/>
            <w:shd w:val="clear" w:color="auto" w:fill="FFFFFF"/>
            <w:lang w:eastAsia="en-GB"/>
          </w:rPr>
          <w:t>https://www.readandspell.com/what-is-child-led-learning</w:t>
        </w:r>
      </w:hyperlink>
      <w:r w:rsidRPr="00BD41BC">
        <w:rPr>
          <w:rFonts w:ascii="Times New Roman" w:eastAsia="Times New Roman" w:hAnsi="Times New Roman" w:cs="Times New Roman"/>
          <w:color w:val="000000"/>
          <w:sz w:val="24"/>
          <w:szCs w:val="24"/>
          <w:lang w:eastAsia="en-GB"/>
        </w:rPr>
        <w:t xml:space="preserve"> (Accessed: 29 April 2019)</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 xml:space="preserve">Coe, R., Aloisi, C., Higgins, S. and Major, L. E. (2014). </w:t>
      </w:r>
      <w:r w:rsidRPr="00BD41BC">
        <w:rPr>
          <w:rFonts w:ascii="Times New Roman" w:eastAsia="Times New Roman" w:hAnsi="Times New Roman" w:cs="Times New Roman"/>
          <w:i/>
          <w:iCs/>
          <w:color w:val="000000"/>
          <w:sz w:val="24"/>
          <w:szCs w:val="24"/>
          <w:lang w:eastAsia="en-GB"/>
        </w:rPr>
        <w:t>What makes great teaching? Review of the underpinning research</w:t>
      </w:r>
      <w:r w:rsidRPr="00BD41BC">
        <w:rPr>
          <w:rFonts w:ascii="Times New Roman" w:eastAsia="Times New Roman" w:hAnsi="Times New Roman" w:cs="Times New Roman"/>
          <w:color w:val="000000"/>
          <w:sz w:val="24"/>
          <w:szCs w:val="24"/>
          <w:lang w:eastAsia="en-GB"/>
        </w:rPr>
        <w:t>. Available at:</w:t>
      </w:r>
      <w:r w:rsidRPr="00BD41BC">
        <w:rPr>
          <w:rFonts w:ascii="Times New Roman" w:eastAsia="Times New Roman" w:hAnsi="Times New Roman" w:cs="Times New Roman"/>
          <w:i/>
          <w:iCs/>
          <w:color w:val="000000"/>
          <w:sz w:val="24"/>
          <w:szCs w:val="24"/>
          <w:lang w:eastAsia="en-GB"/>
        </w:rPr>
        <w:t xml:space="preserve"> </w:t>
      </w:r>
      <w:hyperlink r:id="rId10" w:history="1">
        <w:r w:rsidRPr="00BD41BC">
          <w:rPr>
            <w:rFonts w:ascii="Times New Roman" w:eastAsia="Times New Roman" w:hAnsi="Times New Roman" w:cs="Times New Roman"/>
            <w:color w:val="1155CC"/>
            <w:sz w:val="24"/>
            <w:szCs w:val="24"/>
            <w:u w:val="single"/>
            <w:lang w:eastAsia="en-GB"/>
          </w:rPr>
          <w:t>https://www.suttontrust.com/wp-content/uploads/2014/10/What-Makes-Great-Teaching-REPORT.pdf</w:t>
        </w:r>
      </w:hyperlink>
      <w:r w:rsidRPr="00BD41BC">
        <w:rPr>
          <w:rFonts w:ascii="Times New Roman" w:eastAsia="Times New Roman" w:hAnsi="Times New Roman" w:cs="Times New Roman"/>
          <w:color w:val="000000"/>
          <w:sz w:val="24"/>
          <w:szCs w:val="24"/>
          <w:lang w:eastAsia="en-GB"/>
        </w:rPr>
        <w:t xml:space="preserve"> (Accessed: 24 April 2019)</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 xml:space="preserve">Council for Learning Outside the Classroom (2009). </w:t>
      </w:r>
      <w:r w:rsidRPr="00BD41BC">
        <w:rPr>
          <w:rFonts w:ascii="Times New Roman" w:eastAsia="Times New Roman" w:hAnsi="Times New Roman" w:cs="Times New Roman"/>
          <w:i/>
          <w:iCs/>
          <w:color w:val="000000"/>
          <w:sz w:val="24"/>
          <w:szCs w:val="24"/>
          <w:lang w:eastAsia="en-GB"/>
        </w:rPr>
        <w:t>Benefits for Early Years of Learning Outside the Classroom</w:t>
      </w:r>
      <w:r w:rsidRPr="00BD41BC">
        <w:rPr>
          <w:rFonts w:ascii="Times New Roman" w:eastAsia="Times New Roman" w:hAnsi="Times New Roman" w:cs="Times New Roman"/>
          <w:color w:val="000000"/>
          <w:sz w:val="24"/>
          <w:szCs w:val="24"/>
          <w:lang w:eastAsia="en-GB"/>
        </w:rPr>
        <w:t xml:space="preserve">. Available at: </w:t>
      </w:r>
      <w:hyperlink r:id="rId11" w:history="1">
        <w:r w:rsidRPr="00BD41BC">
          <w:rPr>
            <w:rFonts w:ascii="Times New Roman" w:eastAsia="Times New Roman" w:hAnsi="Times New Roman" w:cs="Times New Roman"/>
            <w:color w:val="1155CC"/>
            <w:sz w:val="24"/>
            <w:szCs w:val="24"/>
            <w:u w:val="single"/>
            <w:lang w:eastAsia="en-GB"/>
          </w:rPr>
          <w:t>https://www.lotc.org.uk/wp-content/uploads/2010/12/Benefits-for-Early-Years-LOtC-Final-5AUG09.pdf</w:t>
        </w:r>
      </w:hyperlink>
      <w:r w:rsidRPr="00BD41BC">
        <w:rPr>
          <w:rFonts w:ascii="Times New Roman" w:eastAsia="Times New Roman" w:hAnsi="Times New Roman" w:cs="Times New Roman"/>
          <w:color w:val="000000"/>
          <w:sz w:val="24"/>
          <w:szCs w:val="24"/>
          <w:lang w:eastAsia="en-GB"/>
        </w:rPr>
        <w:t xml:space="preserve"> (Accessed: 27 April 2019)</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 xml:space="preserve">Cox, J. (2019). </w:t>
      </w:r>
      <w:r w:rsidRPr="00BD41BC">
        <w:rPr>
          <w:rFonts w:ascii="Times New Roman" w:eastAsia="Times New Roman" w:hAnsi="Times New Roman" w:cs="Times New Roman"/>
          <w:i/>
          <w:iCs/>
          <w:color w:val="222222"/>
          <w:sz w:val="24"/>
          <w:szCs w:val="24"/>
          <w:lang w:eastAsia="en-GB"/>
        </w:rPr>
        <w:t>Consistency is Key with Classroom Management</w:t>
      </w:r>
      <w:r w:rsidRPr="00BD41BC">
        <w:rPr>
          <w:rFonts w:ascii="Times New Roman" w:eastAsia="Times New Roman" w:hAnsi="Times New Roman" w:cs="Times New Roman"/>
          <w:color w:val="222222"/>
          <w:sz w:val="24"/>
          <w:szCs w:val="24"/>
          <w:lang w:eastAsia="en-GB"/>
        </w:rPr>
        <w:t xml:space="preserve">. Available at: </w:t>
      </w:r>
      <w:hyperlink r:id="rId12" w:history="1">
        <w:r w:rsidRPr="00BD41BC">
          <w:rPr>
            <w:rFonts w:ascii="Times New Roman" w:eastAsia="Times New Roman" w:hAnsi="Times New Roman" w:cs="Times New Roman"/>
            <w:color w:val="1155CC"/>
            <w:sz w:val="24"/>
            <w:szCs w:val="24"/>
            <w:u w:val="single"/>
            <w:lang w:eastAsia="en-GB"/>
          </w:rPr>
          <w:t>https://www.teachhub.com/consistency-key-classroom-management</w:t>
        </w:r>
      </w:hyperlink>
      <w:r w:rsidRPr="00BD41BC">
        <w:rPr>
          <w:rFonts w:ascii="Times New Roman" w:eastAsia="Times New Roman" w:hAnsi="Times New Roman" w:cs="Times New Roman"/>
          <w:color w:val="222222"/>
          <w:sz w:val="24"/>
          <w:szCs w:val="24"/>
          <w:lang w:eastAsia="en-GB"/>
        </w:rPr>
        <w:t xml:space="preserve"> (Accessed: 25 April 2019)</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 xml:space="preserve">Department for Education (2019). </w:t>
      </w:r>
      <w:r w:rsidRPr="00BD41BC">
        <w:rPr>
          <w:rFonts w:ascii="Times New Roman" w:eastAsia="Times New Roman" w:hAnsi="Times New Roman" w:cs="Times New Roman"/>
          <w:i/>
          <w:iCs/>
          <w:color w:val="000000"/>
          <w:sz w:val="24"/>
          <w:szCs w:val="24"/>
          <w:lang w:eastAsia="en-GB"/>
        </w:rPr>
        <w:t xml:space="preserve">Initial teacher training (ITT): criteria and supporting advice. </w:t>
      </w:r>
      <w:r w:rsidRPr="00BD41BC">
        <w:rPr>
          <w:rFonts w:ascii="Times New Roman" w:eastAsia="Times New Roman" w:hAnsi="Times New Roman" w:cs="Times New Roman"/>
          <w:color w:val="000000"/>
          <w:sz w:val="24"/>
          <w:szCs w:val="24"/>
          <w:lang w:eastAsia="en-GB"/>
        </w:rPr>
        <w:t xml:space="preserve">Available at: </w:t>
      </w:r>
      <w:hyperlink r:id="rId13" w:history="1">
        <w:r w:rsidRPr="00BD41BC">
          <w:rPr>
            <w:rFonts w:ascii="Times New Roman" w:eastAsia="Times New Roman" w:hAnsi="Times New Roman" w:cs="Times New Roman"/>
            <w:color w:val="1155CC"/>
            <w:sz w:val="24"/>
            <w:szCs w:val="24"/>
            <w:u w:val="single"/>
            <w:lang w:eastAsia="en-GB"/>
          </w:rPr>
          <w:t>https://www.gov.uk/government/publications/initial-teacher-training-criteria/initial-teacher-training-itt-criteria-and-supporting-advice</w:t>
        </w:r>
      </w:hyperlink>
      <w:r w:rsidRPr="00BD41BC">
        <w:rPr>
          <w:rFonts w:ascii="Times New Roman" w:eastAsia="Times New Roman" w:hAnsi="Times New Roman" w:cs="Times New Roman"/>
          <w:color w:val="000000"/>
          <w:sz w:val="24"/>
          <w:szCs w:val="24"/>
          <w:lang w:eastAsia="en-GB"/>
        </w:rPr>
        <w:t xml:space="preserve"> (Accessed: 24 April 2019)</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 xml:space="preserve">Department for Education and Skills (2015). </w:t>
      </w:r>
      <w:r w:rsidRPr="00BD41BC">
        <w:rPr>
          <w:rFonts w:ascii="Times New Roman" w:eastAsia="Times New Roman" w:hAnsi="Times New Roman" w:cs="Times New Roman"/>
          <w:i/>
          <w:iCs/>
          <w:color w:val="000000"/>
          <w:sz w:val="24"/>
          <w:szCs w:val="24"/>
          <w:lang w:eastAsia="en-GB"/>
        </w:rPr>
        <w:t>Curriculum for Wales Foundation Phase Framework (Revised 2015)</w:t>
      </w:r>
      <w:r w:rsidRPr="00BD41BC">
        <w:rPr>
          <w:rFonts w:ascii="Times New Roman" w:eastAsia="Times New Roman" w:hAnsi="Times New Roman" w:cs="Times New Roman"/>
          <w:color w:val="000000"/>
          <w:sz w:val="24"/>
          <w:szCs w:val="24"/>
          <w:lang w:eastAsia="en-GB"/>
        </w:rPr>
        <w:t xml:space="preserve">. Cardiff: Welsh Government. Available at: </w:t>
      </w:r>
      <w:hyperlink r:id="rId14" w:history="1">
        <w:r w:rsidRPr="00BD41BC">
          <w:rPr>
            <w:rFonts w:ascii="Times New Roman" w:eastAsia="Times New Roman" w:hAnsi="Times New Roman" w:cs="Times New Roman"/>
            <w:color w:val="1155CC"/>
            <w:sz w:val="24"/>
            <w:szCs w:val="24"/>
            <w:u w:val="single"/>
            <w:lang w:eastAsia="en-GB"/>
          </w:rPr>
          <w:t>http://gov.wales/docs/dcells/publications/150803-fp-framework-en.pdf</w:t>
        </w:r>
      </w:hyperlink>
      <w:r w:rsidRPr="00BD41BC">
        <w:rPr>
          <w:rFonts w:ascii="Times New Roman" w:eastAsia="Times New Roman" w:hAnsi="Times New Roman" w:cs="Times New Roman"/>
          <w:color w:val="000000"/>
          <w:sz w:val="24"/>
          <w:szCs w:val="24"/>
          <w:lang w:eastAsia="en-GB"/>
        </w:rPr>
        <w:t xml:space="preserve"> (Accessed: 24 April 2019)</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 xml:space="preserve">Education Development Trust (2014). </w:t>
      </w:r>
      <w:r w:rsidRPr="00BD41BC">
        <w:rPr>
          <w:rFonts w:ascii="Times New Roman" w:eastAsia="Times New Roman" w:hAnsi="Times New Roman" w:cs="Times New Roman"/>
          <w:i/>
          <w:iCs/>
          <w:color w:val="000000"/>
          <w:sz w:val="24"/>
          <w:szCs w:val="24"/>
          <w:lang w:eastAsia="en-GB"/>
        </w:rPr>
        <w:t>Effective Teaching</w:t>
      </w:r>
      <w:r w:rsidRPr="00BD41BC">
        <w:rPr>
          <w:rFonts w:ascii="Times New Roman" w:eastAsia="Times New Roman" w:hAnsi="Times New Roman" w:cs="Times New Roman"/>
          <w:color w:val="000000"/>
          <w:sz w:val="24"/>
          <w:szCs w:val="24"/>
          <w:lang w:eastAsia="en-GB"/>
        </w:rPr>
        <w:t xml:space="preserve">. Available at: </w:t>
      </w:r>
      <w:hyperlink r:id="rId15" w:history="1">
        <w:r w:rsidRPr="00BD41BC">
          <w:rPr>
            <w:rFonts w:ascii="Times New Roman" w:eastAsia="Times New Roman" w:hAnsi="Times New Roman" w:cs="Times New Roman"/>
            <w:color w:val="1155CC"/>
            <w:sz w:val="24"/>
            <w:szCs w:val="24"/>
            <w:u w:val="single"/>
            <w:lang w:eastAsia="en-GB"/>
          </w:rPr>
          <w:t>https://www.educationdevelopmenttrust.com/EducationDevelopmentTrust/files/98/98ad6340-0ef6-4e1d-a541-db6018afce7d.pdf</w:t>
        </w:r>
      </w:hyperlink>
      <w:r w:rsidRPr="00BD41BC">
        <w:rPr>
          <w:rFonts w:ascii="Times New Roman" w:eastAsia="Times New Roman" w:hAnsi="Times New Roman" w:cs="Times New Roman"/>
          <w:color w:val="000000"/>
          <w:sz w:val="24"/>
          <w:szCs w:val="24"/>
          <w:lang w:eastAsia="en-GB"/>
        </w:rPr>
        <w:t xml:space="preserve"> (Accessed: 25 April 2019)</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lastRenderedPageBreak/>
        <w:t xml:space="preserve">Ellefson, M. R., Treiman, R. and Kessler, B. (2019). </w:t>
      </w:r>
      <w:r w:rsidRPr="00BD41BC">
        <w:rPr>
          <w:rFonts w:ascii="Times New Roman" w:eastAsia="Times New Roman" w:hAnsi="Times New Roman" w:cs="Times New Roman"/>
          <w:i/>
          <w:iCs/>
          <w:color w:val="000000"/>
          <w:sz w:val="24"/>
          <w:szCs w:val="24"/>
          <w:lang w:eastAsia="en-GB"/>
        </w:rPr>
        <w:t>Learning to Label Letters by Sounds or Names: A Comparison of England and the United States</w:t>
      </w:r>
      <w:r w:rsidRPr="00BD41BC">
        <w:rPr>
          <w:rFonts w:ascii="Times New Roman" w:eastAsia="Times New Roman" w:hAnsi="Times New Roman" w:cs="Times New Roman"/>
          <w:color w:val="000000"/>
          <w:sz w:val="24"/>
          <w:szCs w:val="24"/>
          <w:lang w:eastAsia="en-GB"/>
        </w:rPr>
        <w:t xml:space="preserve">. Available at: </w:t>
      </w:r>
      <w:hyperlink r:id="rId16" w:history="1">
        <w:r w:rsidRPr="00BD41BC">
          <w:rPr>
            <w:rFonts w:ascii="Times New Roman" w:eastAsia="Times New Roman" w:hAnsi="Times New Roman" w:cs="Times New Roman"/>
            <w:color w:val="1155CC"/>
            <w:sz w:val="24"/>
            <w:szCs w:val="24"/>
            <w:u w:val="single"/>
            <w:lang w:eastAsia="en-GB"/>
          </w:rPr>
          <w:t>https://www.ncbi.nlm.nih.gov/pmc/articles/PMC2671388/</w:t>
        </w:r>
      </w:hyperlink>
      <w:r w:rsidRPr="00BD41BC">
        <w:rPr>
          <w:rFonts w:ascii="Times New Roman" w:eastAsia="Times New Roman" w:hAnsi="Times New Roman" w:cs="Times New Roman"/>
          <w:color w:val="000000"/>
          <w:sz w:val="24"/>
          <w:szCs w:val="24"/>
          <w:lang w:eastAsia="en-GB"/>
        </w:rPr>
        <w:t xml:space="preserve"> (Accessed: 25 April 2019)</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 xml:space="preserve">Great Schools Partnership (2013). </w:t>
      </w:r>
      <w:r w:rsidRPr="00BD41BC">
        <w:rPr>
          <w:rFonts w:ascii="Times New Roman" w:eastAsia="Times New Roman" w:hAnsi="Times New Roman" w:cs="Times New Roman"/>
          <w:i/>
          <w:iCs/>
          <w:color w:val="000000"/>
          <w:sz w:val="24"/>
          <w:szCs w:val="24"/>
          <w:lang w:eastAsia="en-GB"/>
        </w:rPr>
        <w:t>Learning Gap</w:t>
      </w:r>
      <w:r w:rsidRPr="00BD41BC">
        <w:rPr>
          <w:rFonts w:ascii="Times New Roman" w:eastAsia="Times New Roman" w:hAnsi="Times New Roman" w:cs="Times New Roman"/>
          <w:color w:val="000000"/>
          <w:sz w:val="24"/>
          <w:szCs w:val="24"/>
          <w:lang w:eastAsia="en-GB"/>
        </w:rPr>
        <w:t xml:space="preserve">. Available at: </w:t>
      </w:r>
      <w:hyperlink r:id="rId17" w:history="1">
        <w:r w:rsidRPr="00BD41BC">
          <w:rPr>
            <w:rFonts w:ascii="Times New Roman" w:eastAsia="Times New Roman" w:hAnsi="Times New Roman" w:cs="Times New Roman"/>
            <w:color w:val="1155CC"/>
            <w:sz w:val="24"/>
            <w:szCs w:val="24"/>
            <w:u w:val="single"/>
            <w:lang w:eastAsia="en-GB"/>
          </w:rPr>
          <w:t>https://www.edglossary.org/learning-gap/</w:t>
        </w:r>
      </w:hyperlink>
      <w:r w:rsidRPr="00BD41BC">
        <w:rPr>
          <w:rFonts w:ascii="Times New Roman" w:eastAsia="Times New Roman" w:hAnsi="Times New Roman" w:cs="Times New Roman"/>
          <w:color w:val="000000"/>
          <w:sz w:val="24"/>
          <w:szCs w:val="24"/>
          <w:lang w:eastAsia="en-GB"/>
        </w:rPr>
        <w:t xml:space="preserve"> (Accessed: 24 April 2019)</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 xml:space="preserve">Great Schools Partnership (2015). Scaffolding. Available at: </w:t>
      </w:r>
      <w:hyperlink r:id="rId18" w:history="1">
        <w:r w:rsidRPr="00BD41BC">
          <w:rPr>
            <w:rFonts w:ascii="Times New Roman" w:eastAsia="Times New Roman" w:hAnsi="Times New Roman" w:cs="Times New Roman"/>
            <w:color w:val="1155CC"/>
            <w:sz w:val="24"/>
            <w:szCs w:val="24"/>
            <w:u w:val="single"/>
            <w:lang w:eastAsia="en-GB"/>
          </w:rPr>
          <w:t>https://www.edglossary.org/scaffolding/</w:t>
        </w:r>
      </w:hyperlink>
      <w:r w:rsidRPr="00BD41BC">
        <w:rPr>
          <w:rFonts w:ascii="Times New Roman" w:eastAsia="Times New Roman" w:hAnsi="Times New Roman" w:cs="Times New Roman"/>
          <w:color w:val="000000"/>
          <w:sz w:val="24"/>
          <w:szCs w:val="24"/>
          <w:lang w:eastAsia="en-GB"/>
        </w:rPr>
        <w:t xml:space="preserve"> (Accessed: 27 April 2019)</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 xml:space="preserve">Jarrell. M. (2018). </w:t>
      </w:r>
      <w:r w:rsidRPr="00BD41BC">
        <w:rPr>
          <w:rFonts w:ascii="Times New Roman" w:eastAsia="Times New Roman" w:hAnsi="Times New Roman" w:cs="Times New Roman"/>
          <w:i/>
          <w:iCs/>
          <w:color w:val="000000"/>
          <w:sz w:val="24"/>
          <w:szCs w:val="24"/>
          <w:shd w:val="clear" w:color="auto" w:fill="FFFFFF"/>
          <w:lang w:eastAsia="en-GB"/>
        </w:rPr>
        <w:t>Why do you teach letter sounds rather than letter names? (And other good questions about language acquisition…)</w:t>
      </w:r>
      <w:r w:rsidRPr="00BD41BC">
        <w:rPr>
          <w:rFonts w:ascii="Times New Roman" w:eastAsia="Times New Roman" w:hAnsi="Times New Roman" w:cs="Times New Roman"/>
          <w:color w:val="000000"/>
          <w:sz w:val="24"/>
          <w:szCs w:val="24"/>
          <w:shd w:val="clear" w:color="auto" w:fill="FFFFFF"/>
          <w:lang w:eastAsia="en-GB"/>
        </w:rPr>
        <w:t xml:space="preserve">. Available at: </w:t>
      </w:r>
      <w:hyperlink r:id="rId19" w:history="1">
        <w:r w:rsidRPr="00BD41BC">
          <w:rPr>
            <w:rFonts w:ascii="Times New Roman" w:eastAsia="Times New Roman" w:hAnsi="Times New Roman" w:cs="Times New Roman"/>
            <w:color w:val="1155CC"/>
            <w:sz w:val="24"/>
            <w:szCs w:val="24"/>
            <w:u w:val="single"/>
            <w:shd w:val="clear" w:color="auto" w:fill="FFFFFF"/>
            <w:lang w:eastAsia="en-GB"/>
          </w:rPr>
          <w:t>https://greenspringmontessori.org/why-do-you-teach-letter-sounds/</w:t>
        </w:r>
      </w:hyperlink>
      <w:r w:rsidRPr="00BD41BC">
        <w:rPr>
          <w:rFonts w:ascii="Times New Roman" w:eastAsia="Times New Roman" w:hAnsi="Times New Roman" w:cs="Times New Roman"/>
          <w:color w:val="000000"/>
          <w:sz w:val="24"/>
          <w:szCs w:val="24"/>
          <w:shd w:val="clear" w:color="auto" w:fill="FFFFFF"/>
          <w:lang w:eastAsia="en-GB"/>
        </w:rPr>
        <w:t xml:space="preserve"> (Accessed: 24 April 2019)</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shd w:val="clear" w:color="auto" w:fill="FFFFFF"/>
          <w:lang w:eastAsia="en-GB"/>
        </w:rPr>
        <w:t xml:space="preserve">Meyer, B. , Haywood, N. , Sachdev, D. and Faraday, S. (2008). </w:t>
      </w:r>
      <w:r w:rsidRPr="00BD41BC">
        <w:rPr>
          <w:rFonts w:ascii="Times New Roman" w:eastAsia="Times New Roman" w:hAnsi="Times New Roman" w:cs="Times New Roman"/>
          <w:i/>
          <w:iCs/>
          <w:color w:val="000000"/>
          <w:sz w:val="24"/>
          <w:szCs w:val="24"/>
          <w:shd w:val="clear" w:color="auto" w:fill="FFFFFF"/>
          <w:lang w:eastAsia="en-GB"/>
        </w:rPr>
        <w:t>What is independent learning and what are the benefits for students?</w:t>
      </w:r>
      <w:r w:rsidRPr="00BD41BC">
        <w:rPr>
          <w:rFonts w:ascii="Times New Roman" w:eastAsia="Times New Roman" w:hAnsi="Times New Roman" w:cs="Times New Roman"/>
          <w:color w:val="000000"/>
          <w:sz w:val="24"/>
          <w:szCs w:val="24"/>
          <w:shd w:val="clear" w:color="auto" w:fill="FFFFFF"/>
          <w:lang w:eastAsia="en-GB"/>
        </w:rPr>
        <w:t>. Department for Children, Schools and Families Research Report, London.</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shd w:val="clear" w:color="auto" w:fill="FFFFFF"/>
          <w:lang w:eastAsia="en-GB"/>
        </w:rPr>
        <w:t xml:space="preserve">McLeod, S. (2018). </w:t>
      </w:r>
      <w:r w:rsidRPr="00BD41BC">
        <w:rPr>
          <w:rFonts w:ascii="Times New Roman" w:eastAsia="Times New Roman" w:hAnsi="Times New Roman" w:cs="Times New Roman"/>
          <w:i/>
          <w:iCs/>
          <w:color w:val="000000"/>
          <w:sz w:val="24"/>
          <w:szCs w:val="24"/>
          <w:shd w:val="clear" w:color="auto" w:fill="FFFFFF"/>
          <w:lang w:eastAsia="en-GB"/>
        </w:rPr>
        <w:t>Lev Vygotsky</w:t>
      </w:r>
      <w:r w:rsidRPr="00BD41BC">
        <w:rPr>
          <w:rFonts w:ascii="Times New Roman" w:eastAsia="Times New Roman" w:hAnsi="Times New Roman" w:cs="Times New Roman"/>
          <w:color w:val="000000"/>
          <w:sz w:val="24"/>
          <w:szCs w:val="24"/>
          <w:shd w:val="clear" w:color="auto" w:fill="FFFFFF"/>
          <w:lang w:eastAsia="en-GB"/>
        </w:rPr>
        <w:t xml:space="preserve">. Available at: </w:t>
      </w:r>
      <w:hyperlink r:id="rId20" w:history="1">
        <w:r w:rsidRPr="00BD41BC">
          <w:rPr>
            <w:rFonts w:ascii="Times New Roman" w:eastAsia="Times New Roman" w:hAnsi="Times New Roman" w:cs="Times New Roman"/>
            <w:color w:val="1155CC"/>
            <w:sz w:val="24"/>
            <w:szCs w:val="24"/>
            <w:u w:val="single"/>
            <w:shd w:val="clear" w:color="auto" w:fill="FFFFFF"/>
            <w:lang w:eastAsia="en-GB"/>
          </w:rPr>
          <w:t>https://www.simplypsychology.org/vygotsky.html</w:t>
        </w:r>
      </w:hyperlink>
      <w:r w:rsidRPr="00BD41BC">
        <w:rPr>
          <w:rFonts w:ascii="Times New Roman" w:eastAsia="Times New Roman" w:hAnsi="Times New Roman" w:cs="Times New Roman"/>
          <w:color w:val="000000"/>
          <w:sz w:val="24"/>
          <w:szCs w:val="24"/>
          <w:shd w:val="clear" w:color="auto" w:fill="FFFFFF"/>
          <w:lang w:eastAsia="en-GB"/>
        </w:rPr>
        <w:t xml:space="preserve"> (Accessed: 27 April 2019)</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shd w:val="clear" w:color="auto" w:fill="FFFFFF"/>
          <w:lang w:eastAsia="en-GB"/>
        </w:rPr>
        <w:t xml:space="preserve">McLeod, S. (2019). </w:t>
      </w:r>
      <w:r w:rsidRPr="00BD41BC">
        <w:rPr>
          <w:rFonts w:ascii="Times New Roman" w:eastAsia="Times New Roman" w:hAnsi="Times New Roman" w:cs="Times New Roman"/>
          <w:i/>
          <w:iCs/>
          <w:color w:val="000000"/>
          <w:sz w:val="24"/>
          <w:szCs w:val="24"/>
          <w:shd w:val="clear" w:color="auto" w:fill="FFFFFF"/>
          <w:lang w:eastAsia="en-GB"/>
        </w:rPr>
        <w:t>What Is the Zone of Proximal Development?</w:t>
      </w:r>
      <w:r w:rsidRPr="00BD41BC">
        <w:rPr>
          <w:rFonts w:ascii="Times New Roman" w:eastAsia="Times New Roman" w:hAnsi="Times New Roman" w:cs="Times New Roman"/>
          <w:color w:val="000000"/>
          <w:sz w:val="24"/>
          <w:szCs w:val="24"/>
          <w:shd w:val="clear" w:color="auto" w:fill="FFFFFF"/>
          <w:lang w:eastAsia="en-GB"/>
        </w:rPr>
        <w:t xml:space="preserve">. Available at: </w:t>
      </w:r>
      <w:hyperlink r:id="rId21" w:history="1">
        <w:r w:rsidRPr="00BD41BC">
          <w:rPr>
            <w:rFonts w:ascii="Times New Roman" w:eastAsia="Times New Roman" w:hAnsi="Times New Roman" w:cs="Times New Roman"/>
            <w:color w:val="1155CC"/>
            <w:sz w:val="24"/>
            <w:szCs w:val="24"/>
            <w:u w:val="single"/>
            <w:shd w:val="clear" w:color="auto" w:fill="FFFFFF"/>
            <w:lang w:eastAsia="en-GB"/>
          </w:rPr>
          <w:t>https://www.simplypsychology.org/Zone-of-Proximal-Development.html</w:t>
        </w:r>
      </w:hyperlink>
      <w:r w:rsidRPr="00BD41BC">
        <w:rPr>
          <w:rFonts w:ascii="Times New Roman" w:eastAsia="Times New Roman" w:hAnsi="Times New Roman" w:cs="Times New Roman"/>
          <w:color w:val="000000"/>
          <w:sz w:val="24"/>
          <w:szCs w:val="24"/>
          <w:shd w:val="clear" w:color="auto" w:fill="FFFFFF"/>
          <w:lang w:eastAsia="en-GB"/>
        </w:rPr>
        <w:t xml:space="preserve"> (Accessed: 29 April 2019)</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shd w:val="clear" w:color="auto" w:fill="FFFFFF"/>
          <w:lang w:eastAsia="en-GB"/>
        </w:rPr>
        <w:t xml:space="preserve">PennState Extension (2016). </w:t>
      </w:r>
      <w:r w:rsidRPr="00BD41BC">
        <w:rPr>
          <w:rFonts w:ascii="Times New Roman" w:eastAsia="Times New Roman" w:hAnsi="Times New Roman" w:cs="Times New Roman"/>
          <w:i/>
          <w:iCs/>
          <w:color w:val="000000"/>
          <w:sz w:val="24"/>
          <w:szCs w:val="24"/>
          <w:shd w:val="clear" w:color="auto" w:fill="FFFFFF"/>
          <w:lang w:eastAsia="en-GB"/>
        </w:rPr>
        <w:t>Leadership and Children</w:t>
      </w:r>
      <w:r w:rsidRPr="00BD41BC">
        <w:rPr>
          <w:rFonts w:ascii="Times New Roman" w:eastAsia="Times New Roman" w:hAnsi="Times New Roman" w:cs="Times New Roman"/>
          <w:color w:val="000000"/>
          <w:sz w:val="24"/>
          <w:szCs w:val="24"/>
          <w:shd w:val="clear" w:color="auto" w:fill="FFFFFF"/>
          <w:lang w:eastAsia="en-GB"/>
        </w:rPr>
        <w:t xml:space="preserve">. Available at: </w:t>
      </w:r>
      <w:hyperlink r:id="rId22" w:history="1">
        <w:r w:rsidRPr="00BD41BC">
          <w:rPr>
            <w:rFonts w:ascii="Times New Roman" w:eastAsia="Times New Roman" w:hAnsi="Times New Roman" w:cs="Times New Roman"/>
            <w:color w:val="1155CC"/>
            <w:sz w:val="24"/>
            <w:szCs w:val="24"/>
            <w:u w:val="single"/>
            <w:shd w:val="clear" w:color="auto" w:fill="FFFFFF"/>
            <w:lang w:eastAsia="en-GB"/>
          </w:rPr>
          <w:t>http://bkc-od-media.vmhost.psu.edu/documents/tips1505.pdf</w:t>
        </w:r>
      </w:hyperlink>
      <w:r w:rsidRPr="00BD41BC">
        <w:rPr>
          <w:rFonts w:ascii="Times New Roman" w:eastAsia="Times New Roman" w:hAnsi="Times New Roman" w:cs="Times New Roman"/>
          <w:color w:val="000000"/>
          <w:sz w:val="24"/>
          <w:szCs w:val="24"/>
          <w:shd w:val="clear" w:color="auto" w:fill="FFFFFF"/>
          <w:lang w:eastAsia="en-GB"/>
        </w:rPr>
        <w:t xml:space="preserve"> (Accessed: 27 April 2019)</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shd w:val="clear" w:color="auto" w:fill="FFFFFF"/>
          <w:lang w:eastAsia="en-GB"/>
        </w:rPr>
        <w:t xml:space="preserve">Pritchard, A. (2014). </w:t>
      </w:r>
      <w:r w:rsidRPr="00BD41BC">
        <w:rPr>
          <w:rFonts w:ascii="Times New Roman" w:eastAsia="Times New Roman" w:hAnsi="Times New Roman" w:cs="Times New Roman"/>
          <w:i/>
          <w:iCs/>
          <w:color w:val="000000"/>
          <w:sz w:val="24"/>
          <w:szCs w:val="24"/>
          <w:shd w:val="clear" w:color="auto" w:fill="FFFFFF"/>
          <w:lang w:eastAsia="en-GB"/>
        </w:rPr>
        <w:t>Ways of Learning: Learning Theories and Learning Styles in The Classroom</w:t>
      </w:r>
      <w:r w:rsidRPr="00BD41BC">
        <w:rPr>
          <w:rFonts w:ascii="Times New Roman" w:eastAsia="Times New Roman" w:hAnsi="Times New Roman" w:cs="Times New Roman"/>
          <w:color w:val="000000"/>
          <w:sz w:val="24"/>
          <w:szCs w:val="24"/>
          <w:shd w:val="clear" w:color="auto" w:fill="FFFFFF"/>
          <w:lang w:eastAsia="en-GB"/>
        </w:rPr>
        <w:t xml:space="preserve">. 3rd ed. London: Routledge. Available at: </w:t>
      </w:r>
      <w:hyperlink r:id="rId23" w:history="1">
        <w:r w:rsidRPr="00BD41BC">
          <w:rPr>
            <w:rFonts w:ascii="Times New Roman" w:eastAsia="Times New Roman" w:hAnsi="Times New Roman" w:cs="Times New Roman"/>
            <w:color w:val="1155CC"/>
            <w:sz w:val="24"/>
            <w:szCs w:val="24"/>
            <w:u w:val="single"/>
            <w:shd w:val="clear" w:color="auto" w:fill="FFFFFF"/>
            <w:lang w:eastAsia="en-GB"/>
          </w:rPr>
          <w:t>https://www-dawsonera-com.ezproxy.uwtsd.ac.uk/readonline/9781315852089</w:t>
        </w:r>
      </w:hyperlink>
      <w:r w:rsidRPr="00BD41BC">
        <w:rPr>
          <w:rFonts w:ascii="Times New Roman" w:eastAsia="Times New Roman" w:hAnsi="Times New Roman" w:cs="Times New Roman"/>
          <w:color w:val="000000"/>
          <w:sz w:val="24"/>
          <w:szCs w:val="24"/>
          <w:lang w:eastAsia="en-GB"/>
        </w:rPr>
        <w:t xml:space="preserve"> (Accessed: 25 April 2019)</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shd w:val="clear" w:color="auto" w:fill="FFFFFF"/>
          <w:lang w:eastAsia="en-GB"/>
        </w:rPr>
        <w:t xml:space="preserve">Shulman, L. (1987). Knowledge and Teaching: Foundations of the New Reform. </w:t>
      </w:r>
      <w:r w:rsidRPr="00BD41BC">
        <w:rPr>
          <w:rFonts w:ascii="Times New Roman" w:eastAsia="Times New Roman" w:hAnsi="Times New Roman" w:cs="Times New Roman"/>
          <w:i/>
          <w:iCs/>
          <w:color w:val="000000"/>
          <w:sz w:val="24"/>
          <w:szCs w:val="24"/>
          <w:shd w:val="clear" w:color="auto" w:fill="FFFFFF"/>
          <w:lang w:eastAsia="en-GB"/>
        </w:rPr>
        <w:t>Harvard Educational Review</w:t>
      </w:r>
      <w:r w:rsidRPr="00BD41BC">
        <w:rPr>
          <w:rFonts w:ascii="Times New Roman" w:eastAsia="Times New Roman" w:hAnsi="Times New Roman" w:cs="Times New Roman"/>
          <w:color w:val="000000"/>
          <w:sz w:val="24"/>
          <w:szCs w:val="24"/>
          <w:shd w:val="clear" w:color="auto" w:fill="FFFFFF"/>
          <w:lang w:eastAsia="en-GB"/>
        </w:rPr>
        <w:t>, 57(1), pp.1-23.</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 xml:space="preserve">Todd, J. (2017). </w:t>
      </w:r>
      <w:r w:rsidRPr="00BD41BC">
        <w:rPr>
          <w:rFonts w:ascii="Times New Roman" w:eastAsia="Times New Roman" w:hAnsi="Times New Roman" w:cs="Times New Roman"/>
          <w:i/>
          <w:iCs/>
          <w:color w:val="000000"/>
          <w:sz w:val="24"/>
          <w:szCs w:val="24"/>
          <w:lang w:eastAsia="en-GB"/>
        </w:rPr>
        <w:t>The Value of Concrete Manipulatives is Maths</w:t>
      </w:r>
      <w:r w:rsidRPr="00BD41BC">
        <w:rPr>
          <w:rFonts w:ascii="Times New Roman" w:eastAsia="Times New Roman" w:hAnsi="Times New Roman" w:cs="Times New Roman"/>
          <w:color w:val="000000"/>
          <w:sz w:val="24"/>
          <w:szCs w:val="24"/>
          <w:lang w:eastAsia="en-GB"/>
        </w:rPr>
        <w:t xml:space="preserve">. Available at: </w:t>
      </w:r>
      <w:hyperlink r:id="rId24" w:history="1">
        <w:r w:rsidRPr="00BD41BC">
          <w:rPr>
            <w:rFonts w:ascii="Times New Roman" w:eastAsia="Times New Roman" w:hAnsi="Times New Roman" w:cs="Times New Roman"/>
            <w:color w:val="1155CC"/>
            <w:sz w:val="24"/>
            <w:szCs w:val="24"/>
            <w:u w:val="single"/>
            <w:lang w:eastAsia="en-GB"/>
          </w:rPr>
          <w:t>https://www.tts-group.co.uk/blog/2017/11/23/value-concrete-manipulatives-maths.html</w:t>
        </w:r>
      </w:hyperlink>
      <w:r w:rsidRPr="00BD41BC">
        <w:rPr>
          <w:rFonts w:ascii="Times New Roman" w:eastAsia="Times New Roman" w:hAnsi="Times New Roman" w:cs="Times New Roman"/>
          <w:color w:val="000000"/>
          <w:sz w:val="24"/>
          <w:szCs w:val="24"/>
          <w:lang w:eastAsia="en-GB"/>
        </w:rPr>
        <w:t xml:space="preserve"> (Accessed: 26 April 2019)</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 xml:space="preserve">Welsh Government (2014). </w:t>
      </w:r>
      <w:r w:rsidRPr="00BD41BC">
        <w:rPr>
          <w:rFonts w:ascii="Times New Roman" w:eastAsia="Times New Roman" w:hAnsi="Times New Roman" w:cs="Times New Roman"/>
          <w:i/>
          <w:iCs/>
          <w:color w:val="000000"/>
          <w:sz w:val="24"/>
          <w:szCs w:val="24"/>
          <w:lang w:eastAsia="en-GB"/>
        </w:rPr>
        <w:t>National Literacy and Numeracy Framework</w:t>
      </w:r>
      <w:r w:rsidRPr="00BD41BC">
        <w:rPr>
          <w:rFonts w:ascii="Times New Roman" w:eastAsia="Times New Roman" w:hAnsi="Times New Roman" w:cs="Times New Roman"/>
          <w:color w:val="000000"/>
          <w:sz w:val="24"/>
          <w:szCs w:val="24"/>
          <w:lang w:eastAsia="en-GB"/>
        </w:rPr>
        <w:t xml:space="preserve">. Available at: </w:t>
      </w:r>
      <w:hyperlink r:id="rId25" w:history="1">
        <w:r w:rsidRPr="00BD41BC">
          <w:rPr>
            <w:rFonts w:ascii="Times New Roman" w:eastAsia="Times New Roman" w:hAnsi="Times New Roman" w:cs="Times New Roman"/>
            <w:color w:val="1155CC"/>
            <w:sz w:val="24"/>
            <w:szCs w:val="24"/>
            <w:u w:val="single"/>
            <w:lang w:eastAsia="en-GB"/>
          </w:rPr>
          <w:t>https://learning.gov.wales/resources/browse-all/nlnf/framework?component=numeracy&amp;year=6938344_2&amp;selectedYear=col_7&amp;lang=en</w:t>
        </w:r>
      </w:hyperlink>
      <w:r w:rsidRPr="00BD41BC">
        <w:rPr>
          <w:rFonts w:ascii="Times New Roman" w:eastAsia="Times New Roman" w:hAnsi="Times New Roman" w:cs="Times New Roman"/>
          <w:color w:val="000000"/>
          <w:sz w:val="24"/>
          <w:szCs w:val="24"/>
          <w:lang w:eastAsia="en-GB"/>
        </w:rPr>
        <w:t xml:space="preserve"> (Accessed: 26 April 2019)</w:t>
      </w:r>
    </w:p>
    <w:p w:rsidR="00BD41BC" w:rsidRPr="00BD41BC" w:rsidRDefault="00BD41BC" w:rsidP="00BD41BC">
      <w:pPr>
        <w:spacing w:after="0" w:line="240" w:lineRule="auto"/>
        <w:rPr>
          <w:rFonts w:ascii="Times New Roman" w:eastAsia="Times New Roman" w:hAnsi="Times New Roman" w:cs="Times New Roman"/>
          <w:sz w:val="24"/>
          <w:szCs w:val="24"/>
          <w:lang w:eastAsia="en-GB"/>
        </w:rPr>
      </w:pPr>
    </w:p>
    <w:p w:rsidR="00BD41BC" w:rsidRPr="00BD41BC" w:rsidRDefault="00BD41BC" w:rsidP="00BD41BC">
      <w:pPr>
        <w:spacing w:after="0" w:line="240" w:lineRule="auto"/>
        <w:rPr>
          <w:rFonts w:ascii="Times New Roman" w:eastAsia="Times New Roman" w:hAnsi="Times New Roman" w:cs="Times New Roman"/>
          <w:sz w:val="24"/>
          <w:szCs w:val="24"/>
          <w:lang w:eastAsia="en-GB"/>
        </w:rPr>
      </w:pPr>
      <w:r w:rsidRPr="00BD41BC">
        <w:rPr>
          <w:rFonts w:ascii="Times New Roman" w:eastAsia="Times New Roman" w:hAnsi="Times New Roman" w:cs="Times New Roman"/>
          <w:color w:val="000000"/>
          <w:sz w:val="24"/>
          <w:szCs w:val="24"/>
          <w:lang w:eastAsia="en-GB"/>
        </w:rPr>
        <w:t xml:space="preserve">Welsh Government (2018). </w:t>
      </w:r>
      <w:r w:rsidRPr="00BD41BC">
        <w:rPr>
          <w:rFonts w:ascii="Times New Roman" w:eastAsia="Times New Roman" w:hAnsi="Times New Roman" w:cs="Times New Roman"/>
          <w:i/>
          <w:iCs/>
          <w:color w:val="000000"/>
          <w:sz w:val="24"/>
          <w:szCs w:val="24"/>
          <w:lang w:eastAsia="en-GB"/>
        </w:rPr>
        <w:t>StatsWales</w:t>
      </w:r>
      <w:r w:rsidRPr="00BD41BC">
        <w:rPr>
          <w:rFonts w:ascii="Times New Roman" w:eastAsia="Times New Roman" w:hAnsi="Times New Roman" w:cs="Times New Roman"/>
          <w:color w:val="000000"/>
          <w:sz w:val="24"/>
          <w:szCs w:val="24"/>
          <w:lang w:eastAsia="en-GB"/>
        </w:rPr>
        <w:t xml:space="preserve">. Available at: </w:t>
      </w:r>
      <w:hyperlink r:id="rId26" w:history="1">
        <w:r w:rsidRPr="00BD41BC">
          <w:rPr>
            <w:rFonts w:ascii="Times New Roman" w:eastAsia="Times New Roman" w:hAnsi="Times New Roman" w:cs="Times New Roman"/>
            <w:color w:val="1155CC"/>
            <w:sz w:val="24"/>
            <w:szCs w:val="24"/>
            <w:u w:val="single"/>
            <w:lang w:eastAsia="en-GB"/>
          </w:rPr>
          <w:t>https://statswales.gov.wales/Catalogue/Education-and-Skills/Schools-and-Teachers/Examinations-and-Assessments/Foundation-Phase/nationallevelresults-by-areaoflearning-outcome</w:t>
        </w:r>
      </w:hyperlink>
      <w:r w:rsidRPr="00BD41BC">
        <w:rPr>
          <w:rFonts w:ascii="Times New Roman" w:eastAsia="Times New Roman" w:hAnsi="Times New Roman" w:cs="Times New Roman"/>
          <w:color w:val="000000"/>
          <w:sz w:val="24"/>
          <w:szCs w:val="24"/>
          <w:lang w:eastAsia="en-GB"/>
        </w:rPr>
        <w:t xml:space="preserve"> (Accessed: 24 April 2019)</w:t>
      </w:r>
    </w:p>
    <w:p w:rsidR="000C7F1C" w:rsidRDefault="00BD41BC" w:rsidP="00BD41BC">
      <w:r w:rsidRPr="00BD41BC">
        <w:rPr>
          <w:rFonts w:ascii="Times New Roman" w:eastAsia="Times New Roman" w:hAnsi="Times New Roman" w:cs="Times New Roman"/>
          <w:sz w:val="24"/>
          <w:szCs w:val="24"/>
          <w:lang w:eastAsia="en-GB"/>
        </w:rPr>
        <w:lastRenderedPageBreak/>
        <w:br/>
      </w:r>
      <w:r w:rsidRPr="00BD41BC">
        <w:rPr>
          <w:rFonts w:ascii="Times New Roman" w:eastAsia="Times New Roman" w:hAnsi="Times New Roman" w:cs="Times New Roman"/>
          <w:color w:val="000000"/>
          <w:sz w:val="24"/>
          <w:szCs w:val="24"/>
          <w:lang w:eastAsia="en-GB"/>
        </w:rPr>
        <w:t xml:space="preserve">Wood, J. and McLemore, B. (2001). </w:t>
      </w:r>
      <w:r w:rsidRPr="00BD41BC">
        <w:rPr>
          <w:rFonts w:ascii="Times New Roman" w:eastAsia="Times New Roman" w:hAnsi="Times New Roman" w:cs="Times New Roman"/>
          <w:i/>
          <w:iCs/>
          <w:color w:val="000000"/>
          <w:sz w:val="24"/>
          <w:szCs w:val="24"/>
          <w:lang w:eastAsia="en-GB"/>
        </w:rPr>
        <w:t>Critical Components in Early Literacy — Knowledge of the Letters of the Alphabet and Phonics Instruction</w:t>
      </w:r>
      <w:r w:rsidRPr="00BD41BC">
        <w:rPr>
          <w:rFonts w:ascii="Times New Roman" w:eastAsia="Times New Roman" w:hAnsi="Times New Roman" w:cs="Times New Roman"/>
          <w:color w:val="000000"/>
          <w:sz w:val="24"/>
          <w:szCs w:val="24"/>
          <w:lang w:eastAsia="en-GB"/>
        </w:rPr>
        <w:t>. Available at:</w:t>
      </w:r>
      <w:r w:rsidRPr="00BD41BC">
        <w:rPr>
          <w:rFonts w:ascii="Times New Roman" w:eastAsia="Times New Roman" w:hAnsi="Times New Roman" w:cs="Times New Roman"/>
          <w:i/>
          <w:iCs/>
          <w:color w:val="000000"/>
          <w:sz w:val="24"/>
          <w:szCs w:val="24"/>
          <w:lang w:eastAsia="en-GB"/>
        </w:rPr>
        <w:t xml:space="preserve"> </w:t>
      </w:r>
      <w:hyperlink r:id="rId27" w:history="1">
        <w:r w:rsidRPr="00BD41BC">
          <w:rPr>
            <w:rFonts w:ascii="Times New Roman" w:eastAsia="Times New Roman" w:hAnsi="Times New Roman" w:cs="Times New Roman"/>
            <w:color w:val="1155CC"/>
            <w:sz w:val="24"/>
            <w:szCs w:val="24"/>
            <w:u w:val="single"/>
            <w:lang w:eastAsia="en-GB"/>
          </w:rPr>
          <w:t>https://www.unf.edu/uploadedFiles/aa/fie/Woodarticle.pdf</w:t>
        </w:r>
      </w:hyperlink>
      <w:r w:rsidRPr="00BD41BC">
        <w:rPr>
          <w:rFonts w:ascii="Times New Roman" w:eastAsia="Times New Roman" w:hAnsi="Times New Roman" w:cs="Times New Roman"/>
          <w:color w:val="000000"/>
          <w:sz w:val="24"/>
          <w:szCs w:val="24"/>
          <w:lang w:eastAsia="en-GB"/>
        </w:rPr>
        <w:t xml:space="preserve"> (Accessed: 24 April 2019)</w:t>
      </w:r>
    </w:p>
    <w:sectPr w:rsidR="000C7F1C">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D41BC" w:rsidRDefault="00BD41BC" w:rsidP="00BD41BC">
      <w:pPr>
        <w:spacing w:after="0" w:line="240" w:lineRule="auto"/>
      </w:pPr>
      <w:r>
        <w:separator/>
      </w:r>
    </w:p>
  </w:endnote>
  <w:endnote w:type="continuationSeparator" w:id="0">
    <w:p w:rsidR="00BD41BC" w:rsidRDefault="00BD41BC" w:rsidP="00BD41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79530332"/>
      <w:docPartObj>
        <w:docPartGallery w:val="Page Numbers (Bottom of Page)"/>
        <w:docPartUnique/>
      </w:docPartObj>
    </w:sdtPr>
    <w:sdtEndPr>
      <w:rPr>
        <w:noProof/>
      </w:rPr>
    </w:sdtEndPr>
    <w:sdtContent>
      <w:p w:rsidR="00BD41BC" w:rsidRDefault="00BD41BC">
        <w:pPr>
          <w:pStyle w:val="Footer"/>
          <w:jc w:val="right"/>
        </w:pPr>
        <w:r>
          <w:fldChar w:fldCharType="begin"/>
        </w:r>
        <w:r>
          <w:instrText xml:space="preserve"> PAGE   \* MERGEFORMAT </w:instrText>
        </w:r>
        <w:r>
          <w:fldChar w:fldCharType="separate"/>
        </w:r>
        <w:r>
          <w:rPr>
            <w:noProof/>
          </w:rPr>
          <w:t>8</w:t>
        </w:r>
        <w:r>
          <w:rPr>
            <w:noProof/>
          </w:rPr>
          <w:fldChar w:fldCharType="end"/>
        </w:r>
      </w:p>
    </w:sdtContent>
  </w:sdt>
  <w:p w:rsidR="00BD41BC" w:rsidRDefault="00BD41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D41BC" w:rsidRDefault="00BD41BC" w:rsidP="00BD41BC">
      <w:pPr>
        <w:spacing w:after="0" w:line="240" w:lineRule="auto"/>
      </w:pPr>
      <w:r>
        <w:separator/>
      </w:r>
    </w:p>
  </w:footnote>
  <w:footnote w:type="continuationSeparator" w:id="0">
    <w:p w:rsidR="00BD41BC" w:rsidRDefault="00BD41BC" w:rsidP="00BD41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D41BC" w:rsidRDefault="00BD41BC" w:rsidP="00BD41BC">
    <w:pPr>
      <w:pStyle w:val="Header"/>
      <w:jc w:val="right"/>
    </w:pPr>
    <w:r>
      <w:t>Phoebe Hewitt-Fisher</w:t>
    </w:r>
  </w:p>
  <w:p w:rsidR="00BD41BC" w:rsidRDefault="00BD41BC" w:rsidP="00BD41BC">
    <w:pPr>
      <w:pStyle w:val="Header"/>
      <w:jc w:val="right"/>
    </w:pPr>
    <w:r>
      <w:t>1801532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41BC"/>
    <w:rsid w:val="00040F70"/>
    <w:rsid w:val="000C7F1C"/>
    <w:rsid w:val="006D1668"/>
    <w:rsid w:val="00BD41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EF033"/>
  <w15:chartTrackingRefBased/>
  <w15:docId w15:val="{44E7FAD3-FF66-4925-BA5A-C22720C176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41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41BC"/>
  </w:style>
  <w:style w:type="paragraph" w:styleId="Footer">
    <w:name w:val="footer"/>
    <w:basedOn w:val="Normal"/>
    <w:link w:val="FooterChar"/>
    <w:uiPriority w:val="99"/>
    <w:unhideWhenUsed/>
    <w:rsid w:val="00BD41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41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8398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si.berkeley.edu/gsi-guide-contents/learning-theory-research/social-constructivism/" TargetMode="External"/><Relationship Id="rId13" Type="http://schemas.openxmlformats.org/officeDocument/2006/relationships/hyperlink" Target="https://www.gov.uk/government/publications/initial-teacher-training-criteria/initial-teacher-training-itt-criteria-and-supporting-advice" TargetMode="External"/><Relationship Id="rId18" Type="http://schemas.openxmlformats.org/officeDocument/2006/relationships/hyperlink" Target="https://www.edglossary.org/scaffolding/" TargetMode="External"/><Relationship Id="rId26" Type="http://schemas.openxmlformats.org/officeDocument/2006/relationships/hyperlink" Target="https://statswales.gov.wales/Catalogue/Education-and-Skills/Schools-and-Teachers/Examinations-and-Assessments/Foundation-Phase/nationallevelresults-by-areaoflearning-outcome" TargetMode="External"/><Relationship Id="rId3" Type="http://schemas.openxmlformats.org/officeDocument/2006/relationships/webSettings" Target="webSettings.xml"/><Relationship Id="rId21" Type="http://schemas.openxmlformats.org/officeDocument/2006/relationships/hyperlink" Target="https://www.simplypsychology.org/Zone-of-Proximal-Development.html" TargetMode="External"/><Relationship Id="rId7" Type="http://schemas.openxmlformats.org/officeDocument/2006/relationships/hyperlink" Target="https://www.psychologicalscience.org/news/releases/monkey-see-monkey-do-the-role-of-mirror-neurons-in-human-behavior.html" TargetMode="External"/><Relationship Id="rId12" Type="http://schemas.openxmlformats.org/officeDocument/2006/relationships/hyperlink" Target="https://www.teachhub.com/consistency-key-classroom-management" TargetMode="External"/><Relationship Id="rId17" Type="http://schemas.openxmlformats.org/officeDocument/2006/relationships/hyperlink" Target="https://www.edglossary.org/learning-gap/" TargetMode="External"/><Relationship Id="rId25" Type="http://schemas.openxmlformats.org/officeDocument/2006/relationships/hyperlink" Target="https://learning.gov.wales/resources/browse-all/nlnf/framework?component=numeracy&amp;year=6938344_2&amp;selectedYear=col_7&amp;lang=en" TargetMode="External"/><Relationship Id="rId2" Type="http://schemas.openxmlformats.org/officeDocument/2006/relationships/settings" Target="settings.xml"/><Relationship Id="rId16" Type="http://schemas.openxmlformats.org/officeDocument/2006/relationships/hyperlink" Target="https://www.ncbi.nlm.nih.gov/pmc/articles/PMC2671388/" TargetMode="External"/><Relationship Id="rId20" Type="http://schemas.openxmlformats.org/officeDocument/2006/relationships/hyperlink" Target="https://www.simplypsychology.org/vygotsky.html"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www.actforlibraries.org/math-manipulatives-unifix-cubes-value-of-learning-educational-resources-geometric/" TargetMode="External"/><Relationship Id="rId11" Type="http://schemas.openxmlformats.org/officeDocument/2006/relationships/hyperlink" Target="https://www.lotc.org.uk/wp-content/uploads/2010/12/Benefits-for-Early-Years-LOtC-Final-5AUG09.pdf" TargetMode="External"/><Relationship Id="rId24" Type="http://schemas.openxmlformats.org/officeDocument/2006/relationships/hyperlink" Target="https://www.tts-group.co.uk/blog/2017/11/23/value-concrete-manipulatives-maths.html" TargetMode="External"/><Relationship Id="rId5" Type="http://schemas.openxmlformats.org/officeDocument/2006/relationships/endnotes" Target="endnotes.xml"/><Relationship Id="rId15" Type="http://schemas.openxmlformats.org/officeDocument/2006/relationships/hyperlink" Target="https://www.educationdevelopmenttrust.com/EducationDevelopmentTrust/files/98/98ad6340-0ef6-4e1d-a541-db6018afce7d.pdf" TargetMode="External"/><Relationship Id="rId23" Type="http://schemas.openxmlformats.org/officeDocument/2006/relationships/hyperlink" Target="https://www-dawsonera-com.ezproxy.uwtsd.ac.uk/readonline/9781315852089" TargetMode="External"/><Relationship Id="rId28" Type="http://schemas.openxmlformats.org/officeDocument/2006/relationships/header" Target="header1.xml"/><Relationship Id="rId10" Type="http://schemas.openxmlformats.org/officeDocument/2006/relationships/hyperlink" Target="https://www.suttontrust.com/wp-content/uploads/2014/10/What-Makes-Great-Teaching-REPORT.pdf" TargetMode="External"/><Relationship Id="rId19" Type="http://schemas.openxmlformats.org/officeDocument/2006/relationships/hyperlink" Target="https://greenspringmontessori.org/why-do-you-teach-letter-sounds/"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readandspell.com/what-is-child-led-learning" TargetMode="External"/><Relationship Id="rId14" Type="http://schemas.openxmlformats.org/officeDocument/2006/relationships/hyperlink" Target="http://gov.wales/docs/dcells/publications/150803-fp-framework-en.pdf" TargetMode="External"/><Relationship Id="rId22" Type="http://schemas.openxmlformats.org/officeDocument/2006/relationships/hyperlink" Target="http://bkc-od-media.vmhost.psu.edu/documents/tips1505.pdf" TargetMode="External"/><Relationship Id="rId27" Type="http://schemas.openxmlformats.org/officeDocument/2006/relationships/hyperlink" Target="https://www.unf.edu/uploadedFiles/aa/fie/Woodarticle.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3676</Words>
  <Characters>20957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Hewitt-fisher (1801532)</dc:creator>
  <cp:keywords/>
  <dc:description/>
  <cp:lastModifiedBy>Phoebe Hewitt-fisher (1801532)</cp:lastModifiedBy>
  <cp:revision>1</cp:revision>
  <dcterms:created xsi:type="dcterms:W3CDTF">2019-04-30T18:31:00Z</dcterms:created>
  <dcterms:modified xsi:type="dcterms:W3CDTF">2019-04-30T18:38:00Z</dcterms:modified>
</cp:coreProperties>
</file>