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1BE6E3" w14:textId="77777777" w:rsidR="00033C2D" w:rsidRDefault="00033C2D">
      <w:r w:rsidRPr="00C13098">
        <w:rPr>
          <w:noProof/>
          <w:lang w:eastAsia="en-GB"/>
        </w:rPr>
        <w:drawing>
          <wp:inline distT="0" distB="0" distL="0" distR="0" wp14:anchorId="0962BEA7" wp14:editId="2C38CB29">
            <wp:extent cx="1928495" cy="839966"/>
            <wp:effectExtent l="0" t="0" r="0" b="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977811" cy="861446"/>
                    </a:xfrm>
                    <a:prstGeom prst="rect">
                      <a:avLst/>
                    </a:prstGeom>
                    <a:noFill/>
                    <a:ln>
                      <a:noFill/>
                    </a:ln>
                  </pic:spPr>
                </pic:pic>
              </a:graphicData>
            </a:graphic>
          </wp:inline>
        </w:drawing>
      </w:r>
    </w:p>
    <w:p w14:paraId="313169EC" w14:textId="77777777" w:rsidR="00033C2D" w:rsidRDefault="00033C2D"/>
    <w:p w14:paraId="1563621A" w14:textId="77777777" w:rsidR="00033C2D" w:rsidRDefault="00033C2D"/>
    <w:p w14:paraId="786C17EC" w14:textId="77777777" w:rsidR="00033C2D" w:rsidRDefault="00033C2D"/>
    <w:p w14:paraId="2BD70775" w14:textId="77777777" w:rsidR="00033C2D" w:rsidRDefault="00033C2D"/>
    <w:p w14:paraId="599E5DF2" w14:textId="77777777" w:rsidR="00033C2D" w:rsidRDefault="00033C2D"/>
    <w:p w14:paraId="7320F6D5" w14:textId="77777777" w:rsidR="00033C2D" w:rsidRDefault="00033C2D"/>
    <w:p w14:paraId="6774464A" w14:textId="77777777" w:rsidR="00033C2D" w:rsidRDefault="00033C2D"/>
    <w:p w14:paraId="51E0126A" w14:textId="77777777" w:rsidR="00033C2D" w:rsidRDefault="00033C2D"/>
    <w:p w14:paraId="09F284EF" w14:textId="72B982E9" w:rsidR="004457D3" w:rsidRDefault="00033C2D">
      <w:r w:rsidRPr="00033C2D">
        <w:drawing>
          <wp:inline distT="0" distB="0" distL="0" distR="0" wp14:anchorId="6742A10E" wp14:editId="1CBECCB5">
            <wp:extent cx="5731510" cy="1406525"/>
            <wp:effectExtent l="0" t="0" r="0" b="0"/>
            <wp:docPr id="849583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1406525"/>
                    </a:xfrm>
                    <a:prstGeom prst="rect">
                      <a:avLst/>
                    </a:prstGeom>
                    <a:noFill/>
                    <a:ln>
                      <a:noFill/>
                    </a:ln>
                  </pic:spPr>
                </pic:pic>
              </a:graphicData>
            </a:graphic>
          </wp:inline>
        </w:drawing>
      </w:r>
    </w:p>
    <w:p w14:paraId="078DF67A" w14:textId="1AA83408" w:rsidR="00033C2D" w:rsidRDefault="00033C2D">
      <w:pPr>
        <w:rPr>
          <w:noProof/>
          <w:lang w:eastAsia="en-GB"/>
        </w:rPr>
      </w:pPr>
    </w:p>
    <w:p w14:paraId="6BB1D5E1" w14:textId="377775F2" w:rsidR="00033C2D" w:rsidRDefault="00033C2D" w:rsidP="00033C2D">
      <w:pPr>
        <w:jc w:val="center"/>
        <w:rPr>
          <w:noProof/>
          <w:lang w:eastAsia="en-GB"/>
        </w:rPr>
      </w:pPr>
      <w:r>
        <w:rPr>
          <w:noProof/>
          <w:lang w:eastAsia="en-GB"/>
        </w:rPr>
        <w:t>Name: Sebastian Piotr Garbaty</w:t>
      </w:r>
    </w:p>
    <w:p w14:paraId="3B5B1599" w14:textId="281D2DCB" w:rsidR="00033C2D" w:rsidRDefault="00033C2D" w:rsidP="00033C2D">
      <w:pPr>
        <w:jc w:val="center"/>
        <w:rPr>
          <w:noProof/>
          <w:lang w:eastAsia="en-GB"/>
        </w:rPr>
      </w:pPr>
      <w:r>
        <w:rPr>
          <w:noProof/>
          <w:lang w:eastAsia="en-GB"/>
        </w:rPr>
        <w:t>Student ID number: 2211131</w:t>
      </w:r>
    </w:p>
    <w:p w14:paraId="7FDF0D52" w14:textId="3F25A096" w:rsidR="00033C2D" w:rsidRDefault="00033C2D" w:rsidP="00033C2D">
      <w:pPr>
        <w:jc w:val="center"/>
        <w:rPr>
          <w:noProof/>
          <w:lang w:eastAsia="en-GB"/>
        </w:rPr>
      </w:pPr>
      <w:r>
        <w:rPr>
          <w:noProof/>
          <w:lang w:eastAsia="en-GB"/>
        </w:rPr>
        <w:t>Lecturer: Huw Thomas</w:t>
      </w:r>
    </w:p>
    <w:p w14:paraId="4B64D2DC" w14:textId="1771AB34" w:rsidR="00033C2D" w:rsidRDefault="00033C2D" w:rsidP="00033C2D">
      <w:pPr>
        <w:jc w:val="center"/>
      </w:pPr>
      <w:r>
        <w:t>Module: Sustainable Hospitality &amp; Tourism Management</w:t>
      </w:r>
      <w:r w:rsidR="00A91B98">
        <w:t xml:space="preserve"> BMIH5006</w:t>
      </w:r>
    </w:p>
    <w:p w14:paraId="6DDE7768" w14:textId="7509D297" w:rsidR="00033C2D" w:rsidRDefault="00033C2D" w:rsidP="00033C2D">
      <w:pPr>
        <w:jc w:val="center"/>
      </w:pPr>
      <w:r>
        <w:t>Word count: 1867</w:t>
      </w:r>
    </w:p>
    <w:p w14:paraId="52AAA4F9" w14:textId="77777777" w:rsidR="00033C2D" w:rsidRDefault="00033C2D" w:rsidP="00033C2D">
      <w:pPr>
        <w:jc w:val="center"/>
      </w:pPr>
    </w:p>
    <w:p w14:paraId="2E37744D" w14:textId="77777777" w:rsidR="00033C2D" w:rsidRDefault="00033C2D" w:rsidP="00033C2D">
      <w:pPr>
        <w:jc w:val="center"/>
      </w:pPr>
    </w:p>
    <w:p w14:paraId="533C3E08" w14:textId="77777777" w:rsidR="00033C2D" w:rsidRDefault="00033C2D" w:rsidP="00033C2D">
      <w:pPr>
        <w:jc w:val="center"/>
      </w:pPr>
    </w:p>
    <w:p w14:paraId="1F010E50" w14:textId="77777777" w:rsidR="00033C2D" w:rsidRDefault="00033C2D" w:rsidP="00033C2D">
      <w:pPr>
        <w:jc w:val="center"/>
      </w:pPr>
    </w:p>
    <w:p w14:paraId="331AB77D" w14:textId="77777777" w:rsidR="00033C2D" w:rsidRDefault="00033C2D" w:rsidP="00033C2D">
      <w:pPr>
        <w:jc w:val="center"/>
      </w:pPr>
    </w:p>
    <w:p w14:paraId="07048176" w14:textId="77777777" w:rsidR="00033C2D" w:rsidRDefault="00033C2D" w:rsidP="00033C2D">
      <w:pPr>
        <w:jc w:val="center"/>
      </w:pPr>
    </w:p>
    <w:p w14:paraId="0CE8DF79" w14:textId="77777777" w:rsidR="00033C2D" w:rsidRDefault="00033C2D" w:rsidP="00033C2D">
      <w:pPr>
        <w:jc w:val="center"/>
      </w:pPr>
    </w:p>
    <w:p w14:paraId="77A2C06D" w14:textId="77777777" w:rsidR="00033C2D" w:rsidRDefault="00033C2D" w:rsidP="00033C2D">
      <w:pPr>
        <w:jc w:val="center"/>
      </w:pPr>
    </w:p>
    <w:p w14:paraId="25C0ADCF" w14:textId="77777777" w:rsidR="00033C2D" w:rsidRDefault="00033C2D" w:rsidP="00033C2D">
      <w:pPr>
        <w:jc w:val="center"/>
      </w:pPr>
    </w:p>
    <w:p w14:paraId="1898AECA" w14:textId="77777777" w:rsidR="00033C2D" w:rsidRPr="00605C87" w:rsidRDefault="00033C2D" w:rsidP="00033C2D">
      <w:pPr>
        <w:spacing w:line="360" w:lineRule="auto"/>
        <w:jc w:val="center"/>
        <w:rPr>
          <w:rFonts w:ascii="Arial" w:hAnsi="Arial" w:cs="Arial"/>
          <w:b/>
          <w:bCs/>
          <w:sz w:val="28"/>
          <w:szCs w:val="28"/>
        </w:rPr>
      </w:pPr>
      <w:r w:rsidRPr="00605C87">
        <w:rPr>
          <w:rFonts w:ascii="Arial" w:hAnsi="Arial" w:cs="Arial"/>
          <w:b/>
          <w:bCs/>
          <w:sz w:val="28"/>
          <w:szCs w:val="28"/>
        </w:rPr>
        <w:t>Corporate social responsibility in regards of sustainability practices in Accor hotel group</w:t>
      </w:r>
    </w:p>
    <w:p w14:paraId="34764018" w14:textId="77777777" w:rsidR="00033C2D" w:rsidRDefault="00033C2D" w:rsidP="00033C2D">
      <w:pPr>
        <w:spacing w:line="360" w:lineRule="auto"/>
        <w:jc w:val="both"/>
        <w:rPr>
          <w:rFonts w:ascii="Arial" w:hAnsi="Arial" w:cs="Arial"/>
          <w:sz w:val="24"/>
          <w:szCs w:val="24"/>
        </w:rPr>
      </w:pPr>
    </w:p>
    <w:p w14:paraId="3785A1D9" w14:textId="77777777" w:rsidR="00033C2D" w:rsidRPr="007C0CBF" w:rsidRDefault="00033C2D" w:rsidP="00033C2D">
      <w:pPr>
        <w:spacing w:line="360" w:lineRule="auto"/>
        <w:jc w:val="both"/>
        <w:rPr>
          <w:rFonts w:ascii="Arial" w:hAnsi="Arial" w:cs="Arial"/>
          <w:sz w:val="24"/>
          <w:szCs w:val="24"/>
        </w:rPr>
      </w:pPr>
      <w:r w:rsidRPr="007C0CBF">
        <w:rPr>
          <w:rFonts w:ascii="Arial" w:hAnsi="Arial" w:cs="Arial"/>
          <w:sz w:val="24"/>
          <w:szCs w:val="24"/>
        </w:rPr>
        <w:t>Corporate Social Responsibility (CSR) is a key concept for driving sustainability in a variety of industries, with the hospitality sector standing out owing to its substantial engagement with society and the environment</w:t>
      </w:r>
      <w:r>
        <w:rPr>
          <w:rFonts w:ascii="Arial" w:hAnsi="Arial" w:cs="Arial"/>
          <w:sz w:val="24"/>
          <w:szCs w:val="24"/>
        </w:rPr>
        <w:t xml:space="preserve"> </w:t>
      </w:r>
      <w:r w:rsidRPr="009D62AA">
        <w:rPr>
          <w:rFonts w:ascii="Arial" w:hAnsi="Arial" w:cs="Arial"/>
          <w:sz w:val="24"/>
          <w:szCs w:val="24"/>
        </w:rPr>
        <w:t>(Rahman Khattak et al., 2021)</w:t>
      </w:r>
      <w:r w:rsidRPr="007C0CBF">
        <w:rPr>
          <w:rFonts w:ascii="Arial" w:hAnsi="Arial" w:cs="Arial"/>
          <w:sz w:val="24"/>
          <w:szCs w:val="24"/>
        </w:rPr>
        <w:t>. This essay investigates how CSR activities might promote sustainable practices in the hotel industry, with a specific focus on the Accor Hotel Group. By exploring Accor</w:t>
      </w:r>
      <w:r>
        <w:rPr>
          <w:rFonts w:ascii="Arial" w:hAnsi="Arial" w:cs="Arial"/>
          <w:sz w:val="24"/>
          <w:szCs w:val="24"/>
        </w:rPr>
        <w:t xml:space="preserve"> (2023) </w:t>
      </w:r>
      <w:r w:rsidRPr="007C0CBF">
        <w:rPr>
          <w:rFonts w:ascii="Arial" w:hAnsi="Arial" w:cs="Arial"/>
          <w:sz w:val="24"/>
          <w:szCs w:val="24"/>
        </w:rPr>
        <w:t xml:space="preserve">strategic approach to CSR, this essay intends to show the benefits, challenges, and possibilities that come with incorporating sustainability into a prominent global hotel chain's operational and corporate ethos. In the hospitality sector, corporate social responsibility (CSR) refers to hotel firms' ethical commitment to contribute to economic development while improving the quality of life of their employees, their families, the local community, and </w:t>
      </w:r>
      <w:proofErr w:type="gramStart"/>
      <w:r w:rsidRPr="007C0CBF">
        <w:rPr>
          <w:rFonts w:ascii="Arial" w:hAnsi="Arial" w:cs="Arial"/>
          <w:sz w:val="24"/>
          <w:szCs w:val="24"/>
        </w:rPr>
        <w:t>society as a whole</w:t>
      </w:r>
      <w:proofErr w:type="gramEnd"/>
      <w:r w:rsidRPr="007C0CBF">
        <w:rPr>
          <w:rFonts w:ascii="Arial" w:hAnsi="Arial" w:cs="Arial"/>
          <w:sz w:val="24"/>
          <w:szCs w:val="24"/>
        </w:rPr>
        <w:t>. This includes a diverse variety of activities such as environmental management, fair labour standards, and community engagement</w:t>
      </w:r>
      <w:r>
        <w:rPr>
          <w:rFonts w:ascii="Arial" w:hAnsi="Arial" w:cs="Arial"/>
          <w:sz w:val="24"/>
          <w:szCs w:val="24"/>
        </w:rPr>
        <w:t xml:space="preserve"> (</w:t>
      </w:r>
      <w:r w:rsidRPr="005D38E1">
        <w:rPr>
          <w:rFonts w:ascii="Arial" w:hAnsi="Arial" w:cs="Arial"/>
          <w:sz w:val="24"/>
          <w:szCs w:val="24"/>
        </w:rPr>
        <w:t>Nicolaides,</w:t>
      </w:r>
      <w:r>
        <w:rPr>
          <w:rFonts w:ascii="Arial" w:hAnsi="Arial" w:cs="Arial"/>
          <w:sz w:val="24"/>
          <w:szCs w:val="24"/>
        </w:rPr>
        <w:t xml:space="preserve"> </w:t>
      </w:r>
      <w:r w:rsidRPr="005D38E1">
        <w:rPr>
          <w:rFonts w:ascii="Arial" w:hAnsi="Arial" w:cs="Arial"/>
          <w:sz w:val="24"/>
          <w:szCs w:val="24"/>
        </w:rPr>
        <w:t>2020</w:t>
      </w:r>
      <w:r>
        <w:rPr>
          <w:rFonts w:ascii="Arial" w:hAnsi="Arial" w:cs="Arial"/>
          <w:sz w:val="24"/>
          <w:szCs w:val="24"/>
        </w:rPr>
        <w:t>)</w:t>
      </w:r>
      <w:r w:rsidRPr="005D38E1">
        <w:rPr>
          <w:rFonts w:ascii="Arial" w:hAnsi="Arial" w:cs="Arial"/>
          <w:sz w:val="24"/>
          <w:szCs w:val="24"/>
        </w:rPr>
        <w:t>.</w:t>
      </w:r>
      <w:r w:rsidRPr="007C0CBF">
        <w:rPr>
          <w:rFonts w:ascii="Arial" w:hAnsi="Arial" w:cs="Arial"/>
          <w:sz w:val="24"/>
          <w:szCs w:val="24"/>
        </w:rPr>
        <w:t xml:space="preserve">  Sustainability refers to hospitality organisations' ability to manage their economic, social, and environmental implications appropriately. This entails not only satisfying the requirements of current tourists and regions, but also preserving and expanding chances for the future</w:t>
      </w:r>
      <w:r>
        <w:rPr>
          <w:rFonts w:ascii="Arial" w:hAnsi="Arial" w:cs="Arial"/>
          <w:sz w:val="24"/>
          <w:szCs w:val="24"/>
        </w:rPr>
        <w:t>,</w:t>
      </w:r>
      <w:r w:rsidRPr="007C0CBF">
        <w:rPr>
          <w:rFonts w:ascii="Arial" w:hAnsi="Arial" w:cs="Arial"/>
          <w:sz w:val="24"/>
          <w:szCs w:val="24"/>
        </w:rPr>
        <w:t xml:space="preserve"> </w:t>
      </w:r>
      <w:r>
        <w:rPr>
          <w:rFonts w:ascii="Arial" w:hAnsi="Arial" w:cs="Arial"/>
          <w:sz w:val="24"/>
          <w:szCs w:val="24"/>
        </w:rPr>
        <w:t>s</w:t>
      </w:r>
      <w:r w:rsidRPr="007C0CBF">
        <w:rPr>
          <w:rFonts w:ascii="Arial" w:hAnsi="Arial" w:cs="Arial"/>
          <w:sz w:val="24"/>
          <w:szCs w:val="24"/>
        </w:rPr>
        <w:t xml:space="preserve">ustainability in hospitality is frequently demonstrated by actions that reduce environmental damage and conserve resources. </w:t>
      </w:r>
    </w:p>
    <w:p w14:paraId="1C9EE677" w14:textId="77777777" w:rsidR="00033C2D" w:rsidRPr="007C0CBF" w:rsidRDefault="00033C2D" w:rsidP="00033C2D">
      <w:pPr>
        <w:spacing w:line="360" w:lineRule="auto"/>
        <w:jc w:val="both"/>
        <w:rPr>
          <w:rFonts w:ascii="Arial" w:hAnsi="Arial" w:cs="Arial"/>
          <w:sz w:val="24"/>
          <w:szCs w:val="24"/>
        </w:rPr>
      </w:pPr>
    </w:p>
    <w:p w14:paraId="16FC1489" w14:textId="77777777" w:rsidR="00033C2D" w:rsidRPr="007C0CBF" w:rsidRDefault="00033C2D" w:rsidP="00033C2D">
      <w:pPr>
        <w:spacing w:line="360" w:lineRule="auto"/>
        <w:jc w:val="both"/>
        <w:rPr>
          <w:rFonts w:ascii="Arial" w:hAnsi="Arial" w:cs="Arial"/>
          <w:sz w:val="24"/>
          <w:szCs w:val="24"/>
        </w:rPr>
      </w:pPr>
    </w:p>
    <w:p w14:paraId="5FAC932D" w14:textId="77777777" w:rsidR="00033C2D" w:rsidRPr="00B9268A" w:rsidRDefault="00033C2D" w:rsidP="00033C2D">
      <w:pPr>
        <w:spacing w:line="360" w:lineRule="auto"/>
        <w:jc w:val="both"/>
        <w:rPr>
          <w:rFonts w:ascii="Arial" w:hAnsi="Arial" w:cs="Arial"/>
          <w:sz w:val="24"/>
          <w:szCs w:val="24"/>
        </w:rPr>
      </w:pPr>
      <w:r>
        <w:rPr>
          <w:rFonts w:ascii="Arial" w:hAnsi="Arial" w:cs="Arial"/>
          <w:sz w:val="24"/>
          <w:szCs w:val="24"/>
        </w:rPr>
        <w:t>Accor (2023) Hotel Group is a prominent worldwide provider of upgraded hospitality, delivering distinctive and significant experiences in 5,100 locations spanning 110 countries. The business possesses a varied brand portfolio that spans from luxury to economical, featuring renowned brands like Sofitel, Novotel, Mercure, and Ibis. Accor's importance in the hospitality sector is defined not only by its large scale and global presence but also by its innovative initiatives in sustainability and social responsibility, which have established benchmarks for the industry on a global scale. Accor Hotel Group's dedication to Corporate Social Responsibility significantly affects its sustainability policies, shaping operational strategies and the company's overall values, despite facing challenges. Accor Hotel Group is strongly dedicated to sustainability, aiming to reach Net Zero carbon emissions by 2050 in accordance with the Paris Agreement (UNFCCC, 2023). This commitment means utilising a science-based strategy, with input from international organisations and experts, covering all aspects of their operations. Key measures involve sustainable building practices, low-carbon food options, efficient waste disposal, and minimising energy and water consumption. Initiatives also prioritise the elimination of single-use plastics and the integration of each property into its local ecosystem.</w:t>
      </w:r>
    </w:p>
    <w:p w14:paraId="7A970328" w14:textId="77777777" w:rsidR="00033C2D" w:rsidRPr="00292D5C" w:rsidRDefault="00033C2D" w:rsidP="00033C2D">
      <w:pPr>
        <w:spacing w:line="360" w:lineRule="auto"/>
        <w:jc w:val="both"/>
        <w:rPr>
          <w:rFonts w:ascii="Arial" w:hAnsi="Arial" w:cs="Arial"/>
          <w:sz w:val="24"/>
          <w:szCs w:val="24"/>
        </w:rPr>
      </w:pPr>
      <w:r>
        <w:rPr>
          <w:rFonts w:ascii="Arial" w:hAnsi="Arial" w:cs="Arial"/>
          <w:sz w:val="24"/>
          <w:szCs w:val="24"/>
        </w:rPr>
        <w:t xml:space="preserve">Accor (2023) demonstrates transparent communication through its platforms on its sustainability efforts. Notable instances include the efforts of Fairmont Royal York in Toronto, which completed North America's largest heritage hotel retrofit to achieve Zero Carbon Building status. The renovation, which cost $65 million and took almost five years to plan and implement, including utilising Lake Ontario's deep waters for cooling and replacing steam systems with electric heat pumps to drastically reduce the hotel's carbon emissions. The </w:t>
      </w:r>
      <w:proofErr w:type="spellStart"/>
      <w:r>
        <w:rPr>
          <w:rFonts w:ascii="Arial" w:hAnsi="Arial" w:cs="Arial"/>
          <w:sz w:val="24"/>
          <w:szCs w:val="24"/>
        </w:rPr>
        <w:t>Mövenpick</w:t>
      </w:r>
      <w:proofErr w:type="spellEnd"/>
      <w:r>
        <w:rPr>
          <w:rFonts w:ascii="Arial" w:hAnsi="Arial" w:cs="Arial"/>
          <w:sz w:val="24"/>
          <w:szCs w:val="24"/>
        </w:rPr>
        <w:t xml:space="preserve"> Sousse in Tunisia utilises the GAIA 2.0 platform which is a tool to monitories, oversee and enhance its energy usage and carbon emissions. The hotel has successfully decreased energy use by about 40% by adjusting energy usage based on occupancy rates, thanks to real-time data. </w:t>
      </w:r>
      <w:proofErr w:type="spellStart"/>
      <w:r>
        <w:rPr>
          <w:rFonts w:ascii="Arial" w:hAnsi="Arial" w:cs="Arial"/>
          <w:sz w:val="24"/>
          <w:szCs w:val="24"/>
        </w:rPr>
        <w:t>Poirson</w:t>
      </w:r>
      <w:proofErr w:type="spellEnd"/>
      <w:r>
        <w:rPr>
          <w:rFonts w:ascii="Arial" w:hAnsi="Arial" w:cs="Arial"/>
          <w:sz w:val="24"/>
          <w:szCs w:val="24"/>
        </w:rPr>
        <w:t xml:space="preserve"> (2022) asserts that Accor showcases its commitment to environmental stewardship and establishes a standard for sustainable practices in the hospitality sector, leading to substantial decreases in carbon footprints worldwide. Enhancing brand reputation and ensuring long-term economic success come with implementation hurdles and need substantial financial investment. Well-executed CSR programmes can establish new industry benchmarks and provide substantial benefits for both the company and the local communities. This dual impact underscores the significance of CSR in promoting the sustainability agenda in the hospitality industry, together with the hotel business's global influence (Li et al., 2022).</w:t>
      </w:r>
    </w:p>
    <w:p w14:paraId="0E60FF42" w14:textId="77777777" w:rsidR="00033C2D" w:rsidRPr="003D0799" w:rsidRDefault="00033C2D" w:rsidP="00033C2D">
      <w:pPr>
        <w:spacing w:line="360" w:lineRule="auto"/>
        <w:jc w:val="both"/>
        <w:rPr>
          <w:rFonts w:ascii="Arial" w:hAnsi="Arial" w:cs="Arial"/>
          <w:sz w:val="24"/>
          <w:szCs w:val="24"/>
        </w:rPr>
      </w:pPr>
      <w:r>
        <w:rPr>
          <w:rFonts w:ascii="Arial" w:hAnsi="Arial" w:cs="Arial"/>
          <w:sz w:val="24"/>
          <w:szCs w:val="24"/>
        </w:rPr>
        <w:t xml:space="preserve">Accor's dedication to CSR boosts its brand image by matching its operating methods with the increasing consumer demand for ethical and sustainable companies (Mahmood and Bashir, 2020). Contemporary consumers, especially millennials and Gen Z, are favouring brands that show social responsibility and environmental leadership by focusing on sustainability (Williams and Hodges, 2020). Accor </w:t>
      </w:r>
      <w:proofErr w:type="gramStart"/>
      <w:r>
        <w:rPr>
          <w:rFonts w:ascii="Arial" w:hAnsi="Arial" w:cs="Arial"/>
          <w:sz w:val="24"/>
          <w:szCs w:val="24"/>
        </w:rPr>
        <w:t>is able to</w:t>
      </w:r>
      <w:proofErr w:type="gramEnd"/>
      <w:r>
        <w:rPr>
          <w:rFonts w:ascii="Arial" w:hAnsi="Arial" w:cs="Arial"/>
          <w:sz w:val="24"/>
          <w:szCs w:val="24"/>
        </w:rPr>
        <w:t xml:space="preserve"> attract a wider customer demographic, which is important in a competitive industry such as hospitality. This devotion is demonstrated via actions like decreasing carbon footprints, handling waste ethically, and obtaining local and sustainable sources. These efforts not only appeal to guests but also foster loyalty. </w:t>
      </w:r>
    </w:p>
    <w:p w14:paraId="3A2D45D8" w14:textId="77777777" w:rsidR="00033C2D" w:rsidRPr="003D0799" w:rsidRDefault="00033C2D" w:rsidP="00033C2D">
      <w:pPr>
        <w:spacing w:line="360" w:lineRule="auto"/>
        <w:jc w:val="both"/>
        <w:rPr>
          <w:rFonts w:ascii="Arial" w:eastAsia="Times New Roman" w:hAnsi="Arial" w:cs="Arial"/>
          <w:sz w:val="24"/>
          <w:szCs w:val="24"/>
          <w:lang w:eastAsia="en-GB"/>
        </w:rPr>
      </w:pPr>
      <w:r>
        <w:rPr>
          <w:rFonts w:ascii="Arial" w:hAnsi="Arial" w:cs="Arial"/>
          <w:sz w:val="24"/>
          <w:szCs w:val="24"/>
        </w:rPr>
        <w:t xml:space="preserve">Foris, </w:t>
      </w:r>
      <w:proofErr w:type="spellStart"/>
      <w:r>
        <w:rPr>
          <w:rFonts w:ascii="Arial" w:hAnsi="Arial" w:cs="Arial"/>
          <w:sz w:val="24"/>
          <w:szCs w:val="24"/>
        </w:rPr>
        <w:t>Crihalmean</w:t>
      </w:r>
      <w:proofErr w:type="spellEnd"/>
      <w:r>
        <w:rPr>
          <w:rFonts w:ascii="Arial" w:hAnsi="Arial" w:cs="Arial"/>
          <w:sz w:val="24"/>
          <w:szCs w:val="24"/>
        </w:rPr>
        <w:t>, and Foris (2020) noted that the growing recognition of global warming has had a substantial impact on customer behaviour in the hospitality sector, specifically in their inclination towards eco-friendly hotels. Tourists now anticipate hotels to use more sustainable operational techniques due to the rising environmental concerns. Consumer behaviour changes are prompting hoteliers to improve their environmental initiatives through the adoption of green products and services and the establishment of reliable environmental management practices. Implementing such practices is essential for enhancing a hotel's market position and setting their brand apart in a competitive market.</w:t>
      </w:r>
    </w:p>
    <w:p w14:paraId="75DD3227" w14:textId="77777777" w:rsidR="00033C2D" w:rsidRPr="001C3CBC" w:rsidRDefault="00033C2D" w:rsidP="00033C2D">
      <w:pPr>
        <w:spacing w:line="360" w:lineRule="auto"/>
        <w:jc w:val="both"/>
        <w:rPr>
          <w:rFonts w:ascii="Arial" w:hAnsi="Arial" w:cs="Arial"/>
          <w:sz w:val="24"/>
          <w:szCs w:val="24"/>
        </w:rPr>
      </w:pPr>
      <w:r>
        <w:rPr>
          <w:rFonts w:ascii="Arial" w:hAnsi="Arial" w:cs="Arial"/>
          <w:sz w:val="24"/>
          <w:szCs w:val="24"/>
        </w:rPr>
        <w:t xml:space="preserve">Despite significant efforts to promote sustainability, some organisations are cutting corners in the tourism industry, leading to a decrease in overall sustainability. Many companies lack clear strategies for sustainable growth and innovation, despite the increasing interest in sustainable options among tourists. </w:t>
      </w:r>
    </w:p>
    <w:p w14:paraId="41D9F555" w14:textId="77777777" w:rsidR="00033C2D" w:rsidRPr="00A64B0E" w:rsidRDefault="00033C2D" w:rsidP="00033C2D">
      <w:pPr>
        <w:spacing w:line="360" w:lineRule="auto"/>
        <w:jc w:val="both"/>
        <w:rPr>
          <w:rFonts w:ascii="Arial" w:eastAsia="Times New Roman" w:hAnsi="Arial" w:cs="Arial"/>
          <w:sz w:val="24"/>
          <w:szCs w:val="24"/>
          <w:lang w:eastAsia="en-GB"/>
        </w:rPr>
      </w:pPr>
      <w:r>
        <w:rPr>
          <w:rFonts w:ascii="Arial" w:hAnsi="Arial" w:cs="Arial"/>
          <w:sz w:val="24"/>
          <w:szCs w:val="24"/>
        </w:rPr>
        <w:t xml:space="preserve">Social media is a crucial source of innovation and information that contributes to the progress of environmental sustainability. Various ecological certification standards have been established in the tourism industry to promote sustainable practices. Green Globe (2024), Green Key (2023), </w:t>
      </w:r>
      <w:proofErr w:type="spellStart"/>
      <w:r>
        <w:rPr>
          <w:rFonts w:ascii="Arial" w:hAnsi="Arial" w:cs="Arial"/>
          <w:sz w:val="24"/>
          <w:szCs w:val="24"/>
        </w:rPr>
        <w:t>Travelife</w:t>
      </w:r>
      <w:proofErr w:type="spellEnd"/>
      <w:r>
        <w:rPr>
          <w:rFonts w:ascii="Arial" w:hAnsi="Arial" w:cs="Arial"/>
          <w:sz w:val="24"/>
          <w:szCs w:val="24"/>
        </w:rPr>
        <w:t xml:space="preserve"> (2024), and </w:t>
      </w:r>
      <w:proofErr w:type="spellStart"/>
      <w:r>
        <w:rPr>
          <w:rFonts w:ascii="Arial" w:hAnsi="Arial" w:cs="Arial"/>
          <w:sz w:val="24"/>
          <w:szCs w:val="24"/>
        </w:rPr>
        <w:t>EarthCheck</w:t>
      </w:r>
      <w:proofErr w:type="spellEnd"/>
      <w:r>
        <w:rPr>
          <w:rFonts w:ascii="Arial" w:hAnsi="Arial" w:cs="Arial"/>
          <w:sz w:val="24"/>
          <w:szCs w:val="24"/>
        </w:rPr>
        <w:t xml:space="preserve"> (2024) are some examples of organisations that have been involved in environmental education. Some of the components of sustainability that are addressed by these standards include management, social and economic factors, cultural heritage, and environmental impacts. These standards provide frameworks that handle these aspects. According to </w:t>
      </w:r>
      <w:proofErr w:type="spellStart"/>
      <w:r>
        <w:rPr>
          <w:rFonts w:ascii="Arial" w:hAnsi="Arial" w:cs="Arial"/>
          <w:sz w:val="24"/>
          <w:szCs w:val="24"/>
        </w:rPr>
        <w:t>Stringher</w:t>
      </w:r>
      <w:proofErr w:type="spellEnd"/>
      <w:r>
        <w:rPr>
          <w:rFonts w:ascii="Arial" w:hAnsi="Arial" w:cs="Arial"/>
          <w:sz w:val="24"/>
          <w:szCs w:val="24"/>
        </w:rPr>
        <w:t xml:space="preserve"> (2024), green hotels, which are recognised for their eco-friendly practices such as the conservation of energy and water, the reduction of waste, and the management of sustainable resources, are an essential component of the global drive to rescue the environment. Holding an ecological certificate can greatly impact a tourist's decision on where to stay, although travellers' knowledge of these certificates varies. The internet plays an increasingly important part in the tourism industry's purchase process, since online booking sites have become crucial tools that need to provide detailed and valuable information to attract customers. Electronic word-of-mouth (e-WOM) on platforms such as social media is a powerful promotional tool that impacts tourist decisions by sharing personal experiences and reviews (Thuy et al., 2024).</w:t>
      </w:r>
      <w:r w:rsidRPr="00611A35">
        <w:rPr>
          <w:rFonts w:ascii="Arial" w:hAnsi="Arial" w:cs="Arial"/>
          <w:sz w:val="24"/>
          <w:szCs w:val="24"/>
        </w:rPr>
        <w:t xml:space="preserve"> </w:t>
      </w:r>
      <w:r>
        <w:rPr>
          <w:rFonts w:ascii="Arial" w:hAnsi="Arial" w:cs="Arial"/>
          <w:sz w:val="24"/>
          <w:szCs w:val="24"/>
        </w:rPr>
        <w:t xml:space="preserve">User-generated content on social media is considered more reliable than information from official sources, highlights the important influence of social media on Generation Z's purchasing behaviours, showing how young individuals use electronic word-of-mouth to make well-informed shopping choices. This exemplifies a larger pattern in which social media platforms play a crucial role in marketing tactics, particularly when aiming to reach younger audiences. Hotels must effectively promote their sustainability strategies to encourage environmentally conscious behaviour among tourists in response to the changing environment. Online platforms and reviews are vital in moulding tourist impressions and decisions, representing a substantial change in how information is </w:t>
      </w:r>
      <w:proofErr w:type="gramStart"/>
      <w:r>
        <w:rPr>
          <w:rFonts w:ascii="Arial" w:hAnsi="Arial" w:cs="Arial"/>
          <w:sz w:val="24"/>
          <w:szCs w:val="24"/>
        </w:rPr>
        <w:t>received</w:t>
      </w:r>
      <w:proofErr w:type="gramEnd"/>
      <w:r>
        <w:rPr>
          <w:rFonts w:ascii="Arial" w:hAnsi="Arial" w:cs="Arial"/>
          <w:sz w:val="24"/>
          <w:szCs w:val="24"/>
        </w:rPr>
        <w:t xml:space="preserve"> and accommodations are chosen in the digital age.</w:t>
      </w:r>
    </w:p>
    <w:p w14:paraId="61A59EC2" w14:textId="77777777" w:rsidR="00033C2D" w:rsidRDefault="00033C2D" w:rsidP="00033C2D">
      <w:pPr>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Hegab</w:t>
      </w:r>
      <w:proofErr w:type="spellEnd"/>
      <w:r>
        <w:rPr>
          <w:rFonts w:ascii="Arial" w:hAnsi="Arial" w:cs="Arial"/>
          <w:sz w:val="24"/>
          <w:szCs w:val="24"/>
        </w:rPr>
        <w:t xml:space="preserve"> et al. (2023), corporate social responsibility policies contribute to success over the long term by enhancing operational efficiency and lowering costs. This can be accomplished, for example, by implementing waste reduction systems and energy-efficient equipment, both of which result in lower daily operational expenses. It is possible that Accor's concentration on environmentally responsible practices would result in subsidies and tax advantages in various locations, which will ultimately improve the company's financial performance (ElSaid et al., 2024).</w:t>
      </w:r>
    </w:p>
    <w:p w14:paraId="29C8735C" w14:textId="77777777" w:rsidR="00033C2D" w:rsidRDefault="00033C2D" w:rsidP="00033C2D">
      <w:pPr>
        <w:spacing w:line="360" w:lineRule="auto"/>
        <w:jc w:val="both"/>
        <w:rPr>
          <w:rFonts w:ascii="Arial" w:hAnsi="Arial" w:cs="Arial"/>
          <w:sz w:val="24"/>
          <w:szCs w:val="24"/>
        </w:rPr>
      </w:pPr>
      <w:r>
        <w:rPr>
          <w:rFonts w:ascii="Arial" w:hAnsi="Arial" w:cs="Arial"/>
          <w:sz w:val="24"/>
          <w:szCs w:val="24"/>
        </w:rPr>
        <w:t>Although the advantages of CSR programmes are evident, their execution can pose substantial problems, with the biggest obstacle being the upfront cost (</w:t>
      </w:r>
      <w:proofErr w:type="spellStart"/>
      <w:r>
        <w:rPr>
          <w:rFonts w:ascii="Arial" w:hAnsi="Arial" w:cs="Arial"/>
          <w:sz w:val="24"/>
          <w:szCs w:val="24"/>
        </w:rPr>
        <w:t>Ashaal</w:t>
      </w:r>
      <w:proofErr w:type="spellEnd"/>
      <w:r>
        <w:rPr>
          <w:rFonts w:ascii="Arial" w:hAnsi="Arial" w:cs="Arial"/>
          <w:sz w:val="24"/>
          <w:szCs w:val="24"/>
        </w:rPr>
        <w:t xml:space="preserve"> et al., 2024). Barrow (2021) states that adopting sustainable technologies, educating workers on new practices, and shifting to eco-friendly materials typically need a significant initial financial commitment. Sustainability is becoming more financially viable due to substantial decreases in green technology costs. The enormous drop in solar energy expenses, previously underestimated even by optimistic predictions, reflects larger economic changes. These improvements demonstrate that renewable energy and sustainable practices are both environmentally essential and commercially beneficial. Investor interest in Environmental, Social, and Governance (ESG) measures and a cultural movement towards valuing sustainable behaviours are driving businesses to adopt green practices for both ethical grounds and financial benefits. For a major organisation such as Accor, maintaining uniformity and compliance with these standards worldwide presents an additional level of complexity and cost. Accor faces the difficulty of assessing the impact of CSR programmes and needs to invest in systems to monitor the effectiveness of their sustainability practices. This process is costly and requires continuous adjustments to strategy based on performance data. Although facing difficulties, effectively implemented CSR initiatives create various chances. Accor establishes industry benchmarks in sustainability, prompting other participants in the hospitality sector to emulate its practices. This leadership role not only boosts Accor's brand reputation but also accelerates wider industry trends towards sustainability. CSR initiatives can enhance community goodwill and improve relationships with local governments and stakeholders, potentially resulting in smoother operations and opportunities for expansion in new markets that prioritise corporate responsibility (Khuong, Truong, &amp; Thanh Hang, 2021). Accor's CSR activities in 2024 have a dual impact on economic performance internally and on community relations and environmental impact outside, emphasising the crucial role of CSR in promoting sustainability in the hotel industry. Accor gains economically and contributes to global sustainable development efforts by integrating these practices, cementing the connection between the hotel sector and broader societal implications.</w:t>
      </w:r>
    </w:p>
    <w:p w14:paraId="09FE6612" w14:textId="77777777" w:rsidR="00033C2D" w:rsidRDefault="00033C2D" w:rsidP="00033C2D">
      <w:pPr>
        <w:spacing w:line="360" w:lineRule="auto"/>
        <w:jc w:val="both"/>
        <w:rPr>
          <w:rFonts w:ascii="Arial" w:hAnsi="Arial" w:cs="Arial"/>
          <w:sz w:val="24"/>
          <w:szCs w:val="24"/>
        </w:rPr>
      </w:pPr>
    </w:p>
    <w:p w14:paraId="7F9E6540" w14:textId="77777777" w:rsidR="00033C2D" w:rsidRPr="00B54393" w:rsidRDefault="00033C2D" w:rsidP="00033C2D">
      <w:pPr>
        <w:spacing w:line="360" w:lineRule="auto"/>
        <w:jc w:val="both"/>
        <w:rPr>
          <w:rFonts w:ascii="Arial" w:hAnsi="Arial" w:cs="Arial"/>
          <w:sz w:val="24"/>
          <w:szCs w:val="24"/>
        </w:rPr>
      </w:pPr>
    </w:p>
    <w:p w14:paraId="7A9F4899" w14:textId="77777777" w:rsidR="00033C2D" w:rsidRDefault="00033C2D" w:rsidP="00033C2D">
      <w:pPr>
        <w:spacing w:line="360" w:lineRule="auto"/>
        <w:jc w:val="both"/>
        <w:rPr>
          <w:rFonts w:ascii="Arial" w:hAnsi="Arial" w:cs="Arial"/>
          <w:sz w:val="24"/>
          <w:szCs w:val="24"/>
        </w:rPr>
      </w:pPr>
      <w:r>
        <w:rPr>
          <w:rFonts w:ascii="Arial" w:hAnsi="Arial" w:cs="Arial"/>
          <w:sz w:val="24"/>
          <w:szCs w:val="24"/>
        </w:rPr>
        <w:t>In conclusion, this essay has demonstrated how Corporate Social Responsibility (CSR) is more than just a strategic strategy to improving corporate reputation; it is a fundamental change towards ethical and sustainable business practices in the hotel industry. The Accor Hotel Group epitomises this transformation, incorporating CSR thoroughly into its operational culture and resulting in significant environmental and social advantages. This devotion is demonstrated by their comprehensive sustainability initiatives, which range from energy-efficient operations to community-focused programmes, not only aligning with global sustainability goals but also providing a competitive advantage in the hospitality market. The examination of Accor's processes demonstrates that, despite the difficulties of initial investment and growing across a worldwide network, the benefits—both in terms of brand value and operational savings—are substantial. These findings indicate that sustainable practices are not only practicable, but also required for long-term profitability and resilience in the hotel industry. Furthermore, Accor's CSR leadership acts as a catalyst, pushing other companies in the industry to adopt similar policies, amplifying the impact on global sustainability. Thus, CSR in the hospitality business, as demonstrated by Accor, is a potent weapon not only for corporate success but also for promoting a sustainable future. It highlights the power of integrated, ethically driven business practices to generate substantial change, establishing CSR as an essential strategy in the modern business landscape. This movement towards sustainability has the potential to redefine industry standards, pushing the boundaries of what it means to be a hospitality leader.</w:t>
      </w:r>
    </w:p>
    <w:p w14:paraId="4BB11BA1" w14:textId="77777777" w:rsidR="00033C2D" w:rsidRDefault="00033C2D" w:rsidP="00033C2D">
      <w:pPr>
        <w:spacing w:line="360" w:lineRule="auto"/>
        <w:jc w:val="both"/>
        <w:rPr>
          <w:rFonts w:ascii="Arial" w:hAnsi="Arial" w:cs="Arial"/>
          <w:sz w:val="24"/>
          <w:szCs w:val="24"/>
        </w:rPr>
      </w:pPr>
    </w:p>
    <w:p w14:paraId="647DC7AD" w14:textId="77777777" w:rsidR="00033C2D" w:rsidRDefault="00033C2D" w:rsidP="00033C2D">
      <w:pPr>
        <w:spacing w:line="360" w:lineRule="auto"/>
        <w:jc w:val="both"/>
        <w:rPr>
          <w:rFonts w:ascii="Arial" w:hAnsi="Arial" w:cs="Arial"/>
          <w:sz w:val="24"/>
          <w:szCs w:val="24"/>
        </w:rPr>
      </w:pPr>
    </w:p>
    <w:p w14:paraId="48623008" w14:textId="77777777" w:rsidR="00033C2D" w:rsidRDefault="00033C2D" w:rsidP="00033C2D">
      <w:pPr>
        <w:rPr>
          <w:rFonts w:ascii="Arial" w:hAnsi="Arial" w:cs="Arial"/>
          <w:sz w:val="24"/>
          <w:szCs w:val="24"/>
        </w:rPr>
      </w:pPr>
      <w:r>
        <w:rPr>
          <w:rFonts w:ascii="Arial" w:hAnsi="Arial" w:cs="Arial"/>
          <w:sz w:val="24"/>
          <w:szCs w:val="24"/>
        </w:rPr>
        <w:br w:type="page"/>
      </w:r>
    </w:p>
    <w:p w14:paraId="79D98A3B" w14:textId="77777777" w:rsidR="00033C2D" w:rsidRPr="001D6C87" w:rsidRDefault="00033C2D" w:rsidP="00033C2D">
      <w:pPr>
        <w:spacing w:line="360" w:lineRule="auto"/>
        <w:jc w:val="both"/>
        <w:rPr>
          <w:rFonts w:ascii="Arial" w:hAnsi="Arial" w:cs="Arial"/>
          <w:sz w:val="24"/>
          <w:szCs w:val="24"/>
        </w:rPr>
      </w:pPr>
      <w:r>
        <w:rPr>
          <w:rFonts w:ascii="Arial" w:hAnsi="Arial" w:cs="Arial"/>
          <w:sz w:val="24"/>
          <w:szCs w:val="24"/>
        </w:rPr>
        <w:t xml:space="preserve">References </w:t>
      </w:r>
    </w:p>
    <w:p w14:paraId="2998E5C8" w14:textId="77777777" w:rsidR="00033C2D" w:rsidRPr="001D6C87" w:rsidRDefault="00033C2D" w:rsidP="00033C2D">
      <w:pPr>
        <w:spacing w:before="240" w:after="0" w:line="360" w:lineRule="auto"/>
        <w:jc w:val="both"/>
        <w:rPr>
          <w:rFonts w:ascii="Arial" w:hAnsi="Arial" w:cs="Arial"/>
          <w:sz w:val="24"/>
          <w:szCs w:val="24"/>
        </w:rPr>
      </w:pPr>
      <w:r w:rsidRPr="001D6C87">
        <w:rPr>
          <w:rFonts w:ascii="Arial" w:hAnsi="Arial" w:cs="Arial"/>
          <w:sz w:val="24"/>
          <w:szCs w:val="24"/>
        </w:rPr>
        <w:t xml:space="preserve">Accor (2023) </w:t>
      </w:r>
      <w:r w:rsidRPr="003A1C63">
        <w:rPr>
          <w:rFonts w:ascii="Arial" w:hAnsi="Arial" w:cs="Arial"/>
          <w:i/>
          <w:iCs/>
          <w:sz w:val="24"/>
          <w:szCs w:val="24"/>
        </w:rPr>
        <w:t>Accor Targeting Carbon Emissions with Future-Minded Initiatives across the Globe</w:t>
      </w:r>
      <w:r w:rsidRPr="001D6C87">
        <w:rPr>
          <w:rFonts w:ascii="Arial" w:hAnsi="Arial" w:cs="Arial"/>
          <w:sz w:val="24"/>
          <w:szCs w:val="24"/>
        </w:rPr>
        <w:t xml:space="preserve">. [online] Accor.com. Available at: https://group.accor.com/en </w:t>
      </w:r>
      <w:r>
        <w:rPr>
          <w:rFonts w:ascii="Arial" w:hAnsi="Arial" w:cs="Arial"/>
          <w:sz w:val="24"/>
          <w:szCs w:val="24"/>
        </w:rPr>
        <w:t>(</w:t>
      </w:r>
      <w:r w:rsidRPr="001D6C87">
        <w:rPr>
          <w:rFonts w:ascii="Arial" w:hAnsi="Arial" w:cs="Arial"/>
          <w:sz w:val="24"/>
          <w:szCs w:val="24"/>
        </w:rPr>
        <w:t>Accessed 30 Apr. 2024</w:t>
      </w:r>
      <w:r>
        <w:rPr>
          <w:rFonts w:ascii="Arial" w:hAnsi="Arial" w:cs="Arial"/>
          <w:sz w:val="24"/>
          <w:szCs w:val="24"/>
        </w:rPr>
        <w:t>)</w:t>
      </w:r>
      <w:r w:rsidRPr="001D6C87">
        <w:rPr>
          <w:rFonts w:ascii="Arial" w:hAnsi="Arial" w:cs="Arial"/>
          <w:sz w:val="24"/>
          <w:szCs w:val="24"/>
        </w:rPr>
        <w:t>.</w:t>
      </w:r>
    </w:p>
    <w:p w14:paraId="69B3F64E" w14:textId="77777777" w:rsidR="00033C2D" w:rsidRPr="001D6C87" w:rsidRDefault="00033C2D" w:rsidP="00033C2D">
      <w:pPr>
        <w:spacing w:before="240" w:after="0" w:line="360" w:lineRule="auto"/>
        <w:jc w:val="both"/>
        <w:rPr>
          <w:rFonts w:ascii="Arial" w:hAnsi="Arial" w:cs="Arial"/>
          <w:sz w:val="24"/>
          <w:szCs w:val="24"/>
        </w:rPr>
      </w:pPr>
      <w:proofErr w:type="spellStart"/>
      <w:r w:rsidRPr="001D6C87">
        <w:rPr>
          <w:rFonts w:ascii="Arial" w:hAnsi="Arial" w:cs="Arial"/>
          <w:sz w:val="24"/>
          <w:szCs w:val="24"/>
        </w:rPr>
        <w:t>Ashaal</w:t>
      </w:r>
      <w:proofErr w:type="spellEnd"/>
      <w:r w:rsidRPr="001D6C87">
        <w:rPr>
          <w:rFonts w:ascii="Arial" w:hAnsi="Arial" w:cs="Arial"/>
          <w:sz w:val="24"/>
          <w:szCs w:val="24"/>
        </w:rPr>
        <w:t xml:space="preserve">, A., Bakri, A., Bakri, A., AlKhatib, N., </w:t>
      </w:r>
      <w:proofErr w:type="spellStart"/>
      <w:r w:rsidRPr="001D6C87">
        <w:rPr>
          <w:rFonts w:ascii="Arial" w:hAnsi="Arial" w:cs="Arial"/>
          <w:sz w:val="24"/>
          <w:szCs w:val="24"/>
        </w:rPr>
        <w:t>Chreif</w:t>
      </w:r>
      <w:proofErr w:type="spellEnd"/>
      <w:r w:rsidRPr="001D6C87">
        <w:rPr>
          <w:rFonts w:ascii="Arial" w:hAnsi="Arial" w:cs="Arial"/>
          <w:sz w:val="24"/>
          <w:szCs w:val="24"/>
        </w:rPr>
        <w:t xml:space="preserve">, M. and Najib Bou </w:t>
      </w:r>
      <w:proofErr w:type="spellStart"/>
      <w:r w:rsidRPr="001D6C87">
        <w:rPr>
          <w:rFonts w:ascii="Arial" w:hAnsi="Arial" w:cs="Arial"/>
          <w:sz w:val="24"/>
          <w:szCs w:val="24"/>
        </w:rPr>
        <w:t>Zakhem</w:t>
      </w:r>
      <w:proofErr w:type="spellEnd"/>
      <w:r w:rsidRPr="001D6C87">
        <w:rPr>
          <w:rFonts w:ascii="Arial" w:hAnsi="Arial" w:cs="Arial"/>
          <w:sz w:val="24"/>
          <w:szCs w:val="24"/>
        </w:rPr>
        <w:t xml:space="preserve"> (2024) </w:t>
      </w:r>
      <w:r w:rsidRPr="003A1C63">
        <w:rPr>
          <w:rFonts w:ascii="Arial" w:hAnsi="Arial" w:cs="Arial"/>
          <w:i/>
          <w:iCs/>
          <w:sz w:val="24"/>
          <w:szCs w:val="24"/>
        </w:rPr>
        <w:t>Harvesting sustainability: Navigating green practices and barriers in Lebanon’s hospitality sector.</w:t>
      </w:r>
      <w:r w:rsidRPr="001D6C87">
        <w:rPr>
          <w:rFonts w:ascii="Arial" w:hAnsi="Arial" w:cs="Arial"/>
          <w:sz w:val="24"/>
          <w:szCs w:val="24"/>
        </w:rPr>
        <w:t xml:space="preserve"> Business strategy and development, 7(2). </w:t>
      </w:r>
      <w:proofErr w:type="spellStart"/>
      <w:proofErr w:type="gramStart"/>
      <w:r w:rsidRPr="001D6C87">
        <w:rPr>
          <w:rFonts w:ascii="Arial" w:hAnsi="Arial" w:cs="Arial"/>
          <w:sz w:val="24"/>
          <w:szCs w:val="24"/>
        </w:rPr>
        <w:t>doi:https</w:t>
      </w:r>
      <w:proofErr w:type="spellEnd"/>
      <w:r w:rsidRPr="001D6C87">
        <w:rPr>
          <w:rFonts w:ascii="Arial" w:hAnsi="Arial" w:cs="Arial"/>
          <w:sz w:val="24"/>
          <w:szCs w:val="24"/>
        </w:rPr>
        <w:t>://doi.org/10.1002/bsd2.369</w:t>
      </w:r>
      <w:proofErr w:type="gramEnd"/>
      <w:r w:rsidRPr="001D6C87">
        <w:rPr>
          <w:rFonts w:ascii="Arial" w:hAnsi="Arial" w:cs="Arial"/>
          <w:sz w:val="24"/>
          <w:szCs w:val="24"/>
        </w:rPr>
        <w:t>.</w:t>
      </w:r>
      <w:r>
        <w:rPr>
          <w:rFonts w:ascii="Arial" w:hAnsi="Arial" w:cs="Arial"/>
          <w:sz w:val="24"/>
          <w:szCs w:val="24"/>
        </w:rPr>
        <w:t xml:space="preserve"> (</w:t>
      </w:r>
      <w:r w:rsidRPr="001D6C87">
        <w:rPr>
          <w:rFonts w:ascii="Arial" w:hAnsi="Arial" w:cs="Arial"/>
          <w:sz w:val="24"/>
          <w:szCs w:val="24"/>
        </w:rPr>
        <w:t xml:space="preserve">Accessed </w:t>
      </w:r>
      <w:r>
        <w:rPr>
          <w:rFonts w:ascii="Arial" w:hAnsi="Arial" w:cs="Arial"/>
          <w:sz w:val="24"/>
          <w:szCs w:val="24"/>
        </w:rPr>
        <w:t>29</w:t>
      </w:r>
      <w:r w:rsidRPr="001D6C87">
        <w:rPr>
          <w:rFonts w:ascii="Arial" w:hAnsi="Arial" w:cs="Arial"/>
          <w:sz w:val="24"/>
          <w:szCs w:val="24"/>
        </w:rPr>
        <w:t xml:space="preserve"> Apr. 2024</w:t>
      </w:r>
      <w:r>
        <w:rPr>
          <w:rFonts w:ascii="Arial" w:hAnsi="Arial" w:cs="Arial"/>
          <w:sz w:val="24"/>
          <w:szCs w:val="24"/>
        </w:rPr>
        <w:t>)</w:t>
      </w:r>
      <w:r w:rsidRPr="001D6C87">
        <w:rPr>
          <w:rFonts w:ascii="Arial" w:hAnsi="Arial" w:cs="Arial"/>
          <w:sz w:val="24"/>
          <w:szCs w:val="24"/>
        </w:rPr>
        <w:t>.</w:t>
      </w:r>
    </w:p>
    <w:p w14:paraId="37FD0792" w14:textId="77777777" w:rsidR="00033C2D" w:rsidRPr="001D6C87" w:rsidRDefault="00033C2D" w:rsidP="00033C2D">
      <w:pPr>
        <w:spacing w:before="240" w:after="0" w:line="360" w:lineRule="auto"/>
        <w:jc w:val="both"/>
        <w:rPr>
          <w:rFonts w:ascii="Arial" w:hAnsi="Arial" w:cs="Arial"/>
          <w:sz w:val="24"/>
          <w:szCs w:val="24"/>
        </w:rPr>
      </w:pPr>
      <w:r w:rsidRPr="001D6C87">
        <w:rPr>
          <w:rFonts w:ascii="Arial" w:hAnsi="Arial" w:cs="Arial"/>
          <w:sz w:val="24"/>
          <w:szCs w:val="24"/>
        </w:rPr>
        <w:t xml:space="preserve">Barrow, K. (2021) </w:t>
      </w:r>
      <w:r w:rsidRPr="003A1C63">
        <w:rPr>
          <w:rFonts w:ascii="Arial" w:hAnsi="Arial" w:cs="Arial"/>
          <w:i/>
          <w:iCs/>
          <w:sz w:val="24"/>
          <w:szCs w:val="24"/>
        </w:rPr>
        <w:t>How sustainability went from a cost to an opportunity</w:t>
      </w:r>
      <w:r w:rsidRPr="001D6C87">
        <w:rPr>
          <w:rFonts w:ascii="Arial" w:hAnsi="Arial" w:cs="Arial"/>
          <w:sz w:val="24"/>
          <w:szCs w:val="24"/>
        </w:rPr>
        <w:t xml:space="preserve"> | EY UK. [online] www.ey.com. Available at: https://www.ey.com/en_uk/sustainability/cbf/how-sustainability-went-from-a-cost-to-an-opportunity [Accessed 1 May 2024].</w:t>
      </w:r>
    </w:p>
    <w:p w14:paraId="011841D6" w14:textId="77777777" w:rsidR="00033C2D" w:rsidRPr="001D6C87" w:rsidRDefault="00033C2D" w:rsidP="00033C2D">
      <w:pPr>
        <w:spacing w:before="240" w:after="0" w:line="360" w:lineRule="auto"/>
        <w:jc w:val="both"/>
        <w:rPr>
          <w:rFonts w:ascii="Arial" w:hAnsi="Arial" w:cs="Arial"/>
          <w:sz w:val="24"/>
          <w:szCs w:val="24"/>
        </w:rPr>
      </w:pPr>
      <w:proofErr w:type="spellStart"/>
      <w:r w:rsidRPr="001D6C87">
        <w:rPr>
          <w:rFonts w:ascii="Arial" w:hAnsi="Arial" w:cs="Arial"/>
          <w:sz w:val="24"/>
          <w:szCs w:val="24"/>
        </w:rPr>
        <w:t>Earthcheck</w:t>
      </w:r>
      <w:proofErr w:type="spellEnd"/>
      <w:r w:rsidRPr="001D6C87">
        <w:rPr>
          <w:rFonts w:ascii="Arial" w:hAnsi="Arial" w:cs="Arial"/>
          <w:sz w:val="24"/>
          <w:szCs w:val="24"/>
        </w:rPr>
        <w:t xml:space="preserve"> (2024)</w:t>
      </w:r>
      <w:r>
        <w:rPr>
          <w:rFonts w:ascii="Arial" w:hAnsi="Arial" w:cs="Arial"/>
          <w:sz w:val="24"/>
          <w:szCs w:val="24"/>
        </w:rPr>
        <w:t xml:space="preserve"> </w:t>
      </w:r>
      <w:proofErr w:type="spellStart"/>
      <w:r w:rsidRPr="003A1C63">
        <w:rPr>
          <w:rFonts w:ascii="Arial" w:hAnsi="Arial" w:cs="Arial"/>
          <w:i/>
          <w:iCs/>
          <w:sz w:val="24"/>
          <w:szCs w:val="24"/>
        </w:rPr>
        <w:t>EarthCheck</w:t>
      </w:r>
      <w:proofErr w:type="spellEnd"/>
      <w:r w:rsidRPr="003A1C63">
        <w:rPr>
          <w:rFonts w:ascii="Arial" w:hAnsi="Arial" w:cs="Arial"/>
          <w:i/>
          <w:iCs/>
          <w:sz w:val="24"/>
          <w:szCs w:val="24"/>
        </w:rPr>
        <w:t>.</w:t>
      </w:r>
      <w:r w:rsidRPr="001D6C87">
        <w:rPr>
          <w:rFonts w:ascii="Arial" w:hAnsi="Arial" w:cs="Arial"/>
          <w:sz w:val="24"/>
          <w:szCs w:val="24"/>
        </w:rPr>
        <w:t xml:space="preserve"> [online] Earthcheck.org. Available at: https://earthcheck.org/ </w:t>
      </w:r>
      <w:r>
        <w:rPr>
          <w:rFonts w:ascii="Arial" w:hAnsi="Arial" w:cs="Arial"/>
          <w:sz w:val="24"/>
          <w:szCs w:val="24"/>
        </w:rPr>
        <w:t>(</w:t>
      </w:r>
      <w:r w:rsidRPr="001D6C87">
        <w:rPr>
          <w:rFonts w:ascii="Arial" w:hAnsi="Arial" w:cs="Arial"/>
          <w:sz w:val="24"/>
          <w:szCs w:val="24"/>
        </w:rPr>
        <w:t>Accessed 1 May 2024</w:t>
      </w:r>
      <w:r>
        <w:rPr>
          <w:rFonts w:ascii="Arial" w:hAnsi="Arial" w:cs="Arial"/>
          <w:sz w:val="24"/>
          <w:szCs w:val="24"/>
        </w:rPr>
        <w:t>)</w:t>
      </w:r>
      <w:r w:rsidRPr="001D6C87">
        <w:rPr>
          <w:rFonts w:ascii="Arial" w:hAnsi="Arial" w:cs="Arial"/>
          <w:sz w:val="24"/>
          <w:szCs w:val="24"/>
        </w:rPr>
        <w:t>.</w:t>
      </w:r>
    </w:p>
    <w:p w14:paraId="1AA26165" w14:textId="77777777" w:rsidR="00033C2D" w:rsidRPr="001D6C87" w:rsidRDefault="00033C2D" w:rsidP="00033C2D">
      <w:pPr>
        <w:spacing w:before="240" w:after="0" w:line="360" w:lineRule="auto"/>
        <w:jc w:val="both"/>
        <w:rPr>
          <w:rFonts w:ascii="Arial" w:hAnsi="Arial" w:cs="Arial"/>
          <w:sz w:val="24"/>
          <w:szCs w:val="24"/>
        </w:rPr>
      </w:pPr>
      <w:r w:rsidRPr="001D6C87">
        <w:rPr>
          <w:rFonts w:ascii="Arial" w:hAnsi="Arial" w:cs="Arial"/>
          <w:sz w:val="24"/>
          <w:szCs w:val="24"/>
        </w:rPr>
        <w:t xml:space="preserve">ElSaid, O.A., </w:t>
      </w:r>
      <w:proofErr w:type="spellStart"/>
      <w:r w:rsidRPr="001D6C87">
        <w:rPr>
          <w:rFonts w:ascii="Arial" w:hAnsi="Arial" w:cs="Arial"/>
          <w:sz w:val="24"/>
          <w:szCs w:val="24"/>
        </w:rPr>
        <w:t>Elhoushy</w:t>
      </w:r>
      <w:proofErr w:type="spellEnd"/>
      <w:r w:rsidRPr="001D6C87">
        <w:rPr>
          <w:rFonts w:ascii="Arial" w:hAnsi="Arial" w:cs="Arial"/>
          <w:sz w:val="24"/>
          <w:szCs w:val="24"/>
        </w:rPr>
        <w:t>, S., Smith, M. and Youssif, M. (2024</w:t>
      </w:r>
      <w:r w:rsidRPr="003A1C63">
        <w:rPr>
          <w:rFonts w:ascii="Arial" w:hAnsi="Arial" w:cs="Arial"/>
          <w:i/>
          <w:iCs/>
          <w:sz w:val="24"/>
          <w:szCs w:val="24"/>
        </w:rPr>
        <w:t xml:space="preserve">) </w:t>
      </w:r>
      <w:r>
        <w:rPr>
          <w:rFonts w:ascii="Arial" w:hAnsi="Arial" w:cs="Arial"/>
          <w:i/>
          <w:iCs/>
          <w:sz w:val="24"/>
          <w:szCs w:val="24"/>
        </w:rPr>
        <w:t>‘</w:t>
      </w:r>
      <w:proofErr w:type="spellStart"/>
      <w:r w:rsidRPr="003A1C63">
        <w:rPr>
          <w:rFonts w:ascii="Arial" w:hAnsi="Arial" w:cs="Arial"/>
          <w:i/>
          <w:iCs/>
          <w:sz w:val="24"/>
          <w:szCs w:val="24"/>
        </w:rPr>
        <w:t>Crisisdriven</w:t>
      </w:r>
      <w:proofErr w:type="spellEnd"/>
      <w:r w:rsidRPr="003A1C63">
        <w:rPr>
          <w:rFonts w:ascii="Arial" w:hAnsi="Arial" w:cs="Arial"/>
          <w:i/>
          <w:iCs/>
          <w:sz w:val="24"/>
          <w:szCs w:val="24"/>
        </w:rPr>
        <w:t xml:space="preserve"> innovation in hospitality: How do international hotel chains innovate to recover from a global crisis</w:t>
      </w:r>
      <w:r w:rsidRPr="001D6C87">
        <w:rPr>
          <w:rFonts w:ascii="Arial" w:hAnsi="Arial" w:cs="Arial"/>
          <w:sz w:val="24"/>
          <w:szCs w:val="24"/>
        </w:rPr>
        <w:t>?</w:t>
      </w:r>
      <w:r>
        <w:rPr>
          <w:rFonts w:ascii="Arial" w:hAnsi="Arial" w:cs="Arial"/>
          <w:sz w:val="24"/>
          <w:szCs w:val="24"/>
        </w:rPr>
        <w:t>’</w:t>
      </w:r>
      <w:r w:rsidRPr="001D6C87">
        <w:rPr>
          <w:rFonts w:ascii="Arial" w:hAnsi="Arial" w:cs="Arial"/>
          <w:sz w:val="24"/>
          <w:szCs w:val="24"/>
        </w:rPr>
        <w:t xml:space="preserve"> </w:t>
      </w:r>
      <w:r w:rsidRPr="003A1C63">
        <w:rPr>
          <w:rFonts w:ascii="Arial" w:hAnsi="Arial" w:cs="Arial"/>
          <w:i/>
          <w:iCs/>
          <w:sz w:val="24"/>
          <w:szCs w:val="24"/>
        </w:rPr>
        <w:t>International Journal of Hospitality Management</w:t>
      </w:r>
      <w:r w:rsidRPr="001D6C87">
        <w:rPr>
          <w:rFonts w:ascii="Arial" w:hAnsi="Arial" w:cs="Arial"/>
          <w:sz w:val="24"/>
          <w:szCs w:val="24"/>
        </w:rPr>
        <w:t xml:space="preserve">, [online] 120, p.103758. </w:t>
      </w:r>
      <w:proofErr w:type="spellStart"/>
      <w:proofErr w:type="gramStart"/>
      <w:r w:rsidRPr="001D6C87">
        <w:rPr>
          <w:rFonts w:ascii="Arial" w:hAnsi="Arial" w:cs="Arial"/>
          <w:sz w:val="24"/>
          <w:szCs w:val="24"/>
        </w:rPr>
        <w:t>doi:https</w:t>
      </w:r>
      <w:proofErr w:type="spellEnd"/>
      <w:r w:rsidRPr="001D6C87">
        <w:rPr>
          <w:rFonts w:ascii="Arial" w:hAnsi="Arial" w:cs="Arial"/>
          <w:sz w:val="24"/>
          <w:szCs w:val="24"/>
        </w:rPr>
        <w:t>://doi.org/10.1016/j.ijhm.2024.103758</w:t>
      </w:r>
      <w:proofErr w:type="gramEnd"/>
      <w:r>
        <w:rPr>
          <w:rFonts w:ascii="Arial" w:hAnsi="Arial" w:cs="Arial"/>
          <w:sz w:val="24"/>
          <w:szCs w:val="24"/>
        </w:rPr>
        <w:t xml:space="preserve"> (</w:t>
      </w:r>
      <w:r w:rsidRPr="001D6C87">
        <w:rPr>
          <w:rFonts w:ascii="Arial" w:hAnsi="Arial" w:cs="Arial"/>
          <w:sz w:val="24"/>
          <w:szCs w:val="24"/>
        </w:rPr>
        <w:t>Accessed 30 Apr. 2024</w:t>
      </w:r>
      <w:r>
        <w:rPr>
          <w:rFonts w:ascii="Arial" w:hAnsi="Arial" w:cs="Arial"/>
          <w:sz w:val="24"/>
          <w:szCs w:val="24"/>
        </w:rPr>
        <w:t>)</w:t>
      </w:r>
      <w:r w:rsidRPr="001D6C87">
        <w:rPr>
          <w:rFonts w:ascii="Arial" w:hAnsi="Arial" w:cs="Arial"/>
          <w:sz w:val="24"/>
          <w:szCs w:val="24"/>
        </w:rPr>
        <w:t>.</w:t>
      </w:r>
    </w:p>
    <w:p w14:paraId="627F3170" w14:textId="77777777" w:rsidR="00033C2D" w:rsidRPr="001D6C87" w:rsidRDefault="00033C2D" w:rsidP="00033C2D">
      <w:pPr>
        <w:spacing w:before="240" w:after="0" w:line="360" w:lineRule="auto"/>
        <w:jc w:val="both"/>
        <w:rPr>
          <w:rFonts w:ascii="Arial" w:hAnsi="Arial" w:cs="Arial"/>
          <w:sz w:val="24"/>
          <w:szCs w:val="24"/>
        </w:rPr>
      </w:pPr>
      <w:r w:rsidRPr="001D6C87">
        <w:rPr>
          <w:rFonts w:ascii="Arial" w:hAnsi="Arial" w:cs="Arial"/>
          <w:sz w:val="24"/>
          <w:szCs w:val="24"/>
        </w:rPr>
        <w:t xml:space="preserve">Foris, D., </w:t>
      </w:r>
      <w:proofErr w:type="spellStart"/>
      <w:r w:rsidRPr="001D6C87">
        <w:rPr>
          <w:rFonts w:ascii="Arial" w:hAnsi="Arial" w:cs="Arial"/>
          <w:sz w:val="24"/>
          <w:szCs w:val="24"/>
        </w:rPr>
        <w:t>Crihalmean</w:t>
      </w:r>
      <w:proofErr w:type="spellEnd"/>
      <w:r w:rsidRPr="001D6C87">
        <w:rPr>
          <w:rFonts w:ascii="Arial" w:hAnsi="Arial" w:cs="Arial"/>
          <w:sz w:val="24"/>
          <w:szCs w:val="24"/>
        </w:rPr>
        <w:t xml:space="preserve">, N. and Foris, T. (2020) </w:t>
      </w:r>
      <w:r w:rsidRPr="003A1C63">
        <w:rPr>
          <w:rFonts w:ascii="Arial" w:hAnsi="Arial" w:cs="Arial"/>
          <w:i/>
          <w:iCs/>
          <w:sz w:val="24"/>
          <w:szCs w:val="24"/>
        </w:rPr>
        <w:t>Exploring the Environmental Practices in Hospitality through Booking Websites and Online Tourist Reviews.</w:t>
      </w:r>
      <w:r w:rsidRPr="001D6C87">
        <w:rPr>
          <w:rFonts w:ascii="Arial" w:hAnsi="Arial" w:cs="Arial"/>
          <w:sz w:val="24"/>
          <w:szCs w:val="24"/>
        </w:rPr>
        <w:t xml:space="preserve"> Sustainability, 12(24), p.10282. </w:t>
      </w:r>
      <w:proofErr w:type="spellStart"/>
      <w:proofErr w:type="gramStart"/>
      <w:r w:rsidRPr="001D6C87">
        <w:rPr>
          <w:rFonts w:ascii="Arial" w:hAnsi="Arial" w:cs="Arial"/>
          <w:sz w:val="24"/>
          <w:szCs w:val="24"/>
        </w:rPr>
        <w:t>doi:https</w:t>
      </w:r>
      <w:proofErr w:type="spellEnd"/>
      <w:r w:rsidRPr="001D6C87">
        <w:rPr>
          <w:rFonts w:ascii="Arial" w:hAnsi="Arial" w:cs="Arial"/>
          <w:sz w:val="24"/>
          <w:szCs w:val="24"/>
        </w:rPr>
        <w:t>://doi.org/10.3390/su122410282</w:t>
      </w:r>
      <w:proofErr w:type="gramEnd"/>
      <w:r>
        <w:rPr>
          <w:rFonts w:ascii="Arial" w:hAnsi="Arial" w:cs="Arial"/>
          <w:sz w:val="24"/>
          <w:szCs w:val="24"/>
        </w:rPr>
        <w:t xml:space="preserve"> (</w:t>
      </w:r>
      <w:r w:rsidRPr="001D6C87">
        <w:rPr>
          <w:rFonts w:ascii="Arial" w:hAnsi="Arial" w:cs="Arial"/>
          <w:sz w:val="24"/>
          <w:szCs w:val="24"/>
        </w:rPr>
        <w:t xml:space="preserve">Accessed </w:t>
      </w:r>
      <w:r>
        <w:rPr>
          <w:rFonts w:ascii="Arial" w:hAnsi="Arial" w:cs="Arial"/>
          <w:sz w:val="24"/>
          <w:szCs w:val="24"/>
        </w:rPr>
        <w:t>29 Apr</w:t>
      </w:r>
      <w:r w:rsidRPr="001D6C87">
        <w:rPr>
          <w:rFonts w:ascii="Arial" w:hAnsi="Arial" w:cs="Arial"/>
          <w:sz w:val="24"/>
          <w:szCs w:val="24"/>
        </w:rPr>
        <w:t>. 2024</w:t>
      </w:r>
      <w:r>
        <w:rPr>
          <w:rFonts w:ascii="Arial" w:hAnsi="Arial" w:cs="Arial"/>
          <w:sz w:val="24"/>
          <w:szCs w:val="24"/>
        </w:rPr>
        <w:t>)</w:t>
      </w:r>
      <w:r w:rsidRPr="001D6C87">
        <w:rPr>
          <w:rFonts w:ascii="Arial" w:hAnsi="Arial" w:cs="Arial"/>
          <w:sz w:val="24"/>
          <w:szCs w:val="24"/>
        </w:rPr>
        <w:t>.</w:t>
      </w:r>
    </w:p>
    <w:p w14:paraId="4498818C" w14:textId="77777777" w:rsidR="00033C2D" w:rsidRPr="001D6C87" w:rsidRDefault="00033C2D" w:rsidP="00033C2D">
      <w:pPr>
        <w:spacing w:before="240" w:after="0" w:line="360" w:lineRule="auto"/>
        <w:jc w:val="both"/>
        <w:rPr>
          <w:rFonts w:ascii="Arial" w:hAnsi="Arial" w:cs="Arial"/>
          <w:sz w:val="24"/>
          <w:szCs w:val="24"/>
        </w:rPr>
      </w:pPr>
      <w:r w:rsidRPr="001D6C87">
        <w:rPr>
          <w:rFonts w:ascii="Arial" w:hAnsi="Arial" w:cs="Arial"/>
          <w:sz w:val="24"/>
          <w:szCs w:val="24"/>
        </w:rPr>
        <w:t xml:space="preserve">Foundation for Environmental Education (2023) </w:t>
      </w:r>
      <w:r w:rsidRPr="003A1C63">
        <w:rPr>
          <w:rFonts w:ascii="Arial" w:hAnsi="Arial" w:cs="Arial"/>
          <w:i/>
          <w:iCs/>
          <w:sz w:val="24"/>
          <w:szCs w:val="24"/>
        </w:rPr>
        <w:t>Green Key.</w:t>
      </w:r>
      <w:r w:rsidRPr="001D6C87">
        <w:rPr>
          <w:rFonts w:ascii="Arial" w:hAnsi="Arial" w:cs="Arial"/>
          <w:sz w:val="24"/>
          <w:szCs w:val="24"/>
        </w:rPr>
        <w:t xml:space="preserve"> [online] Green Key. Available at: https://www.greenkey.global/ </w:t>
      </w:r>
      <w:r>
        <w:rPr>
          <w:rFonts w:ascii="Arial" w:hAnsi="Arial" w:cs="Arial"/>
          <w:sz w:val="24"/>
          <w:szCs w:val="24"/>
        </w:rPr>
        <w:t>(</w:t>
      </w:r>
      <w:r w:rsidRPr="001D6C87">
        <w:rPr>
          <w:rFonts w:ascii="Arial" w:hAnsi="Arial" w:cs="Arial"/>
          <w:sz w:val="24"/>
          <w:szCs w:val="24"/>
        </w:rPr>
        <w:t>Accessed 1 May 2024</w:t>
      </w:r>
      <w:r>
        <w:rPr>
          <w:rFonts w:ascii="Arial" w:hAnsi="Arial" w:cs="Arial"/>
          <w:sz w:val="24"/>
          <w:szCs w:val="24"/>
        </w:rPr>
        <w:t>)</w:t>
      </w:r>
      <w:r w:rsidRPr="001D6C87">
        <w:rPr>
          <w:rFonts w:ascii="Arial" w:hAnsi="Arial" w:cs="Arial"/>
          <w:sz w:val="24"/>
          <w:szCs w:val="24"/>
        </w:rPr>
        <w:t>.</w:t>
      </w:r>
    </w:p>
    <w:p w14:paraId="29AEB093" w14:textId="77777777" w:rsidR="00033C2D" w:rsidRPr="001D6C87" w:rsidRDefault="00033C2D" w:rsidP="00033C2D">
      <w:pPr>
        <w:spacing w:before="240" w:after="0" w:line="360" w:lineRule="auto"/>
        <w:jc w:val="both"/>
        <w:rPr>
          <w:rFonts w:ascii="Arial" w:hAnsi="Arial" w:cs="Arial"/>
          <w:sz w:val="24"/>
          <w:szCs w:val="24"/>
        </w:rPr>
      </w:pPr>
      <w:r w:rsidRPr="001D6C87">
        <w:rPr>
          <w:rFonts w:ascii="Arial" w:hAnsi="Arial" w:cs="Arial"/>
          <w:sz w:val="24"/>
          <w:szCs w:val="24"/>
        </w:rPr>
        <w:t xml:space="preserve">Green Globe (2024) </w:t>
      </w:r>
      <w:r w:rsidRPr="003A1C63">
        <w:rPr>
          <w:rFonts w:ascii="Arial" w:hAnsi="Arial" w:cs="Arial"/>
          <w:i/>
          <w:iCs/>
          <w:sz w:val="24"/>
          <w:szCs w:val="24"/>
        </w:rPr>
        <w:t>What is Green Globe Certification?</w:t>
      </w:r>
      <w:r w:rsidRPr="001D6C87">
        <w:rPr>
          <w:rFonts w:ascii="Arial" w:hAnsi="Arial" w:cs="Arial"/>
          <w:sz w:val="24"/>
          <w:szCs w:val="24"/>
        </w:rPr>
        <w:t xml:space="preserve"> [online] Green Globe. Available at: https://www.greenglobe.com/green-globe-certification/ </w:t>
      </w:r>
      <w:r>
        <w:rPr>
          <w:rFonts w:ascii="Arial" w:hAnsi="Arial" w:cs="Arial"/>
          <w:sz w:val="24"/>
          <w:szCs w:val="24"/>
        </w:rPr>
        <w:t>(</w:t>
      </w:r>
      <w:r w:rsidRPr="001D6C87">
        <w:rPr>
          <w:rFonts w:ascii="Arial" w:hAnsi="Arial" w:cs="Arial"/>
          <w:sz w:val="24"/>
          <w:szCs w:val="24"/>
        </w:rPr>
        <w:t>Accessed 1 May 2024</w:t>
      </w:r>
      <w:r>
        <w:rPr>
          <w:rFonts w:ascii="Arial" w:hAnsi="Arial" w:cs="Arial"/>
          <w:sz w:val="24"/>
          <w:szCs w:val="24"/>
        </w:rPr>
        <w:t>)</w:t>
      </w:r>
      <w:r w:rsidRPr="001D6C87">
        <w:rPr>
          <w:rFonts w:ascii="Arial" w:hAnsi="Arial" w:cs="Arial"/>
          <w:sz w:val="24"/>
          <w:szCs w:val="24"/>
        </w:rPr>
        <w:t>.</w:t>
      </w:r>
    </w:p>
    <w:p w14:paraId="2DB8D3A4" w14:textId="77777777" w:rsidR="00033C2D" w:rsidRPr="001D6C87" w:rsidRDefault="00033C2D" w:rsidP="00033C2D">
      <w:pPr>
        <w:spacing w:before="240" w:after="0" w:line="360" w:lineRule="auto"/>
        <w:jc w:val="both"/>
        <w:rPr>
          <w:rFonts w:ascii="Arial" w:hAnsi="Arial" w:cs="Arial"/>
          <w:sz w:val="24"/>
          <w:szCs w:val="24"/>
        </w:rPr>
      </w:pPr>
      <w:proofErr w:type="spellStart"/>
      <w:r w:rsidRPr="001D6C87">
        <w:rPr>
          <w:rFonts w:ascii="Arial" w:hAnsi="Arial" w:cs="Arial"/>
          <w:sz w:val="24"/>
          <w:szCs w:val="24"/>
        </w:rPr>
        <w:t>Hegab</w:t>
      </w:r>
      <w:proofErr w:type="spellEnd"/>
      <w:r w:rsidRPr="001D6C87">
        <w:rPr>
          <w:rFonts w:ascii="Arial" w:hAnsi="Arial" w:cs="Arial"/>
          <w:sz w:val="24"/>
          <w:szCs w:val="24"/>
        </w:rPr>
        <w:t>, H., Shaban, I., Jamil, M. and Khanna, N. (2023)</w:t>
      </w:r>
      <w:r>
        <w:rPr>
          <w:rFonts w:ascii="Arial" w:hAnsi="Arial" w:cs="Arial"/>
          <w:sz w:val="24"/>
          <w:szCs w:val="24"/>
        </w:rPr>
        <w:t xml:space="preserve"> </w:t>
      </w:r>
      <w:r w:rsidRPr="003A1C63">
        <w:rPr>
          <w:rFonts w:ascii="Arial" w:hAnsi="Arial" w:cs="Arial"/>
          <w:i/>
          <w:iCs/>
          <w:sz w:val="24"/>
          <w:szCs w:val="24"/>
        </w:rPr>
        <w:t>Toward sustainable future: Strategies, indicators, and challenges for implementing sustainable production systems.</w:t>
      </w:r>
      <w:r w:rsidRPr="001D6C87">
        <w:rPr>
          <w:rFonts w:ascii="Arial" w:hAnsi="Arial" w:cs="Arial"/>
          <w:sz w:val="24"/>
          <w:szCs w:val="24"/>
        </w:rPr>
        <w:t xml:space="preserve"> Sustainable Materials and Technologies, [online] 36, p.e00617. </w:t>
      </w:r>
      <w:proofErr w:type="spellStart"/>
      <w:proofErr w:type="gramStart"/>
      <w:r w:rsidRPr="001D6C87">
        <w:rPr>
          <w:rFonts w:ascii="Arial" w:hAnsi="Arial" w:cs="Arial"/>
          <w:sz w:val="24"/>
          <w:szCs w:val="24"/>
        </w:rPr>
        <w:t>doi:https</w:t>
      </w:r>
      <w:proofErr w:type="spellEnd"/>
      <w:r w:rsidRPr="001D6C87">
        <w:rPr>
          <w:rFonts w:ascii="Arial" w:hAnsi="Arial" w:cs="Arial"/>
          <w:sz w:val="24"/>
          <w:szCs w:val="24"/>
        </w:rPr>
        <w:t>://doi.org/10.1016/j.susmat.2023.e00617</w:t>
      </w:r>
      <w:proofErr w:type="gramEnd"/>
      <w:r>
        <w:rPr>
          <w:rFonts w:ascii="Arial" w:hAnsi="Arial" w:cs="Arial"/>
          <w:sz w:val="24"/>
          <w:szCs w:val="24"/>
        </w:rPr>
        <w:t xml:space="preserve"> (</w:t>
      </w:r>
      <w:r w:rsidRPr="001D6C87">
        <w:rPr>
          <w:rFonts w:ascii="Arial" w:hAnsi="Arial" w:cs="Arial"/>
          <w:sz w:val="24"/>
          <w:szCs w:val="24"/>
        </w:rPr>
        <w:t>Accessed 30 Apr. 2024</w:t>
      </w:r>
      <w:r>
        <w:rPr>
          <w:rFonts w:ascii="Arial" w:hAnsi="Arial" w:cs="Arial"/>
          <w:sz w:val="24"/>
          <w:szCs w:val="24"/>
        </w:rPr>
        <w:t>)</w:t>
      </w:r>
      <w:r w:rsidRPr="001D6C87">
        <w:rPr>
          <w:rFonts w:ascii="Arial" w:hAnsi="Arial" w:cs="Arial"/>
          <w:sz w:val="24"/>
          <w:szCs w:val="24"/>
        </w:rPr>
        <w:t>.</w:t>
      </w:r>
    </w:p>
    <w:p w14:paraId="269C050F" w14:textId="77777777" w:rsidR="00033C2D" w:rsidRPr="001D6C87" w:rsidRDefault="00033C2D" w:rsidP="00033C2D">
      <w:pPr>
        <w:spacing w:before="240" w:after="0" w:line="360" w:lineRule="auto"/>
        <w:jc w:val="both"/>
        <w:rPr>
          <w:rFonts w:ascii="Arial" w:hAnsi="Arial" w:cs="Arial"/>
          <w:sz w:val="24"/>
          <w:szCs w:val="24"/>
        </w:rPr>
      </w:pPr>
      <w:r w:rsidRPr="001D6C87">
        <w:rPr>
          <w:rFonts w:ascii="Arial" w:hAnsi="Arial" w:cs="Arial"/>
          <w:sz w:val="24"/>
          <w:szCs w:val="24"/>
        </w:rPr>
        <w:t xml:space="preserve">Khuong, M.N., Truong an, N.K. and Thanh Hang, T.T. (2021) </w:t>
      </w:r>
      <w:r w:rsidRPr="003A1C63">
        <w:rPr>
          <w:rFonts w:ascii="Arial" w:hAnsi="Arial" w:cs="Arial"/>
          <w:i/>
          <w:iCs/>
          <w:sz w:val="24"/>
          <w:szCs w:val="24"/>
        </w:rPr>
        <w:t>Stakeholders and Corporate Social Responsibility (CSR) programme as key sustainable development strategies to promote corporate reputation</w:t>
      </w:r>
      <w:r>
        <w:rPr>
          <w:rFonts w:ascii="Arial" w:hAnsi="Arial" w:cs="Arial"/>
          <w:i/>
          <w:iCs/>
          <w:sz w:val="24"/>
          <w:szCs w:val="24"/>
        </w:rPr>
        <w:t xml:space="preserve"> </w:t>
      </w:r>
      <w:r w:rsidRPr="003A1C63">
        <w:rPr>
          <w:rFonts w:ascii="Arial" w:hAnsi="Arial" w:cs="Arial"/>
          <w:i/>
          <w:iCs/>
          <w:sz w:val="24"/>
          <w:szCs w:val="24"/>
        </w:rPr>
        <w:t>evidence from Vietnam</w:t>
      </w:r>
      <w:r w:rsidRPr="001D6C87">
        <w:rPr>
          <w:rFonts w:ascii="Arial" w:hAnsi="Arial" w:cs="Arial"/>
          <w:sz w:val="24"/>
          <w:szCs w:val="24"/>
        </w:rPr>
        <w:t xml:space="preserve">. Cogent Business &amp; Management, [online] 8(1), p.1917333. Available at: https://www.tandfonline.com/doi/full/10.1080/23311975.2021.1917333 </w:t>
      </w:r>
      <w:r>
        <w:rPr>
          <w:rFonts w:ascii="Arial" w:hAnsi="Arial" w:cs="Arial"/>
          <w:sz w:val="24"/>
          <w:szCs w:val="24"/>
        </w:rPr>
        <w:t>(</w:t>
      </w:r>
      <w:r w:rsidRPr="001D6C87">
        <w:rPr>
          <w:rFonts w:ascii="Arial" w:hAnsi="Arial" w:cs="Arial"/>
          <w:sz w:val="24"/>
          <w:szCs w:val="24"/>
        </w:rPr>
        <w:t>Accessed 1 May 2024</w:t>
      </w:r>
      <w:r>
        <w:rPr>
          <w:rFonts w:ascii="Arial" w:hAnsi="Arial" w:cs="Arial"/>
          <w:sz w:val="24"/>
          <w:szCs w:val="24"/>
        </w:rPr>
        <w:t>).</w:t>
      </w:r>
    </w:p>
    <w:p w14:paraId="4A7AD90E" w14:textId="77777777" w:rsidR="00033C2D" w:rsidRPr="001D6C87" w:rsidRDefault="00033C2D" w:rsidP="00033C2D">
      <w:pPr>
        <w:spacing w:before="240" w:after="0" w:line="360" w:lineRule="auto"/>
        <w:jc w:val="both"/>
        <w:rPr>
          <w:rFonts w:ascii="Arial" w:hAnsi="Arial" w:cs="Arial"/>
          <w:sz w:val="24"/>
          <w:szCs w:val="24"/>
        </w:rPr>
      </w:pPr>
      <w:r w:rsidRPr="001D6C87">
        <w:rPr>
          <w:rFonts w:ascii="Arial" w:hAnsi="Arial" w:cs="Arial"/>
          <w:sz w:val="24"/>
          <w:szCs w:val="24"/>
        </w:rPr>
        <w:t>Li, H., Kuo, Y.K., Mir, M.M. and Omar, M. (2022)</w:t>
      </w:r>
      <w:r>
        <w:rPr>
          <w:rFonts w:ascii="Arial" w:hAnsi="Arial" w:cs="Arial"/>
          <w:sz w:val="24"/>
          <w:szCs w:val="24"/>
        </w:rPr>
        <w:t xml:space="preserve"> </w:t>
      </w:r>
      <w:r w:rsidRPr="003A1C63">
        <w:rPr>
          <w:rFonts w:ascii="Arial" w:hAnsi="Arial" w:cs="Arial"/>
          <w:i/>
          <w:iCs/>
          <w:sz w:val="24"/>
          <w:szCs w:val="24"/>
        </w:rPr>
        <w:t>Corporate social responsibility and environmental sustainability: achieving firms sustainable performance supported by plant capability</w:t>
      </w:r>
      <w:r w:rsidRPr="001D6C87">
        <w:rPr>
          <w:rFonts w:ascii="Arial" w:hAnsi="Arial" w:cs="Arial"/>
          <w:sz w:val="24"/>
          <w:szCs w:val="24"/>
        </w:rPr>
        <w:t>. Economic Research-</w:t>
      </w:r>
      <w:proofErr w:type="spellStart"/>
      <w:r w:rsidRPr="001D6C87">
        <w:rPr>
          <w:rFonts w:ascii="Arial" w:hAnsi="Arial" w:cs="Arial"/>
          <w:sz w:val="24"/>
          <w:szCs w:val="24"/>
        </w:rPr>
        <w:t>Ekonomska</w:t>
      </w:r>
      <w:proofErr w:type="spellEnd"/>
      <w:r w:rsidRPr="001D6C87">
        <w:rPr>
          <w:rFonts w:ascii="Arial" w:hAnsi="Arial" w:cs="Arial"/>
          <w:sz w:val="24"/>
          <w:szCs w:val="24"/>
        </w:rPr>
        <w:t xml:space="preserve"> </w:t>
      </w:r>
      <w:proofErr w:type="spellStart"/>
      <w:r w:rsidRPr="001D6C87">
        <w:rPr>
          <w:rFonts w:ascii="Arial" w:hAnsi="Arial" w:cs="Arial"/>
          <w:sz w:val="24"/>
          <w:szCs w:val="24"/>
        </w:rPr>
        <w:t>Istraživanja</w:t>
      </w:r>
      <w:proofErr w:type="spellEnd"/>
      <w:r w:rsidRPr="001D6C87">
        <w:rPr>
          <w:rFonts w:ascii="Arial" w:hAnsi="Arial" w:cs="Arial"/>
          <w:sz w:val="24"/>
          <w:szCs w:val="24"/>
        </w:rPr>
        <w:t xml:space="preserve">, [online] 35(1), pp.1–23. </w:t>
      </w:r>
      <w:proofErr w:type="spellStart"/>
      <w:proofErr w:type="gramStart"/>
      <w:r w:rsidRPr="001D6C87">
        <w:rPr>
          <w:rFonts w:ascii="Arial" w:hAnsi="Arial" w:cs="Arial"/>
          <w:sz w:val="24"/>
          <w:szCs w:val="24"/>
        </w:rPr>
        <w:t>doi:https</w:t>
      </w:r>
      <w:proofErr w:type="spellEnd"/>
      <w:r w:rsidRPr="001D6C87">
        <w:rPr>
          <w:rFonts w:ascii="Arial" w:hAnsi="Arial" w:cs="Arial"/>
          <w:sz w:val="24"/>
          <w:szCs w:val="24"/>
        </w:rPr>
        <w:t>://doi.org/10.1080/1331677x.2021.2015612</w:t>
      </w:r>
      <w:proofErr w:type="gramEnd"/>
      <w:r>
        <w:rPr>
          <w:rFonts w:ascii="Arial" w:hAnsi="Arial" w:cs="Arial"/>
          <w:sz w:val="24"/>
          <w:szCs w:val="24"/>
        </w:rPr>
        <w:t xml:space="preserve"> (</w:t>
      </w:r>
      <w:r w:rsidRPr="001D6C87">
        <w:rPr>
          <w:rFonts w:ascii="Arial" w:hAnsi="Arial" w:cs="Arial"/>
          <w:sz w:val="24"/>
          <w:szCs w:val="24"/>
        </w:rPr>
        <w:t>Accessed 30 Apr. 2024</w:t>
      </w:r>
      <w:r>
        <w:rPr>
          <w:rFonts w:ascii="Arial" w:hAnsi="Arial" w:cs="Arial"/>
          <w:sz w:val="24"/>
          <w:szCs w:val="24"/>
        </w:rPr>
        <w:t>)</w:t>
      </w:r>
      <w:r w:rsidRPr="001D6C87">
        <w:rPr>
          <w:rFonts w:ascii="Arial" w:hAnsi="Arial" w:cs="Arial"/>
          <w:sz w:val="24"/>
          <w:szCs w:val="24"/>
        </w:rPr>
        <w:t>.</w:t>
      </w:r>
    </w:p>
    <w:p w14:paraId="65E5C84C" w14:textId="77777777" w:rsidR="00033C2D" w:rsidRPr="001D6C87" w:rsidRDefault="00033C2D" w:rsidP="00033C2D">
      <w:pPr>
        <w:spacing w:before="240" w:after="0" w:line="360" w:lineRule="auto"/>
        <w:jc w:val="both"/>
        <w:rPr>
          <w:rFonts w:ascii="Arial" w:hAnsi="Arial" w:cs="Arial"/>
          <w:sz w:val="24"/>
          <w:szCs w:val="24"/>
        </w:rPr>
      </w:pPr>
      <w:r w:rsidRPr="001D6C87">
        <w:rPr>
          <w:rFonts w:ascii="Arial" w:hAnsi="Arial" w:cs="Arial"/>
          <w:sz w:val="24"/>
          <w:szCs w:val="24"/>
        </w:rPr>
        <w:t xml:space="preserve">Mahmood, A. and Bashir, J. (2020) </w:t>
      </w:r>
      <w:r>
        <w:rPr>
          <w:rFonts w:ascii="Arial" w:hAnsi="Arial" w:cs="Arial"/>
          <w:sz w:val="24"/>
          <w:szCs w:val="24"/>
        </w:rPr>
        <w:t>‘</w:t>
      </w:r>
      <w:r w:rsidRPr="003A1C63">
        <w:rPr>
          <w:rFonts w:ascii="Arial" w:hAnsi="Arial" w:cs="Arial"/>
          <w:i/>
          <w:iCs/>
          <w:sz w:val="24"/>
          <w:szCs w:val="24"/>
        </w:rPr>
        <w:t>How does corporate social responsibility transform brand reputation into brand equity? Economic and noneconomic perspectives of CSR</w:t>
      </w:r>
      <w:r>
        <w:rPr>
          <w:rFonts w:ascii="Arial" w:hAnsi="Arial" w:cs="Arial"/>
          <w:i/>
          <w:iCs/>
          <w:sz w:val="24"/>
          <w:szCs w:val="24"/>
        </w:rPr>
        <w:t>’.</w:t>
      </w:r>
      <w:r w:rsidRPr="001D6C87">
        <w:rPr>
          <w:rFonts w:ascii="Arial" w:hAnsi="Arial" w:cs="Arial"/>
          <w:sz w:val="24"/>
          <w:szCs w:val="24"/>
        </w:rPr>
        <w:t xml:space="preserve"> </w:t>
      </w:r>
      <w:r w:rsidRPr="003A1C63">
        <w:rPr>
          <w:rFonts w:ascii="Arial" w:hAnsi="Arial" w:cs="Arial"/>
          <w:i/>
          <w:iCs/>
          <w:sz w:val="24"/>
          <w:szCs w:val="24"/>
        </w:rPr>
        <w:t>International Journal of Engineering Business Management</w:t>
      </w:r>
      <w:r w:rsidRPr="001D6C87">
        <w:rPr>
          <w:rFonts w:ascii="Arial" w:hAnsi="Arial" w:cs="Arial"/>
          <w:sz w:val="24"/>
          <w:szCs w:val="24"/>
        </w:rPr>
        <w:t xml:space="preserve">, [online] 12, p.1847979020927547. </w:t>
      </w:r>
      <w:proofErr w:type="spellStart"/>
      <w:proofErr w:type="gramStart"/>
      <w:r w:rsidRPr="001D6C87">
        <w:rPr>
          <w:rFonts w:ascii="Arial" w:hAnsi="Arial" w:cs="Arial"/>
          <w:sz w:val="24"/>
          <w:szCs w:val="24"/>
        </w:rPr>
        <w:t>doi:https</w:t>
      </w:r>
      <w:proofErr w:type="spellEnd"/>
      <w:r w:rsidRPr="001D6C87">
        <w:rPr>
          <w:rFonts w:ascii="Arial" w:hAnsi="Arial" w:cs="Arial"/>
          <w:sz w:val="24"/>
          <w:szCs w:val="24"/>
        </w:rPr>
        <w:t>://doi.org/10.1177/1847979020927547</w:t>
      </w:r>
      <w:proofErr w:type="gramEnd"/>
      <w:r>
        <w:rPr>
          <w:rFonts w:ascii="Arial" w:hAnsi="Arial" w:cs="Arial"/>
          <w:sz w:val="24"/>
          <w:szCs w:val="24"/>
        </w:rPr>
        <w:t xml:space="preserve"> (</w:t>
      </w:r>
      <w:r w:rsidRPr="001D6C87">
        <w:rPr>
          <w:rFonts w:ascii="Arial" w:hAnsi="Arial" w:cs="Arial"/>
          <w:sz w:val="24"/>
          <w:szCs w:val="24"/>
        </w:rPr>
        <w:t>Accessed 30 Apr. 2024</w:t>
      </w:r>
      <w:r>
        <w:rPr>
          <w:rFonts w:ascii="Arial" w:hAnsi="Arial" w:cs="Arial"/>
          <w:sz w:val="24"/>
          <w:szCs w:val="24"/>
        </w:rPr>
        <w:t>)</w:t>
      </w:r>
      <w:r w:rsidRPr="001D6C87">
        <w:rPr>
          <w:rFonts w:ascii="Arial" w:hAnsi="Arial" w:cs="Arial"/>
          <w:sz w:val="24"/>
          <w:szCs w:val="24"/>
        </w:rPr>
        <w:t>.</w:t>
      </w:r>
    </w:p>
    <w:p w14:paraId="3B420020" w14:textId="77777777" w:rsidR="00033C2D" w:rsidRPr="001D6C87" w:rsidRDefault="00033C2D" w:rsidP="00033C2D">
      <w:pPr>
        <w:spacing w:before="240" w:after="0" w:line="360" w:lineRule="auto"/>
        <w:jc w:val="both"/>
        <w:rPr>
          <w:rFonts w:ascii="Arial" w:hAnsi="Arial" w:cs="Arial"/>
          <w:sz w:val="24"/>
          <w:szCs w:val="24"/>
        </w:rPr>
      </w:pPr>
      <w:proofErr w:type="spellStart"/>
      <w:r w:rsidRPr="001D6C87">
        <w:rPr>
          <w:rFonts w:ascii="Arial" w:hAnsi="Arial" w:cs="Arial"/>
          <w:sz w:val="24"/>
          <w:szCs w:val="24"/>
        </w:rPr>
        <w:t>Murtarelli</w:t>
      </w:r>
      <w:proofErr w:type="spellEnd"/>
      <w:r w:rsidRPr="001D6C87">
        <w:rPr>
          <w:rFonts w:ascii="Arial" w:hAnsi="Arial" w:cs="Arial"/>
          <w:sz w:val="24"/>
          <w:szCs w:val="24"/>
        </w:rPr>
        <w:t xml:space="preserve">, G., Šimunović, D., Colleoni, E. and </w:t>
      </w:r>
      <w:proofErr w:type="spellStart"/>
      <w:r w:rsidRPr="001D6C87">
        <w:rPr>
          <w:rFonts w:ascii="Arial" w:hAnsi="Arial" w:cs="Arial"/>
          <w:sz w:val="24"/>
          <w:szCs w:val="24"/>
        </w:rPr>
        <w:t>Romenti</w:t>
      </w:r>
      <w:proofErr w:type="spellEnd"/>
      <w:r w:rsidRPr="001D6C87">
        <w:rPr>
          <w:rFonts w:ascii="Arial" w:hAnsi="Arial" w:cs="Arial"/>
          <w:sz w:val="24"/>
          <w:szCs w:val="24"/>
        </w:rPr>
        <w:t xml:space="preserve">, S. (2023) </w:t>
      </w:r>
      <w:r w:rsidRPr="00516440">
        <w:rPr>
          <w:rFonts w:ascii="Arial" w:hAnsi="Arial" w:cs="Arial"/>
          <w:i/>
          <w:iCs/>
          <w:sz w:val="24"/>
          <w:szCs w:val="24"/>
        </w:rPr>
        <w:t xml:space="preserve">Sustainable Marketing Communication via </w:t>
      </w:r>
      <w:proofErr w:type="gramStart"/>
      <w:r w:rsidRPr="00516440">
        <w:rPr>
          <w:rFonts w:ascii="Arial" w:hAnsi="Arial" w:cs="Arial"/>
          <w:i/>
          <w:iCs/>
          <w:sz w:val="24"/>
          <w:szCs w:val="24"/>
        </w:rPr>
        <w:t>Social Media</w:t>
      </w:r>
      <w:proofErr w:type="gramEnd"/>
      <w:r w:rsidRPr="00516440">
        <w:rPr>
          <w:rFonts w:ascii="Arial" w:hAnsi="Arial" w:cs="Arial"/>
          <w:i/>
          <w:iCs/>
          <w:sz w:val="24"/>
          <w:szCs w:val="24"/>
        </w:rPr>
        <w:t>: Searching for a Balance in Corporate and Consumer Dialogue</w:t>
      </w:r>
      <w:r w:rsidRPr="001D6C87">
        <w:rPr>
          <w:rFonts w:ascii="Arial" w:hAnsi="Arial" w:cs="Arial"/>
          <w:sz w:val="24"/>
          <w:szCs w:val="24"/>
        </w:rPr>
        <w:t xml:space="preserve">. [online] www.igi-global.com. Available at: https://www.igi-global.com/chapter/sustainable-marketing-communication-via-social-media/330796 </w:t>
      </w:r>
      <w:r>
        <w:rPr>
          <w:rFonts w:ascii="Arial" w:hAnsi="Arial" w:cs="Arial"/>
          <w:sz w:val="24"/>
          <w:szCs w:val="24"/>
        </w:rPr>
        <w:t>(</w:t>
      </w:r>
      <w:r w:rsidRPr="001D6C87">
        <w:rPr>
          <w:rFonts w:ascii="Arial" w:hAnsi="Arial" w:cs="Arial"/>
          <w:sz w:val="24"/>
          <w:szCs w:val="24"/>
        </w:rPr>
        <w:t>Accessed 1 May 2024</w:t>
      </w:r>
      <w:r>
        <w:rPr>
          <w:rFonts w:ascii="Arial" w:hAnsi="Arial" w:cs="Arial"/>
          <w:sz w:val="24"/>
          <w:szCs w:val="24"/>
        </w:rPr>
        <w:t>)</w:t>
      </w:r>
      <w:r w:rsidRPr="001D6C87">
        <w:rPr>
          <w:rFonts w:ascii="Arial" w:hAnsi="Arial" w:cs="Arial"/>
          <w:sz w:val="24"/>
          <w:szCs w:val="24"/>
        </w:rPr>
        <w:t>.</w:t>
      </w:r>
    </w:p>
    <w:p w14:paraId="6E0B9068" w14:textId="77777777" w:rsidR="00033C2D" w:rsidRPr="001D6C87" w:rsidRDefault="00033C2D" w:rsidP="00033C2D">
      <w:pPr>
        <w:spacing w:before="240" w:after="0" w:line="360" w:lineRule="auto"/>
        <w:jc w:val="both"/>
        <w:rPr>
          <w:rFonts w:ascii="Arial" w:hAnsi="Arial" w:cs="Arial"/>
          <w:color w:val="222222"/>
          <w:sz w:val="24"/>
          <w:szCs w:val="24"/>
          <w:shd w:val="clear" w:color="auto" w:fill="FFFFFF"/>
        </w:rPr>
      </w:pPr>
      <w:r w:rsidRPr="001D6C87">
        <w:rPr>
          <w:rFonts w:ascii="Arial" w:hAnsi="Arial" w:cs="Arial"/>
          <w:color w:val="222222"/>
          <w:sz w:val="24"/>
          <w:szCs w:val="24"/>
          <w:shd w:val="clear" w:color="auto" w:fill="FFFFFF"/>
        </w:rPr>
        <w:t xml:space="preserve">Nicolaides, A. (2020) </w:t>
      </w:r>
      <w:r w:rsidRPr="00516440">
        <w:rPr>
          <w:rFonts w:ascii="Arial" w:hAnsi="Arial" w:cs="Arial"/>
          <w:i/>
          <w:iCs/>
          <w:color w:val="222222"/>
          <w:sz w:val="24"/>
          <w:szCs w:val="24"/>
          <w:shd w:val="clear" w:color="auto" w:fill="FFFFFF"/>
        </w:rPr>
        <w:t>Sustainable ethical tourism (SET) and rural community involvement.</w:t>
      </w:r>
      <w:r w:rsidRPr="001D6C87">
        <w:rPr>
          <w:rFonts w:ascii="Arial" w:hAnsi="Arial" w:cs="Arial"/>
          <w:color w:val="222222"/>
          <w:sz w:val="24"/>
          <w:szCs w:val="24"/>
          <w:shd w:val="clear" w:color="auto" w:fill="FFFFFF"/>
        </w:rPr>
        <w:t> </w:t>
      </w:r>
      <w:r w:rsidRPr="001D6C87">
        <w:rPr>
          <w:rFonts w:ascii="Arial" w:hAnsi="Arial" w:cs="Arial"/>
          <w:i/>
          <w:iCs/>
          <w:color w:val="222222"/>
          <w:sz w:val="24"/>
          <w:szCs w:val="24"/>
          <w:shd w:val="clear" w:color="auto" w:fill="FFFFFF"/>
        </w:rPr>
        <w:t>African Journal of Hospitality, Tourism and Leisure</w:t>
      </w:r>
      <w:r w:rsidRPr="001D6C87">
        <w:rPr>
          <w:rFonts w:ascii="Arial" w:hAnsi="Arial" w:cs="Arial"/>
          <w:color w:val="222222"/>
          <w:sz w:val="24"/>
          <w:szCs w:val="24"/>
          <w:shd w:val="clear" w:color="auto" w:fill="FFFFFF"/>
        </w:rPr>
        <w:t>, </w:t>
      </w:r>
      <w:r w:rsidRPr="001D6C87">
        <w:rPr>
          <w:rFonts w:ascii="Arial" w:hAnsi="Arial" w:cs="Arial"/>
          <w:i/>
          <w:iCs/>
          <w:color w:val="222222"/>
          <w:sz w:val="24"/>
          <w:szCs w:val="24"/>
          <w:shd w:val="clear" w:color="auto" w:fill="FFFFFF"/>
        </w:rPr>
        <w:t>9</w:t>
      </w:r>
      <w:r w:rsidRPr="001D6C87">
        <w:rPr>
          <w:rFonts w:ascii="Arial" w:hAnsi="Arial" w:cs="Arial"/>
          <w:color w:val="222222"/>
          <w:sz w:val="24"/>
          <w:szCs w:val="24"/>
          <w:shd w:val="clear" w:color="auto" w:fill="FFFFFF"/>
        </w:rPr>
        <w:t>(1), 1-16.</w:t>
      </w:r>
      <w:r>
        <w:rPr>
          <w:rFonts w:ascii="Arial" w:hAnsi="Arial" w:cs="Arial"/>
          <w:color w:val="222222"/>
          <w:sz w:val="24"/>
          <w:szCs w:val="24"/>
          <w:shd w:val="clear" w:color="auto" w:fill="FFFFFF"/>
        </w:rPr>
        <w:t xml:space="preserve"> </w:t>
      </w:r>
    </w:p>
    <w:p w14:paraId="4CAFDC3E" w14:textId="77777777" w:rsidR="00033C2D" w:rsidRPr="00524223" w:rsidRDefault="00033C2D" w:rsidP="00033C2D">
      <w:pPr>
        <w:spacing w:before="240" w:after="0" w:line="360" w:lineRule="auto"/>
        <w:jc w:val="both"/>
        <w:rPr>
          <w:rFonts w:ascii="Arial" w:hAnsi="Arial" w:cs="Arial"/>
          <w:sz w:val="24"/>
          <w:szCs w:val="24"/>
        </w:rPr>
      </w:pPr>
      <w:proofErr w:type="spellStart"/>
      <w:r w:rsidRPr="001D6C87">
        <w:rPr>
          <w:rFonts w:ascii="Arial" w:hAnsi="Arial" w:cs="Arial"/>
          <w:sz w:val="24"/>
          <w:szCs w:val="24"/>
        </w:rPr>
        <w:t>Poirson</w:t>
      </w:r>
      <w:proofErr w:type="spellEnd"/>
      <w:r w:rsidRPr="001D6C87">
        <w:rPr>
          <w:rFonts w:ascii="Arial" w:hAnsi="Arial" w:cs="Arial"/>
          <w:sz w:val="24"/>
          <w:szCs w:val="24"/>
        </w:rPr>
        <w:t xml:space="preserve">, B. (2022) </w:t>
      </w:r>
      <w:r w:rsidRPr="00516440">
        <w:rPr>
          <w:rFonts w:ascii="Arial" w:hAnsi="Arial" w:cs="Arial"/>
          <w:i/>
          <w:iCs/>
          <w:sz w:val="24"/>
          <w:szCs w:val="24"/>
        </w:rPr>
        <w:t>Accor</w:t>
      </w:r>
      <w:r w:rsidRPr="001D6C87">
        <w:rPr>
          <w:rFonts w:ascii="Arial" w:hAnsi="Arial" w:cs="Arial"/>
          <w:sz w:val="24"/>
          <w:szCs w:val="24"/>
        </w:rPr>
        <w:t xml:space="preserve"> "The objective is to put sustainability at the heart of everything we do ". [online] Hospitality ON. Available at: </w:t>
      </w:r>
      <w:hyperlink r:id="rId6" w:history="1">
        <w:r w:rsidRPr="00D64C50">
          <w:rPr>
            <w:rStyle w:val="Hyperlink"/>
            <w:rFonts w:ascii="Arial" w:hAnsi="Arial" w:cs="Arial"/>
            <w:sz w:val="24"/>
            <w:szCs w:val="24"/>
          </w:rPr>
          <w:t>https://hospitality-on.com/en/csr/accor-objective-put-sustainability-heart-everything-we-do</w:t>
        </w:r>
      </w:hyperlink>
      <w:r w:rsidRPr="001D6C87">
        <w:rPr>
          <w:rFonts w:ascii="Arial" w:hAnsi="Arial" w:cs="Arial"/>
          <w:sz w:val="24"/>
          <w:szCs w:val="24"/>
        </w:rPr>
        <w:t>.</w:t>
      </w:r>
      <w:r>
        <w:rPr>
          <w:rFonts w:ascii="Arial" w:hAnsi="Arial" w:cs="Arial"/>
          <w:sz w:val="24"/>
          <w:szCs w:val="24"/>
        </w:rPr>
        <w:t xml:space="preserve"> (</w:t>
      </w:r>
      <w:r w:rsidRPr="001D6C87">
        <w:rPr>
          <w:rFonts w:ascii="Arial" w:hAnsi="Arial" w:cs="Arial"/>
          <w:sz w:val="24"/>
          <w:szCs w:val="24"/>
        </w:rPr>
        <w:t xml:space="preserve">Accessed 30 </w:t>
      </w:r>
      <w:r w:rsidRPr="00524223">
        <w:rPr>
          <w:rFonts w:ascii="Arial" w:hAnsi="Arial" w:cs="Arial"/>
          <w:sz w:val="24"/>
          <w:szCs w:val="24"/>
        </w:rPr>
        <w:t>Apr. 2024).</w:t>
      </w:r>
    </w:p>
    <w:p w14:paraId="11A1171C" w14:textId="77777777" w:rsidR="00033C2D" w:rsidRPr="00524223" w:rsidRDefault="00033C2D" w:rsidP="00033C2D">
      <w:pPr>
        <w:pStyle w:val="NormalWeb"/>
        <w:spacing w:before="0" w:beforeAutospacing="0" w:after="240" w:afterAutospacing="0" w:line="360" w:lineRule="auto"/>
        <w:jc w:val="both"/>
        <w:rPr>
          <w:rFonts w:ascii="Arial" w:hAnsi="Arial" w:cs="Arial"/>
        </w:rPr>
      </w:pPr>
      <w:r w:rsidRPr="00524223">
        <w:rPr>
          <w:rFonts w:ascii="Arial" w:hAnsi="Arial" w:cs="Arial"/>
        </w:rPr>
        <w:t xml:space="preserve">UNFCCC (2023) </w:t>
      </w:r>
      <w:r w:rsidRPr="00524223">
        <w:rPr>
          <w:rFonts w:ascii="Arial" w:hAnsi="Arial" w:cs="Arial"/>
          <w:i/>
          <w:iCs/>
        </w:rPr>
        <w:t>The Paris Agreement</w:t>
      </w:r>
      <w:r w:rsidRPr="00524223">
        <w:rPr>
          <w:rFonts w:ascii="Arial" w:hAnsi="Arial" w:cs="Arial"/>
        </w:rPr>
        <w:t>. [online] United Nations Climate Change. Available at: https://unfccc.int/process-and-meetings/the-paris-agreement (Accessed 3 May 2024).</w:t>
      </w:r>
    </w:p>
    <w:p w14:paraId="6C0045D1" w14:textId="77777777" w:rsidR="00033C2D" w:rsidRPr="001D6C87" w:rsidRDefault="00033C2D" w:rsidP="00033C2D">
      <w:pPr>
        <w:spacing w:before="240" w:after="0" w:line="360" w:lineRule="auto"/>
        <w:jc w:val="both"/>
        <w:rPr>
          <w:rFonts w:ascii="Arial" w:hAnsi="Arial" w:cs="Arial"/>
          <w:sz w:val="24"/>
          <w:szCs w:val="24"/>
        </w:rPr>
      </w:pPr>
      <w:r w:rsidRPr="001D6C87">
        <w:rPr>
          <w:rFonts w:ascii="Arial" w:hAnsi="Arial" w:cs="Arial"/>
          <w:sz w:val="24"/>
          <w:szCs w:val="24"/>
        </w:rPr>
        <w:t xml:space="preserve">Rahman Khattak, S.R., Nouman, M., Fayaz, M., </w:t>
      </w:r>
      <w:proofErr w:type="spellStart"/>
      <w:r w:rsidRPr="001D6C87">
        <w:rPr>
          <w:rFonts w:ascii="Arial" w:hAnsi="Arial" w:cs="Arial"/>
          <w:sz w:val="24"/>
          <w:szCs w:val="24"/>
        </w:rPr>
        <w:t>Cismaș</w:t>
      </w:r>
      <w:proofErr w:type="spellEnd"/>
      <w:r w:rsidRPr="001D6C87">
        <w:rPr>
          <w:rFonts w:ascii="Arial" w:hAnsi="Arial" w:cs="Arial"/>
          <w:sz w:val="24"/>
          <w:szCs w:val="24"/>
        </w:rPr>
        <w:t xml:space="preserve">, L.M., </w:t>
      </w:r>
      <w:proofErr w:type="spellStart"/>
      <w:r w:rsidRPr="001D6C87">
        <w:rPr>
          <w:rFonts w:ascii="Arial" w:hAnsi="Arial" w:cs="Arial"/>
          <w:sz w:val="24"/>
          <w:szCs w:val="24"/>
        </w:rPr>
        <w:t>Negruț</w:t>
      </w:r>
      <w:proofErr w:type="spellEnd"/>
      <w:r w:rsidRPr="001D6C87">
        <w:rPr>
          <w:rFonts w:ascii="Arial" w:hAnsi="Arial" w:cs="Arial"/>
          <w:sz w:val="24"/>
          <w:szCs w:val="24"/>
        </w:rPr>
        <w:t xml:space="preserve">, L., </w:t>
      </w:r>
      <w:proofErr w:type="spellStart"/>
      <w:r w:rsidRPr="001D6C87">
        <w:rPr>
          <w:rFonts w:ascii="Arial" w:hAnsi="Arial" w:cs="Arial"/>
          <w:sz w:val="24"/>
          <w:szCs w:val="24"/>
        </w:rPr>
        <w:t>Negruț</w:t>
      </w:r>
      <w:proofErr w:type="spellEnd"/>
      <w:r w:rsidRPr="001D6C87">
        <w:rPr>
          <w:rFonts w:ascii="Arial" w:hAnsi="Arial" w:cs="Arial"/>
          <w:sz w:val="24"/>
          <w:szCs w:val="24"/>
        </w:rPr>
        <w:t xml:space="preserve">, C.V. and Salem, S. (2021) </w:t>
      </w:r>
      <w:r w:rsidRPr="00516440">
        <w:rPr>
          <w:rFonts w:ascii="Arial" w:hAnsi="Arial" w:cs="Arial"/>
          <w:i/>
          <w:iCs/>
          <w:sz w:val="24"/>
          <w:szCs w:val="24"/>
        </w:rPr>
        <w:t xml:space="preserve">Corporate Social Responsibility and Employee Green </w:t>
      </w:r>
      <w:proofErr w:type="spellStart"/>
      <w:r w:rsidRPr="00516440">
        <w:rPr>
          <w:rFonts w:ascii="Arial" w:hAnsi="Arial" w:cs="Arial"/>
          <w:i/>
          <w:iCs/>
          <w:sz w:val="24"/>
          <w:szCs w:val="24"/>
        </w:rPr>
        <w:t>Behavior</w:t>
      </w:r>
      <w:proofErr w:type="spellEnd"/>
      <w:r w:rsidRPr="00516440">
        <w:rPr>
          <w:rFonts w:ascii="Arial" w:hAnsi="Arial" w:cs="Arial"/>
          <w:i/>
          <w:iCs/>
          <w:sz w:val="24"/>
          <w:szCs w:val="24"/>
        </w:rPr>
        <w:t xml:space="preserve"> in the Hospitality Industry: A Cross-Country Study.</w:t>
      </w:r>
      <w:r w:rsidRPr="001D6C87">
        <w:rPr>
          <w:rFonts w:ascii="Arial" w:hAnsi="Arial" w:cs="Arial"/>
          <w:sz w:val="24"/>
          <w:szCs w:val="24"/>
        </w:rPr>
        <w:t xml:space="preserve"> Sustainability, 13(19), p.10534. </w:t>
      </w:r>
      <w:proofErr w:type="spellStart"/>
      <w:proofErr w:type="gramStart"/>
      <w:r w:rsidRPr="001D6C87">
        <w:rPr>
          <w:rFonts w:ascii="Arial" w:hAnsi="Arial" w:cs="Arial"/>
          <w:sz w:val="24"/>
          <w:szCs w:val="24"/>
        </w:rPr>
        <w:t>doi:https</w:t>
      </w:r>
      <w:proofErr w:type="spellEnd"/>
      <w:r w:rsidRPr="001D6C87">
        <w:rPr>
          <w:rFonts w:ascii="Arial" w:hAnsi="Arial" w:cs="Arial"/>
          <w:sz w:val="24"/>
          <w:szCs w:val="24"/>
        </w:rPr>
        <w:t>://doi.org/10.3390/su131910534</w:t>
      </w:r>
      <w:proofErr w:type="gramEnd"/>
      <w:r>
        <w:rPr>
          <w:rFonts w:ascii="Arial" w:hAnsi="Arial" w:cs="Arial"/>
          <w:sz w:val="24"/>
          <w:szCs w:val="24"/>
        </w:rPr>
        <w:t xml:space="preserve"> (</w:t>
      </w:r>
      <w:r w:rsidRPr="001D6C87">
        <w:rPr>
          <w:rFonts w:ascii="Arial" w:hAnsi="Arial" w:cs="Arial"/>
          <w:sz w:val="24"/>
          <w:szCs w:val="24"/>
        </w:rPr>
        <w:t>Accessed 30 Apr. 2024</w:t>
      </w:r>
      <w:r>
        <w:rPr>
          <w:rFonts w:ascii="Arial" w:hAnsi="Arial" w:cs="Arial"/>
          <w:sz w:val="24"/>
          <w:szCs w:val="24"/>
        </w:rPr>
        <w:t>)</w:t>
      </w:r>
      <w:r w:rsidRPr="001D6C87">
        <w:rPr>
          <w:rFonts w:ascii="Arial" w:hAnsi="Arial" w:cs="Arial"/>
          <w:sz w:val="24"/>
          <w:szCs w:val="24"/>
        </w:rPr>
        <w:t>.</w:t>
      </w:r>
    </w:p>
    <w:p w14:paraId="6183490D" w14:textId="77777777" w:rsidR="00033C2D" w:rsidRPr="001D6C87" w:rsidRDefault="00033C2D" w:rsidP="00033C2D">
      <w:pPr>
        <w:spacing w:before="240" w:after="0" w:line="360" w:lineRule="auto"/>
        <w:jc w:val="both"/>
        <w:rPr>
          <w:rFonts w:ascii="Arial" w:hAnsi="Arial" w:cs="Arial"/>
          <w:sz w:val="24"/>
          <w:szCs w:val="24"/>
        </w:rPr>
      </w:pPr>
      <w:r w:rsidRPr="001D6C87">
        <w:rPr>
          <w:rFonts w:ascii="Arial" w:hAnsi="Arial" w:cs="Arial"/>
          <w:sz w:val="24"/>
          <w:szCs w:val="24"/>
        </w:rPr>
        <w:t xml:space="preserve">Stringer, P. (2024) </w:t>
      </w:r>
      <w:r w:rsidRPr="00516440">
        <w:rPr>
          <w:rFonts w:ascii="Arial" w:hAnsi="Arial" w:cs="Arial"/>
          <w:i/>
          <w:iCs/>
          <w:sz w:val="24"/>
          <w:szCs w:val="24"/>
        </w:rPr>
        <w:t xml:space="preserve">Green hospitality: 5 sustainable practices for eco-friendly hotels | </w:t>
      </w:r>
      <w:proofErr w:type="spellStart"/>
      <w:r w:rsidRPr="00516440">
        <w:rPr>
          <w:rFonts w:ascii="Arial" w:hAnsi="Arial" w:cs="Arial"/>
          <w:i/>
          <w:iCs/>
          <w:sz w:val="24"/>
          <w:szCs w:val="24"/>
        </w:rPr>
        <w:t>SkootEco</w:t>
      </w:r>
      <w:proofErr w:type="spellEnd"/>
      <w:r w:rsidRPr="00516440">
        <w:rPr>
          <w:rFonts w:ascii="Arial" w:hAnsi="Arial" w:cs="Arial"/>
          <w:i/>
          <w:iCs/>
          <w:sz w:val="24"/>
          <w:szCs w:val="24"/>
        </w:rPr>
        <w:t xml:space="preserve"> Blog.</w:t>
      </w:r>
      <w:r w:rsidRPr="001D6C87">
        <w:rPr>
          <w:rFonts w:ascii="Arial" w:hAnsi="Arial" w:cs="Arial"/>
          <w:sz w:val="24"/>
          <w:szCs w:val="24"/>
        </w:rPr>
        <w:t xml:space="preserve"> [online] </w:t>
      </w:r>
      <w:proofErr w:type="spellStart"/>
      <w:r w:rsidRPr="001D6C87">
        <w:rPr>
          <w:rFonts w:ascii="Arial" w:hAnsi="Arial" w:cs="Arial"/>
          <w:sz w:val="24"/>
          <w:szCs w:val="24"/>
        </w:rPr>
        <w:t>skoot.eco</w:t>
      </w:r>
      <w:proofErr w:type="spellEnd"/>
      <w:r w:rsidRPr="001D6C87">
        <w:rPr>
          <w:rFonts w:ascii="Arial" w:hAnsi="Arial" w:cs="Arial"/>
          <w:sz w:val="24"/>
          <w:szCs w:val="24"/>
        </w:rPr>
        <w:t xml:space="preserve">. Available at: https://skoot.eco/articles/5-sustainable-practices-for-eco-friendly-hotels#:~:text=By%20embracing%20sustainable%20practices%2C%20hotels%20not%20only%20contribute </w:t>
      </w:r>
      <w:r>
        <w:rPr>
          <w:rFonts w:ascii="Arial" w:hAnsi="Arial" w:cs="Arial"/>
          <w:sz w:val="24"/>
          <w:szCs w:val="24"/>
        </w:rPr>
        <w:t>(</w:t>
      </w:r>
      <w:r w:rsidRPr="001D6C87">
        <w:rPr>
          <w:rFonts w:ascii="Arial" w:hAnsi="Arial" w:cs="Arial"/>
          <w:sz w:val="24"/>
          <w:szCs w:val="24"/>
        </w:rPr>
        <w:t>Accessed 1 May 2024</w:t>
      </w:r>
      <w:r>
        <w:rPr>
          <w:rFonts w:ascii="Arial" w:hAnsi="Arial" w:cs="Arial"/>
          <w:sz w:val="24"/>
          <w:szCs w:val="24"/>
        </w:rPr>
        <w:t>)</w:t>
      </w:r>
      <w:r w:rsidRPr="001D6C87">
        <w:rPr>
          <w:rFonts w:ascii="Arial" w:hAnsi="Arial" w:cs="Arial"/>
          <w:sz w:val="24"/>
          <w:szCs w:val="24"/>
        </w:rPr>
        <w:t>.</w:t>
      </w:r>
    </w:p>
    <w:p w14:paraId="049667BF" w14:textId="77777777" w:rsidR="00033C2D" w:rsidRPr="001D6C87" w:rsidRDefault="00033C2D" w:rsidP="00033C2D">
      <w:pPr>
        <w:spacing w:before="240" w:after="0" w:line="360" w:lineRule="auto"/>
        <w:jc w:val="both"/>
        <w:rPr>
          <w:rFonts w:ascii="Arial" w:hAnsi="Arial" w:cs="Arial"/>
          <w:sz w:val="24"/>
          <w:szCs w:val="24"/>
        </w:rPr>
      </w:pPr>
      <w:r w:rsidRPr="001D6C87">
        <w:rPr>
          <w:rFonts w:ascii="Arial" w:hAnsi="Arial" w:cs="Arial"/>
          <w:sz w:val="24"/>
          <w:szCs w:val="24"/>
        </w:rPr>
        <w:t xml:space="preserve">Thuy, T., </w:t>
      </w:r>
      <w:proofErr w:type="gramStart"/>
      <w:r w:rsidRPr="001D6C87">
        <w:rPr>
          <w:rFonts w:ascii="Arial" w:hAnsi="Arial" w:cs="Arial"/>
          <w:sz w:val="24"/>
          <w:szCs w:val="24"/>
        </w:rPr>
        <w:t>Vuong ,Binh</w:t>
      </w:r>
      <w:proofErr w:type="gramEnd"/>
      <w:r w:rsidRPr="001D6C87">
        <w:rPr>
          <w:rFonts w:ascii="Arial" w:hAnsi="Arial" w:cs="Arial"/>
          <w:sz w:val="24"/>
          <w:szCs w:val="24"/>
        </w:rPr>
        <w:t xml:space="preserve"> Long, Le ,My Dien, Nguyen ,Thanh Trung, Tran ,My </w:t>
      </w:r>
      <w:proofErr w:type="spellStart"/>
      <w:r w:rsidRPr="001D6C87">
        <w:rPr>
          <w:rFonts w:ascii="Arial" w:hAnsi="Arial" w:cs="Arial"/>
          <w:sz w:val="24"/>
          <w:szCs w:val="24"/>
        </w:rPr>
        <w:t>My</w:t>
      </w:r>
      <w:proofErr w:type="spellEnd"/>
      <w:r w:rsidRPr="001D6C87">
        <w:rPr>
          <w:rFonts w:ascii="Arial" w:hAnsi="Arial" w:cs="Arial"/>
          <w:sz w:val="24"/>
          <w:szCs w:val="24"/>
        </w:rPr>
        <w:t xml:space="preserve"> and Nguyen ,Quoc Khanh (2024) </w:t>
      </w:r>
      <w:r w:rsidRPr="00516440">
        <w:rPr>
          <w:rFonts w:ascii="Arial" w:hAnsi="Arial" w:cs="Arial"/>
          <w:i/>
          <w:iCs/>
          <w:sz w:val="24"/>
          <w:szCs w:val="24"/>
        </w:rPr>
        <w:t xml:space="preserve">The impact of </w:t>
      </w:r>
      <w:proofErr w:type="spellStart"/>
      <w:r w:rsidRPr="00516440">
        <w:rPr>
          <w:rFonts w:ascii="Arial" w:hAnsi="Arial" w:cs="Arial"/>
          <w:i/>
          <w:iCs/>
          <w:sz w:val="24"/>
          <w:szCs w:val="24"/>
        </w:rPr>
        <w:t>eWOM</w:t>
      </w:r>
      <w:proofErr w:type="spellEnd"/>
      <w:r w:rsidRPr="00516440">
        <w:rPr>
          <w:rFonts w:ascii="Arial" w:hAnsi="Arial" w:cs="Arial"/>
          <w:i/>
          <w:iCs/>
          <w:sz w:val="24"/>
          <w:szCs w:val="24"/>
        </w:rPr>
        <w:t xml:space="preserve"> information in social media on the online purchase intention of Generation Z</w:t>
      </w:r>
      <w:r w:rsidRPr="001D6C87">
        <w:rPr>
          <w:rFonts w:ascii="Arial" w:hAnsi="Arial" w:cs="Arial"/>
          <w:sz w:val="24"/>
          <w:szCs w:val="24"/>
        </w:rPr>
        <w:t xml:space="preserve">. Cogent Business &amp; Management, [online] 11(1), p.2316933. </w:t>
      </w:r>
      <w:proofErr w:type="spellStart"/>
      <w:proofErr w:type="gramStart"/>
      <w:r w:rsidRPr="001D6C87">
        <w:rPr>
          <w:rFonts w:ascii="Arial" w:hAnsi="Arial" w:cs="Arial"/>
          <w:sz w:val="24"/>
          <w:szCs w:val="24"/>
        </w:rPr>
        <w:t>doi:https</w:t>
      </w:r>
      <w:proofErr w:type="spellEnd"/>
      <w:r w:rsidRPr="001D6C87">
        <w:rPr>
          <w:rFonts w:ascii="Arial" w:hAnsi="Arial" w:cs="Arial"/>
          <w:sz w:val="24"/>
          <w:szCs w:val="24"/>
        </w:rPr>
        <w:t>://doi.org/10.1080/23311975.2024.2316933</w:t>
      </w:r>
      <w:proofErr w:type="gramEnd"/>
      <w:r>
        <w:rPr>
          <w:rFonts w:ascii="Arial" w:hAnsi="Arial" w:cs="Arial"/>
          <w:sz w:val="24"/>
          <w:szCs w:val="24"/>
        </w:rPr>
        <w:t xml:space="preserve"> (</w:t>
      </w:r>
      <w:r w:rsidRPr="001D6C87">
        <w:rPr>
          <w:rFonts w:ascii="Arial" w:hAnsi="Arial" w:cs="Arial"/>
          <w:sz w:val="24"/>
          <w:szCs w:val="24"/>
        </w:rPr>
        <w:t>Accessed 30 Apr. 2024</w:t>
      </w:r>
      <w:r>
        <w:rPr>
          <w:rFonts w:ascii="Arial" w:hAnsi="Arial" w:cs="Arial"/>
          <w:sz w:val="24"/>
          <w:szCs w:val="24"/>
        </w:rPr>
        <w:t>)</w:t>
      </w:r>
      <w:r w:rsidRPr="001D6C87">
        <w:rPr>
          <w:rFonts w:ascii="Arial" w:hAnsi="Arial" w:cs="Arial"/>
          <w:sz w:val="24"/>
          <w:szCs w:val="24"/>
        </w:rPr>
        <w:t>.</w:t>
      </w:r>
    </w:p>
    <w:p w14:paraId="1916ACB5" w14:textId="77777777" w:rsidR="00033C2D" w:rsidRPr="001D6C87" w:rsidRDefault="00033C2D" w:rsidP="00033C2D">
      <w:pPr>
        <w:spacing w:before="240" w:after="0" w:line="360" w:lineRule="auto"/>
        <w:jc w:val="both"/>
        <w:rPr>
          <w:rFonts w:ascii="Arial" w:hAnsi="Arial" w:cs="Arial"/>
          <w:sz w:val="24"/>
          <w:szCs w:val="24"/>
        </w:rPr>
      </w:pPr>
      <w:proofErr w:type="spellStart"/>
      <w:r w:rsidRPr="001D6C87">
        <w:rPr>
          <w:rFonts w:ascii="Arial" w:hAnsi="Arial" w:cs="Arial"/>
          <w:sz w:val="24"/>
          <w:szCs w:val="24"/>
        </w:rPr>
        <w:t>Travelife</w:t>
      </w:r>
      <w:proofErr w:type="spellEnd"/>
      <w:r w:rsidRPr="001D6C87">
        <w:rPr>
          <w:rFonts w:ascii="Arial" w:hAnsi="Arial" w:cs="Arial"/>
          <w:sz w:val="24"/>
          <w:szCs w:val="24"/>
        </w:rPr>
        <w:t xml:space="preserve"> (2024) </w:t>
      </w:r>
      <w:r w:rsidRPr="00516440">
        <w:rPr>
          <w:rFonts w:ascii="Arial" w:hAnsi="Arial" w:cs="Arial"/>
          <w:i/>
          <w:iCs/>
          <w:sz w:val="24"/>
          <w:szCs w:val="24"/>
        </w:rPr>
        <w:t>Home.</w:t>
      </w:r>
      <w:r w:rsidRPr="001D6C87">
        <w:rPr>
          <w:rFonts w:ascii="Arial" w:hAnsi="Arial" w:cs="Arial"/>
          <w:sz w:val="24"/>
          <w:szCs w:val="24"/>
        </w:rPr>
        <w:t xml:space="preserve"> [online] Sustainable Hotel and Accommodation Certification Label. Available at: https://travelifestaybetter.com/ </w:t>
      </w:r>
      <w:r>
        <w:rPr>
          <w:rFonts w:ascii="Arial" w:hAnsi="Arial" w:cs="Arial"/>
          <w:sz w:val="24"/>
          <w:szCs w:val="24"/>
        </w:rPr>
        <w:t>(</w:t>
      </w:r>
      <w:r w:rsidRPr="001D6C87">
        <w:rPr>
          <w:rFonts w:ascii="Arial" w:hAnsi="Arial" w:cs="Arial"/>
          <w:sz w:val="24"/>
          <w:szCs w:val="24"/>
        </w:rPr>
        <w:t>Accessed 1 May 2024</w:t>
      </w:r>
      <w:r>
        <w:rPr>
          <w:rFonts w:ascii="Arial" w:hAnsi="Arial" w:cs="Arial"/>
          <w:sz w:val="24"/>
          <w:szCs w:val="24"/>
        </w:rPr>
        <w:t>)</w:t>
      </w:r>
      <w:r w:rsidRPr="001D6C87">
        <w:rPr>
          <w:rFonts w:ascii="Arial" w:hAnsi="Arial" w:cs="Arial"/>
          <w:sz w:val="24"/>
          <w:szCs w:val="24"/>
        </w:rPr>
        <w:t>.</w:t>
      </w:r>
    </w:p>
    <w:p w14:paraId="15EC5693" w14:textId="77777777" w:rsidR="00033C2D" w:rsidRPr="001D6C87" w:rsidRDefault="00033C2D" w:rsidP="00033C2D">
      <w:pPr>
        <w:spacing w:before="240" w:after="0" w:line="360" w:lineRule="auto"/>
        <w:jc w:val="both"/>
        <w:rPr>
          <w:rFonts w:ascii="Arial" w:hAnsi="Arial" w:cs="Arial"/>
          <w:sz w:val="24"/>
          <w:szCs w:val="24"/>
        </w:rPr>
      </w:pPr>
      <w:r w:rsidRPr="001D6C87">
        <w:rPr>
          <w:rFonts w:ascii="Arial" w:hAnsi="Arial" w:cs="Arial"/>
          <w:sz w:val="24"/>
          <w:szCs w:val="24"/>
        </w:rPr>
        <w:t>Williams, A. and Hodges, N. (2020)</w:t>
      </w:r>
      <w:r>
        <w:rPr>
          <w:rFonts w:ascii="Arial" w:hAnsi="Arial" w:cs="Arial"/>
          <w:sz w:val="24"/>
          <w:szCs w:val="24"/>
        </w:rPr>
        <w:t xml:space="preserve"> </w:t>
      </w:r>
      <w:r w:rsidRPr="00516440">
        <w:rPr>
          <w:rFonts w:ascii="Arial" w:hAnsi="Arial" w:cs="Arial"/>
          <w:i/>
          <w:iCs/>
          <w:sz w:val="24"/>
          <w:szCs w:val="24"/>
        </w:rPr>
        <w:t xml:space="preserve">Generation Z and Socially Responsible Fashion Consumption: Exploring the </w:t>
      </w:r>
      <w:proofErr w:type="spellStart"/>
      <w:r w:rsidRPr="00516440">
        <w:rPr>
          <w:rFonts w:ascii="Arial" w:hAnsi="Arial" w:cs="Arial"/>
          <w:i/>
          <w:iCs/>
          <w:sz w:val="24"/>
          <w:szCs w:val="24"/>
        </w:rPr>
        <w:t>ValueAction</w:t>
      </w:r>
      <w:proofErr w:type="spellEnd"/>
      <w:r w:rsidRPr="00516440">
        <w:rPr>
          <w:rFonts w:ascii="Arial" w:hAnsi="Arial" w:cs="Arial"/>
          <w:i/>
          <w:iCs/>
          <w:sz w:val="24"/>
          <w:szCs w:val="24"/>
        </w:rPr>
        <w:t xml:space="preserve"> Gap</w:t>
      </w:r>
      <w:r w:rsidRPr="001D6C87">
        <w:rPr>
          <w:rFonts w:ascii="Arial" w:hAnsi="Arial" w:cs="Arial"/>
          <w:sz w:val="24"/>
          <w:szCs w:val="24"/>
        </w:rPr>
        <w:t xml:space="preserve">. </w:t>
      </w:r>
      <w:proofErr w:type="spellStart"/>
      <w:proofErr w:type="gramStart"/>
      <w:r w:rsidRPr="001D6C87">
        <w:rPr>
          <w:rFonts w:ascii="Arial" w:hAnsi="Arial" w:cs="Arial"/>
          <w:sz w:val="24"/>
          <w:szCs w:val="24"/>
        </w:rPr>
        <w:t>doi:https</w:t>
      </w:r>
      <w:proofErr w:type="spellEnd"/>
      <w:r w:rsidRPr="001D6C87">
        <w:rPr>
          <w:rFonts w:ascii="Arial" w:hAnsi="Arial" w:cs="Arial"/>
          <w:sz w:val="24"/>
          <w:szCs w:val="24"/>
        </w:rPr>
        <w:t>://doi.org/10.31274/itaa.11930</w:t>
      </w:r>
      <w:proofErr w:type="gramEnd"/>
      <w:r>
        <w:rPr>
          <w:rFonts w:ascii="Arial" w:hAnsi="Arial" w:cs="Arial"/>
          <w:sz w:val="24"/>
          <w:szCs w:val="24"/>
        </w:rPr>
        <w:t xml:space="preserve"> (</w:t>
      </w:r>
      <w:r w:rsidRPr="001D6C87">
        <w:rPr>
          <w:rFonts w:ascii="Arial" w:hAnsi="Arial" w:cs="Arial"/>
          <w:sz w:val="24"/>
          <w:szCs w:val="24"/>
        </w:rPr>
        <w:t>Accessed 30 Apr. 2024</w:t>
      </w:r>
      <w:r>
        <w:rPr>
          <w:rFonts w:ascii="Arial" w:hAnsi="Arial" w:cs="Arial"/>
          <w:sz w:val="24"/>
          <w:szCs w:val="24"/>
        </w:rPr>
        <w:t>)</w:t>
      </w:r>
      <w:r w:rsidRPr="001D6C87">
        <w:rPr>
          <w:rFonts w:ascii="Arial" w:hAnsi="Arial" w:cs="Arial"/>
          <w:sz w:val="24"/>
          <w:szCs w:val="24"/>
        </w:rPr>
        <w:t>.</w:t>
      </w:r>
    </w:p>
    <w:p w14:paraId="26C20F6F" w14:textId="77777777" w:rsidR="00033C2D" w:rsidRPr="001D6C87" w:rsidRDefault="00033C2D" w:rsidP="00033C2D">
      <w:pPr>
        <w:spacing w:before="240" w:after="0" w:line="360" w:lineRule="auto"/>
        <w:jc w:val="both"/>
        <w:rPr>
          <w:rFonts w:ascii="Arial" w:hAnsi="Arial" w:cs="Arial"/>
          <w:sz w:val="24"/>
          <w:szCs w:val="24"/>
        </w:rPr>
      </w:pPr>
      <w:r w:rsidRPr="001D6C87">
        <w:rPr>
          <w:rFonts w:ascii="Arial" w:hAnsi="Arial" w:cs="Arial"/>
          <w:sz w:val="24"/>
          <w:szCs w:val="24"/>
        </w:rPr>
        <w:t>Yang, Z., Nguyen, T.T.H., Nguyen, H.N., Nguyen, T.T.N. and Cao, T.T. (2020)</w:t>
      </w:r>
      <w:r>
        <w:rPr>
          <w:rFonts w:ascii="Arial" w:hAnsi="Arial" w:cs="Arial"/>
          <w:sz w:val="24"/>
          <w:szCs w:val="24"/>
        </w:rPr>
        <w:t xml:space="preserve"> </w:t>
      </w:r>
      <w:r w:rsidRPr="00516440">
        <w:rPr>
          <w:rFonts w:ascii="Arial" w:hAnsi="Arial" w:cs="Arial"/>
          <w:i/>
          <w:iCs/>
          <w:sz w:val="24"/>
          <w:szCs w:val="24"/>
        </w:rPr>
        <w:t>Greenwashing behaviours: causes, Taxonomy and Consequences Based on a Systematic Literature Review.</w:t>
      </w:r>
      <w:r w:rsidRPr="001D6C87">
        <w:rPr>
          <w:rFonts w:ascii="Arial" w:hAnsi="Arial" w:cs="Arial"/>
          <w:sz w:val="24"/>
          <w:szCs w:val="24"/>
        </w:rPr>
        <w:t xml:space="preserve"> Journal of Business Economics and Management, [online] 21(5), pp.1486–1507. </w:t>
      </w:r>
      <w:proofErr w:type="spellStart"/>
      <w:proofErr w:type="gramStart"/>
      <w:r w:rsidRPr="001D6C87">
        <w:rPr>
          <w:rFonts w:ascii="Arial" w:hAnsi="Arial" w:cs="Arial"/>
          <w:sz w:val="24"/>
          <w:szCs w:val="24"/>
        </w:rPr>
        <w:t>doi:https</w:t>
      </w:r>
      <w:proofErr w:type="spellEnd"/>
      <w:r w:rsidRPr="001D6C87">
        <w:rPr>
          <w:rFonts w:ascii="Arial" w:hAnsi="Arial" w:cs="Arial"/>
          <w:sz w:val="24"/>
          <w:szCs w:val="24"/>
        </w:rPr>
        <w:t>://doi.org/10.3846/jbem.2020.13225</w:t>
      </w:r>
      <w:proofErr w:type="gramEnd"/>
      <w:r>
        <w:rPr>
          <w:rFonts w:ascii="Arial" w:hAnsi="Arial" w:cs="Arial"/>
          <w:sz w:val="24"/>
          <w:szCs w:val="24"/>
        </w:rPr>
        <w:t xml:space="preserve"> (</w:t>
      </w:r>
      <w:r w:rsidRPr="001D6C87">
        <w:rPr>
          <w:rFonts w:ascii="Arial" w:hAnsi="Arial" w:cs="Arial"/>
          <w:sz w:val="24"/>
          <w:szCs w:val="24"/>
        </w:rPr>
        <w:t>Accessed 30 Apr. 2024</w:t>
      </w:r>
      <w:r>
        <w:rPr>
          <w:rFonts w:ascii="Arial" w:hAnsi="Arial" w:cs="Arial"/>
          <w:sz w:val="24"/>
          <w:szCs w:val="24"/>
        </w:rPr>
        <w:t>)</w:t>
      </w:r>
      <w:r w:rsidRPr="001D6C87">
        <w:rPr>
          <w:rFonts w:ascii="Arial" w:hAnsi="Arial" w:cs="Arial"/>
          <w:sz w:val="24"/>
          <w:szCs w:val="24"/>
        </w:rPr>
        <w:t>.</w:t>
      </w:r>
    </w:p>
    <w:p w14:paraId="7DD6DA7B" w14:textId="77777777" w:rsidR="00033C2D" w:rsidRPr="001D6C87" w:rsidRDefault="00033C2D" w:rsidP="00033C2D">
      <w:pPr>
        <w:spacing w:after="0" w:line="360" w:lineRule="auto"/>
        <w:jc w:val="both"/>
        <w:rPr>
          <w:rFonts w:ascii="Arial" w:hAnsi="Arial" w:cs="Arial"/>
          <w:sz w:val="24"/>
          <w:szCs w:val="24"/>
        </w:rPr>
      </w:pPr>
    </w:p>
    <w:p w14:paraId="0CE3C211" w14:textId="77777777" w:rsidR="00033C2D" w:rsidRDefault="00033C2D" w:rsidP="00033C2D">
      <w:pPr>
        <w:jc w:val="center"/>
      </w:pPr>
    </w:p>
    <w:sectPr w:rsidR="00033C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C2D"/>
    <w:rsid w:val="00033C2D"/>
    <w:rsid w:val="004457D3"/>
    <w:rsid w:val="00661AD9"/>
    <w:rsid w:val="00A91B98"/>
    <w:rsid w:val="00FF4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DB351B"/>
  <w15:chartTrackingRefBased/>
  <w15:docId w15:val="{A4C4DA98-BB76-4487-B3D1-754F20365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3C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3C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3C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3C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3C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3C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3C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3C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3C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3C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3C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3C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3C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3C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3C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3C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3C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3C2D"/>
    <w:rPr>
      <w:rFonts w:eastAsiaTheme="majorEastAsia" w:cstheme="majorBidi"/>
      <w:color w:val="272727" w:themeColor="text1" w:themeTint="D8"/>
    </w:rPr>
  </w:style>
  <w:style w:type="paragraph" w:styleId="Title">
    <w:name w:val="Title"/>
    <w:basedOn w:val="Normal"/>
    <w:next w:val="Normal"/>
    <w:link w:val="TitleChar"/>
    <w:uiPriority w:val="10"/>
    <w:qFormat/>
    <w:rsid w:val="00033C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3C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3C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3C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3C2D"/>
    <w:pPr>
      <w:spacing w:before="160"/>
      <w:jc w:val="center"/>
    </w:pPr>
    <w:rPr>
      <w:i/>
      <w:iCs/>
      <w:color w:val="404040" w:themeColor="text1" w:themeTint="BF"/>
    </w:rPr>
  </w:style>
  <w:style w:type="character" w:customStyle="1" w:styleId="QuoteChar">
    <w:name w:val="Quote Char"/>
    <w:basedOn w:val="DefaultParagraphFont"/>
    <w:link w:val="Quote"/>
    <w:uiPriority w:val="29"/>
    <w:rsid w:val="00033C2D"/>
    <w:rPr>
      <w:i/>
      <w:iCs/>
      <w:color w:val="404040" w:themeColor="text1" w:themeTint="BF"/>
    </w:rPr>
  </w:style>
  <w:style w:type="paragraph" w:styleId="ListParagraph">
    <w:name w:val="List Paragraph"/>
    <w:basedOn w:val="Normal"/>
    <w:uiPriority w:val="34"/>
    <w:qFormat/>
    <w:rsid w:val="00033C2D"/>
    <w:pPr>
      <w:ind w:left="720"/>
      <w:contextualSpacing/>
    </w:pPr>
  </w:style>
  <w:style w:type="character" w:styleId="IntenseEmphasis">
    <w:name w:val="Intense Emphasis"/>
    <w:basedOn w:val="DefaultParagraphFont"/>
    <w:uiPriority w:val="21"/>
    <w:qFormat/>
    <w:rsid w:val="00033C2D"/>
    <w:rPr>
      <w:i/>
      <w:iCs/>
      <w:color w:val="0F4761" w:themeColor="accent1" w:themeShade="BF"/>
    </w:rPr>
  </w:style>
  <w:style w:type="paragraph" w:styleId="IntenseQuote">
    <w:name w:val="Intense Quote"/>
    <w:basedOn w:val="Normal"/>
    <w:next w:val="Normal"/>
    <w:link w:val="IntenseQuoteChar"/>
    <w:uiPriority w:val="30"/>
    <w:qFormat/>
    <w:rsid w:val="00033C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3C2D"/>
    <w:rPr>
      <w:i/>
      <w:iCs/>
      <w:color w:val="0F4761" w:themeColor="accent1" w:themeShade="BF"/>
    </w:rPr>
  </w:style>
  <w:style w:type="character" w:styleId="IntenseReference">
    <w:name w:val="Intense Reference"/>
    <w:basedOn w:val="DefaultParagraphFont"/>
    <w:uiPriority w:val="32"/>
    <w:qFormat/>
    <w:rsid w:val="00033C2D"/>
    <w:rPr>
      <w:b/>
      <w:bCs/>
      <w:smallCaps/>
      <w:color w:val="0F4761" w:themeColor="accent1" w:themeShade="BF"/>
      <w:spacing w:val="5"/>
    </w:rPr>
  </w:style>
  <w:style w:type="paragraph" w:styleId="NoSpacing">
    <w:name w:val="No Spacing"/>
    <w:link w:val="NoSpacingChar"/>
    <w:uiPriority w:val="1"/>
    <w:qFormat/>
    <w:rsid w:val="00033C2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33C2D"/>
    <w:rPr>
      <w:rFonts w:eastAsiaTheme="minorEastAsia"/>
      <w:kern w:val="0"/>
      <w:lang w:eastAsia="en-GB"/>
      <w14:ligatures w14:val="none"/>
    </w:rPr>
  </w:style>
  <w:style w:type="character" w:styleId="Hyperlink">
    <w:name w:val="Hyperlink"/>
    <w:basedOn w:val="DefaultParagraphFont"/>
    <w:uiPriority w:val="99"/>
    <w:unhideWhenUsed/>
    <w:rsid w:val="00033C2D"/>
    <w:rPr>
      <w:color w:val="467886" w:themeColor="hyperlink"/>
      <w:u w:val="single"/>
    </w:rPr>
  </w:style>
  <w:style w:type="paragraph" w:styleId="NormalWeb">
    <w:name w:val="Normal (Web)"/>
    <w:basedOn w:val="Normal"/>
    <w:uiPriority w:val="99"/>
    <w:unhideWhenUsed/>
    <w:rsid w:val="00033C2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ospitality-on.com/en/csr/accor-objective-put-sustainability-heart-everything-we-do" TargetMode="External"/><Relationship Id="rId5" Type="http://schemas.openxmlformats.org/officeDocument/2006/relationships/image" Target="media/image2.emf"/><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10</Pages>
  <Words>2485</Words>
  <Characters>16721</Characters>
  <Application>Microsoft Office Word</Application>
  <DocSecurity>0</DocSecurity>
  <Lines>282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Piotr Garbaty (2211131)</dc:creator>
  <cp:keywords/>
  <dc:description/>
  <cp:lastModifiedBy>Sebastian Piotr Garbaty (2211131)</cp:lastModifiedBy>
  <cp:revision>1</cp:revision>
  <dcterms:created xsi:type="dcterms:W3CDTF">2024-05-05T16:42:00Z</dcterms:created>
  <dcterms:modified xsi:type="dcterms:W3CDTF">2024-05-05T16:55:00Z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fac25f68-0287-49fe-878e-3e69ec8ab4cb</vt:lpwstr>
  </property>
</Properties>
</file>