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ascii="Times New Roman" w:eastAsia="Times New Roman" w:hAnsi="Times New Roman" w:cstheme="minorHAnsi"/>
          <w:sz w:val="24"/>
          <w:szCs w:val="24"/>
          <w:lang w:val="en-GB" w:eastAsia="en-GB"/>
        </w:rPr>
        <w:id w:val="323863368"/>
        <w:docPartObj>
          <w:docPartGallery w:val="Cover Pages"/>
          <w:docPartUnique/>
        </w:docPartObj>
      </w:sdtPr>
      <w:sdtContent>
        <w:p w:rsidR="00B970A0" w:rsidRPr="00254FBD" w:rsidRDefault="00B970A0" w:rsidP="00254FBD">
          <w:pPr>
            <w:pStyle w:val="NoSpacing"/>
            <w:spacing w:line="360" w:lineRule="auto"/>
            <w:rPr>
              <w:rFonts w:cstheme="minorHAnsi"/>
              <w:sz w:val="24"/>
              <w:szCs w:val="24"/>
            </w:rPr>
          </w:pPr>
        </w:p>
        <w:p w:rsidR="00B970A0" w:rsidRPr="00254FBD" w:rsidRDefault="00B970A0" w:rsidP="00254FBD">
          <w:pPr>
            <w:spacing w:line="360" w:lineRule="auto"/>
            <w:rPr>
              <w:rFonts w:asciiTheme="minorHAnsi" w:hAnsiTheme="minorHAnsi" w:cstheme="minorHAnsi"/>
              <w:sz w:val="24"/>
              <w:szCs w:val="24"/>
            </w:rPr>
          </w:pPr>
          <w:r w:rsidRPr="00254FBD">
            <w:rPr>
              <w:rFonts w:asciiTheme="minorHAnsi" w:hAnsiTheme="minorHAnsi" w:cstheme="minorHAnsi"/>
              <w:noProof/>
              <w:sz w:val="24"/>
              <w:szCs w:val="24"/>
            </w:rPr>
            <mc:AlternateContent>
              <mc:Choice Requires="wps">
                <w:drawing>
                  <wp:anchor distT="0" distB="0" distL="114300" distR="114300" simplePos="0" relativeHeight="251661312" behindDoc="0" locked="0" layoutInCell="1" allowOverlap="1">
                    <wp:simplePos x="0" y="0"/>
                    <wp:positionH relativeFrom="page">
                      <wp:align>center</wp:align>
                    </wp:positionH>
                    <wp:positionV relativeFrom="margin">
                      <wp:align>top</wp:align>
                    </wp:positionV>
                    <wp:extent cx="5943600" cy="914400"/>
                    <wp:effectExtent l="0" t="0" r="0" b="3810"/>
                    <wp:wrapNone/>
                    <wp:docPr id="62" name="Text Box 62"/>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848484"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Content>
                                  <w:p w:rsidR="004B05DA" w:rsidRDefault="004B05DA">
                                    <w:pPr>
                                      <w:pStyle w:val="NoSpacing"/>
                                      <w:rPr>
                                        <w:rFonts w:asciiTheme="majorHAnsi" w:eastAsiaTheme="majorEastAsia" w:hAnsiTheme="majorHAnsi" w:cstheme="majorBidi"/>
                                        <w:caps/>
                                        <w:color w:val="848484" w:themeColor="text2" w:themeTint="99"/>
                                        <w:sz w:val="68"/>
                                        <w:szCs w:val="68"/>
                                      </w:rPr>
                                    </w:pPr>
                                    <w:r w:rsidRPr="00B970A0">
                                      <w:rPr>
                                        <w:rFonts w:asciiTheme="majorHAnsi" w:eastAsiaTheme="majorEastAsia" w:hAnsiTheme="majorHAnsi" w:cstheme="majorBidi"/>
                                        <w:caps/>
                                        <w:color w:val="848484" w:themeColor="text2" w:themeTint="99"/>
                                        <w:sz w:val="64"/>
                                        <w:szCs w:val="64"/>
                                      </w:rPr>
                                      <w:t>Finance for Business Managers</w:t>
                                    </w:r>
                                  </w:p>
                                </w:sdtContent>
                              </w:sdt>
                              <w:p w:rsidR="004B05DA" w:rsidRDefault="004B05DA">
                                <w:pPr>
                                  <w:pStyle w:val="NoSpacing"/>
                                  <w:spacing w:before="120"/>
                                  <w:rPr>
                                    <w:color w:val="F07F09" w:themeColor="accent1"/>
                                    <w:sz w:val="36"/>
                                    <w:szCs w:val="36"/>
                                  </w:rPr>
                                </w:pPr>
                                <w:sdt>
                                  <w:sdtPr>
                                    <w:rPr>
                                      <w:color w:val="F07F09"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Content>
                                    <w:r>
                                      <w:rPr>
                                        <w:color w:val="F07F09" w:themeColor="accent1"/>
                                        <w:sz w:val="36"/>
                                        <w:szCs w:val="36"/>
                                      </w:rPr>
                                      <w:t>Stacey Brown</w:t>
                                    </w:r>
                                  </w:sdtContent>
                                </w:sdt>
                                <w:r>
                                  <w:rPr>
                                    <w:noProof/>
                                  </w:rPr>
                                  <w:t xml:space="preserve"> </w:t>
                                </w:r>
                              </w:p>
                              <w:p w:rsidR="004B05DA" w:rsidRDefault="004B05DA"/>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anchor>
                </w:drawing>
              </mc:Choice>
              <mc:Fallback>
                <w:pict>
                  <v:shapetype id="_x0000_t202" coordsize="21600,21600" o:spt="202" path="m,l,21600r21600,l21600,xe">
                    <v:stroke joinstyle="miter"/>
                    <v:path gradientshapeok="t" o:connecttype="rect"/>
                  </v:shapetype>
                  <v:shape id="Text Box 62" o:spid="_x0000_s1026" type="#_x0000_t202" style="position:absolute;margin-left:0;margin-top:0;width:468pt;height:1in;z-index:251661312;visibility:visible;mso-wrap-style:square;mso-width-percent:765;mso-wrap-distance-left:9pt;mso-wrap-distance-top:0;mso-wrap-distance-right:9pt;mso-wrap-distance-bottom:0;mso-position-horizontal:center;mso-position-horizontal-relative:page;mso-position-vertical:top;mso-position-vertical-relative:margin;mso-width-percent:765;mso-width-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" filled="f" stroked="f" strokeweight=".5pt">
                    <v:textbox style="mso-fit-shape-to-text:t">
                      <w:txbxContent>
                        <w:sdt>
                          <w:sdtPr>
                            <w:rPr>
                              <w:rFonts w:asciiTheme="majorHAnsi" w:eastAsiaTheme="majorEastAsia" w:hAnsiTheme="majorHAnsi" w:cstheme="majorBidi"/>
                              <w:caps/>
                              <w:color w:val="848484"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Content>
                            <w:p w:rsidR="004B05DA" w:rsidRDefault="004B05DA">
                              <w:pPr>
                                <w:pStyle w:val="NoSpacing"/>
                                <w:rPr>
                                  <w:rFonts w:asciiTheme="majorHAnsi" w:eastAsiaTheme="majorEastAsia" w:hAnsiTheme="majorHAnsi" w:cstheme="majorBidi"/>
                                  <w:caps/>
                                  <w:color w:val="848484" w:themeColor="text2" w:themeTint="99"/>
                                  <w:sz w:val="68"/>
                                  <w:szCs w:val="68"/>
                                </w:rPr>
                              </w:pPr>
                              <w:r w:rsidRPr="00B970A0">
                                <w:rPr>
                                  <w:rFonts w:asciiTheme="majorHAnsi" w:eastAsiaTheme="majorEastAsia" w:hAnsiTheme="majorHAnsi" w:cstheme="majorBidi"/>
                                  <w:caps/>
                                  <w:color w:val="848484" w:themeColor="text2" w:themeTint="99"/>
                                  <w:sz w:val="64"/>
                                  <w:szCs w:val="64"/>
                                </w:rPr>
                                <w:t>Finance for Business Managers</w:t>
                              </w:r>
                            </w:p>
                          </w:sdtContent>
                        </w:sdt>
                        <w:p w:rsidR="004B05DA" w:rsidRDefault="004B05DA">
                          <w:pPr>
                            <w:pStyle w:val="NoSpacing"/>
                            <w:spacing w:before="120"/>
                            <w:rPr>
                              <w:color w:val="F07F09" w:themeColor="accent1"/>
                              <w:sz w:val="36"/>
                              <w:szCs w:val="36"/>
                            </w:rPr>
                          </w:pPr>
                          <w:sdt>
                            <w:sdtPr>
                              <w:rPr>
                                <w:color w:val="F07F09"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Content>
                              <w:r>
                                <w:rPr>
                                  <w:color w:val="F07F09" w:themeColor="accent1"/>
                                  <w:sz w:val="36"/>
                                  <w:szCs w:val="36"/>
                                </w:rPr>
                                <w:t>Stacey Brown</w:t>
                              </w:r>
                            </w:sdtContent>
                          </w:sdt>
                          <w:r>
                            <w:rPr>
                              <w:noProof/>
                            </w:rPr>
                            <w:t xml:space="preserve"> </w:t>
                          </w:r>
                        </w:p>
                        <w:p w:rsidR="004B05DA" w:rsidRDefault="004B05DA"/>
                      </w:txbxContent>
                    </v:textbox>
                    <w10:wrap anchorx="page" anchory="margin"/>
                  </v:shape>
                </w:pict>
              </mc:Fallback>
            </mc:AlternateContent>
          </w:r>
          <w:r w:rsidRPr="00254FBD">
            <w:rPr>
              <w:rFonts w:asciiTheme="minorHAnsi" w:hAnsiTheme="minorHAnsi" w:cstheme="minorHAnsi"/>
              <w:noProof/>
              <w:color w:val="F07F09" w:themeColor="accent1"/>
              <w:sz w:val="24"/>
              <w:szCs w:val="24"/>
            </w:rPr>
            <mc:AlternateContent>
              <mc:Choice Requires="wpg">
                <w:drawing>
                  <wp:anchor distT="0" distB="0" distL="114300" distR="114300" simplePos="0" relativeHeight="251660288" behindDoc="1" locked="0" layoutInCell="1" allowOverlap="1">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0A3FD1F3" id="Group 2" o:spid="_x0000_s1026" style="position:absolute;margin-left:0;margin-top:0;width:432.65pt;height:448.55pt;z-index:-251656192;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r w:rsidRPr="00254FBD">
            <w:rPr>
              <w:rFonts w:asciiTheme="minorHAnsi" w:hAnsiTheme="minorHAnsi" w:cstheme="minorHAnsi"/>
              <w:noProof/>
              <w:sz w:val="24"/>
              <w:szCs w:val="24"/>
            </w:rPr>
            <mc:AlternateContent>
              <mc:Choice Requires="wps">
                <w:drawing>
                  <wp:anchor distT="0" distB="0" distL="114300" distR="114300" simplePos="0" relativeHeight="251659264" behindDoc="0" locked="0" layoutInCell="1" allowOverlap="1">
                    <wp:simplePos x="0" y="0"/>
                    <wp:positionH relativeFrom="page">
                      <wp:align>center</wp:align>
                    </wp:positionH>
                    <wp:positionV relativeFrom="margin">
                      <wp:align>bottom</wp:align>
                    </wp:positionV>
                    <wp:extent cx="5943600" cy="374904"/>
                    <wp:effectExtent l="0" t="0" r="0" b="2540"/>
                    <wp:wrapNone/>
                    <wp:docPr id="69" name="Text Box 69"/>
                    <wp:cNvGraphicFramePr/>
                    <a:graphic xmlns:a="http://schemas.openxmlformats.org/drawingml/2006/main">
                      <a:graphicData uri="http://schemas.microsoft.com/office/word/2010/wordprocessingShape">
                        <wps:wsp>
                          <wps:cNvSpPr txBox="1"/>
                          <wps:spPr>
                            <a:xfrm>
                              <a:off x="0" y="0"/>
                              <a:ext cx="5943600" cy="3749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4B05DA" w:rsidRDefault="004B05DA">
                                <w:pPr>
                                  <w:pStyle w:val="NoSpacing"/>
                                  <w:jc w:val="right"/>
                                  <w:rPr>
                                    <w:color w:val="F07F09" w:themeColor="accent1"/>
                                    <w:sz w:val="36"/>
                                    <w:szCs w:val="36"/>
                                  </w:rPr>
                                </w:pPr>
                                <w:sdt>
                                  <w:sdtPr>
                                    <w:rPr>
                                      <w:color w:val="F07F09"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Content>
                                    <w:r>
                                      <w:rPr>
                                        <w:color w:val="F07F09" w:themeColor="accent1"/>
                                        <w:sz w:val="36"/>
                                        <w:szCs w:val="36"/>
                                      </w:rPr>
                                      <w:t>University of Wales Trinity Saint David</w:t>
                                    </w:r>
                                  </w:sdtContent>
                                </w:sdt>
                              </w:p>
                              <w:sdt>
                                <w:sdtPr>
                                  <w:rPr>
                                    <w:color w:val="F07F09"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Content>
                                  <w:p w:rsidR="004B05DA" w:rsidRDefault="004B05DA">
                                    <w:pPr>
                                      <w:pStyle w:val="NoSpacing"/>
                                      <w:jc w:val="right"/>
                                      <w:rPr>
                                        <w:color w:val="F07F09" w:themeColor="accent1"/>
                                        <w:sz w:val="36"/>
                                        <w:szCs w:val="36"/>
                                      </w:rPr>
                                    </w:pPr>
                                    <w:r w:rsidRPr="00E90DB6">
                                      <w:rPr>
                                        <w:color w:val="F07F09" w:themeColor="accent1"/>
                                        <w:sz w:val="36"/>
                                        <w:szCs w:val="36"/>
                                      </w:rPr>
                                      <w:t>BMMB7005</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76500</wp14:pctWidth>
                    </wp14:sizeRelH>
                    <wp14:sizeRelV relativeFrom="margin">
                      <wp14:pctHeight>0</wp14:pctHeight>
                    </wp14:sizeRelV>
                  </wp:anchor>
                </w:drawing>
              </mc:Choice>
              <mc:Fallback>
                <w:pict>
                  <v:shape id="Text Box 69" o:spid="_x0000_s1027" type="#_x0000_t202" style="position:absolute;margin-left:0;margin-top:0;width:468pt;height:29.5pt;z-index:251659264;visibility:visible;mso-wrap-style:square;mso-width-percent:765;mso-height-percent:0;mso-wrap-distance-left:9pt;mso-wrap-distance-top:0;mso-wrap-distance-right:9pt;mso-wrap-distance-bottom:0;mso-position-horizontal:center;mso-position-horizontal-relative:page;mso-position-vertical:bottom;mso-position-vertical-relative:margin;mso-width-percent:765;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" filled="f" stroked="f" strokeweight=".5pt">
                    <v:textbox style="mso-fit-shape-to-text:t" inset="0,0,0,0">
                      <w:txbxContent>
                        <w:p w:rsidR="004B05DA" w:rsidRDefault="004B05DA">
                          <w:pPr>
                            <w:pStyle w:val="NoSpacing"/>
                            <w:jc w:val="right"/>
                            <w:rPr>
                              <w:color w:val="F07F09" w:themeColor="accent1"/>
                              <w:sz w:val="36"/>
                              <w:szCs w:val="36"/>
                            </w:rPr>
                          </w:pPr>
                          <w:sdt>
                            <w:sdtPr>
                              <w:rPr>
                                <w:color w:val="F07F09"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Content>
                              <w:r>
                                <w:rPr>
                                  <w:color w:val="F07F09" w:themeColor="accent1"/>
                                  <w:sz w:val="36"/>
                                  <w:szCs w:val="36"/>
                                </w:rPr>
                                <w:t>University of Wales Trinity Saint David</w:t>
                              </w:r>
                            </w:sdtContent>
                          </w:sdt>
                        </w:p>
                        <w:sdt>
                          <w:sdtPr>
                            <w:rPr>
                              <w:color w:val="F07F09"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Content>
                            <w:p w:rsidR="004B05DA" w:rsidRDefault="004B05DA">
                              <w:pPr>
                                <w:pStyle w:val="NoSpacing"/>
                                <w:jc w:val="right"/>
                                <w:rPr>
                                  <w:color w:val="F07F09" w:themeColor="accent1"/>
                                  <w:sz w:val="36"/>
                                  <w:szCs w:val="36"/>
                                </w:rPr>
                              </w:pPr>
                              <w:r w:rsidRPr="00E90DB6">
                                <w:rPr>
                                  <w:color w:val="F07F09" w:themeColor="accent1"/>
                                  <w:sz w:val="36"/>
                                  <w:szCs w:val="36"/>
                                </w:rPr>
                                <w:t>BMMB7005</w:t>
                              </w:r>
                            </w:p>
                          </w:sdtContent>
                        </w:sdt>
                      </w:txbxContent>
                    </v:textbox>
                    <w10:wrap anchorx="page" anchory="margin"/>
                  </v:shape>
                </w:pict>
              </mc:Fallback>
            </mc:AlternateContent>
          </w:r>
        </w:p>
        <w:p w:rsidR="00B970A0" w:rsidRPr="00254FBD" w:rsidRDefault="00B970A0" w:rsidP="00254FBD">
          <w:pPr>
            <w:spacing w:after="160" w:line="360" w:lineRule="auto"/>
            <w:rPr>
              <w:rFonts w:asciiTheme="minorHAnsi" w:eastAsiaTheme="minorEastAsia" w:hAnsiTheme="minorHAnsi" w:cstheme="minorHAnsi"/>
              <w:sz w:val="24"/>
              <w:szCs w:val="24"/>
              <w:lang w:val="en-US" w:eastAsia="en-US"/>
            </w:rPr>
          </w:pPr>
          <w:r w:rsidRPr="00254FBD">
            <w:rPr>
              <w:rFonts w:asciiTheme="minorHAnsi" w:eastAsiaTheme="minorEastAsia" w:hAnsiTheme="minorHAnsi" w:cstheme="minorHAnsi"/>
              <w:sz w:val="24"/>
              <w:szCs w:val="24"/>
              <w:lang w:val="en-US" w:eastAsia="en-US"/>
            </w:rPr>
            <w:br w:type="page"/>
          </w:r>
        </w:p>
      </w:sdtContent>
    </w:sdt>
    <w:sdt>
      <w:sdtPr>
        <w:rPr>
          <w:rFonts w:asciiTheme="minorHAnsi" w:eastAsia="Times New Roman" w:hAnsiTheme="minorHAnsi" w:cstheme="minorHAnsi"/>
          <w:color w:val="auto"/>
          <w:sz w:val="24"/>
          <w:szCs w:val="24"/>
          <w:lang w:val="en-GB" w:eastAsia="en-GB"/>
        </w:rPr>
        <w:id w:val="1498697124"/>
        <w:docPartObj>
          <w:docPartGallery w:val="Table of Contents"/>
          <w:docPartUnique/>
        </w:docPartObj>
      </w:sdtPr>
      <w:sdtEndPr>
        <w:rPr>
          <w:b/>
          <w:bCs/>
          <w:noProof/>
        </w:rPr>
      </w:sdtEndPr>
      <w:sdtContent>
        <w:p w:rsidR="00E71456" w:rsidRPr="00254FBD" w:rsidRDefault="00E71456" w:rsidP="00254FBD">
          <w:pPr>
            <w:pStyle w:val="TOCHeading"/>
            <w:spacing w:line="360" w:lineRule="auto"/>
            <w:rPr>
              <w:rFonts w:asciiTheme="minorHAnsi" w:hAnsiTheme="minorHAnsi" w:cstheme="minorHAnsi"/>
              <w:b/>
              <w:color w:val="auto"/>
              <w:sz w:val="24"/>
              <w:szCs w:val="24"/>
            </w:rPr>
          </w:pPr>
          <w:r w:rsidRPr="00254FBD">
            <w:rPr>
              <w:rFonts w:asciiTheme="minorHAnsi" w:hAnsiTheme="minorHAnsi" w:cstheme="minorHAnsi"/>
              <w:b/>
              <w:color w:val="auto"/>
              <w:sz w:val="24"/>
              <w:szCs w:val="24"/>
            </w:rPr>
            <w:t>Contents</w:t>
          </w:r>
        </w:p>
        <w:p w:rsidR="009A7089" w:rsidRPr="009A7089" w:rsidRDefault="00E71456">
          <w:pPr>
            <w:pStyle w:val="TOC1"/>
            <w:tabs>
              <w:tab w:val="right" w:leader="dot" w:pos="9016"/>
            </w:tabs>
            <w:rPr>
              <w:rFonts w:asciiTheme="minorHAnsi" w:eastAsiaTheme="minorEastAsia" w:hAnsiTheme="minorHAnsi" w:cstheme="minorHAnsi"/>
              <w:noProof/>
              <w:sz w:val="24"/>
              <w:szCs w:val="24"/>
            </w:rPr>
          </w:pPr>
          <w:r w:rsidRPr="00B03261">
            <w:rPr>
              <w:rFonts w:asciiTheme="minorHAnsi" w:hAnsiTheme="minorHAnsi" w:cstheme="minorHAnsi"/>
              <w:sz w:val="24"/>
              <w:szCs w:val="24"/>
            </w:rPr>
            <w:fldChar w:fldCharType="begin"/>
          </w:r>
          <w:r w:rsidRPr="00B03261">
            <w:rPr>
              <w:rFonts w:asciiTheme="minorHAnsi" w:hAnsiTheme="minorHAnsi" w:cstheme="minorHAnsi"/>
              <w:sz w:val="24"/>
              <w:szCs w:val="24"/>
            </w:rPr>
            <w:instrText xml:space="preserve"> TOC \o "1-3" \h \z \u </w:instrText>
          </w:r>
          <w:r w:rsidRPr="00B03261">
            <w:rPr>
              <w:rFonts w:asciiTheme="minorHAnsi" w:hAnsiTheme="minorHAnsi" w:cstheme="minorHAnsi"/>
              <w:sz w:val="24"/>
              <w:szCs w:val="24"/>
            </w:rPr>
            <w:fldChar w:fldCharType="separate"/>
          </w:r>
          <w:hyperlink w:anchor="_Toc42082600" w:history="1">
            <w:r w:rsidR="009A7089" w:rsidRPr="009A7089">
              <w:rPr>
                <w:rStyle w:val="Hyperlink"/>
                <w:rFonts w:asciiTheme="minorHAnsi" w:hAnsiTheme="minorHAnsi" w:cstheme="minorHAnsi"/>
                <w:noProof/>
                <w:sz w:val="24"/>
                <w:szCs w:val="24"/>
              </w:rPr>
              <w:t>Terms of Reference</w:t>
            </w:r>
            <w:r w:rsidR="009A7089" w:rsidRPr="009A7089">
              <w:rPr>
                <w:rFonts w:asciiTheme="minorHAnsi" w:hAnsiTheme="minorHAnsi" w:cstheme="minorHAnsi"/>
                <w:noProof/>
                <w:webHidden/>
                <w:sz w:val="24"/>
                <w:szCs w:val="24"/>
              </w:rPr>
              <w:tab/>
            </w:r>
            <w:r w:rsidR="009A7089" w:rsidRPr="009A7089">
              <w:rPr>
                <w:rFonts w:asciiTheme="minorHAnsi" w:hAnsiTheme="minorHAnsi" w:cstheme="minorHAnsi"/>
                <w:noProof/>
                <w:webHidden/>
                <w:sz w:val="24"/>
                <w:szCs w:val="24"/>
              </w:rPr>
              <w:fldChar w:fldCharType="begin"/>
            </w:r>
            <w:r w:rsidR="009A7089" w:rsidRPr="009A7089">
              <w:rPr>
                <w:rFonts w:asciiTheme="minorHAnsi" w:hAnsiTheme="minorHAnsi" w:cstheme="minorHAnsi"/>
                <w:noProof/>
                <w:webHidden/>
                <w:sz w:val="24"/>
                <w:szCs w:val="24"/>
              </w:rPr>
              <w:instrText xml:space="preserve"> PAGEREF _Toc42082600 \h </w:instrText>
            </w:r>
            <w:r w:rsidR="009A7089" w:rsidRPr="009A7089">
              <w:rPr>
                <w:rFonts w:asciiTheme="minorHAnsi" w:hAnsiTheme="minorHAnsi" w:cstheme="minorHAnsi"/>
                <w:noProof/>
                <w:webHidden/>
                <w:sz w:val="24"/>
                <w:szCs w:val="24"/>
              </w:rPr>
            </w:r>
            <w:r w:rsidR="009A7089" w:rsidRPr="009A7089">
              <w:rPr>
                <w:rFonts w:asciiTheme="minorHAnsi" w:hAnsiTheme="minorHAnsi" w:cstheme="minorHAnsi"/>
                <w:noProof/>
                <w:webHidden/>
                <w:sz w:val="24"/>
                <w:szCs w:val="24"/>
              </w:rPr>
              <w:fldChar w:fldCharType="separate"/>
            </w:r>
            <w:r w:rsidR="009A7089" w:rsidRPr="009A7089">
              <w:rPr>
                <w:rFonts w:asciiTheme="minorHAnsi" w:hAnsiTheme="minorHAnsi" w:cstheme="minorHAnsi"/>
                <w:noProof/>
                <w:webHidden/>
                <w:sz w:val="24"/>
                <w:szCs w:val="24"/>
              </w:rPr>
              <w:t>2</w:t>
            </w:r>
            <w:r w:rsidR="009A7089" w:rsidRPr="009A7089">
              <w:rPr>
                <w:rFonts w:asciiTheme="minorHAnsi" w:hAnsiTheme="minorHAnsi" w:cstheme="minorHAnsi"/>
                <w:noProof/>
                <w:webHidden/>
                <w:sz w:val="24"/>
                <w:szCs w:val="24"/>
              </w:rPr>
              <w:fldChar w:fldCharType="end"/>
            </w:r>
          </w:hyperlink>
        </w:p>
        <w:p w:rsidR="009A7089" w:rsidRPr="009A7089" w:rsidRDefault="004B05DA">
          <w:pPr>
            <w:pStyle w:val="TOC1"/>
            <w:tabs>
              <w:tab w:val="right" w:leader="dot" w:pos="9016"/>
            </w:tabs>
            <w:rPr>
              <w:rFonts w:asciiTheme="minorHAnsi" w:eastAsiaTheme="minorEastAsia" w:hAnsiTheme="minorHAnsi" w:cstheme="minorHAnsi"/>
              <w:noProof/>
              <w:sz w:val="24"/>
              <w:szCs w:val="24"/>
            </w:rPr>
          </w:pPr>
          <w:hyperlink w:anchor="_Toc42082601" w:history="1">
            <w:r w:rsidR="009A7089" w:rsidRPr="009A7089">
              <w:rPr>
                <w:rStyle w:val="Hyperlink"/>
                <w:rFonts w:asciiTheme="minorHAnsi" w:hAnsiTheme="minorHAnsi" w:cstheme="minorHAnsi"/>
                <w:noProof/>
                <w:sz w:val="24"/>
                <w:szCs w:val="24"/>
              </w:rPr>
              <w:t>Executive Summary</w:t>
            </w:r>
            <w:r w:rsidR="009A7089" w:rsidRPr="009A7089">
              <w:rPr>
                <w:rFonts w:asciiTheme="minorHAnsi" w:hAnsiTheme="minorHAnsi" w:cstheme="minorHAnsi"/>
                <w:noProof/>
                <w:webHidden/>
                <w:sz w:val="24"/>
                <w:szCs w:val="24"/>
              </w:rPr>
              <w:tab/>
            </w:r>
            <w:r w:rsidR="009A7089" w:rsidRPr="009A7089">
              <w:rPr>
                <w:rFonts w:asciiTheme="minorHAnsi" w:hAnsiTheme="minorHAnsi" w:cstheme="minorHAnsi"/>
                <w:noProof/>
                <w:webHidden/>
                <w:sz w:val="24"/>
                <w:szCs w:val="24"/>
              </w:rPr>
              <w:fldChar w:fldCharType="begin"/>
            </w:r>
            <w:r w:rsidR="009A7089" w:rsidRPr="009A7089">
              <w:rPr>
                <w:rFonts w:asciiTheme="minorHAnsi" w:hAnsiTheme="minorHAnsi" w:cstheme="minorHAnsi"/>
                <w:noProof/>
                <w:webHidden/>
                <w:sz w:val="24"/>
                <w:szCs w:val="24"/>
              </w:rPr>
              <w:instrText xml:space="preserve"> PAGEREF _Toc42082601 \h </w:instrText>
            </w:r>
            <w:r w:rsidR="009A7089" w:rsidRPr="009A7089">
              <w:rPr>
                <w:rFonts w:asciiTheme="minorHAnsi" w:hAnsiTheme="minorHAnsi" w:cstheme="minorHAnsi"/>
                <w:noProof/>
                <w:webHidden/>
                <w:sz w:val="24"/>
                <w:szCs w:val="24"/>
              </w:rPr>
            </w:r>
            <w:r w:rsidR="009A7089" w:rsidRPr="009A7089">
              <w:rPr>
                <w:rFonts w:asciiTheme="minorHAnsi" w:hAnsiTheme="minorHAnsi" w:cstheme="minorHAnsi"/>
                <w:noProof/>
                <w:webHidden/>
                <w:sz w:val="24"/>
                <w:szCs w:val="24"/>
              </w:rPr>
              <w:fldChar w:fldCharType="separate"/>
            </w:r>
            <w:r w:rsidR="009A7089" w:rsidRPr="009A7089">
              <w:rPr>
                <w:rFonts w:asciiTheme="minorHAnsi" w:hAnsiTheme="minorHAnsi" w:cstheme="minorHAnsi"/>
                <w:noProof/>
                <w:webHidden/>
                <w:sz w:val="24"/>
                <w:szCs w:val="24"/>
              </w:rPr>
              <w:t>3</w:t>
            </w:r>
            <w:r w:rsidR="009A7089" w:rsidRPr="009A7089">
              <w:rPr>
                <w:rFonts w:asciiTheme="minorHAnsi" w:hAnsiTheme="minorHAnsi" w:cstheme="minorHAnsi"/>
                <w:noProof/>
                <w:webHidden/>
                <w:sz w:val="24"/>
                <w:szCs w:val="24"/>
              </w:rPr>
              <w:fldChar w:fldCharType="end"/>
            </w:r>
          </w:hyperlink>
        </w:p>
        <w:p w:rsidR="009A7089" w:rsidRPr="009A7089" w:rsidRDefault="004B05DA">
          <w:pPr>
            <w:pStyle w:val="TOC1"/>
            <w:tabs>
              <w:tab w:val="right" w:leader="dot" w:pos="9016"/>
            </w:tabs>
            <w:rPr>
              <w:rFonts w:asciiTheme="minorHAnsi" w:eastAsiaTheme="minorEastAsia" w:hAnsiTheme="minorHAnsi" w:cstheme="minorHAnsi"/>
              <w:noProof/>
              <w:sz w:val="24"/>
              <w:szCs w:val="24"/>
            </w:rPr>
          </w:pPr>
          <w:hyperlink w:anchor="_Toc42082602" w:history="1">
            <w:r w:rsidR="009A7089" w:rsidRPr="009A7089">
              <w:rPr>
                <w:rStyle w:val="Hyperlink"/>
                <w:rFonts w:asciiTheme="minorHAnsi" w:hAnsiTheme="minorHAnsi" w:cstheme="minorHAnsi"/>
                <w:noProof/>
                <w:sz w:val="24"/>
                <w:szCs w:val="24"/>
              </w:rPr>
              <w:t>Introduction</w:t>
            </w:r>
            <w:r w:rsidR="009A7089" w:rsidRPr="009A7089">
              <w:rPr>
                <w:rFonts w:asciiTheme="minorHAnsi" w:hAnsiTheme="minorHAnsi" w:cstheme="minorHAnsi"/>
                <w:noProof/>
                <w:webHidden/>
                <w:sz w:val="24"/>
                <w:szCs w:val="24"/>
              </w:rPr>
              <w:tab/>
            </w:r>
            <w:r w:rsidR="009A7089" w:rsidRPr="009A7089">
              <w:rPr>
                <w:rFonts w:asciiTheme="minorHAnsi" w:hAnsiTheme="minorHAnsi" w:cstheme="minorHAnsi"/>
                <w:noProof/>
                <w:webHidden/>
                <w:sz w:val="24"/>
                <w:szCs w:val="24"/>
              </w:rPr>
              <w:fldChar w:fldCharType="begin"/>
            </w:r>
            <w:r w:rsidR="009A7089" w:rsidRPr="009A7089">
              <w:rPr>
                <w:rFonts w:asciiTheme="minorHAnsi" w:hAnsiTheme="minorHAnsi" w:cstheme="minorHAnsi"/>
                <w:noProof/>
                <w:webHidden/>
                <w:sz w:val="24"/>
                <w:szCs w:val="24"/>
              </w:rPr>
              <w:instrText xml:space="preserve"> PAGEREF _Toc42082602 \h </w:instrText>
            </w:r>
            <w:r w:rsidR="009A7089" w:rsidRPr="009A7089">
              <w:rPr>
                <w:rFonts w:asciiTheme="minorHAnsi" w:hAnsiTheme="minorHAnsi" w:cstheme="minorHAnsi"/>
                <w:noProof/>
                <w:webHidden/>
                <w:sz w:val="24"/>
                <w:szCs w:val="24"/>
              </w:rPr>
            </w:r>
            <w:r w:rsidR="009A7089" w:rsidRPr="009A7089">
              <w:rPr>
                <w:rFonts w:asciiTheme="minorHAnsi" w:hAnsiTheme="minorHAnsi" w:cstheme="minorHAnsi"/>
                <w:noProof/>
                <w:webHidden/>
                <w:sz w:val="24"/>
                <w:szCs w:val="24"/>
              </w:rPr>
              <w:fldChar w:fldCharType="separate"/>
            </w:r>
            <w:r w:rsidR="009A7089" w:rsidRPr="009A7089">
              <w:rPr>
                <w:rFonts w:asciiTheme="minorHAnsi" w:hAnsiTheme="minorHAnsi" w:cstheme="minorHAnsi"/>
                <w:noProof/>
                <w:webHidden/>
                <w:sz w:val="24"/>
                <w:szCs w:val="24"/>
              </w:rPr>
              <w:t>4</w:t>
            </w:r>
            <w:r w:rsidR="009A7089" w:rsidRPr="009A7089">
              <w:rPr>
                <w:rFonts w:asciiTheme="minorHAnsi" w:hAnsiTheme="minorHAnsi" w:cstheme="minorHAnsi"/>
                <w:noProof/>
                <w:webHidden/>
                <w:sz w:val="24"/>
                <w:szCs w:val="24"/>
              </w:rPr>
              <w:fldChar w:fldCharType="end"/>
            </w:r>
          </w:hyperlink>
        </w:p>
        <w:p w:rsidR="009A7089" w:rsidRPr="009A7089" w:rsidRDefault="004B05DA">
          <w:pPr>
            <w:pStyle w:val="TOC1"/>
            <w:tabs>
              <w:tab w:val="right" w:leader="dot" w:pos="9016"/>
            </w:tabs>
            <w:rPr>
              <w:rFonts w:asciiTheme="minorHAnsi" w:eastAsiaTheme="minorEastAsia" w:hAnsiTheme="minorHAnsi" w:cstheme="minorHAnsi"/>
              <w:noProof/>
              <w:sz w:val="24"/>
              <w:szCs w:val="24"/>
            </w:rPr>
          </w:pPr>
          <w:hyperlink w:anchor="_Toc42082603" w:history="1">
            <w:r w:rsidR="009A7089" w:rsidRPr="009A7089">
              <w:rPr>
                <w:rStyle w:val="Hyperlink"/>
                <w:rFonts w:asciiTheme="minorHAnsi" w:hAnsiTheme="minorHAnsi" w:cstheme="minorHAnsi"/>
                <w:noProof/>
                <w:sz w:val="24"/>
                <w:szCs w:val="24"/>
              </w:rPr>
              <w:t>Analysis</w:t>
            </w:r>
            <w:r w:rsidR="009A7089" w:rsidRPr="009A7089">
              <w:rPr>
                <w:rFonts w:asciiTheme="minorHAnsi" w:hAnsiTheme="minorHAnsi" w:cstheme="minorHAnsi"/>
                <w:noProof/>
                <w:webHidden/>
                <w:sz w:val="24"/>
                <w:szCs w:val="24"/>
              </w:rPr>
              <w:tab/>
            </w:r>
            <w:r w:rsidR="009A7089" w:rsidRPr="009A7089">
              <w:rPr>
                <w:rFonts w:asciiTheme="minorHAnsi" w:hAnsiTheme="minorHAnsi" w:cstheme="minorHAnsi"/>
                <w:noProof/>
                <w:webHidden/>
                <w:sz w:val="24"/>
                <w:szCs w:val="24"/>
              </w:rPr>
              <w:fldChar w:fldCharType="begin"/>
            </w:r>
            <w:r w:rsidR="009A7089" w:rsidRPr="009A7089">
              <w:rPr>
                <w:rFonts w:asciiTheme="minorHAnsi" w:hAnsiTheme="minorHAnsi" w:cstheme="minorHAnsi"/>
                <w:noProof/>
                <w:webHidden/>
                <w:sz w:val="24"/>
                <w:szCs w:val="24"/>
              </w:rPr>
              <w:instrText xml:space="preserve"> PAGEREF _Toc42082603 \h </w:instrText>
            </w:r>
            <w:r w:rsidR="009A7089" w:rsidRPr="009A7089">
              <w:rPr>
                <w:rFonts w:asciiTheme="minorHAnsi" w:hAnsiTheme="minorHAnsi" w:cstheme="minorHAnsi"/>
                <w:noProof/>
                <w:webHidden/>
                <w:sz w:val="24"/>
                <w:szCs w:val="24"/>
              </w:rPr>
            </w:r>
            <w:r w:rsidR="009A7089" w:rsidRPr="009A7089">
              <w:rPr>
                <w:rFonts w:asciiTheme="minorHAnsi" w:hAnsiTheme="minorHAnsi" w:cstheme="minorHAnsi"/>
                <w:noProof/>
                <w:webHidden/>
                <w:sz w:val="24"/>
                <w:szCs w:val="24"/>
              </w:rPr>
              <w:fldChar w:fldCharType="separate"/>
            </w:r>
            <w:r w:rsidR="009A7089" w:rsidRPr="009A7089">
              <w:rPr>
                <w:rFonts w:asciiTheme="minorHAnsi" w:hAnsiTheme="minorHAnsi" w:cstheme="minorHAnsi"/>
                <w:noProof/>
                <w:webHidden/>
                <w:sz w:val="24"/>
                <w:szCs w:val="24"/>
              </w:rPr>
              <w:t>4</w:t>
            </w:r>
            <w:r w:rsidR="009A7089" w:rsidRPr="009A7089">
              <w:rPr>
                <w:rFonts w:asciiTheme="minorHAnsi" w:hAnsiTheme="minorHAnsi" w:cstheme="minorHAnsi"/>
                <w:noProof/>
                <w:webHidden/>
                <w:sz w:val="24"/>
                <w:szCs w:val="24"/>
              </w:rPr>
              <w:fldChar w:fldCharType="end"/>
            </w:r>
          </w:hyperlink>
        </w:p>
        <w:p w:rsidR="009A7089" w:rsidRPr="009A7089" w:rsidRDefault="004B05DA">
          <w:pPr>
            <w:pStyle w:val="TOC2"/>
            <w:tabs>
              <w:tab w:val="right" w:leader="dot" w:pos="9016"/>
            </w:tabs>
            <w:rPr>
              <w:rFonts w:asciiTheme="minorHAnsi" w:eastAsiaTheme="minorEastAsia" w:hAnsiTheme="minorHAnsi" w:cstheme="minorHAnsi"/>
              <w:noProof/>
              <w:sz w:val="24"/>
              <w:szCs w:val="24"/>
            </w:rPr>
          </w:pPr>
          <w:hyperlink w:anchor="_Toc42082604" w:history="1">
            <w:r w:rsidR="009A7089" w:rsidRPr="009A7089">
              <w:rPr>
                <w:rStyle w:val="Hyperlink"/>
                <w:rFonts w:asciiTheme="minorHAnsi" w:hAnsiTheme="minorHAnsi" w:cstheme="minorHAnsi"/>
                <w:noProof/>
                <w:sz w:val="24"/>
                <w:szCs w:val="24"/>
              </w:rPr>
              <w:t>Profitability</w:t>
            </w:r>
            <w:r w:rsidR="009A7089" w:rsidRPr="009A7089">
              <w:rPr>
                <w:rFonts w:asciiTheme="minorHAnsi" w:hAnsiTheme="minorHAnsi" w:cstheme="minorHAnsi"/>
                <w:noProof/>
                <w:webHidden/>
                <w:sz w:val="24"/>
                <w:szCs w:val="24"/>
              </w:rPr>
              <w:tab/>
            </w:r>
            <w:r w:rsidR="009A7089" w:rsidRPr="009A7089">
              <w:rPr>
                <w:rFonts w:asciiTheme="minorHAnsi" w:hAnsiTheme="minorHAnsi" w:cstheme="minorHAnsi"/>
                <w:noProof/>
                <w:webHidden/>
                <w:sz w:val="24"/>
                <w:szCs w:val="24"/>
              </w:rPr>
              <w:fldChar w:fldCharType="begin"/>
            </w:r>
            <w:r w:rsidR="009A7089" w:rsidRPr="009A7089">
              <w:rPr>
                <w:rFonts w:asciiTheme="minorHAnsi" w:hAnsiTheme="minorHAnsi" w:cstheme="minorHAnsi"/>
                <w:noProof/>
                <w:webHidden/>
                <w:sz w:val="24"/>
                <w:szCs w:val="24"/>
              </w:rPr>
              <w:instrText xml:space="preserve"> PAGEREF _Toc42082604 \h </w:instrText>
            </w:r>
            <w:r w:rsidR="009A7089" w:rsidRPr="009A7089">
              <w:rPr>
                <w:rFonts w:asciiTheme="minorHAnsi" w:hAnsiTheme="minorHAnsi" w:cstheme="minorHAnsi"/>
                <w:noProof/>
                <w:webHidden/>
                <w:sz w:val="24"/>
                <w:szCs w:val="24"/>
              </w:rPr>
            </w:r>
            <w:r w:rsidR="009A7089" w:rsidRPr="009A7089">
              <w:rPr>
                <w:rFonts w:asciiTheme="minorHAnsi" w:hAnsiTheme="minorHAnsi" w:cstheme="minorHAnsi"/>
                <w:noProof/>
                <w:webHidden/>
                <w:sz w:val="24"/>
                <w:szCs w:val="24"/>
              </w:rPr>
              <w:fldChar w:fldCharType="separate"/>
            </w:r>
            <w:r w:rsidR="009A7089" w:rsidRPr="009A7089">
              <w:rPr>
                <w:rFonts w:asciiTheme="minorHAnsi" w:hAnsiTheme="minorHAnsi" w:cstheme="minorHAnsi"/>
                <w:noProof/>
                <w:webHidden/>
                <w:sz w:val="24"/>
                <w:szCs w:val="24"/>
              </w:rPr>
              <w:t>4</w:t>
            </w:r>
            <w:r w:rsidR="009A7089" w:rsidRPr="009A7089">
              <w:rPr>
                <w:rFonts w:asciiTheme="minorHAnsi" w:hAnsiTheme="minorHAnsi" w:cstheme="minorHAnsi"/>
                <w:noProof/>
                <w:webHidden/>
                <w:sz w:val="24"/>
                <w:szCs w:val="24"/>
              </w:rPr>
              <w:fldChar w:fldCharType="end"/>
            </w:r>
          </w:hyperlink>
        </w:p>
        <w:p w:rsidR="009A7089" w:rsidRPr="009A7089" w:rsidRDefault="004B05DA">
          <w:pPr>
            <w:pStyle w:val="TOC2"/>
            <w:tabs>
              <w:tab w:val="right" w:leader="dot" w:pos="9016"/>
            </w:tabs>
            <w:rPr>
              <w:rFonts w:asciiTheme="minorHAnsi" w:eastAsiaTheme="minorEastAsia" w:hAnsiTheme="minorHAnsi" w:cstheme="minorHAnsi"/>
              <w:noProof/>
              <w:sz w:val="24"/>
              <w:szCs w:val="24"/>
            </w:rPr>
          </w:pPr>
          <w:hyperlink w:anchor="_Toc42082605" w:history="1">
            <w:r w:rsidR="009A7089" w:rsidRPr="009A7089">
              <w:rPr>
                <w:rStyle w:val="Hyperlink"/>
                <w:rFonts w:asciiTheme="minorHAnsi" w:hAnsiTheme="minorHAnsi" w:cstheme="minorHAnsi"/>
                <w:noProof/>
                <w:sz w:val="24"/>
                <w:szCs w:val="24"/>
              </w:rPr>
              <w:t>Liquidity</w:t>
            </w:r>
            <w:r w:rsidR="009A7089" w:rsidRPr="009A7089">
              <w:rPr>
                <w:rFonts w:asciiTheme="minorHAnsi" w:hAnsiTheme="minorHAnsi" w:cstheme="minorHAnsi"/>
                <w:noProof/>
                <w:webHidden/>
                <w:sz w:val="24"/>
                <w:szCs w:val="24"/>
              </w:rPr>
              <w:tab/>
            </w:r>
            <w:r w:rsidR="009A7089" w:rsidRPr="009A7089">
              <w:rPr>
                <w:rFonts w:asciiTheme="minorHAnsi" w:hAnsiTheme="minorHAnsi" w:cstheme="minorHAnsi"/>
                <w:noProof/>
                <w:webHidden/>
                <w:sz w:val="24"/>
                <w:szCs w:val="24"/>
              </w:rPr>
              <w:fldChar w:fldCharType="begin"/>
            </w:r>
            <w:r w:rsidR="009A7089" w:rsidRPr="009A7089">
              <w:rPr>
                <w:rFonts w:asciiTheme="minorHAnsi" w:hAnsiTheme="minorHAnsi" w:cstheme="minorHAnsi"/>
                <w:noProof/>
                <w:webHidden/>
                <w:sz w:val="24"/>
                <w:szCs w:val="24"/>
              </w:rPr>
              <w:instrText xml:space="preserve"> PAGEREF _Toc42082605 \h </w:instrText>
            </w:r>
            <w:r w:rsidR="009A7089" w:rsidRPr="009A7089">
              <w:rPr>
                <w:rFonts w:asciiTheme="minorHAnsi" w:hAnsiTheme="minorHAnsi" w:cstheme="minorHAnsi"/>
                <w:noProof/>
                <w:webHidden/>
                <w:sz w:val="24"/>
                <w:szCs w:val="24"/>
              </w:rPr>
            </w:r>
            <w:r w:rsidR="009A7089" w:rsidRPr="009A7089">
              <w:rPr>
                <w:rFonts w:asciiTheme="minorHAnsi" w:hAnsiTheme="minorHAnsi" w:cstheme="minorHAnsi"/>
                <w:noProof/>
                <w:webHidden/>
                <w:sz w:val="24"/>
                <w:szCs w:val="24"/>
              </w:rPr>
              <w:fldChar w:fldCharType="separate"/>
            </w:r>
            <w:r w:rsidR="009A7089" w:rsidRPr="009A7089">
              <w:rPr>
                <w:rFonts w:asciiTheme="minorHAnsi" w:hAnsiTheme="minorHAnsi" w:cstheme="minorHAnsi"/>
                <w:noProof/>
                <w:webHidden/>
                <w:sz w:val="24"/>
                <w:szCs w:val="24"/>
              </w:rPr>
              <w:t>5</w:t>
            </w:r>
            <w:r w:rsidR="009A7089" w:rsidRPr="009A7089">
              <w:rPr>
                <w:rFonts w:asciiTheme="minorHAnsi" w:hAnsiTheme="minorHAnsi" w:cstheme="minorHAnsi"/>
                <w:noProof/>
                <w:webHidden/>
                <w:sz w:val="24"/>
                <w:szCs w:val="24"/>
              </w:rPr>
              <w:fldChar w:fldCharType="end"/>
            </w:r>
          </w:hyperlink>
        </w:p>
        <w:p w:rsidR="009A7089" w:rsidRPr="009A7089" w:rsidRDefault="004B05DA">
          <w:pPr>
            <w:pStyle w:val="TOC2"/>
            <w:tabs>
              <w:tab w:val="right" w:leader="dot" w:pos="9016"/>
            </w:tabs>
            <w:rPr>
              <w:rFonts w:asciiTheme="minorHAnsi" w:eastAsiaTheme="minorEastAsia" w:hAnsiTheme="minorHAnsi" w:cstheme="minorHAnsi"/>
              <w:noProof/>
              <w:sz w:val="24"/>
              <w:szCs w:val="24"/>
            </w:rPr>
          </w:pPr>
          <w:hyperlink w:anchor="_Toc42082606" w:history="1">
            <w:r w:rsidR="009A7089" w:rsidRPr="009A7089">
              <w:rPr>
                <w:rStyle w:val="Hyperlink"/>
                <w:rFonts w:asciiTheme="minorHAnsi" w:hAnsiTheme="minorHAnsi" w:cstheme="minorHAnsi"/>
                <w:noProof/>
                <w:sz w:val="24"/>
                <w:szCs w:val="24"/>
              </w:rPr>
              <w:t>Gearing</w:t>
            </w:r>
            <w:r w:rsidR="009A7089" w:rsidRPr="009A7089">
              <w:rPr>
                <w:rFonts w:asciiTheme="minorHAnsi" w:hAnsiTheme="minorHAnsi" w:cstheme="minorHAnsi"/>
                <w:noProof/>
                <w:webHidden/>
                <w:sz w:val="24"/>
                <w:szCs w:val="24"/>
              </w:rPr>
              <w:tab/>
            </w:r>
            <w:r w:rsidR="009A7089" w:rsidRPr="009A7089">
              <w:rPr>
                <w:rFonts w:asciiTheme="minorHAnsi" w:hAnsiTheme="minorHAnsi" w:cstheme="minorHAnsi"/>
                <w:noProof/>
                <w:webHidden/>
                <w:sz w:val="24"/>
                <w:szCs w:val="24"/>
              </w:rPr>
              <w:fldChar w:fldCharType="begin"/>
            </w:r>
            <w:r w:rsidR="009A7089" w:rsidRPr="009A7089">
              <w:rPr>
                <w:rFonts w:asciiTheme="minorHAnsi" w:hAnsiTheme="minorHAnsi" w:cstheme="minorHAnsi"/>
                <w:noProof/>
                <w:webHidden/>
                <w:sz w:val="24"/>
                <w:szCs w:val="24"/>
              </w:rPr>
              <w:instrText xml:space="preserve"> PAGEREF _Toc42082606 \h </w:instrText>
            </w:r>
            <w:r w:rsidR="009A7089" w:rsidRPr="009A7089">
              <w:rPr>
                <w:rFonts w:asciiTheme="minorHAnsi" w:hAnsiTheme="minorHAnsi" w:cstheme="minorHAnsi"/>
                <w:noProof/>
                <w:webHidden/>
                <w:sz w:val="24"/>
                <w:szCs w:val="24"/>
              </w:rPr>
            </w:r>
            <w:r w:rsidR="009A7089" w:rsidRPr="009A7089">
              <w:rPr>
                <w:rFonts w:asciiTheme="minorHAnsi" w:hAnsiTheme="minorHAnsi" w:cstheme="minorHAnsi"/>
                <w:noProof/>
                <w:webHidden/>
                <w:sz w:val="24"/>
                <w:szCs w:val="24"/>
              </w:rPr>
              <w:fldChar w:fldCharType="separate"/>
            </w:r>
            <w:r w:rsidR="009A7089" w:rsidRPr="009A7089">
              <w:rPr>
                <w:rFonts w:asciiTheme="minorHAnsi" w:hAnsiTheme="minorHAnsi" w:cstheme="minorHAnsi"/>
                <w:noProof/>
                <w:webHidden/>
                <w:sz w:val="24"/>
                <w:szCs w:val="24"/>
              </w:rPr>
              <w:t>6</w:t>
            </w:r>
            <w:r w:rsidR="009A7089" w:rsidRPr="009A7089">
              <w:rPr>
                <w:rFonts w:asciiTheme="minorHAnsi" w:hAnsiTheme="minorHAnsi" w:cstheme="minorHAnsi"/>
                <w:noProof/>
                <w:webHidden/>
                <w:sz w:val="24"/>
                <w:szCs w:val="24"/>
              </w:rPr>
              <w:fldChar w:fldCharType="end"/>
            </w:r>
          </w:hyperlink>
        </w:p>
        <w:p w:rsidR="009A7089" w:rsidRPr="009A7089" w:rsidRDefault="004B05DA">
          <w:pPr>
            <w:pStyle w:val="TOC2"/>
            <w:tabs>
              <w:tab w:val="right" w:leader="dot" w:pos="9016"/>
            </w:tabs>
            <w:rPr>
              <w:rFonts w:asciiTheme="minorHAnsi" w:eastAsiaTheme="minorEastAsia" w:hAnsiTheme="minorHAnsi" w:cstheme="minorHAnsi"/>
              <w:noProof/>
              <w:sz w:val="24"/>
              <w:szCs w:val="24"/>
            </w:rPr>
          </w:pPr>
          <w:hyperlink w:anchor="_Toc42082607" w:history="1">
            <w:r w:rsidR="009A7089" w:rsidRPr="009A7089">
              <w:rPr>
                <w:rStyle w:val="Hyperlink"/>
                <w:rFonts w:asciiTheme="minorHAnsi" w:hAnsiTheme="minorHAnsi" w:cstheme="minorHAnsi"/>
                <w:noProof/>
                <w:sz w:val="24"/>
                <w:szCs w:val="24"/>
              </w:rPr>
              <w:t>Efficiency</w:t>
            </w:r>
            <w:r w:rsidR="009A7089" w:rsidRPr="009A7089">
              <w:rPr>
                <w:rFonts w:asciiTheme="minorHAnsi" w:hAnsiTheme="minorHAnsi" w:cstheme="minorHAnsi"/>
                <w:noProof/>
                <w:webHidden/>
                <w:sz w:val="24"/>
                <w:szCs w:val="24"/>
              </w:rPr>
              <w:tab/>
            </w:r>
            <w:r w:rsidR="009A7089" w:rsidRPr="009A7089">
              <w:rPr>
                <w:rFonts w:asciiTheme="minorHAnsi" w:hAnsiTheme="minorHAnsi" w:cstheme="minorHAnsi"/>
                <w:noProof/>
                <w:webHidden/>
                <w:sz w:val="24"/>
                <w:szCs w:val="24"/>
              </w:rPr>
              <w:fldChar w:fldCharType="begin"/>
            </w:r>
            <w:r w:rsidR="009A7089" w:rsidRPr="009A7089">
              <w:rPr>
                <w:rFonts w:asciiTheme="minorHAnsi" w:hAnsiTheme="minorHAnsi" w:cstheme="minorHAnsi"/>
                <w:noProof/>
                <w:webHidden/>
                <w:sz w:val="24"/>
                <w:szCs w:val="24"/>
              </w:rPr>
              <w:instrText xml:space="preserve"> PAGEREF _Toc42082607 \h </w:instrText>
            </w:r>
            <w:r w:rsidR="009A7089" w:rsidRPr="009A7089">
              <w:rPr>
                <w:rFonts w:asciiTheme="minorHAnsi" w:hAnsiTheme="minorHAnsi" w:cstheme="minorHAnsi"/>
                <w:noProof/>
                <w:webHidden/>
                <w:sz w:val="24"/>
                <w:szCs w:val="24"/>
              </w:rPr>
            </w:r>
            <w:r w:rsidR="009A7089" w:rsidRPr="009A7089">
              <w:rPr>
                <w:rFonts w:asciiTheme="minorHAnsi" w:hAnsiTheme="minorHAnsi" w:cstheme="minorHAnsi"/>
                <w:noProof/>
                <w:webHidden/>
                <w:sz w:val="24"/>
                <w:szCs w:val="24"/>
              </w:rPr>
              <w:fldChar w:fldCharType="separate"/>
            </w:r>
            <w:r w:rsidR="009A7089" w:rsidRPr="009A7089">
              <w:rPr>
                <w:rFonts w:asciiTheme="minorHAnsi" w:hAnsiTheme="minorHAnsi" w:cstheme="minorHAnsi"/>
                <w:noProof/>
                <w:webHidden/>
                <w:sz w:val="24"/>
                <w:szCs w:val="24"/>
              </w:rPr>
              <w:t>6</w:t>
            </w:r>
            <w:r w:rsidR="009A7089" w:rsidRPr="009A7089">
              <w:rPr>
                <w:rFonts w:asciiTheme="minorHAnsi" w:hAnsiTheme="minorHAnsi" w:cstheme="minorHAnsi"/>
                <w:noProof/>
                <w:webHidden/>
                <w:sz w:val="24"/>
                <w:szCs w:val="24"/>
              </w:rPr>
              <w:fldChar w:fldCharType="end"/>
            </w:r>
          </w:hyperlink>
        </w:p>
        <w:p w:rsidR="009A7089" w:rsidRPr="009A7089" w:rsidRDefault="004B05DA">
          <w:pPr>
            <w:pStyle w:val="TOC2"/>
            <w:tabs>
              <w:tab w:val="right" w:leader="dot" w:pos="9016"/>
            </w:tabs>
            <w:rPr>
              <w:rFonts w:asciiTheme="minorHAnsi" w:eastAsiaTheme="minorEastAsia" w:hAnsiTheme="minorHAnsi" w:cstheme="minorHAnsi"/>
              <w:noProof/>
              <w:sz w:val="24"/>
              <w:szCs w:val="24"/>
            </w:rPr>
          </w:pPr>
          <w:hyperlink w:anchor="_Toc42082608" w:history="1">
            <w:r w:rsidR="009A7089" w:rsidRPr="009A7089">
              <w:rPr>
                <w:rStyle w:val="Hyperlink"/>
                <w:rFonts w:asciiTheme="minorHAnsi" w:hAnsiTheme="minorHAnsi" w:cstheme="minorHAnsi"/>
                <w:noProof/>
                <w:sz w:val="24"/>
                <w:szCs w:val="24"/>
              </w:rPr>
              <w:t>Investor Ratios</w:t>
            </w:r>
            <w:r w:rsidR="009A7089" w:rsidRPr="009A7089">
              <w:rPr>
                <w:rFonts w:asciiTheme="minorHAnsi" w:hAnsiTheme="minorHAnsi" w:cstheme="minorHAnsi"/>
                <w:noProof/>
                <w:webHidden/>
                <w:sz w:val="24"/>
                <w:szCs w:val="24"/>
              </w:rPr>
              <w:tab/>
            </w:r>
            <w:r w:rsidR="009A7089" w:rsidRPr="009A7089">
              <w:rPr>
                <w:rFonts w:asciiTheme="minorHAnsi" w:hAnsiTheme="minorHAnsi" w:cstheme="minorHAnsi"/>
                <w:noProof/>
                <w:webHidden/>
                <w:sz w:val="24"/>
                <w:szCs w:val="24"/>
              </w:rPr>
              <w:fldChar w:fldCharType="begin"/>
            </w:r>
            <w:r w:rsidR="009A7089" w:rsidRPr="009A7089">
              <w:rPr>
                <w:rFonts w:asciiTheme="minorHAnsi" w:hAnsiTheme="minorHAnsi" w:cstheme="minorHAnsi"/>
                <w:noProof/>
                <w:webHidden/>
                <w:sz w:val="24"/>
                <w:szCs w:val="24"/>
              </w:rPr>
              <w:instrText xml:space="preserve"> PAGEREF _Toc42082608 \h </w:instrText>
            </w:r>
            <w:r w:rsidR="009A7089" w:rsidRPr="009A7089">
              <w:rPr>
                <w:rFonts w:asciiTheme="minorHAnsi" w:hAnsiTheme="minorHAnsi" w:cstheme="minorHAnsi"/>
                <w:noProof/>
                <w:webHidden/>
                <w:sz w:val="24"/>
                <w:szCs w:val="24"/>
              </w:rPr>
            </w:r>
            <w:r w:rsidR="009A7089" w:rsidRPr="009A7089">
              <w:rPr>
                <w:rFonts w:asciiTheme="minorHAnsi" w:hAnsiTheme="minorHAnsi" w:cstheme="minorHAnsi"/>
                <w:noProof/>
                <w:webHidden/>
                <w:sz w:val="24"/>
                <w:szCs w:val="24"/>
              </w:rPr>
              <w:fldChar w:fldCharType="separate"/>
            </w:r>
            <w:r w:rsidR="009A7089" w:rsidRPr="009A7089">
              <w:rPr>
                <w:rFonts w:asciiTheme="minorHAnsi" w:hAnsiTheme="minorHAnsi" w:cstheme="minorHAnsi"/>
                <w:noProof/>
                <w:webHidden/>
                <w:sz w:val="24"/>
                <w:szCs w:val="24"/>
              </w:rPr>
              <w:t>7</w:t>
            </w:r>
            <w:r w:rsidR="009A7089" w:rsidRPr="009A7089">
              <w:rPr>
                <w:rFonts w:asciiTheme="minorHAnsi" w:hAnsiTheme="minorHAnsi" w:cstheme="minorHAnsi"/>
                <w:noProof/>
                <w:webHidden/>
                <w:sz w:val="24"/>
                <w:szCs w:val="24"/>
              </w:rPr>
              <w:fldChar w:fldCharType="end"/>
            </w:r>
          </w:hyperlink>
        </w:p>
        <w:p w:rsidR="009A7089" w:rsidRPr="009A7089" w:rsidRDefault="004B05DA">
          <w:pPr>
            <w:pStyle w:val="TOC1"/>
            <w:tabs>
              <w:tab w:val="right" w:leader="dot" w:pos="9016"/>
            </w:tabs>
            <w:rPr>
              <w:rFonts w:asciiTheme="minorHAnsi" w:eastAsiaTheme="minorEastAsia" w:hAnsiTheme="minorHAnsi" w:cstheme="minorHAnsi"/>
              <w:noProof/>
              <w:sz w:val="24"/>
              <w:szCs w:val="24"/>
            </w:rPr>
          </w:pPr>
          <w:hyperlink w:anchor="_Toc42082609" w:history="1">
            <w:r w:rsidR="009A7089" w:rsidRPr="009A7089">
              <w:rPr>
                <w:rStyle w:val="Hyperlink"/>
                <w:rFonts w:asciiTheme="minorHAnsi" w:hAnsiTheme="minorHAnsi" w:cstheme="minorHAnsi"/>
                <w:noProof/>
                <w:sz w:val="24"/>
                <w:szCs w:val="24"/>
              </w:rPr>
              <w:t>Ratio Analysis</w:t>
            </w:r>
            <w:r w:rsidR="009A7089" w:rsidRPr="009A7089">
              <w:rPr>
                <w:rFonts w:asciiTheme="minorHAnsi" w:hAnsiTheme="minorHAnsi" w:cstheme="minorHAnsi"/>
                <w:noProof/>
                <w:webHidden/>
                <w:sz w:val="24"/>
                <w:szCs w:val="24"/>
              </w:rPr>
              <w:tab/>
            </w:r>
            <w:r w:rsidR="009A7089" w:rsidRPr="009A7089">
              <w:rPr>
                <w:rFonts w:asciiTheme="minorHAnsi" w:hAnsiTheme="minorHAnsi" w:cstheme="minorHAnsi"/>
                <w:noProof/>
                <w:webHidden/>
                <w:sz w:val="24"/>
                <w:szCs w:val="24"/>
              </w:rPr>
              <w:fldChar w:fldCharType="begin"/>
            </w:r>
            <w:r w:rsidR="009A7089" w:rsidRPr="009A7089">
              <w:rPr>
                <w:rFonts w:asciiTheme="minorHAnsi" w:hAnsiTheme="minorHAnsi" w:cstheme="minorHAnsi"/>
                <w:noProof/>
                <w:webHidden/>
                <w:sz w:val="24"/>
                <w:szCs w:val="24"/>
              </w:rPr>
              <w:instrText xml:space="preserve"> PAGEREF _Toc42082609 \h </w:instrText>
            </w:r>
            <w:r w:rsidR="009A7089" w:rsidRPr="009A7089">
              <w:rPr>
                <w:rFonts w:asciiTheme="minorHAnsi" w:hAnsiTheme="minorHAnsi" w:cstheme="minorHAnsi"/>
                <w:noProof/>
                <w:webHidden/>
                <w:sz w:val="24"/>
                <w:szCs w:val="24"/>
              </w:rPr>
            </w:r>
            <w:r w:rsidR="009A7089" w:rsidRPr="009A7089">
              <w:rPr>
                <w:rFonts w:asciiTheme="minorHAnsi" w:hAnsiTheme="minorHAnsi" w:cstheme="minorHAnsi"/>
                <w:noProof/>
                <w:webHidden/>
                <w:sz w:val="24"/>
                <w:szCs w:val="24"/>
              </w:rPr>
              <w:fldChar w:fldCharType="separate"/>
            </w:r>
            <w:r w:rsidR="009A7089" w:rsidRPr="009A7089">
              <w:rPr>
                <w:rFonts w:asciiTheme="minorHAnsi" w:hAnsiTheme="minorHAnsi" w:cstheme="minorHAnsi"/>
                <w:noProof/>
                <w:webHidden/>
                <w:sz w:val="24"/>
                <w:szCs w:val="24"/>
              </w:rPr>
              <w:t>7</w:t>
            </w:r>
            <w:r w:rsidR="009A7089" w:rsidRPr="009A7089">
              <w:rPr>
                <w:rFonts w:asciiTheme="minorHAnsi" w:hAnsiTheme="minorHAnsi" w:cstheme="minorHAnsi"/>
                <w:noProof/>
                <w:webHidden/>
                <w:sz w:val="24"/>
                <w:szCs w:val="24"/>
              </w:rPr>
              <w:fldChar w:fldCharType="end"/>
            </w:r>
          </w:hyperlink>
        </w:p>
        <w:p w:rsidR="009A7089" w:rsidRPr="009A7089" w:rsidRDefault="004B05DA">
          <w:pPr>
            <w:pStyle w:val="TOC1"/>
            <w:tabs>
              <w:tab w:val="right" w:leader="dot" w:pos="9016"/>
            </w:tabs>
            <w:rPr>
              <w:rFonts w:asciiTheme="minorHAnsi" w:eastAsiaTheme="minorEastAsia" w:hAnsiTheme="minorHAnsi" w:cstheme="minorHAnsi"/>
              <w:noProof/>
              <w:sz w:val="24"/>
              <w:szCs w:val="24"/>
            </w:rPr>
          </w:pPr>
          <w:hyperlink w:anchor="_Toc42082610" w:history="1">
            <w:r w:rsidR="009A7089" w:rsidRPr="009A7089">
              <w:rPr>
                <w:rStyle w:val="Hyperlink"/>
                <w:rFonts w:asciiTheme="minorHAnsi" w:hAnsiTheme="minorHAnsi" w:cstheme="minorHAnsi"/>
                <w:noProof/>
                <w:sz w:val="24"/>
                <w:szCs w:val="24"/>
              </w:rPr>
              <w:t>Evaluation of ratios</w:t>
            </w:r>
            <w:r w:rsidR="009A7089" w:rsidRPr="009A7089">
              <w:rPr>
                <w:rFonts w:asciiTheme="minorHAnsi" w:hAnsiTheme="minorHAnsi" w:cstheme="minorHAnsi"/>
                <w:noProof/>
                <w:webHidden/>
                <w:sz w:val="24"/>
                <w:szCs w:val="24"/>
              </w:rPr>
              <w:tab/>
            </w:r>
            <w:r w:rsidR="009A7089" w:rsidRPr="009A7089">
              <w:rPr>
                <w:rFonts w:asciiTheme="minorHAnsi" w:hAnsiTheme="minorHAnsi" w:cstheme="minorHAnsi"/>
                <w:noProof/>
                <w:webHidden/>
                <w:sz w:val="24"/>
                <w:szCs w:val="24"/>
              </w:rPr>
              <w:fldChar w:fldCharType="begin"/>
            </w:r>
            <w:r w:rsidR="009A7089" w:rsidRPr="009A7089">
              <w:rPr>
                <w:rFonts w:asciiTheme="minorHAnsi" w:hAnsiTheme="minorHAnsi" w:cstheme="minorHAnsi"/>
                <w:noProof/>
                <w:webHidden/>
                <w:sz w:val="24"/>
                <w:szCs w:val="24"/>
              </w:rPr>
              <w:instrText xml:space="preserve"> PAGEREF _Toc42082610 \h </w:instrText>
            </w:r>
            <w:r w:rsidR="009A7089" w:rsidRPr="009A7089">
              <w:rPr>
                <w:rFonts w:asciiTheme="minorHAnsi" w:hAnsiTheme="minorHAnsi" w:cstheme="minorHAnsi"/>
                <w:noProof/>
                <w:webHidden/>
                <w:sz w:val="24"/>
                <w:szCs w:val="24"/>
              </w:rPr>
            </w:r>
            <w:r w:rsidR="009A7089" w:rsidRPr="009A7089">
              <w:rPr>
                <w:rFonts w:asciiTheme="minorHAnsi" w:hAnsiTheme="minorHAnsi" w:cstheme="minorHAnsi"/>
                <w:noProof/>
                <w:webHidden/>
                <w:sz w:val="24"/>
                <w:szCs w:val="24"/>
              </w:rPr>
              <w:fldChar w:fldCharType="separate"/>
            </w:r>
            <w:r w:rsidR="009A7089" w:rsidRPr="009A7089">
              <w:rPr>
                <w:rFonts w:asciiTheme="minorHAnsi" w:hAnsiTheme="minorHAnsi" w:cstheme="minorHAnsi"/>
                <w:noProof/>
                <w:webHidden/>
                <w:sz w:val="24"/>
                <w:szCs w:val="24"/>
              </w:rPr>
              <w:t>11</w:t>
            </w:r>
            <w:r w:rsidR="009A7089" w:rsidRPr="009A7089">
              <w:rPr>
                <w:rFonts w:asciiTheme="minorHAnsi" w:hAnsiTheme="minorHAnsi" w:cstheme="minorHAnsi"/>
                <w:noProof/>
                <w:webHidden/>
                <w:sz w:val="24"/>
                <w:szCs w:val="24"/>
              </w:rPr>
              <w:fldChar w:fldCharType="end"/>
            </w:r>
          </w:hyperlink>
        </w:p>
        <w:p w:rsidR="009A7089" w:rsidRPr="009A7089" w:rsidRDefault="004B05DA">
          <w:pPr>
            <w:pStyle w:val="TOC1"/>
            <w:tabs>
              <w:tab w:val="right" w:leader="dot" w:pos="9016"/>
            </w:tabs>
            <w:rPr>
              <w:rFonts w:asciiTheme="minorHAnsi" w:eastAsiaTheme="minorEastAsia" w:hAnsiTheme="minorHAnsi" w:cstheme="minorHAnsi"/>
              <w:noProof/>
              <w:sz w:val="24"/>
              <w:szCs w:val="24"/>
            </w:rPr>
          </w:pPr>
          <w:hyperlink w:anchor="_Toc42082611" w:history="1">
            <w:r w:rsidR="009A7089" w:rsidRPr="009A7089">
              <w:rPr>
                <w:rStyle w:val="Hyperlink"/>
                <w:rFonts w:asciiTheme="minorHAnsi" w:hAnsiTheme="minorHAnsi" w:cstheme="minorHAnsi"/>
                <w:noProof/>
                <w:sz w:val="24"/>
                <w:szCs w:val="24"/>
              </w:rPr>
              <w:t>Recommendations</w:t>
            </w:r>
            <w:r w:rsidR="009A7089" w:rsidRPr="009A7089">
              <w:rPr>
                <w:rFonts w:asciiTheme="minorHAnsi" w:hAnsiTheme="minorHAnsi" w:cstheme="minorHAnsi"/>
                <w:noProof/>
                <w:webHidden/>
                <w:sz w:val="24"/>
                <w:szCs w:val="24"/>
              </w:rPr>
              <w:tab/>
            </w:r>
            <w:r w:rsidR="009A7089" w:rsidRPr="009A7089">
              <w:rPr>
                <w:rFonts w:asciiTheme="minorHAnsi" w:hAnsiTheme="minorHAnsi" w:cstheme="minorHAnsi"/>
                <w:noProof/>
                <w:webHidden/>
                <w:sz w:val="24"/>
                <w:szCs w:val="24"/>
              </w:rPr>
              <w:fldChar w:fldCharType="begin"/>
            </w:r>
            <w:r w:rsidR="009A7089" w:rsidRPr="009A7089">
              <w:rPr>
                <w:rFonts w:asciiTheme="minorHAnsi" w:hAnsiTheme="minorHAnsi" w:cstheme="minorHAnsi"/>
                <w:noProof/>
                <w:webHidden/>
                <w:sz w:val="24"/>
                <w:szCs w:val="24"/>
              </w:rPr>
              <w:instrText xml:space="preserve"> PAGEREF _Toc42082611 \h </w:instrText>
            </w:r>
            <w:r w:rsidR="009A7089" w:rsidRPr="009A7089">
              <w:rPr>
                <w:rFonts w:asciiTheme="minorHAnsi" w:hAnsiTheme="minorHAnsi" w:cstheme="minorHAnsi"/>
                <w:noProof/>
                <w:webHidden/>
                <w:sz w:val="24"/>
                <w:szCs w:val="24"/>
              </w:rPr>
            </w:r>
            <w:r w:rsidR="009A7089" w:rsidRPr="009A7089">
              <w:rPr>
                <w:rFonts w:asciiTheme="minorHAnsi" w:hAnsiTheme="minorHAnsi" w:cstheme="minorHAnsi"/>
                <w:noProof/>
                <w:webHidden/>
                <w:sz w:val="24"/>
                <w:szCs w:val="24"/>
              </w:rPr>
              <w:fldChar w:fldCharType="separate"/>
            </w:r>
            <w:r w:rsidR="009A7089" w:rsidRPr="009A7089">
              <w:rPr>
                <w:rFonts w:asciiTheme="minorHAnsi" w:hAnsiTheme="minorHAnsi" w:cstheme="minorHAnsi"/>
                <w:noProof/>
                <w:webHidden/>
                <w:sz w:val="24"/>
                <w:szCs w:val="24"/>
              </w:rPr>
              <w:t>12</w:t>
            </w:r>
            <w:r w:rsidR="009A7089" w:rsidRPr="009A7089">
              <w:rPr>
                <w:rFonts w:asciiTheme="minorHAnsi" w:hAnsiTheme="minorHAnsi" w:cstheme="minorHAnsi"/>
                <w:noProof/>
                <w:webHidden/>
                <w:sz w:val="24"/>
                <w:szCs w:val="24"/>
              </w:rPr>
              <w:fldChar w:fldCharType="end"/>
            </w:r>
          </w:hyperlink>
        </w:p>
        <w:p w:rsidR="009A7089" w:rsidRPr="009A7089" w:rsidRDefault="004B05DA">
          <w:pPr>
            <w:pStyle w:val="TOC1"/>
            <w:tabs>
              <w:tab w:val="right" w:leader="dot" w:pos="9016"/>
            </w:tabs>
            <w:rPr>
              <w:rFonts w:asciiTheme="minorHAnsi" w:eastAsiaTheme="minorEastAsia" w:hAnsiTheme="minorHAnsi" w:cstheme="minorHAnsi"/>
              <w:noProof/>
              <w:sz w:val="24"/>
              <w:szCs w:val="24"/>
            </w:rPr>
          </w:pPr>
          <w:hyperlink w:anchor="_Toc42082612" w:history="1">
            <w:r w:rsidR="009A7089" w:rsidRPr="009A7089">
              <w:rPr>
                <w:rStyle w:val="Hyperlink"/>
                <w:rFonts w:asciiTheme="minorHAnsi" w:hAnsiTheme="minorHAnsi" w:cstheme="minorHAnsi"/>
                <w:noProof/>
                <w:sz w:val="24"/>
                <w:szCs w:val="24"/>
              </w:rPr>
              <w:t>References</w:t>
            </w:r>
            <w:r w:rsidR="009A7089" w:rsidRPr="009A7089">
              <w:rPr>
                <w:rFonts w:asciiTheme="minorHAnsi" w:hAnsiTheme="minorHAnsi" w:cstheme="minorHAnsi"/>
                <w:noProof/>
                <w:webHidden/>
                <w:sz w:val="24"/>
                <w:szCs w:val="24"/>
              </w:rPr>
              <w:tab/>
            </w:r>
            <w:r w:rsidR="009A7089" w:rsidRPr="009A7089">
              <w:rPr>
                <w:rFonts w:asciiTheme="minorHAnsi" w:hAnsiTheme="minorHAnsi" w:cstheme="minorHAnsi"/>
                <w:noProof/>
                <w:webHidden/>
                <w:sz w:val="24"/>
                <w:szCs w:val="24"/>
              </w:rPr>
              <w:fldChar w:fldCharType="begin"/>
            </w:r>
            <w:r w:rsidR="009A7089" w:rsidRPr="009A7089">
              <w:rPr>
                <w:rFonts w:asciiTheme="minorHAnsi" w:hAnsiTheme="minorHAnsi" w:cstheme="minorHAnsi"/>
                <w:noProof/>
                <w:webHidden/>
                <w:sz w:val="24"/>
                <w:szCs w:val="24"/>
              </w:rPr>
              <w:instrText xml:space="preserve"> PAGEREF _Toc42082612 \h </w:instrText>
            </w:r>
            <w:r w:rsidR="009A7089" w:rsidRPr="009A7089">
              <w:rPr>
                <w:rFonts w:asciiTheme="minorHAnsi" w:hAnsiTheme="minorHAnsi" w:cstheme="minorHAnsi"/>
                <w:noProof/>
                <w:webHidden/>
                <w:sz w:val="24"/>
                <w:szCs w:val="24"/>
              </w:rPr>
            </w:r>
            <w:r w:rsidR="009A7089" w:rsidRPr="009A7089">
              <w:rPr>
                <w:rFonts w:asciiTheme="minorHAnsi" w:hAnsiTheme="minorHAnsi" w:cstheme="minorHAnsi"/>
                <w:noProof/>
                <w:webHidden/>
                <w:sz w:val="24"/>
                <w:szCs w:val="24"/>
              </w:rPr>
              <w:fldChar w:fldCharType="separate"/>
            </w:r>
            <w:r w:rsidR="009A7089" w:rsidRPr="009A7089">
              <w:rPr>
                <w:rFonts w:asciiTheme="minorHAnsi" w:hAnsiTheme="minorHAnsi" w:cstheme="minorHAnsi"/>
                <w:noProof/>
                <w:webHidden/>
                <w:sz w:val="24"/>
                <w:szCs w:val="24"/>
              </w:rPr>
              <w:t>13</w:t>
            </w:r>
            <w:r w:rsidR="009A7089" w:rsidRPr="009A7089">
              <w:rPr>
                <w:rFonts w:asciiTheme="minorHAnsi" w:hAnsiTheme="minorHAnsi" w:cstheme="minorHAnsi"/>
                <w:noProof/>
                <w:webHidden/>
                <w:sz w:val="24"/>
                <w:szCs w:val="24"/>
              </w:rPr>
              <w:fldChar w:fldCharType="end"/>
            </w:r>
          </w:hyperlink>
        </w:p>
        <w:p w:rsidR="009A7089" w:rsidRPr="009A7089" w:rsidRDefault="004B05DA">
          <w:pPr>
            <w:pStyle w:val="TOC1"/>
            <w:tabs>
              <w:tab w:val="right" w:leader="dot" w:pos="9016"/>
            </w:tabs>
            <w:rPr>
              <w:rFonts w:asciiTheme="minorHAnsi" w:eastAsiaTheme="minorEastAsia" w:hAnsiTheme="minorHAnsi" w:cstheme="minorHAnsi"/>
              <w:noProof/>
              <w:sz w:val="24"/>
              <w:szCs w:val="24"/>
            </w:rPr>
          </w:pPr>
          <w:hyperlink w:anchor="_Toc42082613" w:history="1">
            <w:r w:rsidR="009A7089" w:rsidRPr="009A7089">
              <w:rPr>
                <w:rStyle w:val="Hyperlink"/>
                <w:rFonts w:asciiTheme="minorHAnsi" w:hAnsiTheme="minorHAnsi" w:cstheme="minorHAnsi"/>
                <w:noProof/>
                <w:sz w:val="24"/>
                <w:szCs w:val="24"/>
              </w:rPr>
              <w:t>Appendix 1: Profit and Loss</w:t>
            </w:r>
            <w:r w:rsidR="009A7089" w:rsidRPr="009A7089">
              <w:rPr>
                <w:rFonts w:asciiTheme="minorHAnsi" w:hAnsiTheme="minorHAnsi" w:cstheme="minorHAnsi"/>
                <w:noProof/>
                <w:webHidden/>
                <w:sz w:val="24"/>
                <w:szCs w:val="24"/>
              </w:rPr>
              <w:tab/>
            </w:r>
            <w:r w:rsidR="009A7089" w:rsidRPr="009A7089">
              <w:rPr>
                <w:rFonts w:asciiTheme="minorHAnsi" w:hAnsiTheme="minorHAnsi" w:cstheme="minorHAnsi"/>
                <w:noProof/>
                <w:webHidden/>
                <w:sz w:val="24"/>
                <w:szCs w:val="24"/>
              </w:rPr>
              <w:fldChar w:fldCharType="begin"/>
            </w:r>
            <w:r w:rsidR="009A7089" w:rsidRPr="009A7089">
              <w:rPr>
                <w:rFonts w:asciiTheme="minorHAnsi" w:hAnsiTheme="minorHAnsi" w:cstheme="minorHAnsi"/>
                <w:noProof/>
                <w:webHidden/>
                <w:sz w:val="24"/>
                <w:szCs w:val="24"/>
              </w:rPr>
              <w:instrText xml:space="preserve"> PAGEREF _Toc42082613 \h </w:instrText>
            </w:r>
            <w:r w:rsidR="009A7089" w:rsidRPr="009A7089">
              <w:rPr>
                <w:rFonts w:asciiTheme="minorHAnsi" w:hAnsiTheme="minorHAnsi" w:cstheme="minorHAnsi"/>
                <w:noProof/>
                <w:webHidden/>
                <w:sz w:val="24"/>
                <w:szCs w:val="24"/>
              </w:rPr>
            </w:r>
            <w:r w:rsidR="009A7089" w:rsidRPr="009A7089">
              <w:rPr>
                <w:rFonts w:asciiTheme="minorHAnsi" w:hAnsiTheme="minorHAnsi" w:cstheme="minorHAnsi"/>
                <w:noProof/>
                <w:webHidden/>
                <w:sz w:val="24"/>
                <w:szCs w:val="24"/>
              </w:rPr>
              <w:fldChar w:fldCharType="separate"/>
            </w:r>
            <w:r w:rsidR="009A7089" w:rsidRPr="009A7089">
              <w:rPr>
                <w:rFonts w:asciiTheme="minorHAnsi" w:hAnsiTheme="minorHAnsi" w:cstheme="minorHAnsi"/>
                <w:noProof/>
                <w:webHidden/>
                <w:sz w:val="24"/>
                <w:szCs w:val="24"/>
              </w:rPr>
              <w:t>15</w:t>
            </w:r>
            <w:r w:rsidR="009A7089" w:rsidRPr="009A7089">
              <w:rPr>
                <w:rFonts w:asciiTheme="minorHAnsi" w:hAnsiTheme="minorHAnsi" w:cstheme="minorHAnsi"/>
                <w:noProof/>
                <w:webHidden/>
                <w:sz w:val="24"/>
                <w:szCs w:val="24"/>
              </w:rPr>
              <w:fldChar w:fldCharType="end"/>
            </w:r>
          </w:hyperlink>
        </w:p>
        <w:p w:rsidR="009A7089" w:rsidRPr="009A7089" w:rsidRDefault="004B05DA">
          <w:pPr>
            <w:pStyle w:val="TOC1"/>
            <w:tabs>
              <w:tab w:val="right" w:leader="dot" w:pos="9016"/>
            </w:tabs>
            <w:rPr>
              <w:rFonts w:asciiTheme="minorHAnsi" w:eastAsiaTheme="minorEastAsia" w:hAnsiTheme="minorHAnsi" w:cstheme="minorHAnsi"/>
              <w:noProof/>
              <w:sz w:val="24"/>
              <w:szCs w:val="24"/>
            </w:rPr>
          </w:pPr>
          <w:hyperlink w:anchor="_Toc42082614" w:history="1">
            <w:r w:rsidR="009A7089" w:rsidRPr="009A7089">
              <w:rPr>
                <w:rStyle w:val="Hyperlink"/>
                <w:rFonts w:asciiTheme="minorHAnsi" w:hAnsiTheme="minorHAnsi" w:cstheme="minorHAnsi"/>
                <w:noProof/>
                <w:sz w:val="24"/>
                <w:szCs w:val="24"/>
              </w:rPr>
              <w:t>Appendix 2: Balance Sheet</w:t>
            </w:r>
            <w:r w:rsidR="009A7089" w:rsidRPr="009A7089">
              <w:rPr>
                <w:rFonts w:asciiTheme="minorHAnsi" w:hAnsiTheme="minorHAnsi" w:cstheme="minorHAnsi"/>
                <w:noProof/>
                <w:webHidden/>
                <w:sz w:val="24"/>
                <w:szCs w:val="24"/>
              </w:rPr>
              <w:tab/>
            </w:r>
            <w:r w:rsidR="009A7089" w:rsidRPr="009A7089">
              <w:rPr>
                <w:rFonts w:asciiTheme="minorHAnsi" w:hAnsiTheme="minorHAnsi" w:cstheme="minorHAnsi"/>
                <w:noProof/>
                <w:webHidden/>
                <w:sz w:val="24"/>
                <w:szCs w:val="24"/>
              </w:rPr>
              <w:fldChar w:fldCharType="begin"/>
            </w:r>
            <w:r w:rsidR="009A7089" w:rsidRPr="009A7089">
              <w:rPr>
                <w:rFonts w:asciiTheme="minorHAnsi" w:hAnsiTheme="minorHAnsi" w:cstheme="minorHAnsi"/>
                <w:noProof/>
                <w:webHidden/>
                <w:sz w:val="24"/>
                <w:szCs w:val="24"/>
              </w:rPr>
              <w:instrText xml:space="preserve"> PAGEREF _Toc42082614 \h </w:instrText>
            </w:r>
            <w:r w:rsidR="009A7089" w:rsidRPr="009A7089">
              <w:rPr>
                <w:rFonts w:asciiTheme="minorHAnsi" w:hAnsiTheme="minorHAnsi" w:cstheme="minorHAnsi"/>
                <w:noProof/>
                <w:webHidden/>
                <w:sz w:val="24"/>
                <w:szCs w:val="24"/>
              </w:rPr>
            </w:r>
            <w:r w:rsidR="009A7089" w:rsidRPr="009A7089">
              <w:rPr>
                <w:rFonts w:asciiTheme="minorHAnsi" w:hAnsiTheme="minorHAnsi" w:cstheme="minorHAnsi"/>
                <w:noProof/>
                <w:webHidden/>
                <w:sz w:val="24"/>
                <w:szCs w:val="24"/>
              </w:rPr>
              <w:fldChar w:fldCharType="separate"/>
            </w:r>
            <w:r w:rsidR="009A7089" w:rsidRPr="009A7089">
              <w:rPr>
                <w:rFonts w:asciiTheme="minorHAnsi" w:hAnsiTheme="minorHAnsi" w:cstheme="minorHAnsi"/>
                <w:noProof/>
                <w:webHidden/>
                <w:sz w:val="24"/>
                <w:szCs w:val="24"/>
              </w:rPr>
              <w:t>16</w:t>
            </w:r>
            <w:r w:rsidR="009A7089" w:rsidRPr="009A7089">
              <w:rPr>
                <w:rFonts w:asciiTheme="minorHAnsi" w:hAnsiTheme="minorHAnsi" w:cstheme="minorHAnsi"/>
                <w:noProof/>
                <w:webHidden/>
                <w:sz w:val="24"/>
                <w:szCs w:val="24"/>
              </w:rPr>
              <w:fldChar w:fldCharType="end"/>
            </w:r>
          </w:hyperlink>
        </w:p>
        <w:p w:rsidR="009A7089" w:rsidRPr="009A7089" w:rsidRDefault="004B05DA">
          <w:pPr>
            <w:pStyle w:val="TOC1"/>
            <w:tabs>
              <w:tab w:val="right" w:leader="dot" w:pos="9016"/>
            </w:tabs>
            <w:rPr>
              <w:rFonts w:asciiTheme="minorHAnsi" w:eastAsiaTheme="minorEastAsia" w:hAnsiTheme="minorHAnsi" w:cstheme="minorHAnsi"/>
              <w:noProof/>
              <w:sz w:val="24"/>
              <w:szCs w:val="24"/>
            </w:rPr>
          </w:pPr>
          <w:hyperlink w:anchor="_Toc42082615" w:history="1">
            <w:r w:rsidR="009A7089" w:rsidRPr="009A7089">
              <w:rPr>
                <w:rStyle w:val="Hyperlink"/>
                <w:rFonts w:asciiTheme="minorHAnsi" w:hAnsiTheme="minorHAnsi" w:cstheme="minorHAnsi"/>
                <w:noProof/>
                <w:sz w:val="24"/>
                <w:szCs w:val="24"/>
              </w:rPr>
              <w:t>Appendix 3: Calculations</w:t>
            </w:r>
            <w:r w:rsidR="009A7089" w:rsidRPr="009A7089">
              <w:rPr>
                <w:rFonts w:asciiTheme="minorHAnsi" w:hAnsiTheme="minorHAnsi" w:cstheme="minorHAnsi"/>
                <w:noProof/>
                <w:webHidden/>
                <w:sz w:val="24"/>
                <w:szCs w:val="24"/>
              </w:rPr>
              <w:tab/>
            </w:r>
            <w:r w:rsidR="009A7089" w:rsidRPr="009A7089">
              <w:rPr>
                <w:rFonts w:asciiTheme="minorHAnsi" w:hAnsiTheme="minorHAnsi" w:cstheme="minorHAnsi"/>
                <w:noProof/>
                <w:webHidden/>
                <w:sz w:val="24"/>
                <w:szCs w:val="24"/>
              </w:rPr>
              <w:fldChar w:fldCharType="begin"/>
            </w:r>
            <w:r w:rsidR="009A7089" w:rsidRPr="009A7089">
              <w:rPr>
                <w:rFonts w:asciiTheme="minorHAnsi" w:hAnsiTheme="minorHAnsi" w:cstheme="minorHAnsi"/>
                <w:noProof/>
                <w:webHidden/>
                <w:sz w:val="24"/>
                <w:szCs w:val="24"/>
              </w:rPr>
              <w:instrText xml:space="preserve"> PAGEREF _Toc42082615 \h </w:instrText>
            </w:r>
            <w:r w:rsidR="009A7089" w:rsidRPr="009A7089">
              <w:rPr>
                <w:rFonts w:asciiTheme="minorHAnsi" w:hAnsiTheme="minorHAnsi" w:cstheme="minorHAnsi"/>
                <w:noProof/>
                <w:webHidden/>
                <w:sz w:val="24"/>
                <w:szCs w:val="24"/>
              </w:rPr>
            </w:r>
            <w:r w:rsidR="009A7089" w:rsidRPr="009A7089">
              <w:rPr>
                <w:rFonts w:asciiTheme="minorHAnsi" w:hAnsiTheme="minorHAnsi" w:cstheme="minorHAnsi"/>
                <w:noProof/>
                <w:webHidden/>
                <w:sz w:val="24"/>
                <w:szCs w:val="24"/>
              </w:rPr>
              <w:fldChar w:fldCharType="separate"/>
            </w:r>
            <w:r w:rsidR="009A7089" w:rsidRPr="009A7089">
              <w:rPr>
                <w:rFonts w:asciiTheme="minorHAnsi" w:hAnsiTheme="minorHAnsi" w:cstheme="minorHAnsi"/>
                <w:noProof/>
                <w:webHidden/>
                <w:sz w:val="24"/>
                <w:szCs w:val="24"/>
              </w:rPr>
              <w:t>20</w:t>
            </w:r>
            <w:r w:rsidR="009A7089" w:rsidRPr="009A7089">
              <w:rPr>
                <w:rFonts w:asciiTheme="minorHAnsi" w:hAnsiTheme="minorHAnsi" w:cstheme="minorHAnsi"/>
                <w:noProof/>
                <w:webHidden/>
                <w:sz w:val="24"/>
                <w:szCs w:val="24"/>
              </w:rPr>
              <w:fldChar w:fldCharType="end"/>
            </w:r>
          </w:hyperlink>
        </w:p>
        <w:p w:rsidR="009A7089" w:rsidRDefault="009A7089">
          <w:pPr>
            <w:pStyle w:val="TOC1"/>
            <w:tabs>
              <w:tab w:val="right" w:leader="dot" w:pos="9016"/>
            </w:tabs>
            <w:rPr>
              <w:rStyle w:val="Hyperlink"/>
              <w:rFonts w:asciiTheme="minorHAnsi" w:hAnsiTheme="minorHAnsi" w:cstheme="minorHAnsi"/>
              <w:noProof/>
              <w:sz w:val="24"/>
              <w:szCs w:val="24"/>
            </w:rPr>
          </w:pPr>
        </w:p>
        <w:p w:rsidR="009A7089" w:rsidRPr="009A7089" w:rsidRDefault="004B05DA">
          <w:pPr>
            <w:pStyle w:val="TOC1"/>
            <w:tabs>
              <w:tab w:val="right" w:leader="dot" w:pos="9016"/>
            </w:tabs>
            <w:rPr>
              <w:rFonts w:asciiTheme="minorHAnsi" w:eastAsiaTheme="minorEastAsia" w:hAnsiTheme="minorHAnsi" w:cstheme="minorHAnsi"/>
              <w:noProof/>
              <w:sz w:val="24"/>
              <w:szCs w:val="24"/>
            </w:rPr>
          </w:pPr>
          <w:hyperlink w:anchor="_Toc42082616" w:history="1">
            <w:r w:rsidR="009A7089" w:rsidRPr="009A7089">
              <w:rPr>
                <w:rStyle w:val="Hyperlink"/>
                <w:rFonts w:asciiTheme="minorHAnsi" w:hAnsiTheme="minorHAnsi" w:cstheme="minorHAnsi"/>
                <w:noProof/>
                <w:sz w:val="24"/>
                <w:szCs w:val="24"/>
              </w:rPr>
              <w:t>Podcast link</w:t>
            </w:r>
            <w:r w:rsidR="009A7089" w:rsidRPr="009A7089">
              <w:rPr>
                <w:rFonts w:asciiTheme="minorHAnsi" w:hAnsiTheme="minorHAnsi" w:cstheme="minorHAnsi"/>
                <w:noProof/>
                <w:webHidden/>
                <w:sz w:val="24"/>
                <w:szCs w:val="24"/>
              </w:rPr>
              <w:tab/>
            </w:r>
            <w:r w:rsidR="009A7089" w:rsidRPr="009A7089">
              <w:rPr>
                <w:rFonts w:asciiTheme="minorHAnsi" w:hAnsiTheme="minorHAnsi" w:cstheme="minorHAnsi"/>
                <w:noProof/>
                <w:webHidden/>
                <w:sz w:val="24"/>
                <w:szCs w:val="24"/>
              </w:rPr>
              <w:fldChar w:fldCharType="begin"/>
            </w:r>
            <w:r w:rsidR="009A7089" w:rsidRPr="009A7089">
              <w:rPr>
                <w:rFonts w:asciiTheme="minorHAnsi" w:hAnsiTheme="minorHAnsi" w:cstheme="minorHAnsi"/>
                <w:noProof/>
                <w:webHidden/>
                <w:sz w:val="24"/>
                <w:szCs w:val="24"/>
              </w:rPr>
              <w:instrText xml:space="preserve"> PAGEREF _Toc42082616 \h </w:instrText>
            </w:r>
            <w:r w:rsidR="009A7089" w:rsidRPr="009A7089">
              <w:rPr>
                <w:rFonts w:asciiTheme="minorHAnsi" w:hAnsiTheme="minorHAnsi" w:cstheme="minorHAnsi"/>
                <w:noProof/>
                <w:webHidden/>
                <w:sz w:val="24"/>
                <w:szCs w:val="24"/>
              </w:rPr>
            </w:r>
            <w:r w:rsidR="009A7089" w:rsidRPr="009A7089">
              <w:rPr>
                <w:rFonts w:asciiTheme="minorHAnsi" w:hAnsiTheme="minorHAnsi" w:cstheme="minorHAnsi"/>
                <w:noProof/>
                <w:webHidden/>
                <w:sz w:val="24"/>
                <w:szCs w:val="24"/>
              </w:rPr>
              <w:fldChar w:fldCharType="separate"/>
            </w:r>
            <w:r w:rsidR="009A7089" w:rsidRPr="009A7089">
              <w:rPr>
                <w:rFonts w:asciiTheme="minorHAnsi" w:hAnsiTheme="minorHAnsi" w:cstheme="minorHAnsi"/>
                <w:noProof/>
                <w:webHidden/>
                <w:sz w:val="24"/>
                <w:szCs w:val="24"/>
              </w:rPr>
              <w:t>22</w:t>
            </w:r>
            <w:r w:rsidR="009A7089" w:rsidRPr="009A7089">
              <w:rPr>
                <w:rFonts w:asciiTheme="minorHAnsi" w:hAnsiTheme="minorHAnsi" w:cstheme="minorHAnsi"/>
                <w:noProof/>
                <w:webHidden/>
                <w:sz w:val="24"/>
                <w:szCs w:val="24"/>
              </w:rPr>
              <w:fldChar w:fldCharType="end"/>
            </w:r>
          </w:hyperlink>
        </w:p>
        <w:p w:rsidR="009A7089" w:rsidRDefault="009A7089">
          <w:pPr>
            <w:pStyle w:val="TOC1"/>
            <w:tabs>
              <w:tab w:val="right" w:leader="dot" w:pos="9016"/>
            </w:tabs>
            <w:rPr>
              <w:rStyle w:val="Hyperlink"/>
              <w:rFonts w:asciiTheme="minorHAnsi" w:hAnsiTheme="minorHAnsi" w:cstheme="minorHAnsi"/>
              <w:noProof/>
              <w:sz w:val="24"/>
              <w:szCs w:val="24"/>
            </w:rPr>
          </w:pPr>
        </w:p>
        <w:p w:rsidR="009A7089" w:rsidRPr="009A7089" w:rsidRDefault="004B05DA">
          <w:pPr>
            <w:pStyle w:val="TOC1"/>
            <w:tabs>
              <w:tab w:val="right" w:leader="dot" w:pos="9016"/>
            </w:tabs>
            <w:rPr>
              <w:rFonts w:asciiTheme="minorHAnsi" w:eastAsiaTheme="minorEastAsia" w:hAnsiTheme="minorHAnsi" w:cstheme="minorHAnsi"/>
              <w:noProof/>
              <w:sz w:val="24"/>
              <w:szCs w:val="24"/>
            </w:rPr>
          </w:pPr>
          <w:hyperlink w:anchor="_Toc42082617" w:history="1">
            <w:r w:rsidR="009A7089" w:rsidRPr="009A7089">
              <w:rPr>
                <w:rStyle w:val="Hyperlink"/>
                <w:rFonts w:asciiTheme="minorHAnsi" w:hAnsiTheme="minorHAnsi" w:cstheme="minorHAnsi"/>
                <w:noProof/>
                <w:sz w:val="24"/>
                <w:szCs w:val="24"/>
              </w:rPr>
              <w:t>Report Two: Jefferson PLC.</w:t>
            </w:r>
            <w:r w:rsidR="009A7089" w:rsidRPr="009A7089">
              <w:rPr>
                <w:rFonts w:asciiTheme="minorHAnsi" w:hAnsiTheme="minorHAnsi" w:cstheme="minorHAnsi"/>
                <w:noProof/>
                <w:webHidden/>
                <w:sz w:val="24"/>
                <w:szCs w:val="24"/>
              </w:rPr>
              <w:tab/>
            </w:r>
            <w:r w:rsidR="009A7089" w:rsidRPr="009A7089">
              <w:rPr>
                <w:rFonts w:asciiTheme="minorHAnsi" w:hAnsiTheme="minorHAnsi" w:cstheme="minorHAnsi"/>
                <w:noProof/>
                <w:webHidden/>
                <w:sz w:val="24"/>
                <w:szCs w:val="24"/>
              </w:rPr>
              <w:fldChar w:fldCharType="begin"/>
            </w:r>
            <w:r w:rsidR="009A7089" w:rsidRPr="009A7089">
              <w:rPr>
                <w:rFonts w:asciiTheme="minorHAnsi" w:hAnsiTheme="minorHAnsi" w:cstheme="minorHAnsi"/>
                <w:noProof/>
                <w:webHidden/>
                <w:sz w:val="24"/>
                <w:szCs w:val="24"/>
              </w:rPr>
              <w:instrText xml:space="preserve"> PAGEREF _Toc42082617 \h </w:instrText>
            </w:r>
            <w:r w:rsidR="009A7089" w:rsidRPr="009A7089">
              <w:rPr>
                <w:rFonts w:asciiTheme="minorHAnsi" w:hAnsiTheme="minorHAnsi" w:cstheme="minorHAnsi"/>
                <w:noProof/>
                <w:webHidden/>
                <w:sz w:val="24"/>
                <w:szCs w:val="24"/>
              </w:rPr>
            </w:r>
            <w:r w:rsidR="009A7089" w:rsidRPr="009A7089">
              <w:rPr>
                <w:rFonts w:asciiTheme="minorHAnsi" w:hAnsiTheme="minorHAnsi" w:cstheme="minorHAnsi"/>
                <w:noProof/>
                <w:webHidden/>
                <w:sz w:val="24"/>
                <w:szCs w:val="24"/>
              </w:rPr>
              <w:fldChar w:fldCharType="separate"/>
            </w:r>
            <w:r w:rsidR="009A7089" w:rsidRPr="009A7089">
              <w:rPr>
                <w:rFonts w:asciiTheme="minorHAnsi" w:hAnsiTheme="minorHAnsi" w:cstheme="minorHAnsi"/>
                <w:noProof/>
                <w:webHidden/>
                <w:sz w:val="24"/>
                <w:szCs w:val="24"/>
              </w:rPr>
              <w:t>23</w:t>
            </w:r>
            <w:r w:rsidR="009A7089" w:rsidRPr="009A7089">
              <w:rPr>
                <w:rFonts w:asciiTheme="minorHAnsi" w:hAnsiTheme="minorHAnsi" w:cstheme="minorHAnsi"/>
                <w:noProof/>
                <w:webHidden/>
                <w:sz w:val="24"/>
                <w:szCs w:val="24"/>
              </w:rPr>
              <w:fldChar w:fldCharType="end"/>
            </w:r>
          </w:hyperlink>
        </w:p>
        <w:p w:rsidR="009A7089" w:rsidRPr="009A7089" w:rsidRDefault="004B05DA">
          <w:pPr>
            <w:pStyle w:val="TOC1"/>
            <w:tabs>
              <w:tab w:val="right" w:leader="dot" w:pos="9016"/>
            </w:tabs>
            <w:rPr>
              <w:rFonts w:asciiTheme="minorHAnsi" w:eastAsiaTheme="minorEastAsia" w:hAnsiTheme="minorHAnsi" w:cstheme="minorHAnsi"/>
              <w:noProof/>
              <w:sz w:val="24"/>
              <w:szCs w:val="24"/>
            </w:rPr>
          </w:pPr>
          <w:hyperlink w:anchor="_Toc42082618" w:history="1">
            <w:r w:rsidR="009A7089" w:rsidRPr="009A7089">
              <w:rPr>
                <w:rStyle w:val="Hyperlink"/>
                <w:rFonts w:asciiTheme="minorHAnsi" w:hAnsiTheme="minorHAnsi" w:cstheme="minorHAnsi"/>
                <w:noProof/>
                <w:sz w:val="24"/>
                <w:szCs w:val="24"/>
              </w:rPr>
              <w:t>Introduction</w:t>
            </w:r>
            <w:r w:rsidR="009A7089" w:rsidRPr="009A7089">
              <w:rPr>
                <w:rFonts w:asciiTheme="minorHAnsi" w:hAnsiTheme="minorHAnsi" w:cstheme="minorHAnsi"/>
                <w:noProof/>
                <w:webHidden/>
                <w:sz w:val="24"/>
                <w:szCs w:val="24"/>
              </w:rPr>
              <w:tab/>
            </w:r>
            <w:r w:rsidR="009A7089" w:rsidRPr="009A7089">
              <w:rPr>
                <w:rFonts w:asciiTheme="minorHAnsi" w:hAnsiTheme="minorHAnsi" w:cstheme="minorHAnsi"/>
                <w:noProof/>
                <w:webHidden/>
                <w:sz w:val="24"/>
                <w:szCs w:val="24"/>
              </w:rPr>
              <w:fldChar w:fldCharType="begin"/>
            </w:r>
            <w:r w:rsidR="009A7089" w:rsidRPr="009A7089">
              <w:rPr>
                <w:rFonts w:asciiTheme="minorHAnsi" w:hAnsiTheme="minorHAnsi" w:cstheme="minorHAnsi"/>
                <w:noProof/>
                <w:webHidden/>
                <w:sz w:val="24"/>
                <w:szCs w:val="24"/>
              </w:rPr>
              <w:instrText xml:space="preserve"> PAGEREF _Toc42082618 \h </w:instrText>
            </w:r>
            <w:r w:rsidR="009A7089" w:rsidRPr="009A7089">
              <w:rPr>
                <w:rFonts w:asciiTheme="minorHAnsi" w:hAnsiTheme="minorHAnsi" w:cstheme="minorHAnsi"/>
                <w:noProof/>
                <w:webHidden/>
                <w:sz w:val="24"/>
                <w:szCs w:val="24"/>
              </w:rPr>
            </w:r>
            <w:r w:rsidR="009A7089" w:rsidRPr="009A7089">
              <w:rPr>
                <w:rFonts w:asciiTheme="minorHAnsi" w:hAnsiTheme="minorHAnsi" w:cstheme="minorHAnsi"/>
                <w:noProof/>
                <w:webHidden/>
                <w:sz w:val="24"/>
                <w:szCs w:val="24"/>
              </w:rPr>
              <w:fldChar w:fldCharType="separate"/>
            </w:r>
            <w:r w:rsidR="009A7089" w:rsidRPr="009A7089">
              <w:rPr>
                <w:rFonts w:asciiTheme="minorHAnsi" w:hAnsiTheme="minorHAnsi" w:cstheme="minorHAnsi"/>
                <w:noProof/>
                <w:webHidden/>
                <w:sz w:val="24"/>
                <w:szCs w:val="24"/>
              </w:rPr>
              <w:t>23</w:t>
            </w:r>
            <w:r w:rsidR="009A7089" w:rsidRPr="009A7089">
              <w:rPr>
                <w:rFonts w:asciiTheme="minorHAnsi" w:hAnsiTheme="minorHAnsi" w:cstheme="minorHAnsi"/>
                <w:noProof/>
                <w:webHidden/>
                <w:sz w:val="24"/>
                <w:szCs w:val="24"/>
              </w:rPr>
              <w:fldChar w:fldCharType="end"/>
            </w:r>
          </w:hyperlink>
        </w:p>
        <w:p w:rsidR="009A7089" w:rsidRPr="009A7089" w:rsidRDefault="004B05DA">
          <w:pPr>
            <w:pStyle w:val="TOC1"/>
            <w:tabs>
              <w:tab w:val="right" w:leader="dot" w:pos="9016"/>
            </w:tabs>
            <w:rPr>
              <w:rFonts w:asciiTheme="minorHAnsi" w:eastAsiaTheme="minorEastAsia" w:hAnsiTheme="minorHAnsi" w:cstheme="minorHAnsi"/>
              <w:noProof/>
              <w:sz w:val="24"/>
              <w:szCs w:val="24"/>
            </w:rPr>
          </w:pPr>
          <w:hyperlink w:anchor="_Toc42082619" w:history="1">
            <w:r w:rsidR="009A7089" w:rsidRPr="009A7089">
              <w:rPr>
                <w:rStyle w:val="Hyperlink"/>
                <w:rFonts w:asciiTheme="minorHAnsi" w:hAnsiTheme="minorHAnsi" w:cstheme="minorHAnsi"/>
                <w:noProof/>
                <w:sz w:val="24"/>
                <w:szCs w:val="24"/>
              </w:rPr>
              <w:t>Evaluation: Option 1</w:t>
            </w:r>
            <w:r w:rsidR="009A7089" w:rsidRPr="009A7089">
              <w:rPr>
                <w:rFonts w:asciiTheme="minorHAnsi" w:hAnsiTheme="minorHAnsi" w:cstheme="minorHAnsi"/>
                <w:noProof/>
                <w:webHidden/>
                <w:sz w:val="24"/>
                <w:szCs w:val="24"/>
              </w:rPr>
              <w:tab/>
            </w:r>
            <w:r w:rsidR="009A7089" w:rsidRPr="009A7089">
              <w:rPr>
                <w:rFonts w:asciiTheme="minorHAnsi" w:hAnsiTheme="minorHAnsi" w:cstheme="minorHAnsi"/>
                <w:noProof/>
                <w:webHidden/>
                <w:sz w:val="24"/>
                <w:szCs w:val="24"/>
              </w:rPr>
              <w:fldChar w:fldCharType="begin"/>
            </w:r>
            <w:r w:rsidR="009A7089" w:rsidRPr="009A7089">
              <w:rPr>
                <w:rFonts w:asciiTheme="minorHAnsi" w:hAnsiTheme="minorHAnsi" w:cstheme="minorHAnsi"/>
                <w:noProof/>
                <w:webHidden/>
                <w:sz w:val="24"/>
                <w:szCs w:val="24"/>
              </w:rPr>
              <w:instrText xml:space="preserve"> PAGEREF _Toc42082619 \h </w:instrText>
            </w:r>
            <w:r w:rsidR="009A7089" w:rsidRPr="009A7089">
              <w:rPr>
                <w:rFonts w:asciiTheme="minorHAnsi" w:hAnsiTheme="minorHAnsi" w:cstheme="minorHAnsi"/>
                <w:noProof/>
                <w:webHidden/>
                <w:sz w:val="24"/>
                <w:szCs w:val="24"/>
              </w:rPr>
            </w:r>
            <w:r w:rsidR="009A7089" w:rsidRPr="009A7089">
              <w:rPr>
                <w:rFonts w:asciiTheme="minorHAnsi" w:hAnsiTheme="minorHAnsi" w:cstheme="minorHAnsi"/>
                <w:noProof/>
                <w:webHidden/>
                <w:sz w:val="24"/>
                <w:szCs w:val="24"/>
              </w:rPr>
              <w:fldChar w:fldCharType="separate"/>
            </w:r>
            <w:r w:rsidR="009A7089" w:rsidRPr="009A7089">
              <w:rPr>
                <w:rFonts w:asciiTheme="minorHAnsi" w:hAnsiTheme="minorHAnsi" w:cstheme="minorHAnsi"/>
                <w:noProof/>
                <w:webHidden/>
                <w:sz w:val="24"/>
                <w:szCs w:val="24"/>
              </w:rPr>
              <w:t>24</w:t>
            </w:r>
            <w:r w:rsidR="009A7089" w:rsidRPr="009A7089">
              <w:rPr>
                <w:rFonts w:asciiTheme="minorHAnsi" w:hAnsiTheme="minorHAnsi" w:cstheme="minorHAnsi"/>
                <w:noProof/>
                <w:webHidden/>
                <w:sz w:val="24"/>
                <w:szCs w:val="24"/>
              </w:rPr>
              <w:fldChar w:fldCharType="end"/>
            </w:r>
          </w:hyperlink>
        </w:p>
        <w:p w:rsidR="009A7089" w:rsidRPr="009A7089" w:rsidRDefault="004B05DA">
          <w:pPr>
            <w:pStyle w:val="TOC1"/>
            <w:tabs>
              <w:tab w:val="right" w:leader="dot" w:pos="9016"/>
            </w:tabs>
            <w:rPr>
              <w:rFonts w:asciiTheme="minorHAnsi" w:eastAsiaTheme="minorEastAsia" w:hAnsiTheme="minorHAnsi" w:cstheme="minorHAnsi"/>
              <w:noProof/>
              <w:sz w:val="24"/>
              <w:szCs w:val="24"/>
            </w:rPr>
          </w:pPr>
          <w:hyperlink w:anchor="_Toc42082620" w:history="1">
            <w:r w:rsidR="009A7089" w:rsidRPr="009A7089">
              <w:rPr>
                <w:rStyle w:val="Hyperlink"/>
                <w:rFonts w:asciiTheme="minorHAnsi" w:hAnsiTheme="minorHAnsi" w:cstheme="minorHAnsi"/>
                <w:noProof/>
                <w:sz w:val="24"/>
                <w:szCs w:val="24"/>
              </w:rPr>
              <w:t>Evaluation: Option 2</w:t>
            </w:r>
            <w:r w:rsidR="009A7089" w:rsidRPr="009A7089">
              <w:rPr>
                <w:rFonts w:asciiTheme="minorHAnsi" w:hAnsiTheme="minorHAnsi" w:cstheme="minorHAnsi"/>
                <w:noProof/>
                <w:webHidden/>
                <w:sz w:val="24"/>
                <w:szCs w:val="24"/>
              </w:rPr>
              <w:tab/>
            </w:r>
            <w:r w:rsidR="009A7089" w:rsidRPr="009A7089">
              <w:rPr>
                <w:rFonts w:asciiTheme="minorHAnsi" w:hAnsiTheme="minorHAnsi" w:cstheme="minorHAnsi"/>
                <w:noProof/>
                <w:webHidden/>
                <w:sz w:val="24"/>
                <w:szCs w:val="24"/>
              </w:rPr>
              <w:fldChar w:fldCharType="begin"/>
            </w:r>
            <w:r w:rsidR="009A7089" w:rsidRPr="009A7089">
              <w:rPr>
                <w:rFonts w:asciiTheme="minorHAnsi" w:hAnsiTheme="minorHAnsi" w:cstheme="minorHAnsi"/>
                <w:noProof/>
                <w:webHidden/>
                <w:sz w:val="24"/>
                <w:szCs w:val="24"/>
              </w:rPr>
              <w:instrText xml:space="preserve"> PAGEREF _Toc42082620 \h </w:instrText>
            </w:r>
            <w:r w:rsidR="009A7089" w:rsidRPr="009A7089">
              <w:rPr>
                <w:rFonts w:asciiTheme="minorHAnsi" w:hAnsiTheme="minorHAnsi" w:cstheme="minorHAnsi"/>
                <w:noProof/>
                <w:webHidden/>
                <w:sz w:val="24"/>
                <w:szCs w:val="24"/>
              </w:rPr>
            </w:r>
            <w:r w:rsidR="009A7089" w:rsidRPr="009A7089">
              <w:rPr>
                <w:rFonts w:asciiTheme="minorHAnsi" w:hAnsiTheme="minorHAnsi" w:cstheme="minorHAnsi"/>
                <w:noProof/>
                <w:webHidden/>
                <w:sz w:val="24"/>
                <w:szCs w:val="24"/>
              </w:rPr>
              <w:fldChar w:fldCharType="separate"/>
            </w:r>
            <w:r w:rsidR="009A7089" w:rsidRPr="009A7089">
              <w:rPr>
                <w:rFonts w:asciiTheme="minorHAnsi" w:hAnsiTheme="minorHAnsi" w:cstheme="minorHAnsi"/>
                <w:noProof/>
                <w:webHidden/>
                <w:sz w:val="24"/>
                <w:szCs w:val="24"/>
              </w:rPr>
              <w:t>24</w:t>
            </w:r>
            <w:r w:rsidR="009A7089" w:rsidRPr="009A7089">
              <w:rPr>
                <w:rFonts w:asciiTheme="minorHAnsi" w:hAnsiTheme="minorHAnsi" w:cstheme="minorHAnsi"/>
                <w:noProof/>
                <w:webHidden/>
                <w:sz w:val="24"/>
                <w:szCs w:val="24"/>
              </w:rPr>
              <w:fldChar w:fldCharType="end"/>
            </w:r>
          </w:hyperlink>
        </w:p>
        <w:p w:rsidR="009A7089" w:rsidRPr="009A7089" w:rsidRDefault="004B05DA">
          <w:pPr>
            <w:pStyle w:val="TOC1"/>
            <w:tabs>
              <w:tab w:val="right" w:leader="dot" w:pos="9016"/>
            </w:tabs>
            <w:rPr>
              <w:rFonts w:asciiTheme="minorHAnsi" w:eastAsiaTheme="minorEastAsia" w:hAnsiTheme="minorHAnsi" w:cstheme="minorHAnsi"/>
              <w:noProof/>
              <w:sz w:val="24"/>
              <w:szCs w:val="24"/>
            </w:rPr>
          </w:pPr>
          <w:hyperlink w:anchor="_Toc42082621" w:history="1">
            <w:r w:rsidR="009A7089" w:rsidRPr="009A7089">
              <w:rPr>
                <w:rStyle w:val="Hyperlink"/>
                <w:rFonts w:asciiTheme="minorHAnsi" w:hAnsiTheme="minorHAnsi" w:cstheme="minorHAnsi"/>
                <w:noProof/>
                <w:sz w:val="24"/>
                <w:szCs w:val="24"/>
              </w:rPr>
              <w:t>Evaluation: Option 3</w:t>
            </w:r>
            <w:r w:rsidR="009A7089" w:rsidRPr="009A7089">
              <w:rPr>
                <w:rFonts w:asciiTheme="minorHAnsi" w:hAnsiTheme="minorHAnsi" w:cstheme="minorHAnsi"/>
                <w:noProof/>
                <w:webHidden/>
                <w:sz w:val="24"/>
                <w:szCs w:val="24"/>
              </w:rPr>
              <w:tab/>
            </w:r>
            <w:r w:rsidR="009A7089" w:rsidRPr="009A7089">
              <w:rPr>
                <w:rFonts w:asciiTheme="minorHAnsi" w:hAnsiTheme="minorHAnsi" w:cstheme="minorHAnsi"/>
                <w:noProof/>
                <w:webHidden/>
                <w:sz w:val="24"/>
                <w:szCs w:val="24"/>
              </w:rPr>
              <w:fldChar w:fldCharType="begin"/>
            </w:r>
            <w:r w:rsidR="009A7089" w:rsidRPr="009A7089">
              <w:rPr>
                <w:rFonts w:asciiTheme="minorHAnsi" w:hAnsiTheme="minorHAnsi" w:cstheme="minorHAnsi"/>
                <w:noProof/>
                <w:webHidden/>
                <w:sz w:val="24"/>
                <w:szCs w:val="24"/>
              </w:rPr>
              <w:instrText xml:space="preserve"> PAGEREF _Toc42082621 \h </w:instrText>
            </w:r>
            <w:r w:rsidR="009A7089" w:rsidRPr="009A7089">
              <w:rPr>
                <w:rFonts w:asciiTheme="minorHAnsi" w:hAnsiTheme="minorHAnsi" w:cstheme="minorHAnsi"/>
                <w:noProof/>
                <w:webHidden/>
                <w:sz w:val="24"/>
                <w:szCs w:val="24"/>
              </w:rPr>
            </w:r>
            <w:r w:rsidR="009A7089" w:rsidRPr="009A7089">
              <w:rPr>
                <w:rFonts w:asciiTheme="minorHAnsi" w:hAnsiTheme="minorHAnsi" w:cstheme="minorHAnsi"/>
                <w:noProof/>
                <w:webHidden/>
                <w:sz w:val="24"/>
                <w:szCs w:val="24"/>
              </w:rPr>
              <w:fldChar w:fldCharType="separate"/>
            </w:r>
            <w:r w:rsidR="009A7089" w:rsidRPr="009A7089">
              <w:rPr>
                <w:rFonts w:asciiTheme="minorHAnsi" w:hAnsiTheme="minorHAnsi" w:cstheme="minorHAnsi"/>
                <w:noProof/>
                <w:webHidden/>
                <w:sz w:val="24"/>
                <w:szCs w:val="24"/>
              </w:rPr>
              <w:t>26</w:t>
            </w:r>
            <w:r w:rsidR="009A7089" w:rsidRPr="009A7089">
              <w:rPr>
                <w:rFonts w:asciiTheme="minorHAnsi" w:hAnsiTheme="minorHAnsi" w:cstheme="minorHAnsi"/>
                <w:noProof/>
                <w:webHidden/>
                <w:sz w:val="24"/>
                <w:szCs w:val="24"/>
              </w:rPr>
              <w:fldChar w:fldCharType="end"/>
            </w:r>
          </w:hyperlink>
        </w:p>
        <w:p w:rsidR="009A7089" w:rsidRPr="009A7089" w:rsidRDefault="004B05DA">
          <w:pPr>
            <w:pStyle w:val="TOC2"/>
            <w:tabs>
              <w:tab w:val="right" w:leader="dot" w:pos="9016"/>
            </w:tabs>
            <w:rPr>
              <w:rFonts w:asciiTheme="minorHAnsi" w:eastAsiaTheme="minorEastAsia" w:hAnsiTheme="minorHAnsi" w:cstheme="minorHAnsi"/>
              <w:noProof/>
              <w:sz w:val="24"/>
              <w:szCs w:val="24"/>
            </w:rPr>
          </w:pPr>
          <w:hyperlink w:anchor="_Toc42082622" w:history="1">
            <w:r w:rsidR="009A7089" w:rsidRPr="009A7089">
              <w:rPr>
                <w:rStyle w:val="Hyperlink"/>
                <w:rFonts w:asciiTheme="minorHAnsi" w:hAnsiTheme="minorHAnsi" w:cstheme="minorHAnsi"/>
                <w:noProof/>
                <w:sz w:val="24"/>
                <w:szCs w:val="24"/>
              </w:rPr>
              <w:t>Internal Rate of Return</w:t>
            </w:r>
            <w:r w:rsidR="009A7089" w:rsidRPr="009A7089">
              <w:rPr>
                <w:rFonts w:asciiTheme="minorHAnsi" w:hAnsiTheme="minorHAnsi" w:cstheme="minorHAnsi"/>
                <w:noProof/>
                <w:webHidden/>
                <w:sz w:val="24"/>
                <w:szCs w:val="24"/>
              </w:rPr>
              <w:tab/>
            </w:r>
            <w:r w:rsidR="009A7089" w:rsidRPr="009A7089">
              <w:rPr>
                <w:rFonts w:asciiTheme="minorHAnsi" w:hAnsiTheme="minorHAnsi" w:cstheme="minorHAnsi"/>
                <w:noProof/>
                <w:webHidden/>
                <w:sz w:val="24"/>
                <w:szCs w:val="24"/>
              </w:rPr>
              <w:fldChar w:fldCharType="begin"/>
            </w:r>
            <w:r w:rsidR="009A7089" w:rsidRPr="009A7089">
              <w:rPr>
                <w:rFonts w:asciiTheme="minorHAnsi" w:hAnsiTheme="minorHAnsi" w:cstheme="minorHAnsi"/>
                <w:noProof/>
                <w:webHidden/>
                <w:sz w:val="24"/>
                <w:szCs w:val="24"/>
              </w:rPr>
              <w:instrText xml:space="preserve"> PAGEREF _Toc42082622 \h </w:instrText>
            </w:r>
            <w:r w:rsidR="009A7089" w:rsidRPr="009A7089">
              <w:rPr>
                <w:rFonts w:asciiTheme="minorHAnsi" w:hAnsiTheme="minorHAnsi" w:cstheme="minorHAnsi"/>
                <w:noProof/>
                <w:webHidden/>
                <w:sz w:val="24"/>
                <w:szCs w:val="24"/>
              </w:rPr>
            </w:r>
            <w:r w:rsidR="009A7089" w:rsidRPr="009A7089">
              <w:rPr>
                <w:rFonts w:asciiTheme="minorHAnsi" w:hAnsiTheme="minorHAnsi" w:cstheme="minorHAnsi"/>
                <w:noProof/>
                <w:webHidden/>
                <w:sz w:val="24"/>
                <w:szCs w:val="24"/>
              </w:rPr>
              <w:fldChar w:fldCharType="separate"/>
            </w:r>
            <w:r w:rsidR="009A7089" w:rsidRPr="009A7089">
              <w:rPr>
                <w:rFonts w:asciiTheme="minorHAnsi" w:hAnsiTheme="minorHAnsi" w:cstheme="minorHAnsi"/>
                <w:noProof/>
                <w:webHidden/>
                <w:sz w:val="24"/>
                <w:szCs w:val="24"/>
              </w:rPr>
              <w:t>26</w:t>
            </w:r>
            <w:r w:rsidR="009A7089" w:rsidRPr="009A7089">
              <w:rPr>
                <w:rFonts w:asciiTheme="minorHAnsi" w:hAnsiTheme="minorHAnsi" w:cstheme="minorHAnsi"/>
                <w:noProof/>
                <w:webHidden/>
                <w:sz w:val="24"/>
                <w:szCs w:val="24"/>
              </w:rPr>
              <w:fldChar w:fldCharType="end"/>
            </w:r>
          </w:hyperlink>
        </w:p>
        <w:p w:rsidR="009A7089" w:rsidRPr="009A7089" w:rsidRDefault="004B05DA">
          <w:pPr>
            <w:pStyle w:val="TOC2"/>
            <w:tabs>
              <w:tab w:val="right" w:leader="dot" w:pos="9016"/>
            </w:tabs>
            <w:rPr>
              <w:rFonts w:asciiTheme="minorHAnsi" w:eastAsiaTheme="minorEastAsia" w:hAnsiTheme="minorHAnsi" w:cstheme="minorHAnsi"/>
              <w:noProof/>
              <w:sz w:val="24"/>
              <w:szCs w:val="24"/>
            </w:rPr>
          </w:pPr>
          <w:hyperlink w:anchor="_Toc42082623" w:history="1">
            <w:r w:rsidR="009A7089" w:rsidRPr="009A7089">
              <w:rPr>
                <w:rStyle w:val="Hyperlink"/>
                <w:rFonts w:asciiTheme="minorHAnsi" w:hAnsiTheme="minorHAnsi" w:cstheme="minorHAnsi"/>
                <w:noProof/>
                <w:sz w:val="24"/>
                <w:szCs w:val="24"/>
              </w:rPr>
              <w:t>Arguments for choice</w:t>
            </w:r>
            <w:r w:rsidR="009A7089" w:rsidRPr="009A7089">
              <w:rPr>
                <w:rFonts w:asciiTheme="minorHAnsi" w:hAnsiTheme="minorHAnsi" w:cstheme="minorHAnsi"/>
                <w:noProof/>
                <w:webHidden/>
                <w:sz w:val="24"/>
                <w:szCs w:val="24"/>
              </w:rPr>
              <w:tab/>
            </w:r>
            <w:r w:rsidR="009A7089" w:rsidRPr="009A7089">
              <w:rPr>
                <w:rFonts w:asciiTheme="minorHAnsi" w:hAnsiTheme="minorHAnsi" w:cstheme="minorHAnsi"/>
                <w:noProof/>
                <w:webHidden/>
                <w:sz w:val="24"/>
                <w:szCs w:val="24"/>
              </w:rPr>
              <w:fldChar w:fldCharType="begin"/>
            </w:r>
            <w:r w:rsidR="009A7089" w:rsidRPr="009A7089">
              <w:rPr>
                <w:rFonts w:asciiTheme="minorHAnsi" w:hAnsiTheme="minorHAnsi" w:cstheme="minorHAnsi"/>
                <w:noProof/>
                <w:webHidden/>
                <w:sz w:val="24"/>
                <w:szCs w:val="24"/>
              </w:rPr>
              <w:instrText xml:space="preserve"> PAGEREF _Toc42082623 \h </w:instrText>
            </w:r>
            <w:r w:rsidR="009A7089" w:rsidRPr="009A7089">
              <w:rPr>
                <w:rFonts w:asciiTheme="minorHAnsi" w:hAnsiTheme="minorHAnsi" w:cstheme="minorHAnsi"/>
                <w:noProof/>
                <w:webHidden/>
                <w:sz w:val="24"/>
                <w:szCs w:val="24"/>
              </w:rPr>
            </w:r>
            <w:r w:rsidR="009A7089" w:rsidRPr="009A7089">
              <w:rPr>
                <w:rFonts w:asciiTheme="minorHAnsi" w:hAnsiTheme="minorHAnsi" w:cstheme="minorHAnsi"/>
                <w:noProof/>
                <w:webHidden/>
                <w:sz w:val="24"/>
                <w:szCs w:val="24"/>
              </w:rPr>
              <w:fldChar w:fldCharType="separate"/>
            </w:r>
            <w:r w:rsidR="009A7089" w:rsidRPr="009A7089">
              <w:rPr>
                <w:rFonts w:asciiTheme="minorHAnsi" w:hAnsiTheme="minorHAnsi" w:cstheme="minorHAnsi"/>
                <w:noProof/>
                <w:webHidden/>
                <w:sz w:val="24"/>
                <w:szCs w:val="24"/>
              </w:rPr>
              <w:t>27</w:t>
            </w:r>
            <w:r w:rsidR="009A7089" w:rsidRPr="009A7089">
              <w:rPr>
                <w:rFonts w:asciiTheme="minorHAnsi" w:hAnsiTheme="minorHAnsi" w:cstheme="minorHAnsi"/>
                <w:noProof/>
                <w:webHidden/>
                <w:sz w:val="24"/>
                <w:szCs w:val="24"/>
              </w:rPr>
              <w:fldChar w:fldCharType="end"/>
            </w:r>
          </w:hyperlink>
        </w:p>
        <w:p w:rsidR="009A7089" w:rsidRPr="009A7089" w:rsidRDefault="004B05DA">
          <w:pPr>
            <w:pStyle w:val="TOC2"/>
            <w:tabs>
              <w:tab w:val="right" w:leader="dot" w:pos="9016"/>
            </w:tabs>
            <w:rPr>
              <w:rFonts w:asciiTheme="minorHAnsi" w:eastAsiaTheme="minorEastAsia" w:hAnsiTheme="minorHAnsi" w:cstheme="minorHAnsi"/>
              <w:noProof/>
              <w:sz w:val="24"/>
              <w:szCs w:val="24"/>
            </w:rPr>
          </w:pPr>
          <w:hyperlink w:anchor="_Toc42082624" w:history="1">
            <w:r w:rsidR="009A7089" w:rsidRPr="009A7089">
              <w:rPr>
                <w:rStyle w:val="Hyperlink"/>
                <w:rFonts w:asciiTheme="minorHAnsi" w:hAnsiTheme="minorHAnsi" w:cstheme="minorHAnsi"/>
                <w:noProof/>
                <w:sz w:val="24"/>
                <w:szCs w:val="24"/>
              </w:rPr>
              <w:t>Non-discounting methods of investment appraisals</w:t>
            </w:r>
            <w:r w:rsidR="009A7089" w:rsidRPr="009A7089">
              <w:rPr>
                <w:rFonts w:asciiTheme="minorHAnsi" w:hAnsiTheme="minorHAnsi" w:cstheme="minorHAnsi"/>
                <w:noProof/>
                <w:webHidden/>
                <w:sz w:val="24"/>
                <w:szCs w:val="24"/>
              </w:rPr>
              <w:tab/>
            </w:r>
            <w:r w:rsidR="009A7089" w:rsidRPr="009A7089">
              <w:rPr>
                <w:rFonts w:asciiTheme="minorHAnsi" w:hAnsiTheme="minorHAnsi" w:cstheme="minorHAnsi"/>
                <w:noProof/>
                <w:webHidden/>
                <w:sz w:val="24"/>
                <w:szCs w:val="24"/>
              </w:rPr>
              <w:fldChar w:fldCharType="begin"/>
            </w:r>
            <w:r w:rsidR="009A7089" w:rsidRPr="009A7089">
              <w:rPr>
                <w:rFonts w:asciiTheme="minorHAnsi" w:hAnsiTheme="minorHAnsi" w:cstheme="minorHAnsi"/>
                <w:noProof/>
                <w:webHidden/>
                <w:sz w:val="24"/>
                <w:szCs w:val="24"/>
              </w:rPr>
              <w:instrText xml:space="preserve"> PAGEREF _Toc42082624 \h </w:instrText>
            </w:r>
            <w:r w:rsidR="009A7089" w:rsidRPr="009A7089">
              <w:rPr>
                <w:rFonts w:asciiTheme="minorHAnsi" w:hAnsiTheme="minorHAnsi" w:cstheme="minorHAnsi"/>
                <w:noProof/>
                <w:webHidden/>
                <w:sz w:val="24"/>
                <w:szCs w:val="24"/>
              </w:rPr>
            </w:r>
            <w:r w:rsidR="009A7089" w:rsidRPr="009A7089">
              <w:rPr>
                <w:rFonts w:asciiTheme="minorHAnsi" w:hAnsiTheme="minorHAnsi" w:cstheme="minorHAnsi"/>
                <w:noProof/>
                <w:webHidden/>
                <w:sz w:val="24"/>
                <w:szCs w:val="24"/>
              </w:rPr>
              <w:fldChar w:fldCharType="separate"/>
            </w:r>
            <w:r w:rsidR="009A7089" w:rsidRPr="009A7089">
              <w:rPr>
                <w:rFonts w:asciiTheme="minorHAnsi" w:hAnsiTheme="minorHAnsi" w:cstheme="minorHAnsi"/>
                <w:noProof/>
                <w:webHidden/>
                <w:sz w:val="24"/>
                <w:szCs w:val="24"/>
              </w:rPr>
              <w:t>27</w:t>
            </w:r>
            <w:r w:rsidR="009A7089" w:rsidRPr="009A7089">
              <w:rPr>
                <w:rFonts w:asciiTheme="minorHAnsi" w:hAnsiTheme="minorHAnsi" w:cstheme="minorHAnsi"/>
                <w:noProof/>
                <w:webHidden/>
                <w:sz w:val="24"/>
                <w:szCs w:val="24"/>
              </w:rPr>
              <w:fldChar w:fldCharType="end"/>
            </w:r>
          </w:hyperlink>
        </w:p>
        <w:p w:rsidR="009A7089" w:rsidRPr="009A7089" w:rsidRDefault="004B05DA">
          <w:pPr>
            <w:pStyle w:val="TOC2"/>
            <w:tabs>
              <w:tab w:val="right" w:leader="dot" w:pos="9016"/>
            </w:tabs>
            <w:rPr>
              <w:rFonts w:asciiTheme="minorHAnsi" w:eastAsiaTheme="minorEastAsia" w:hAnsiTheme="minorHAnsi" w:cstheme="minorHAnsi"/>
              <w:noProof/>
              <w:sz w:val="24"/>
              <w:szCs w:val="24"/>
            </w:rPr>
          </w:pPr>
          <w:hyperlink w:anchor="_Toc42082625" w:history="1">
            <w:r w:rsidR="009A7089" w:rsidRPr="009A7089">
              <w:rPr>
                <w:rStyle w:val="Hyperlink"/>
                <w:rFonts w:asciiTheme="minorHAnsi" w:hAnsiTheme="minorHAnsi" w:cstheme="minorHAnsi"/>
                <w:noProof/>
                <w:sz w:val="24"/>
                <w:szCs w:val="24"/>
              </w:rPr>
              <w:t>Important factors</w:t>
            </w:r>
            <w:r w:rsidR="009A7089" w:rsidRPr="009A7089">
              <w:rPr>
                <w:rFonts w:asciiTheme="minorHAnsi" w:hAnsiTheme="minorHAnsi" w:cstheme="minorHAnsi"/>
                <w:noProof/>
                <w:webHidden/>
                <w:sz w:val="24"/>
                <w:szCs w:val="24"/>
              </w:rPr>
              <w:tab/>
            </w:r>
            <w:r w:rsidR="009A7089" w:rsidRPr="009A7089">
              <w:rPr>
                <w:rFonts w:asciiTheme="minorHAnsi" w:hAnsiTheme="minorHAnsi" w:cstheme="minorHAnsi"/>
                <w:noProof/>
                <w:webHidden/>
                <w:sz w:val="24"/>
                <w:szCs w:val="24"/>
              </w:rPr>
              <w:fldChar w:fldCharType="begin"/>
            </w:r>
            <w:r w:rsidR="009A7089" w:rsidRPr="009A7089">
              <w:rPr>
                <w:rFonts w:asciiTheme="minorHAnsi" w:hAnsiTheme="minorHAnsi" w:cstheme="minorHAnsi"/>
                <w:noProof/>
                <w:webHidden/>
                <w:sz w:val="24"/>
                <w:szCs w:val="24"/>
              </w:rPr>
              <w:instrText xml:space="preserve"> PAGEREF _Toc42082625 \h </w:instrText>
            </w:r>
            <w:r w:rsidR="009A7089" w:rsidRPr="009A7089">
              <w:rPr>
                <w:rFonts w:asciiTheme="minorHAnsi" w:hAnsiTheme="minorHAnsi" w:cstheme="minorHAnsi"/>
                <w:noProof/>
                <w:webHidden/>
                <w:sz w:val="24"/>
                <w:szCs w:val="24"/>
              </w:rPr>
            </w:r>
            <w:r w:rsidR="009A7089" w:rsidRPr="009A7089">
              <w:rPr>
                <w:rFonts w:asciiTheme="minorHAnsi" w:hAnsiTheme="minorHAnsi" w:cstheme="minorHAnsi"/>
                <w:noProof/>
                <w:webHidden/>
                <w:sz w:val="24"/>
                <w:szCs w:val="24"/>
              </w:rPr>
              <w:fldChar w:fldCharType="separate"/>
            </w:r>
            <w:r w:rsidR="009A7089" w:rsidRPr="009A7089">
              <w:rPr>
                <w:rFonts w:asciiTheme="minorHAnsi" w:hAnsiTheme="minorHAnsi" w:cstheme="minorHAnsi"/>
                <w:noProof/>
                <w:webHidden/>
                <w:sz w:val="24"/>
                <w:szCs w:val="24"/>
              </w:rPr>
              <w:t>28</w:t>
            </w:r>
            <w:r w:rsidR="009A7089" w:rsidRPr="009A7089">
              <w:rPr>
                <w:rFonts w:asciiTheme="minorHAnsi" w:hAnsiTheme="minorHAnsi" w:cstheme="minorHAnsi"/>
                <w:noProof/>
                <w:webHidden/>
                <w:sz w:val="24"/>
                <w:szCs w:val="24"/>
              </w:rPr>
              <w:fldChar w:fldCharType="end"/>
            </w:r>
          </w:hyperlink>
        </w:p>
        <w:p w:rsidR="009A7089" w:rsidRPr="009A7089" w:rsidRDefault="004B05DA">
          <w:pPr>
            <w:pStyle w:val="TOC1"/>
            <w:tabs>
              <w:tab w:val="right" w:leader="dot" w:pos="9016"/>
            </w:tabs>
            <w:rPr>
              <w:rFonts w:asciiTheme="minorHAnsi" w:eastAsiaTheme="minorEastAsia" w:hAnsiTheme="minorHAnsi" w:cstheme="minorHAnsi"/>
              <w:noProof/>
              <w:sz w:val="24"/>
              <w:szCs w:val="24"/>
            </w:rPr>
          </w:pPr>
          <w:hyperlink w:anchor="_Toc42082628" w:history="1">
            <w:r w:rsidR="009A7089" w:rsidRPr="009A7089">
              <w:rPr>
                <w:rStyle w:val="Hyperlink"/>
                <w:rFonts w:asciiTheme="minorHAnsi" w:hAnsiTheme="minorHAnsi" w:cstheme="minorHAnsi"/>
                <w:noProof/>
                <w:sz w:val="24"/>
                <w:szCs w:val="24"/>
              </w:rPr>
              <w:t>Proposed Investment</w:t>
            </w:r>
            <w:r w:rsidR="009A7089" w:rsidRPr="009A7089">
              <w:rPr>
                <w:rFonts w:asciiTheme="minorHAnsi" w:hAnsiTheme="minorHAnsi" w:cstheme="minorHAnsi"/>
                <w:noProof/>
                <w:webHidden/>
                <w:sz w:val="24"/>
                <w:szCs w:val="24"/>
              </w:rPr>
              <w:tab/>
            </w:r>
            <w:r w:rsidR="009A7089" w:rsidRPr="009A7089">
              <w:rPr>
                <w:rFonts w:asciiTheme="minorHAnsi" w:hAnsiTheme="minorHAnsi" w:cstheme="minorHAnsi"/>
                <w:noProof/>
                <w:webHidden/>
                <w:sz w:val="24"/>
                <w:szCs w:val="24"/>
              </w:rPr>
              <w:fldChar w:fldCharType="begin"/>
            </w:r>
            <w:r w:rsidR="009A7089" w:rsidRPr="009A7089">
              <w:rPr>
                <w:rFonts w:asciiTheme="minorHAnsi" w:hAnsiTheme="minorHAnsi" w:cstheme="minorHAnsi"/>
                <w:noProof/>
                <w:webHidden/>
                <w:sz w:val="24"/>
                <w:szCs w:val="24"/>
              </w:rPr>
              <w:instrText xml:space="preserve"> PAGEREF _Toc42082628 \h </w:instrText>
            </w:r>
            <w:r w:rsidR="009A7089" w:rsidRPr="009A7089">
              <w:rPr>
                <w:rFonts w:asciiTheme="minorHAnsi" w:hAnsiTheme="minorHAnsi" w:cstheme="minorHAnsi"/>
                <w:noProof/>
                <w:webHidden/>
                <w:sz w:val="24"/>
                <w:szCs w:val="24"/>
              </w:rPr>
            </w:r>
            <w:r w:rsidR="009A7089" w:rsidRPr="009A7089">
              <w:rPr>
                <w:rFonts w:asciiTheme="minorHAnsi" w:hAnsiTheme="minorHAnsi" w:cstheme="minorHAnsi"/>
                <w:noProof/>
                <w:webHidden/>
                <w:sz w:val="24"/>
                <w:szCs w:val="24"/>
              </w:rPr>
              <w:fldChar w:fldCharType="separate"/>
            </w:r>
            <w:r w:rsidR="009A7089" w:rsidRPr="009A7089">
              <w:rPr>
                <w:rFonts w:asciiTheme="minorHAnsi" w:hAnsiTheme="minorHAnsi" w:cstheme="minorHAnsi"/>
                <w:noProof/>
                <w:webHidden/>
                <w:sz w:val="24"/>
                <w:szCs w:val="24"/>
              </w:rPr>
              <w:t>29</w:t>
            </w:r>
            <w:r w:rsidR="009A7089" w:rsidRPr="009A7089">
              <w:rPr>
                <w:rFonts w:asciiTheme="minorHAnsi" w:hAnsiTheme="minorHAnsi" w:cstheme="minorHAnsi"/>
                <w:noProof/>
                <w:webHidden/>
                <w:sz w:val="24"/>
                <w:szCs w:val="24"/>
              </w:rPr>
              <w:fldChar w:fldCharType="end"/>
            </w:r>
          </w:hyperlink>
        </w:p>
        <w:p w:rsidR="009A7089" w:rsidRDefault="004B05DA">
          <w:pPr>
            <w:pStyle w:val="TOC1"/>
            <w:tabs>
              <w:tab w:val="right" w:leader="dot" w:pos="9016"/>
            </w:tabs>
            <w:rPr>
              <w:rFonts w:asciiTheme="minorHAnsi" w:eastAsiaTheme="minorEastAsia" w:hAnsiTheme="minorHAnsi" w:cstheme="minorBidi"/>
              <w:noProof/>
              <w:sz w:val="22"/>
              <w:szCs w:val="22"/>
            </w:rPr>
          </w:pPr>
          <w:hyperlink w:anchor="_Toc42082629" w:history="1">
            <w:r w:rsidR="009A7089" w:rsidRPr="009A7089">
              <w:rPr>
                <w:rStyle w:val="Hyperlink"/>
                <w:rFonts w:asciiTheme="minorHAnsi" w:hAnsiTheme="minorHAnsi" w:cstheme="minorHAnsi"/>
                <w:noProof/>
                <w:sz w:val="24"/>
                <w:szCs w:val="24"/>
              </w:rPr>
              <w:t>References</w:t>
            </w:r>
            <w:r w:rsidR="009A7089" w:rsidRPr="009A7089">
              <w:rPr>
                <w:rFonts w:asciiTheme="minorHAnsi" w:hAnsiTheme="minorHAnsi" w:cstheme="minorHAnsi"/>
                <w:noProof/>
                <w:webHidden/>
                <w:sz w:val="24"/>
                <w:szCs w:val="24"/>
              </w:rPr>
              <w:tab/>
            </w:r>
            <w:r w:rsidR="009A7089" w:rsidRPr="009A7089">
              <w:rPr>
                <w:rFonts w:asciiTheme="minorHAnsi" w:hAnsiTheme="minorHAnsi" w:cstheme="minorHAnsi"/>
                <w:noProof/>
                <w:webHidden/>
                <w:sz w:val="24"/>
                <w:szCs w:val="24"/>
              </w:rPr>
              <w:fldChar w:fldCharType="begin"/>
            </w:r>
            <w:r w:rsidR="009A7089" w:rsidRPr="009A7089">
              <w:rPr>
                <w:rFonts w:asciiTheme="minorHAnsi" w:hAnsiTheme="minorHAnsi" w:cstheme="minorHAnsi"/>
                <w:noProof/>
                <w:webHidden/>
                <w:sz w:val="24"/>
                <w:szCs w:val="24"/>
              </w:rPr>
              <w:instrText xml:space="preserve"> PAGEREF _Toc42082629 \h </w:instrText>
            </w:r>
            <w:r w:rsidR="009A7089" w:rsidRPr="009A7089">
              <w:rPr>
                <w:rFonts w:asciiTheme="minorHAnsi" w:hAnsiTheme="minorHAnsi" w:cstheme="minorHAnsi"/>
                <w:noProof/>
                <w:webHidden/>
                <w:sz w:val="24"/>
                <w:szCs w:val="24"/>
              </w:rPr>
            </w:r>
            <w:r w:rsidR="009A7089" w:rsidRPr="009A7089">
              <w:rPr>
                <w:rFonts w:asciiTheme="minorHAnsi" w:hAnsiTheme="minorHAnsi" w:cstheme="minorHAnsi"/>
                <w:noProof/>
                <w:webHidden/>
                <w:sz w:val="24"/>
                <w:szCs w:val="24"/>
              </w:rPr>
              <w:fldChar w:fldCharType="separate"/>
            </w:r>
            <w:r w:rsidR="009A7089" w:rsidRPr="009A7089">
              <w:rPr>
                <w:rFonts w:asciiTheme="minorHAnsi" w:hAnsiTheme="minorHAnsi" w:cstheme="minorHAnsi"/>
                <w:noProof/>
                <w:webHidden/>
                <w:sz w:val="24"/>
                <w:szCs w:val="24"/>
              </w:rPr>
              <w:t>30</w:t>
            </w:r>
            <w:r w:rsidR="009A7089" w:rsidRPr="009A7089">
              <w:rPr>
                <w:rFonts w:asciiTheme="minorHAnsi" w:hAnsiTheme="minorHAnsi" w:cstheme="minorHAnsi"/>
                <w:noProof/>
                <w:webHidden/>
                <w:sz w:val="24"/>
                <w:szCs w:val="24"/>
              </w:rPr>
              <w:fldChar w:fldCharType="end"/>
            </w:r>
          </w:hyperlink>
        </w:p>
        <w:p w:rsidR="00E71456" w:rsidRPr="00B03261" w:rsidRDefault="00E71456" w:rsidP="00254FBD">
          <w:pPr>
            <w:spacing w:line="360" w:lineRule="auto"/>
            <w:rPr>
              <w:rFonts w:asciiTheme="minorHAnsi" w:hAnsiTheme="minorHAnsi" w:cstheme="minorHAnsi"/>
              <w:sz w:val="24"/>
              <w:szCs w:val="24"/>
            </w:rPr>
          </w:pPr>
          <w:r w:rsidRPr="00B03261">
            <w:rPr>
              <w:rFonts w:asciiTheme="minorHAnsi" w:hAnsiTheme="minorHAnsi" w:cstheme="minorHAnsi"/>
              <w:b/>
              <w:bCs/>
              <w:noProof/>
              <w:sz w:val="24"/>
              <w:szCs w:val="24"/>
            </w:rPr>
            <w:fldChar w:fldCharType="end"/>
          </w:r>
        </w:p>
      </w:sdtContent>
    </w:sdt>
    <w:p w:rsidR="00823608" w:rsidRPr="00254FBD" w:rsidRDefault="00823608" w:rsidP="00254FBD">
      <w:pPr>
        <w:spacing w:after="160" w:line="360" w:lineRule="auto"/>
        <w:rPr>
          <w:rFonts w:asciiTheme="minorHAnsi" w:eastAsiaTheme="majorEastAsia" w:hAnsiTheme="minorHAnsi" w:cstheme="minorHAnsi"/>
          <w:b/>
          <w:bCs/>
          <w:sz w:val="24"/>
          <w:szCs w:val="24"/>
          <w:lang w:eastAsia="en-US"/>
        </w:rPr>
      </w:pPr>
      <w:r w:rsidRPr="00254FBD">
        <w:rPr>
          <w:rFonts w:asciiTheme="minorHAnsi" w:hAnsiTheme="minorHAnsi" w:cstheme="minorHAnsi"/>
          <w:sz w:val="24"/>
          <w:szCs w:val="24"/>
        </w:rPr>
        <w:br w:type="page"/>
      </w:r>
    </w:p>
    <w:p w:rsidR="00E01696" w:rsidRPr="00254FBD" w:rsidRDefault="00E01696" w:rsidP="00254FBD">
      <w:pPr>
        <w:pStyle w:val="Heading1"/>
        <w:spacing w:line="360" w:lineRule="auto"/>
        <w:rPr>
          <w:rFonts w:cstheme="minorHAnsi"/>
          <w:sz w:val="24"/>
          <w:szCs w:val="24"/>
        </w:rPr>
      </w:pPr>
      <w:bookmarkStart w:id="0" w:name="_Toc42082600"/>
      <w:r w:rsidRPr="00254FBD">
        <w:rPr>
          <w:rFonts w:cstheme="minorHAnsi"/>
          <w:sz w:val="24"/>
          <w:szCs w:val="24"/>
        </w:rPr>
        <w:lastRenderedPageBreak/>
        <w:t>Terms of Reference</w:t>
      </w:r>
      <w:bookmarkEnd w:id="0"/>
    </w:p>
    <w:p w:rsidR="00E71456" w:rsidRPr="00254FBD" w:rsidRDefault="00E71456" w:rsidP="00254FBD">
      <w:pPr>
        <w:spacing w:line="360" w:lineRule="auto"/>
        <w:jc w:val="both"/>
        <w:textAlignment w:val="baseline"/>
        <w:rPr>
          <w:rFonts w:asciiTheme="minorHAnsi" w:hAnsiTheme="minorHAnsi" w:cstheme="minorHAnsi"/>
          <w:kern w:val="24"/>
          <w:sz w:val="24"/>
          <w:szCs w:val="24"/>
        </w:rPr>
      </w:pPr>
      <w:r w:rsidRPr="00254FBD">
        <w:rPr>
          <w:rFonts w:asciiTheme="minorHAnsi" w:hAnsiTheme="minorHAnsi" w:cstheme="minorHAnsi"/>
          <w:kern w:val="24"/>
          <w:sz w:val="24"/>
          <w:szCs w:val="24"/>
        </w:rPr>
        <w:t xml:space="preserve">This report is dated 29th May 2020 </w:t>
      </w:r>
      <w:r w:rsidR="00823608" w:rsidRPr="00254FBD">
        <w:rPr>
          <w:rFonts w:asciiTheme="minorHAnsi" w:hAnsiTheme="minorHAnsi" w:cstheme="minorHAnsi"/>
          <w:kern w:val="24"/>
          <w:sz w:val="24"/>
          <w:szCs w:val="24"/>
        </w:rPr>
        <w:t>for the purpose of</w:t>
      </w:r>
      <w:r w:rsidRPr="00254FBD">
        <w:rPr>
          <w:rFonts w:asciiTheme="minorHAnsi" w:hAnsiTheme="minorHAnsi" w:cstheme="minorHAnsi"/>
          <w:kern w:val="24"/>
          <w:sz w:val="24"/>
          <w:szCs w:val="24"/>
        </w:rPr>
        <w:t xml:space="preserve"> critically </w:t>
      </w:r>
      <w:r w:rsidR="00823608" w:rsidRPr="00254FBD">
        <w:rPr>
          <w:rFonts w:asciiTheme="minorHAnsi" w:hAnsiTheme="minorHAnsi" w:cstheme="minorHAnsi"/>
          <w:kern w:val="24"/>
          <w:sz w:val="24"/>
          <w:szCs w:val="24"/>
        </w:rPr>
        <w:t>appraising</w:t>
      </w:r>
      <w:r w:rsidRPr="00254FBD">
        <w:rPr>
          <w:rFonts w:asciiTheme="minorHAnsi" w:hAnsiTheme="minorHAnsi" w:cstheme="minorHAnsi"/>
          <w:kern w:val="24"/>
          <w:sz w:val="24"/>
          <w:szCs w:val="24"/>
        </w:rPr>
        <w:t xml:space="preserve"> the latest published annual report for Barclays for the year ending 2019.</w:t>
      </w:r>
    </w:p>
    <w:p w:rsidR="00823608" w:rsidRPr="00254FBD" w:rsidRDefault="00823608" w:rsidP="00254FBD">
      <w:pPr>
        <w:spacing w:line="360" w:lineRule="auto"/>
        <w:jc w:val="both"/>
        <w:textAlignment w:val="baseline"/>
        <w:rPr>
          <w:rFonts w:asciiTheme="minorHAnsi" w:hAnsiTheme="minorHAnsi" w:cstheme="minorHAnsi"/>
          <w:kern w:val="24"/>
          <w:sz w:val="24"/>
          <w:szCs w:val="24"/>
        </w:rPr>
      </w:pPr>
    </w:p>
    <w:p w:rsidR="00823608" w:rsidRPr="00254FBD" w:rsidRDefault="00823608" w:rsidP="00254FBD">
      <w:pPr>
        <w:spacing w:line="360" w:lineRule="auto"/>
        <w:jc w:val="both"/>
        <w:textAlignment w:val="baseline"/>
        <w:rPr>
          <w:rFonts w:asciiTheme="minorHAnsi" w:hAnsiTheme="minorHAnsi" w:cstheme="minorHAnsi"/>
          <w:kern w:val="24"/>
          <w:sz w:val="24"/>
          <w:szCs w:val="24"/>
        </w:rPr>
      </w:pPr>
      <w:r w:rsidRPr="00254FBD">
        <w:rPr>
          <w:rFonts w:asciiTheme="minorHAnsi" w:hAnsiTheme="minorHAnsi" w:cstheme="minorHAnsi"/>
          <w:kern w:val="24"/>
          <w:sz w:val="24"/>
          <w:szCs w:val="24"/>
        </w:rPr>
        <w:t xml:space="preserve">The business report has been written for the attention of the directors of the company. </w:t>
      </w:r>
    </w:p>
    <w:p w:rsidR="00823608" w:rsidRPr="00254FBD" w:rsidRDefault="00823608" w:rsidP="00254FBD">
      <w:pPr>
        <w:spacing w:line="360" w:lineRule="auto"/>
        <w:jc w:val="both"/>
        <w:textAlignment w:val="baseline"/>
        <w:rPr>
          <w:rFonts w:asciiTheme="minorHAnsi" w:hAnsiTheme="minorHAnsi" w:cstheme="minorHAnsi"/>
          <w:kern w:val="24"/>
          <w:sz w:val="24"/>
          <w:szCs w:val="24"/>
        </w:rPr>
      </w:pPr>
    </w:p>
    <w:p w:rsidR="00823608" w:rsidRPr="00254FBD" w:rsidRDefault="00823608" w:rsidP="00254FBD">
      <w:pPr>
        <w:spacing w:line="360" w:lineRule="auto"/>
        <w:jc w:val="both"/>
        <w:textAlignment w:val="baseline"/>
        <w:rPr>
          <w:rFonts w:asciiTheme="minorHAnsi" w:hAnsiTheme="minorHAnsi" w:cstheme="minorHAnsi"/>
          <w:kern w:val="24"/>
          <w:sz w:val="24"/>
          <w:szCs w:val="24"/>
        </w:rPr>
      </w:pPr>
    </w:p>
    <w:p w:rsidR="00E71456" w:rsidRPr="00254FBD" w:rsidRDefault="00E71456" w:rsidP="00254FBD">
      <w:pPr>
        <w:spacing w:line="360" w:lineRule="auto"/>
        <w:jc w:val="both"/>
        <w:textAlignment w:val="baseline"/>
        <w:rPr>
          <w:rFonts w:asciiTheme="minorHAnsi" w:hAnsiTheme="minorHAnsi" w:cstheme="minorHAnsi"/>
          <w:kern w:val="24"/>
          <w:sz w:val="24"/>
          <w:szCs w:val="24"/>
        </w:rPr>
      </w:pPr>
    </w:p>
    <w:p w:rsidR="00E71456" w:rsidRPr="00254FBD" w:rsidRDefault="00E71456" w:rsidP="00254FBD">
      <w:pPr>
        <w:spacing w:line="360" w:lineRule="auto"/>
        <w:jc w:val="both"/>
        <w:textAlignment w:val="baseline"/>
        <w:rPr>
          <w:rFonts w:asciiTheme="minorHAnsi" w:hAnsiTheme="minorHAnsi" w:cstheme="minorHAnsi"/>
          <w:kern w:val="24"/>
          <w:sz w:val="24"/>
          <w:szCs w:val="24"/>
        </w:rPr>
      </w:pPr>
    </w:p>
    <w:p w:rsidR="00E71456" w:rsidRPr="00254FBD" w:rsidRDefault="00E71456" w:rsidP="00254FBD">
      <w:pPr>
        <w:spacing w:line="360" w:lineRule="auto"/>
        <w:jc w:val="both"/>
        <w:textAlignment w:val="baseline"/>
        <w:rPr>
          <w:rFonts w:asciiTheme="minorHAnsi" w:hAnsiTheme="minorHAnsi" w:cstheme="minorHAnsi"/>
          <w:color w:val="00B050"/>
          <w:kern w:val="24"/>
          <w:sz w:val="24"/>
          <w:szCs w:val="24"/>
        </w:rPr>
      </w:pPr>
    </w:p>
    <w:p w:rsidR="00E71456" w:rsidRPr="00254FBD" w:rsidRDefault="00E71456" w:rsidP="00254FBD">
      <w:pPr>
        <w:spacing w:line="360" w:lineRule="auto"/>
        <w:jc w:val="both"/>
        <w:textAlignment w:val="baseline"/>
        <w:rPr>
          <w:rFonts w:asciiTheme="minorHAnsi" w:hAnsiTheme="minorHAnsi" w:cstheme="minorHAnsi"/>
          <w:color w:val="00B050"/>
          <w:kern w:val="24"/>
          <w:sz w:val="24"/>
          <w:szCs w:val="24"/>
        </w:rPr>
      </w:pPr>
    </w:p>
    <w:p w:rsidR="00823608" w:rsidRPr="00254FBD" w:rsidRDefault="00823608" w:rsidP="00254FBD">
      <w:pPr>
        <w:spacing w:after="160" w:line="360" w:lineRule="auto"/>
        <w:rPr>
          <w:rFonts w:asciiTheme="minorHAnsi" w:eastAsiaTheme="majorEastAsia" w:hAnsiTheme="minorHAnsi" w:cstheme="minorHAnsi"/>
          <w:b/>
          <w:bCs/>
          <w:sz w:val="24"/>
          <w:szCs w:val="24"/>
          <w:lang w:eastAsia="en-US"/>
        </w:rPr>
      </w:pPr>
      <w:r w:rsidRPr="00254FBD">
        <w:rPr>
          <w:rFonts w:asciiTheme="minorHAnsi" w:hAnsiTheme="minorHAnsi" w:cstheme="minorHAnsi"/>
          <w:sz w:val="24"/>
          <w:szCs w:val="24"/>
        </w:rPr>
        <w:br w:type="page"/>
      </w:r>
    </w:p>
    <w:p w:rsidR="00E71456" w:rsidRDefault="00E01696" w:rsidP="005E42FE">
      <w:pPr>
        <w:pStyle w:val="Heading1"/>
        <w:spacing w:line="360" w:lineRule="auto"/>
        <w:rPr>
          <w:rFonts w:cstheme="minorHAnsi"/>
          <w:sz w:val="24"/>
          <w:szCs w:val="24"/>
        </w:rPr>
      </w:pPr>
      <w:bookmarkStart w:id="1" w:name="_Toc42082601"/>
      <w:r w:rsidRPr="00254FBD">
        <w:rPr>
          <w:rFonts w:cstheme="minorHAnsi"/>
          <w:sz w:val="24"/>
          <w:szCs w:val="24"/>
        </w:rPr>
        <w:lastRenderedPageBreak/>
        <w:t>Executive Summary</w:t>
      </w:r>
      <w:bookmarkEnd w:id="1"/>
      <w:r w:rsidRPr="00254FBD">
        <w:rPr>
          <w:rFonts w:cstheme="minorHAnsi"/>
          <w:sz w:val="24"/>
          <w:szCs w:val="24"/>
        </w:rPr>
        <w:t xml:space="preserve">  </w:t>
      </w:r>
    </w:p>
    <w:p w:rsidR="00E01696" w:rsidRDefault="005E42FE" w:rsidP="00254FBD">
      <w:pPr>
        <w:spacing w:line="360" w:lineRule="auto"/>
        <w:jc w:val="both"/>
        <w:textAlignment w:val="baseline"/>
        <w:rPr>
          <w:rFonts w:asciiTheme="minorHAnsi" w:hAnsiTheme="minorHAnsi" w:cstheme="minorHAnsi"/>
          <w:sz w:val="24"/>
          <w:szCs w:val="24"/>
        </w:rPr>
      </w:pPr>
      <w:r w:rsidRPr="005E42FE">
        <w:rPr>
          <w:rFonts w:asciiTheme="minorHAnsi" w:hAnsiTheme="minorHAnsi" w:cstheme="minorHAnsi"/>
          <w:kern w:val="24"/>
          <w:sz w:val="24"/>
          <w:szCs w:val="24"/>
        </w:rPr>
        <w:t>Changes to the global economy</w:t>
      </w:r>
      <w:r w:rsidR="00B2066D">
        <w:rPr>
          <w:rFonts w:asciiTheme="minorHAnsi" w:hAnsiTheme="minorHAnsi" w:cstheme="minorHAnsi"/>
          <w:kern w:val="24"/>
          <w:sz w:val="24"/>
          <w:szCs w:val="24"/>
        </w:rPr>
        <w:t>, unemployment,</w:t>
      </w:r>
      <w:r w:rsidRPr="005E42FE">
        <w:rPr>
          <w:rFonts w:asciiTheme="minorHAnsi" w:hAnsiTheme="minorHAnsi" w:cstheme="minorHAnsi"/>
          <w:kern w:val="24"/>
          <w:sz w:val="24"/>
          <w:szCs w:val="24"/>
        </w:rPr>
        <w:t xml:space="preserve"> and a movement away from the European Union have put pressures on Barclays as these have caused </w:t>
      </w:r>
      <w:r w:rsidR="00E01696" w:rsidRPr="005E42FE">
        <w:rPr>
          <w:rFonts w:asciiTheme="minorHAnsi" w:hAnsiTheme="minorHAnsi" w:cstheme="minorHAnsi"/>
          <w:kern w:val="24"/>
          <w:sz w:val="24"/>
          <w:szCs w:val="24"/>
        </w:rPr>
        <w:t xml:space="preserve">changes to </w:t>
      </w:r>
      <w:r w:rsidRPr="005E42FE">
        <w:rPr>
          <w:rFonts w:asciiTheme="minorHAnsi" w:hAnsiTheme="minorHAnsi" w:cstheme="minorHAnsi"/>
          <w:kern w:val="24"/>
          <w:sz w:val="24"/>
          <w:szCs w:val="24"/>
        </w:rPr>
        <w:t xml:space="preserve">exchange rates and interest rates.  </w:t>
      </w:r>
      <w:r w:rsidR="00B2066D">
        <w:rPr>
          <w:rFonts w:asciiTheme="minorHAnsi" w:hAnsiTheme="minorHAnsi" w:cstheme="minorHAnsi"/>
          <w:kern w:val="24"/>
          <w:sz w:val="24"/>
          <w:szCs w:val="24"/>
        </w:rPr>
        <w:t xml:space="preserve">The </w:t>
      </w:r>
      <w:r>
        <w:rPr>
          <w:rFonts w:asciiTheme="minorHAnsi" w:hAnsiTheme="minorHAnsi" w:cstheme="minorHAnsi"/>
          <w:kern w:val="24"/>
          <w:sz w:val="24"/>
          <w:szCs w:val="24"/>
        </w:rPr>
        <w:t>Barclay</w:t>
      </w:r>
      <w:r w:rsidR="00B2066D">
        <w:rPr>
          <w:rFonts w:asciiTheme="minorHAnsi" w:hAnsiTheme="minorHAnsi" w:cstheme="minorHAnsi"/>
          <w:kern w:val="24"/>
          <w:sz w:val="24"/>
          <w:szCs w:val="24"/>
        </w:rPr>
        <w:t xml:space="preserve">s </w:t>
      </w:r>
      <w:r w:rsidR="00B2066D">
        <w:rPr>
          <w:rFonts w:asciiTheme="minorHAnsi" w:hAnsiTheme="minorHAnsi" w:cstheme="minorHAnsi"/>
          <w:sz w:val="24"/>
          <w:szCs w:val="24"/>
        </w:rPr>
        <w:t xml:space="preserve">business model allows </w:t>
      </w:r>
      <w:r w:rsidR="00B2066D" w:rsidRPr="00254FBD">
        <w:rPr>
          <w:rFonts w:asciiTheme="minorHAnsi" w:hAnsiTheme="minorHAnsi" w:cstheme="minorHAnsi"/>
          <w:sz w:val="24"/>
          <w:szCs w:val="24"/>
        </w:rPr>
        <w:t xml:space="preserve">profitability and cost efficiency </w:t>
      </w:r>
      <w:r w:rsidR="00B2066D">
        <w:rPr>
          <w:rFonts w:asciiTheme="minorHAnsi" w:hAnsiTheme="minorHAnsi" w:cstheme="minorHAnsi"/>
          <w:sz w:val="24"/>
          <w:szCs w:val="24"/>
        </w:rPr>
        <w:t xml:space="preserve">to be sustainable, with potential to increase, yet </w:t>
      </w:r>
      <w:r w:rsidR="00B2066D" w:rsidRPr="00254FBD">
        <w:rPr>
          <w:rFonts w:asciiTheme="minorHAnsi" w:hAnsiTheme="minorHAnsi" w:cstheme="minorHAnsi"/>
          <w:sz w:val="24"/>
          <w:szCs w:val="24"/>
        </w:rPr>
        <w:t>lower gross domestic product</w:t>
      </w:r>
      <w:r w:rsidR="00B2066D">
        <w:rPr>
          <w:rFonts w:asciiTheme="minorHAnsi" w:hAnsiTheme="minorHAnsi" w:cstheme="minorHAnsi"/>
          <w:sz w:val="24"/>
          <w:szCs w:val="24"/>
        </w:rPr>
        <w:t xml:space="preserve"> could have a negative impact on the future profitability of the banking group.  </w:t>
      </w:r>
      <w:r w:rsidR="00B2066D" w:rsidRPr="00254FBD">
        <w:rPr>
          <w:rFonts w:asciiTheme="minorHAnsi" w:hAnsiTheme="minorHAnsi" w:cstheme="minorHAnsi"/>
          <w:sz w:val="24"/>
          <w:szCs w:val="24"/>
        </w:rPr>
        <w:t xml:space="preserve"> </w:t>
      </w:r>
    </w:p>
    <w:p w:rsidR="00B2066D" w:rsidRDefault="00B2066D" w:rsidP="00254FBD">
      <w:pPr>
        <w:spacing w:line="360" w:lineRule="auto"/>
        <w:jc w:val="both"/>
        <w:textAlignment w:val="baseline"/>
        <w:rPr>
          <w:rFonts w:asciiTheme="minorHAnsi" w:hAnsiTheme="minorHAnsi" w:cstheme="minorHAnsi"/>
          <w:sz w:val="24"/>
          <w:szCs w:val="24"/>
        </w:rPr>
      </w:pPr>
    </w:p>
    <w:p w:rsidR="00B2066D" w:rsidRDefault="00B2066D" w:rsidP="00B2066D">
      <w:pPr>
        <w:spacing w:line="360" w:lineRule="auto"/>
        <w:jc w:val="both"/>
        <w:textAlignment w:val="baseline"/>
        <w:rPr>
          <w:rFonts w:asciiTheme="minorHAnsi" w:hAnsiTheme="minorHAnsi" w:cstheme="minorHAnsi"/>
          <w:sz w:val="24"/>
          <w:szCs w:val="24"/>
        </w:rPr>
      </w:pPr>
      <w:r>
        <w:rPr>
          <w:rFonts w:asciiTheme="minorHAnsi" w:hAnsiTheme="minorHAnsi" w:cstheme="minorHAnsi"/>
          <w:sz w:val="24"/>
          <w:szCs w:val="24"/>
        </w:rPr>
        <w:t xml:space="preserve">The liquidity at Barclays could be affected by leaving the EU due to increased borrowing costs and changes in </w:t>
      </w:r>
      <w:r w:rsidRPr="00254FBD">
        <w:rPr>
          <w:rFonts w:asciiTheme="minorHAnsi" w:hAnsiTheme="minorHAnsi" w:cstheme="minorHAnsi"/>
          <w:sz w:val="24"/>
          <w:szCs w:val="24"/>
        </w:rPr>
        <w:t>regulatory lic</w:t>
      </w:r>
      <w:r>
        <w:rPr>
          <w:rFonts w:asciiTheme="minorHAnsi" w:hAnsiTheme="minorHAnsi" w:cstheme="minorHAnsi"/>
          <w:sz w:val="24"/>
          <w:szCs w:val="24"/>
        </w:rPr>
        <w:t>ences and permissions.  However, i</w:t>
      </w:r>
      <w:r w:rsidRPr="00254FBD">
        <w:rPr>
          <w:rFonts w:asciiTheme="minorHAnsi" w:hAnsiTheme="minorHAnsi" w:cstheme="minorHAnsi"/>
          <w:sz w:val="24"/>
          <w:szCs w:val="24"/>
        </w:rPr>
        <w:t xml:space="preserve">n 2018 and 2019, </w:t>
      </w:r>
      <w:r>
        <w:rPr>
          <w:rFonts w:asciiTheme="minorHAnsi" w:hAnsiTheme="minorHAnsi" w:cstheme="minorHAnsi"/>
          <w:sz w:val="24"/>
          <w:szCs w:val="24"/>
        </w:rPr>
        <w:t xml:space="preserve">liquidity </w:t>
      </w:r>
      <w:r w:rsidRPr="00254FBD">
        <w:rPr>
          <w:rFonts w:asciiTheme="minorHAnsi" w:hAnsiTheme="minorHAnsi" w:cstheme="minorHAnsi"/>
          <w:sz w:val="24"/>
          <w:szCs w:val="24"/>
        </w:rPr>
        <w:t>remained above targets</w:t>
      </w:r>
      <w:r w:rsidR="00095C80">
        <w:rPr>
          <w:rFonts w:asciiTheme="minorHAnsi" w:hAnsiTheme="minorHAnsi" w:cstheme="minorHAnsi"/>
          <w:sz w:val="24"/>
          <w:szCs w:val="24"/>
        </w:rPr>
        <w:t xml:space="preserve">. </w:t>
      </w:r>
    </w:p>
    <w:p w:rsidR="00095C80" w:rsidRDefault="00095C80" w:rsidP="00B2066D">
      <w:pPr>
        <w:spacing w:line="360" w:lineRule="auto"/>
        <w:jc w:val="both"/>
        <w:textAlignment w:val="baseline"/>
        <w:rPr>
          <w:rFonts w:asciiTheme="minorHAnsi" w:hAnsiTheme="minorHAnsi" w:cstheme="minorHAnsi"/>
          <w:sz w:val="24"/>
          <w:szCs w:val="24"/>
        </w:rPr>
      </w:pPr>
    </w:p>
    <w:p w:rsidR="00095C80" w:rsidRDefault="00095C80" w:rsidP="00B2066D">
      <w:pPr>
        <w:spacing w:line="360" w:lineRule="auto"/>
        <w:jc w:val="both"/>
        <w:textAlignment w:val="baseline"/>
        <w:rPr>
          <w:rFonts w:asciiTheme="minorHAnsi" w:hAnsiTheme="minorHAnsi" w:cstheme="minorHAnsi"/>
          <w:bCs/>
          <w:sz w:val="24"/>
          <w:szCs w:val="24"/>
        </w:rPr>
      </w:pPr>
      <w:r>
        <w:rPr>
          <w:rFonts w:asciiTheme="minorHAnsi" w:hAnsiTheme="minorHAnsi" w:cstheme="minorHAnsi"/>
          <w:sz w:val="24"/>
          <w:szCs w:val="24"/>
        </w:rPr>
        <w:t xml:space="preserve">The gearing ratios have decreased in recent years, with the net gearing for 2019 being </w:t>
      </w:r>
      <w:r w:rsidRPr="00254FBD">
        <w:rPr>
          <w:rFonts w:asciiTheme="minorHAnsi" w:hAnsiTheme="minorHAnsi" w:cstheme="minorHAnsi"/>
          <w:sz w:val="24"/>
          <w:szCs w:val="24"/>
        </w:rPr>
        <w:t>81.06</w:t>
      </w:r>
      <w:r>
        <w:rPr>
          <w:rFonts w:asciiTheme="minorHAnsi" w:hAnsiTheme="minorHAnsi" w:cstheme="minorHAnsi"/>
          <w:sz w:val="24"/>
          <w:szCs w:val="24"/>
        </w:rPr>
        <w:t>, compared to 78.75 in 2018.  The decrease in</w:t>
      </w:r>
      <w:r>
        <w:rPr>
          <w:rFonts w:asciiTheme="minorHAnsi" w:hAnsiTheme="minorHAnsi" w:cstheme="minorHAnsi"/>
          <w:bCs/>
          <w:sz w:val="24"/>
          <w:szCs w:val="24"/>
        </w:rPr>
        <w:t xml:space="preserve"> income ratio for Barclays</w:t>
      </w:r>
      <w:r w:rsidRPr="00254FBD">
        <w:rPr>
          <w:rFonts w:asciiTheme="minorHAnsi" w:hAnsiTheme="minorHAnsi" w:cstheme="minorHAnsi"/>
          <w:bCs/>
          <w:sz w:val="24"/>
          <w:szCs w:val="24"/>
        </w:rPr>
        <w:t xml:space="preserve"> from 66% in 2018 to 63% in 2019</w:t>
      </w:r>
      <w:r>
        <w:rPr>
          <w:rFonts w:asciiTheme="minorHAnsi" w:hAnsiTheme="minorHAnsi" w:cstheme="minorHAnsi"/>
          <w:bCs/>
          <w:sz w:val="24"/>
          <w:szCs w:val="24"/>
        </w:rPr>
        <w:t xml:space="preserve"> also indicates a lower efficiency rate in recent years.  However, </w:t>
      </w:r>
      <w:r w:rsidRPr="00BE18A9">
        <w:rPr>
          <w:rFonts w:asciiTheme="minorHAnsi" w:hAnsiTheme="minorHAnsi" w:cstheme="minorHAnsi"/>
          <w:bCs/>
          <w:sz w:val="24"/>
          <w:szCs w:val="24"/>
        </w:rPr>
        <w:t xml:space="preserve">profit before taxes </w:t>
      </w:r>
      <w:r>
        <w:rPr>
          <w:rFonts w:asciiTheme="minorHAnsi" w:hAnsiTheme="minorHAnsi" w:cstheme="minorHAnsi"/>
          <w:bCs/>
          <w:sz w:val="24"/>
          <w:szCs w:val="24"/>
        </w:rPr>
        <w:t xml:space="preserve">increased </w:t>
      </w:r>
      <w:r w:rsidRPr="00BE18A9">
        <w:rPr>
          <w:rFonts w:asciiTheme="minorHAnsi" w:hAnsiTheme="minorHAnsi" w:cstheme="minorHAnsi"/>
          <w:bCs/>
          <w:sz w:val="24"/>
          <w:szCs w:val="24"/>
        </w:rPr>
        <w:t xml:space="preserve">by almost </w:t>
      </w:r>
      <w:r>
        <w:rPr>
          <w:rFonts w:asciiTheme="minorHAnsi" w:hAnsiTheme="minorHAnsi" w:cstheme="minorHAnsi"/>
          <w:bCs/>
          <w:sz w:val="24"/>
          <w:szCs w:val="24"/>
        </w:rPr>
        <w:t xml:space="preserve">£1bn in 2019 from the previous year, showing a high investor ratio. </w:t>
      </w:r>
    </w:p>
    <w:p w:rsidR="00095C80" w:rsidRDefault="00095C80" w:rsidP="00B2066D">
      <w:pPr>
        <w:spacing w:line="360" w:lineRule="auto"/>
        <w:jc w:val="both"/>
        <w:textAlignment w:val="baseline"/>
        <w:rPr>
          <w:rFonts w:asciiTheme="minorHAnsi" w:hAnsiTheme="minorHAnsi" w:cstheme="minorHAnsi"/>
          <w:bCs/>
          <w:sz w:val="24"/>
          <w:szCs w:val="24"/>
        </w:rPr>
      </w:pPr>
    </w:p>
    <w:p w:rsidR="00095C80" w:rsidRPr="00254FBD" w:rsidRDefault="00095C80" w:rsidP="00095C80">
      <w:pPr>
        <w:spacing w:line="360" w:lineRule="auto"/>
        <w:rPr>
          <w:rFonts w:asciiTheme="minorHAnsi" w:hAnsiTheme="minorHAnsi" w:cstheme="minorHAnsi"/>
          <w:bCs/>
          <w:sz w:val="24"/>
          <w:szCs w:val="24"/>
        </w:rPr>
      </w:pPr>
      <w:r>
        <w:rPr>
          <w:rFonts w:asciiTheme="minorHAnsi" w:hAnsiTheme="minorHAnsi" w:cstheme="minorHAnsi"/>
          <w:bCs/>
          <w:sz w:val="24"/>
          <w:szCs w:val="24"/>
        </w:rPr>
        <w:t xml:space="preserve">The recommendations for Barclays are to </w:t>
      </w:r>
      <w:r w:rsidRPr="00254FBD">
        <w:rPr>
          <w:rFonts w:asciiTheme="minorHAnsi" w:hAnsiTheme="minorHAnsi" w:cstheme="minorHAnsi"/>
          <w:bCs/>
          <w:sz w:val="24"/>
          <w:szCs w:val="24"/>
        </w:rPr>
        <w:t>monitor their financial position</w:t>
      </w:r>
      <w:r>
        <w:rPr>
          <w:rFonts w:asciiTheme="minorHAnsi" w:hAnsiTheme="minorHAnsi" w:cstheme="minorHAnsi"/>
          <w:bCs/>
          <w:sz w:val="24"/>
          <w:szCs w:val="24"/>
        </w:rPr>
        <w:t xml:space="preserve"> and</w:t>
      </w:r>
      <w:r w:rsidRPr="00254FBD">
        <w:rPr>
          <w:rFonts w:asciiTheme="minorHAnsi" w:hAnsiTheme="minorHAnsi" w:cstheme="minorHAnsi"/>
          <w:bCs/>
          <w:sz w:val="24"/>
          <w:szCs w:val="24"/>
        </w:rPr>
        <w:t xml:space="preserve"> review their position against their </w:t>
      </w:r>
      <w:r>
        <w:rPr>
          <w:rFonts w:asciiTheme="minorHAnsi" w:hAnsiTheme="minorHAnsi" w:cstheme="minorHAnsi"/>
          <w:bCs/>
          <w:sz w:val="24"/>
          <w:szCs w:val="24"/>
        </w:rPr>
        <w:t xml:space="preserve">targets, improve cost efficiency and </w:t>
      </w:r>
      <w:r w:rsidRPr="00254FBD">
        <w:rPr>
          <w:rFonts w:asciiTheme="minorHAnsi" w:hAnsiTheme="minorHAnsi" w:cstheme="minorHAnsi"/>
          <w:bCs/>
          <w:sz w:val="24"/>
          <w:szCs w:val="24"/>
        </w:rPr>
        <w:t xml:space="preserve">tackle problems when they arise to minimise the impact of negative external factors. </w:t>
      </w:r>
    </w:p>
    <w:p w:rsidR="00B2066D" w:rsidRDefault="00B2066D" w:rsidP="00254FBD">
      <w:pPr>
        <w:spacing w:line="360" w:lineRule="auto"/>
        <w:jc w:val="both"/>
        <w:textAlignment w:val="baseline"/>
        <w:rPr>
          <w:rFonts w:asciiTheme="minorHAnsi" w:hAnsiTheme="minorHAnsi" w:cstheme="minorHAnsi"/>
          <w:sz w:val="24"/>
          <w:szCs w:val="24"/>
        </w:rPr>
      </w:pPr>
    </w:p>
    <w:p w:rsidR="00B2066D" w:rsidRDefault="00B2066D" w:rsidP="00254FBD">
      <w:pPr>
        <w:spacing w:line="360" w:lineRule="auto"/>
        <w:jc w:val="both"/>
        <w:textAlignment w:val="baseline"/>
        <w:rPr>
          <w:rFonts w:asciiTheme="minorHAnsi" w:hAnsiTheme="minorHAnsi" w:cstheme="minorHAnsi"/>
          <w:sz w:val="24"/>
          <w:szCs w:val="24"/>
        </w:rPr>
      </w:pPr>
    </w:p>
    <w:p w:rsidR="00B2066D" w:rsidRPr="005E42FE" w:rsidRDefault="00B2066D" w:rsidP="00254FBD">
      <w:pPr>
        <w:spacing w:line="360" w:lineRule="auto"/>
        <w:jc w:val="both"/>
        <w:textAlignment w:val="baseline"/>
        <w:rPr>
          <w:rFonts w:asciiTheme="minorHAnsi" w:hAnsiTheme="minorHAnsi" w:cstheme="minorHAnsi"/>
          <w:kern w:val="24"/>
          <w:sz w:val="24"/>
          <w:szCs w:val="24"/>
        </w:rPr>
      </w:pPr>
    </w:p>
    <w:p w:rsidR="00E71456" w:rsidRPr="00254FBD" w:rsidRDefault="00E71456" w:rsidP="00254FBD">
      <w:pPr>
        <w:spacing w:line="360" w:lineRule="auto"/>
        <w:jc w:val="both"/>
        <w:textAlignment w:val="baseline"/>
        <w:rPr>
          <w:rFonts w:asciiTheme="minorHAnsi" w:hAnsiTheme="minorHAnsi" w:cstheme="minorHAnsi"/>
          <w:color w:val="00B050"/>
          <w:kern w:val="24"/>
          <w:sz w:val="24"/>
          <w:szCs w:val="24"/>
        </w:rPr>
      </w:pPr>
    </w:p>
    <w:p w:rsidR="00823608" w:rsidRPr="00254FBD" w:rsidRDefault="00823608" w:rsidP="00254FBD">
      <w:pPr>
        <w:spacing w:after="160" w:line="360" w:lineRule="auto"/>
        <w:rPr>
          <w:rFonts w:asciiTheme="minorHAnsi" w:eastAsiaTheme="majorEastAsia" w:hAnsiTheme="minorHAnsi" w:cstheme="minorHAnsi"/>
          <w:b/>
          <w:bCs/>
          <w:sz w:val="24"/>
          <w:szCs w:val="24"/>
          <w:lang w:eastAsia="en-US"/>
        </w:rPr>
      </w:pPr>
      <w:r w:rsidRPr="00254FBD">
        <w:rPr>
          <w:rFonts w:asciiTheme="minorHAnsi" w:hAnsiTheme="minorHAnsi" w:cstheme="minorHAnsi"/>
          <w:sz w:val="24"/>
          <w:szCs w:val="24"/>
        </w:rPr>
        <w:br w:type="page"/>
      </w:r>
    </w:p>
    <w:p w:rsidR="00823608" w:rsidRPr="003666EF" w:rsidRDefault="00E71456" w:rsidP="003666EF">
      <w:pPr>
        <w:pStyle w:val="Heading1"/>
        <w:spacing w:line="360" w:lineRule="auto"/>
        <w:rPr>
          <w:rFonts w:cstheme="minorHAnsi"/>
          <w:sz w:val="24"/>
          <w:szCs w:val="24"/>
        </w:rPr>
      </w:pPr>
      <w:bookmarkStart w:id="2" w:name="_Toc42082602"/>
      <w:r w:rsidRPr="00254FBD">
        <w:rPr>
          <w:rFonts w:cstheme="minorHAnsi"/>
          <w:sz w:val="24"/>
          <w:szCs w:val="24"/>
        </w:rPr>
        <w:lastRenderedPageBreak/>
        <w:t>Introduction</w:t>
      </w:r>
      <w:bookmarkEnd w:id="2"/>
      <w:r w:rsidRPr="00254FBD">
        <w:rPr>
          <w:rFonts w:cstheme="minorHAnsi"/>
          <w:sz w:val="24"/>
          <w:szCs w:val="24"/>
        </w:rPr>
        <w:t xml:space="preserve"> </w:t>
      </w:r>
    </w:p>
    <w:p w:rsidR="005E42FE" w:rsidRDefault="005E42FE" w:rsidP="005E42FE">
      <w:pPr>
        <w:spacing w:line="360" w:lineRule="auto"/>
        <w:rPr>
          <w:rFonts w:asciiTheme="minorHAnsi" w:hAnsiTheme="minorHAnsi" w:cstheme="minorHAnsi"/>
          <w:sz w:val="24"/>
          <w:szCs w:val="24"/>
          <w:lang w:eastAsia="en-US"/>
        </w:rPr>
      </w:pPr>
      <w:r w:rsidRPr="005E42FE">
        <w:rPr>
          <w:rFonts w:asciiTheme="minorHAnsi" w:hAnsiTheme="minorHAnsi" w:cstheme="minorHAnsi"/>
          <w:sz w:val="24"/>
          <w:szCs w:val="24"/>
          <w:lang w:eastAsia="en-US"/>
        </w:rPr>
        <w:t xml:space="preserve">Barclays is a British universal bank with a diverse range customer and client.  The business is a top-tier, full service, global corporate and investment bank, which covers consumer banking and payments operations around the world </w:t>
      </w:r>
      <w:sdt>
        <w:sdtPr>
          <w:rPr>
            <w:rFonts w:asciiTheme="minorHAnsi" w:hAnsiTheme="minorHAnsi" w:cstheme="minorHAnsi"/>
            <w:sz w:val="24"/>
            <w:szCs w:val="24"/>
            <w:lang w:eastAsia="en-US"/>
          </w:rPr>
          <w:id w:val="2075933486"/>
          <w:citation/>
        </w:sdtPr>
        <w:sdtContent>
          <w:r w:rsidRPr="005E42FE">
            <w:rPr>
              <w:rFonts w:asciiTheme="minorHAnsi" w:hAnsiTheme="minorHAnsi" w:cstheme="minorHAnsi"/>
              <w:sz w:val="24"/>
              <w:szCs w:val="24"/>
              <w:lang w:eastAsia="en-US"/>
            </w:rPr>
            <w:fldChar w:fldCharType="begin"/>
          </w:r>
          <w:r w:rsidRPr="005E42FE">
            <w:rPr>
              <w:rFonts w:asciiTheme="minorHAnsi" w:hAnsiTheme="minorHAnsi" w:cstheme="minorHAnsi"/>
              <w:sz w:val="24"/>
              <w:szCs w:val="24"/>
              <w:lang w:eastAsia="en-US"/>
            </w:rPr>
            <w:instrText xml:space="preserve"> CITATION Bar20 \l 2057 </w:instrText>
          </w:r>
          <w:r w:rsidRPr="005E42FE">
            <w:rPr>
              <w:rFonts w:asciiTheme="minorHAnsi" w:hAnsiTheme="minorHAnsi" w:cstheme="minorHAnsi"/>
              <w:sz w:val="24"/>
              <w:szCs w:val="24"/>
              <w:lang w:eastAsia="en-US"/>
            </w:rPr>
            <w:fldChar w:fldCharType="separate"/>
          </w:r>
          <w:r w:rsidRPr="005E42FE">
            <w:rPr>
              <w:rFonts w:asciiTheme="minorHAnsi" w:hAnsiTheme="minorHAnsi" w:cstheme="minorHAnsi"/>
              <w:noProof/>
              <w:sz w:val="24"/>
              <w:szCs w:val="24"/>
              <w:lang w:eastAsia="en-US"/>
            </w:rPr>
            <w:t>(Barclays Plc, 2020)</w:t>
          </w:r>
          <w:r w:rsidRPr="005E42FE">
            <w:rPr>
              <w:rFonts w:asciiTheme="minorHAnsi" w:hAnsiTheme="minorHAnsi" w:cstheme="minorHAnsi"/>
              <w:sz w:val="24"/>
              <w:szCs w:val="24"/>
              <w:lang w:eastAsia="en-US"/>
            </w:rPr>
            <w:fldChar w:fldCharType="end"/>
          </w:r>
        </w:sdtContent>
      </w:sdt>
      <w:r>
        <w:rPr>
          <w:rFonts w:asciiTheme="minorHAnsi" w:hAnsiTheme="minorHAnsi" w:cstheme="minorHAnsi"/>
          <w:sz w:val="24"/>
          <w:szCs w:val="24"/>
          <w:lang w:eastAsia="en-US"/>
        </w:rPr>
        <w:t xml:space="preserve">. </w:t>
      </w:r>
    </w:p>
    <w:p w:rsidR="005E42FE" w:rsidRDefault="005E42FE" w:rsidP="005E42FE">
      <w:pPr>
        <w:spacing w:line="360" w:lineRule="auto"/>
        <w:jc w:val="both"/>
        <w:textAlignment w:val="baseline"/>
        <w:rPr>
          <w:rFonts w:asciiTheme="minorHAnsi" w:hAnsiTheme="minorHAnsi" w:cstheme="minorHAnsi"/>
          <w:sz w:val="24"/>
          <w:szCs w:val="24"/>
          <w:lang w:eastAsia="en-US"/>
        </w:rPr>
      </w:pPr>
    </w:p>
    <w:p w:rsidR="00E71456" w:rsidRDefault="003666EF" w:rsidP="005E42FE">
      <w:pPr>
        <w:spacing w:line="360" w:lineRule="auto"/>
        <w:jc w:val="both"/>
        <w:textAlignment w:val="baseline"/>
        <w:rPr>
          <w:rFonts w:asciiTheme="minorHAnsi" w:hAnsiTheme="minorHAnsi" w:cstheme="minorHAnsi"/>
          <w:color w:val="00B050"/>
          <w:kern w:val="24"/>
          <w:sz w:val="24"/>
          <w:szCs w:val="24"/>
        </w:rPr>
      </w:pPr>
      <w:r w:rsidRPr="005E42FE">
        <w:rPr>
          <w:rFonts w:asciiTheme="minorHAnsi" w:hAnsiTheme="minorHAnsi" w:cstheme="minorHAnsi"/>
          <w:kern w:val="24"/>
          <w:sz w:val="24"/>
          <w:szCs w:val="24"/>
        </w:rPr>
        <w:t>The purpose of this report is to critically appraise</w:t>
      </w:r>
      <w:r w:rsidR="00E71456" w:rsidRPr="005E42FE">
        <w:rPr>
          <w:rFonts w:asciiTheme="minorHAnsi" w:hAnsiTheme="minorHAnsi" w:cstheme="minorHAnsi"/>
          <w:kern w:val="24"/>
          <w:sz w:val="24"/>
          <w:szCs w:val="24"/>
        </w:rPr>
        <w:t xml:space="preserve"> </w:t>
      </w:r>
      <w:r w:rsidRPr="005E42FE">
        <w:rPr>
          <w:rFonts w:asciiTheme="minorHAnsi" w:hAnsiTheme="minorHAnsi" w:cstheme="minorHAnsi"/>
          <w:kern w:val="24"/>
          <w:sz w:val="24"/>
          <w:szCs w:val="24"/>
        </w:rPr>
        <w:t>the Barclays</w:t>
      </w:r>
      <w:r w:rsidR="00E71456" w:rsidRPr="005E42FE">
        <w:rPr>
          <w:rFonts w:asciiTheme="minorHAnsi" w:hAnsiTheme="minorHAnsi" w:cstheme="minorHAnsi"/>
          <w:kern w:val="24"/>
          <w:sz w:val="24"/>
          <w:szCs w:val="24"/>
        </w:rPr>
        <w:t xml:space="preserve"> PLC Annual Report</w:t>
      </w:r>
      <w:r w:rsidRPr="005E42FE">
        <w:rPr>
          <w:rFonts w:asciiTheme="minorHAnsi" w:hAnsiTheme="minorHAnsi" w:cstheme="minorHAnsi"/>
          <w:kern w:val="24"/>
          <w:sz w:val="24"/>
          <w:szCs w:val="24"/>
        </w:rPr>
        <w:t xml:space="preserve">s for 2019 and 2018. </w:t>
      </w:r>
      <w:r w:rsidR="00E71456" w:rsidRPr="005E42FE">
        <w:rPr>
          <w:rFonts w:asciiTheme="minorHAnsi" w:hAnsiTheme="minorHAnsi" w:cstheme="minorHAnsi"/>
          <w:kern w:val="24"/>
          <w:sz w:val="24"/>
          <w:szCs w:val="24"/>
        </w:rPr>
        <w:t xml:space="preserve">It </w:t>
      </w:r>
      <w:r w:rsidRPr="005E42FE">
        <w:rPr>
          <w:rFonts w:asciiTheme="minorHAnsi" w:hAnsiTheme="minorHAnsi" w:cstheme="minorHAnsi"/>
          <w:kern w:val="24"/>
          <w:sz w:val="24"/>
          <w:szCs w:val="24"/>
        </w:rPr>
        <w:t>will provide</w:t>
      </w:r>
      <w:r w:rsidR="00E71456" w:rsidRPr="005E42FE">
        <w:rPr>
          <w:rFonts w:asciiTheme="minorHAnsi" w:hAnsiTheme="minorHAnsi" w:cstheme="minorHAnsi"/>
          <w:kern w:val="24"/>
          <w:sz w:val="24"/>
          <w:szCs w:val="24"/>
        </w:rPr>
        <w:t xml:space="preserve"> information on the </w:t>
      </w:r>
      <w:r w:rsidRPr="005E42FE">
        <w:rPr>
          <w:rFonts w:asciiTheme="minorHAnsi" w:hAnsiTheme="minorHAnsi" w:cstheme="minorHAnsi"/>
          <w:kern w:val="24"/>
          <w:sz w:val="24"/>
          <w:szCs w:val="24"/>
        </w:rPr>
        <w:t xml:space="preserve">profitability, liquidity, gearing and investor ratios, and </w:t>
      </w:r>
      <w:r w:rsidR="005E42FE">
        <w:rPr>
          <w:rFonts w:asciiTheme="minorHAnsi" w:hAnsiTheme="minorHAnsi" w:cstheme="minorHAnsi"/>
          <w:kern w:val="24"/>
          <w:sz w:val="24"/>
          <w:szCs w:val="24"/>
        </w:rPr>
        <w:t>an evaluation of ratios, along with</w:t>
      </w:r>
      <w:r w:rsidRPr="005E42FE">
        <w:rPr>
          <w:rFonts w:asciiTheme="minorHAnsi" w:hAnsiTheme="minorHAnsi" w:cstheme="minorHAnsi"/>
          <w:kern w:val="24"/>
          <w:sz w:val="24"/>
          <w:szCs w:val="24"/>
        </w:rPr>
        <w:t xml:space="preserve"> </w:t>
      </w:r>
      <w:r w:rsidR="00E71456" w:rsidRPr="005E42FE">
        <w:rPr>
          <w:rFonts w:asciiTheme="minorHAnsi" w:hAnsiTheme="minorHAnsi" w:cstheme="minorHAnsi"/>
          <w:kern w:val="24"/>
          <w:sz w:val="24"/>
          <w:szCs w:val="24"/>
        </w:rPr>
        <w:t xml:space="preserve">limitations of </w:t>
      </w:r>
      <w:r w:rsidR="005E42FE" w:rsidRPr="005E42FE">
        <w:rPr>
          <w:rFonts w:asciiTheme="minorHAnsi" w:hAnsiTheme="minorHAnsi" w:cstheme="minorHAnsi"/>
          <w:kern w:val="24"/>
          <w:sz w:val="24"/>
          <w:szCs w:val="24"/>
        </w:rPr>
        <w:t xml:space="preserve">ratio analysis. The report </w:t>
      </w:r>
      <w:r w:rsidR="00E71456" w:rsidRPr="005E42FE">
        <w:rPr>
          <w:rFonts w:asciiTheme="minorHAnsi" w:hAnsiTheme="minorHAnsi" w:cstheme="minorHAnsi"/>
          <w:kern w:val="24"/>
          <w:sz w:val="24"/>
          <w:szCs w:val="24"/>
        </w:rPr>
        <w:t xml:space="preserve">concludes by making recommendations </w:t>
      </w:r>
      <w:r w:rsidR="005E42FE" w:rsidRPr="005E42FE">
        <w:rPr>
          <w:rFonts w:asciiTheme="minorHAnsi" w:hAnsiTheme="minorHAnsi" w:cstheme="minorHAnsi"/>
          <w:kern w:val="24"/>
          <w:sz w:val="24"/>
          <w:szCs w:val="24"/>
        </w:rPr>
        <w:t xml:space="preserve">for maintaining profit at Barclays. </w:t>
      </w:r>
    </w:p>
    <w:p w:rsidR="00E71456" w:rsidRDefault="00823608" w:rsidP="00254FBD">
      <w:pPr>
        <w:pStyle w:val="Heading1"/>
        <w:spacing w:line="360" w:lineRule="auto"/>
        <w:rPr>
          <w:rFonts w:cstheme="minorHAnsi"/>
          <w:sz w:val="24"/>
          <w:szCs w:val="24"/>
        </w:rPr>
      </w:pPr>
      <w:bookmarkStart w:id="3" w:name="_Toc42082603"/>
      <w:r w:rsidRPr="00254FBD">
        <w:rPr>
          <w:rFonts w:cstheme="minorHAnsi"/>
          <w:sz w:val="24"/>
          <w:szCs w:val="24"/>
        </w:rPr>
        <w:t>Analysis</w:t>
      </w:r>
      <w:bookmarkEnd w:id="3"/>
      <w:r w:rsidRPr="00254FBD">
        <w:rPr>
          <w:rFonts w:cstheme="minorHAnsi"/>
          <w:sz w:val="24"/>
          <w:szCs w:val="24"/>
        </w:rPr>
        <w:t xml:space="preserve"> </w:t>
      </w:r>
    </w:p>
    <w:p w:rsidR="00095C80" w:rsidRPr="00095C80" w:rsidRDefault="00095C80" w:rsidP="00095C80">
      <w:pPr>
        <w:spacing w:line="360" w:lineRule="auto"/>
        <w:rPr>
          <w:rFonts w:asciiTheme="minorHAnsi" w:hAnsiTheme="minorHAnsi" w:cstheme="minorHAnsi"/>
          <w:sz w:val="24"/>
          <w:szCs w:val="24"/>
          <w:lang w:eastAsia="en-US"/>
        </w:rPr>
      </w:pPr>
      <w:r w:rsidRPr="00095C80">
        <w:rPr>
          <w:rFonts w:asciiTheme="minorHAnsi" w:hAnsiTheme="minorHAnsi" w:cstheme="minorHAnsi"/>
          <w:sz w:val="24"/>
          <w:szCs w:val="24"/>
          <w:lang w:eastAsia="en-US"/>
        </w:rPr>
        <w:t xml:space="preserve">This section of the report will analyse profitability, liquidity, gearing, efficiency and investor ratios in 2019, making comparisons with 2018.  </w:t>
      </w:r>
    </w:p>
    <w:p w:rsidR="00823608" w:rsidRPr="00254FBD" w:rsidRDefault="00823608" w:rsidP="00254FBD">
      <w:pPr>
        <w:spacing w:line="360" w:lineRule="auto"/>
        <w:jc w:val="both"/>
        <w:rPr>
          <w:rFonts w:asciiTheme="minorHAnsi" w:hAnsiTheme="minorHAnsi" w:cstheme="minorHAnsi"/>
          <w:color w:val="00B050"/>
          <w:kern w:val="24"/>
          <w:sz w:val="24"/>
          <w:szCs w:val="24"/>
        </w:rPr>
      </w:pPr>
    </w:p>
    <w:p w:rsidR="00B970A0" w:rsidRPr="00254FBD" w:rsidRDefault="00823608" w:rsidP="00254FBD">
      <w:pPr>
        <w:pStyle w:val="Heading2"/>
        <w:spacing w:line="360" w:lineRule="auto"/>
        <w:rPr>
          <w:rFonts w:asciiTheme="minorHAnsi" w:hAnsiTheme="minorHAnsi" w:cstheme="minorHAnsi"/>
          <w:sz w:val="24"/>
          <w:szCs w:val="24"/>
        </w:rPr>
      </w:pPr>
      <w:bookmarkStart w:id="4" w:name="_Toc42082604"/>
      <w:r w:rsidRPr="00254FBD">
        <w:rPr>
          <w:rFonts w:asciiTheme="minorHAnsi" w:hAnsiTheme="minorHAnsi" w:cstheme="minorHAnsi"/>
          <w:sz w:val="24"/>
          <w:szCs w:val="24"/>
        </w:rPr>
        <w:t>Profitability</w:t>
      </w:r>
      <w:bookmarkEnd w:id="4"/>
      <w:r w:rsidRPr="00254FBD">
        <w:rPr>
          <w:rFonts w:asciiTheme="minorHAnsi" w:hAnsiTheme="minorHAnsi" w:cstheme="minorHAnsi"/>
          <w:sz w:val="24"/>
          <w:szCs w:val="24"/>
        </w:rPr>
        <w:t xml:space="preserve"> </w:t>
      </w:r>
    </w:p>
    <w:p w:rsidR="00091282" w:rsidRPr="00254FBD" w:rsidRDefault="00091282" w:rsidP="00254FBD">
      <w:pPr>
        <w:spacing w:line="360" w:lineRule="auto"/>
        <w:rPr>
          <w:rFonts w:asciiTheme="minorHAnsi" w:hAnsiTheme="minorHAnsi" w:cstheme="minorHAnsi"/>
          <w:color w:val="FF0000"/>
          <w:sz w:val="24"/>
          <w:szCs w:val="24"/>
        </w:rPr>
      </w:pPr>
    </w:p>
    <w:p w:rsidR="00091282" w:rsidRPr="00254FBD" w:rsidRDefault="00091282" w:rsidP="00254FBD">
      <w:pPr>
        <w:spacing w:line="360" w:lineRule="auto"/>
        <w:rPr>
          <w:rFonts w:asciiTheme="minorHAnsi" w:hAnsiTheme="minorHAnsi" w:cstheme="minorHAnsi"/>
          <w:sz w:val="24"/>
          <w:szCs w:val="24"/>
        </w:rPr>
      </w:pPr>
      <w:r w:rsidRPr="00254FBD">
        <w:rPr>
          <w:rFonts w:asciiTheme="minorHAnsi" w:hAnsiTheme="minorHAnsi" w:cstheme="minorHAnsi"/>
          <w:sz w:val="24"/>
          <w:szCs w:val="24"/>
        </w:rPr>
        <w:t>Profitability ratios refer to the company´s ability to make an adequate profit and return on investment. Profitability ratios are a good way to assess the financial health of an organisation and how well the company manages its assets</w:t>
      </w:r>
      <w:r w:rsidR="00C60C5E" w:rsidRPr="00254FBD">
        <w:rPr>
          <w:rFonts w:asciiTheme="minorHAnsi" w:hAnsiTheme="minorHAnsi" w:cstheme="minorHAnsi"/>
          <w:sz w:val="24"/>
          <w:szCs w:val="24"/>
        </w:rPr>
        <w:t xml:space="preserve"> </w:t>
      </w:r>
      <w:sdt>
        <w:sdtPr>
          <w:rPr>
            <w:rFonts w:asciiTheme="minorHAnsi" w:hAnsiTheme="minorHAnsi" w:cstheme="minorHAnsi"/>
            <w:sz w:val="24"/>
            <w:szCs w:val="24"/>
          </w:rPr>
          <w:id w:val="45424279"/>
          <w:citation/>
        </w:sdtPr>
        <w:sdtContent>
          <w:r w:rsidR="00C60C5E" w:rsidRPr="00254FBD">
            <w:rPr>
              <w:rFonts w:asciiTheme="minorHAnsi" w:hAnsiTheme="minorHAnsi" w:cstheme="minorHAnsi"/>
              <w:sz w:val="24"/>
              <w:szCs w:val="24"/>
            </w:rPr>
            <w:fldChar w:fldCharType="begin"/>
          </w:r>
          <w:r w:rsidR="00C60C5E" w:rsidRPr="00254FBD">
            <w:rPr>
              <w:rFonts w:asciiTheme="minorHAnsi" w:hAnsiTheme="minorHAnsi" w:cstheme="minorHAnsi"/>
              <w:sz w:val="24"/>
              <w:szCs w:val="24"/>
            </w:rPr>
            <w:instrText xml:space="preserve"> CITATION Les07 \l 2057 </w:instrText>
          </w:r>
          <w:r w:rsidR="00C60C5E" w:rsidRPr="00254FBD">
            <w:rPr>
              <w:rFonts w:asciiTheme="minorHAnsi" w:hAnsiTheme="minorHAnsi" w:cstheme="minorHAnsi"/>
              <w:sz w:val="24"/>
              <w:szCs w:val="24"/>
            </w:rPr>
            <w:fldChar w:fldCharType="separate"/>
          </w:r>
          <w:r w:rsidR="00C60C5E" w:rsidRPr="00254FBD">
            <w:rPr>
              <w:rFonts w:asciiTheme="minorHAnsi" w:hAnsiTheme="minorHAnsi" w:cstheme="minorHAnsi"/>
              <w:noProof/>
              <w:sz w:val="24"/>
              <w:szCs w:val="24"/>
            </w:rPr>
            <w:t>(Lesáková, 2007)</w:t>
          </w:r>
          <w:r w:rsidR="00C60C5E" w:rsidRPr="00254FBD">
            <w:rPr>
              <w:rFonts w:asciiTheme="minorHAnsi" w:hAnsiTheme="minorHAnsi" w:cstheme="minorHAnsi"/>
              <w:sz w:val="24"/>
              <w:szCs w:val="24"/>
            </w:rPr>
            <w:fldChar w:fldCharType="end"/>
          </w:r>
        </w:sdtContent>
      </w:sdt>
      <w:r w:rsidRPr="00254FBD">
        <w:rPr>
          <w:rFonts w:asciiTheme="minorHAnsi" w:hAnsiTheme="minorHAnsi" w:cstheme="minorHAnsi"/>
          <w:sz w:val="24"/>
          <w:szCs w:val="24"/>
        </w:rPr>
        <w:t>.</w:t>
      </w:r>
    </w:p>
    <w:p w:rsidR="00091282" w:rsidRPr="00254FBD" w:rsidRDefault="00091282" w:rsidP="00254FBD">
      <w:pPr>
        <w:spacing w:line="360" w:lineRule="auto"/>
        <w:rPr>
          <w:rStyle w:val="Hyperlink"/>
          <w:rFonts w:asciiTheme="minorHAnsi" w:hAnsiTheme="minorHAnsi" w:cstheme="minorHAnsi"/>
          <w:sz w:val="24"/>
          <w:szCs w:val="24"/>
        </w:rPr>
      </w:pPr>
    </w:p>
    <w:p w:rsidR="00730D6D" w:rsidRPr="00254FBD" w:rsidRDefault="00091282" w:rsidP="00254FBD">
      <w:pPr>
        <w:spacing w:line="360" w:lineRule="auto"/>
        <w:rPr>
          <w:rFonts w:asciiTheme="minorHAnsi" w:hAnsiTheme="minorHAnsi" w:cstheme="minorHAnsi"/>
          <w:sz w:val="24"/>
          <w:szCs w:val="24"/>
        </w:rPr>
      </w:pPr>
      <w:r w:rsidRPr="00254FBD">
        <w:rPr>
          <w:rFonts w:asciiTheme="minorHAnsi" w:hAnsiTheme="minorHAnsi" w:cstheme="minorHAnsi"/>
          <w:sz w:val="24"/>
          <w:szCs w:val="24"/>
        </w:rPr>
        <w:t>At Barclays, the business model they use means that the profitability and cost efficiency are also sustainable, allow</w:t>
      </w:r>
      <w:r w:rsidR="00866CD6">
        <w:rPr>
          <w:rFonts w:asciiTheme="minorHAnsi" w:hAnsiTheme="minorHAnsi" w:cstheme="minorHAnsi"/>
          <w:sz w:val="24"/>
          <w:szCs w:val="24"/>
        </w:rPr>
        <w:t xml:space="preserve">ing </w:t>
      </w:r>
      <w:r w:rsidR="00C60C5E" w:rsidRPr="00254FBD">
        <w:rPr>
          <w:rFonts w:asciiTheme="minorHAnsi" w:hAnsiTheme="minorHAnsi" w:cstheme="minorHAnsi"/>
          <w:sz w:val="24"/>
          <w:szCs w:val="24"/>
        </w:rPr>
        <w:t>profitability</w:t>
      </w:r>
      <w:r w:rsidRPr="00254FBD">
        <w:rPr>
          <w:rFonts w:asciiTheme="minorHAnsi" w:hAnsiTheme="minorHAnsi" w:cstheme="minorHAnsi"/>
          <w:sz w:val="24"/>
          <w:szCs w:val="24"/>
        </w:rPr>
        <w:t xml:space="preserve"> to increase</w:t>
      </w:r>
      <w:r w:rsidR="00866CD6">
        <w:rPr>
          <w:rFonts w:asciiTheme="minorHAnsi" w:hAnsiTheme="minorHAnsi" w:cstheme="minorHAnsi"/>
          <w:sz w:val="24"/>
          <w:szCs w:val="24"/>
        </w:rPr>
        <w:t xml:space="preserve">. </w:t>
      </w:r>
      <w:r w:rsidR="00C60C5E" w:rsidRPr="00254FBD">
        <w:rPr>
          <w:rFonts w:asciiTheme="minorHAnsi" w:hAnsiTheme="minorHAnsi" w:cstheme="minorHAnsi"/>
          <w:sz w:val="24"/>
          <w:szCs w:val="24"/>
        </w:rPr>
        <w:t>Over the past year, Barclays saw a material improvement to</w:t>
      </w:r>
      <w:r w:rsidR="00667A68" w:rsidRPr="00254FBD">
        <w:rPr>
          <w:rFonts w:asciiTheme="minorHAnsi" w:hAnsiTheme="minorHAnsi" w:cstheme="minorHAnsi"/>
          <w:sz w:val="24"/>
          <w:szCs w:val="24"/>
        </w:rPr>
        <w:t xml:space="preserve"> Corporate and Investment Bank</w:t>
      </w:r>
      <w:r w:rsidR="00C60C5E" w:rsidRPr="00254FBD">
        <w:rPr>
          <w:rFonts w:asciiTheme="minorHAnsi" w:hAnsiTheme="minorHAnsi" w:cstheme="minorHAnsi"/>
          <w:sz w:val="24"/>
          <w:szCs w:val="24"/>
        </w:rPr>
        <w:t xml:space="preserve"> profitability, with</w:t>
      </w:r>
      <w:r w:rsidR="00667A68" w:rsidRPr="00254FBD">
        <w:rPr>
          <w:rFonts w:asciiTheme="minorHAnsi" w:hAnsiTheme="minorHAnsi" w:cstheme="minorHAnsi"/>
          <w:sz w:val="24"/>
          <w:szCs w:val="24"/>
        </w:rPr>
        <w:t xml:space="preserve"> profit before tax (PBT) </w:t>
      </w:r>
      <w:r w:rsidR="00C60C5E" w:rsidRPr="00254FBD">
        <w:rPr>
          <w:rFonts w:asciiTheme="minorHAnsi" w:hAnsiTheme="minorHAnsi" w:cstheme="minorHAnsi"/>
          <w:sz w:val="24"/>
          <w:szCs w:val="24"/>
        </w:rPr>
        <w:t>increasing</w:t>
      </w:r>
      <w:r w:rsidR="00667A68" w:rsidRPr="00254FBD">
        <w:rPr>
          <w:rFonts w:asciiTheme="minorHAnsi" w:hAnsiTheme="minorHAnsi" w:cstheme="minorHAnsi"/>
          <w:sz w:val="24"/>
          <w:szCs w:val="24"/>
        </w:rPr>
        <w:t xml:space="preserve"> by </w:t>
      </w:r>
      <w:r w:rsidR="00C60C5E" w:rsidRPr="00254FBD">
        <w:rPr>
          <w:rFonts w:asciiTheme="minorHAnsi" w:hAnsiTheme="minorHAnsi" w:cstheme="minorHAnsi"/>
          <w:sz w:val="24"/>
          <w:szCs w:val="24"/>
        </w:rPr>
        <w:t xml:space="preserve">15% </w:t>
      </w:r>
      <w:r w:rsidR="00C60C5E" w:rsidRPr="00254FBD">
        <w:rPr>
          <w:rFonts w:asciiTheme="minorHAnsi" w:hAnsiTheme="minorHAnsi" w:cstheme="minorHAnsi"/>
          <w:noProof/>
          <w:sz w:val="24"/>
          <w:szCs w:val="24"/>
        </w:rPr>
        <w:t>(Barclays Plc., 2019)</w:t>
      </w:r>
      <w:r w:rsidR="00C60C5E" w:rsidRPr="00254FBD">
        <w:rPr>
          <w:rFonts w:asciiTheme="minorHAnsi" w:hAnsiTheme="minorHAnsi" w:cstheme="minorHAnsi"/>
          <w:sz w:val="24"/>
          <w:szCs w:val="24"/>
        </w:rPr>
        <w:t xml:space="preserve">.  </w:t>
      </w:r>
      <w:r w:rsidR="00866CD6">
        <w:rPr>
          <w:rFonts w:asciiTheme="minorHAnsi" w:hAnsiTheme="minorHAnsi" w:cstheme="minorHAnsi"/>
          <w:sz w:val="24"/>
          <w:szCs w:val="24"/>
        </w:rPr>
        <w:t xml:space="preserve">This shows that the business is profitable.  </w:t>
      </w:r>
      <w:r w:rsidR="00C60C5E" w:rsidRPr="00254FBD">
        <w:rPr>
          <w:rFonts w:asciiTheme="minorHAnsi" w:hAnsiTheme="minorHAnsi" w:cstheme="minorHAnsi"/>
          <w:sz w:val="24"/>
          <w:szCs w:val="24"/>
        </w:rPr>
        <w:t xml:space="preserve">The year before </w:t>
      </w:r>
      <w:r w:rsidR="00667A68" w:rsidRPr="00254FBD">
        <w:rPr>
          <w:rFonts w:asciiTheme="minorHAnsi" w:hAnsiTheme="minorHAnsi" w:cstheme="minorHAnsi"/>
          <w:sz w:val="24"/>
          <w:szCs w:val="24"/>
        </w:rPr>
        <w:t>the PBT was £1,548m</w:t>
      </w:r>
      <w:sdt>
        <w:sdtPr>
          <w:rPr>
            <w:rFonts w:asciiTheme="minorHAnsi" w:hAnsiTheme="minorHAnsi" w:cstheme="minorHAnsi"/>
            <w:sz w:val="24"/>
            <w:szCs w:val="24"/>
          </w:rPr>
          <w:id w:val="1910102748"/>
          <w:citation/>
        </w:sdtPr>
        <w:sdtContent>
          <w:r w:rsidR="00667A68" w:rsidRPr="00254FBD">
            <w:rPr>
              <w:rFonts w:asciiTheme="minorHAnsi" w:hAnsiTheme="minorHAnsi" w:cstheme="minorHAnsi"/>
              <w:sz w:val="24"/>
              <w:szCs w:val="24"/>
            </w:rPr>
            <w:fldChar w:fldCharType="begin"/>
          </w:r>
          <w:r w:rsidR="00667A68" w:rsidRPr="00254FBD">
            <w:rPr>
              <w:rFonts w:asciiTheme="minorHAnsi" w:hAnsiTheme="minorHAnsi" w:cstheme="minorHAnsi"/>
              <w:sz w:val="24"/>
              <w:szCs w:val="24"/>
            </w:rPr>
            <w:instrText xml:space="preserve"> CITATION Bar18 \l 2057 </w:instrText>
          </w:r>
          <w:r w:rsidR="00667A68" w:rsidRPr="00254FBD">
            <w:rPr>
              <w:rFonts w:asciiTheme="minorHAnsi" w:hAnsiTheme="minorHAnsi" w:cstheme="minorHAnsi"/>
              <w:sz w:val="24"/>
              <w:szCs w:val="24"/>
            </w:rPr>
            <w:fldChar w:fldCharType="separate"/>
          </w:r>
          <w:r w:rsidR="00667A68" w:rsidRPr="00254FBD">
            <w:rPr>
              <w:rFonts w:asciiTheme="minorHAnsi" w:hAnsiTheme="minorHAnsi" w:cstheme="minorHAnsi"/>
              <w:noProof/>
              <w:sz w:val="24"/>
              <w:szCs w:val="24"/>
            </w:rPr>
            <w:t xml:space="preserve"> (Barclays PLC, 2018)</w:t>
          </w:r>
          <w:r w:rsidR="00667A68" w:rsidRPr="00254FBD">
            <w:rPr>
              <w:rFonts w:asciiTheme="minorHAnsi" w:hAnsiTheme="minorHAnsi" w:cstheme="minorHAnsi"/>
              <w:sz w:val="24"/>
              <w:szCs w:val="24"/>
            </w:rPr>
            <w:fldChar w:fldCharType="end"/>
          </w:r>
        </w:sdtContent>
      </w:sdt>
      <w:r w:rsidR="00667A68" w:rsidRPr="00254FBD">
        <w:rPr>
          <w:rFonts w:asciiTheme="minorHAnsi" w:hAnsiTheme="minorHAnsi" w:cstheme="minorHAnsi"/>
          <w:sz w:val="24"/>
          <w:szCs w:val="24"/>
        </w:rPr>
        <w:t xml:space="preserve">, meaning the PBT in 2019 was £1,780m.  However, Barclays PLC (2019) </w:t>
      </w:r>
      <w:r w:rsidR="00730D6D" w:rsidRPr="00254FBD">
        <w:rPr>
          <w:rFonts w:asciiTheme="minorHAnsi" w:hAnsiTheme="minorHAnsi" w:cstheme="minorHAnsi"/>
          <w:sz w:val="24"/>
          <w:szCs w:val="24"/>
        </w:rPr>
        <w:t xml:space="preserve">project a negative impact on profitability in the future as a result of “an unexpected rise in </w:t>
      </w:r>
      <w:r w:rsidR="00667A68" w:rsidRPr="00254FBD">
        <w:rPr>
          <w:rFonts w:asciiTheme="minorHAnsi" w:hAnsiTheme="minorHAnsi" w:cstheme="minorHAnsi"/>
          <w:sz w:val="24"/>
          <w:szCs w:val="24"/>
        </w:rPr>
        <w:t>une</w:t>
      </w:r>
      <w:r w:rsidR="00730D6D" w:rsidRPr="00254FBD">
        <w:rPr>
          <w:rFonts w:asciiTheme="minorHAnsi" w:hAnsiTheme="minorHAnsi" w:cstheme="minorHAnsi"/>
          <w:sz w:val="24"/>
          <w:szCs w:val="24"/>
        </w:rPr>
        <w:t xml:space="preserve">mployment and/or an increase in </w:t>
      </w:r>
      <w:r w:rsidR="00667A68" w:rsidRPr="00254FBD">
        <w:rPr>
          <w:rFonts w:asciiTheme="minorHAnsi" w:hAnsiTheme="minorHAnsi" w:cstheme="minorHAnsi"/>
          <w:sz w:val="24"/>
          <w:szCs w:val="24"/>
        </w:rPr>
        <w:t>interest rates</w:t>
      </w:r>
      <w:r w:rsidR="00730D6D" w:rsidRPr="00254FBD">
        <w:rPr>
          <w:rFonts w:asciiTheme="minorHAnsi" w:hAnsiTheme="minorHAnsi" w:cstheme="minorHAnsi"/>
          <w:sz w:val="24"/>
          <w:szCs w:val="24"/>
        </w:rPr>
        <w:t xml:space="preserve"> could lead to increased levels </w:t>
      </w:r>
      <w:r w:rsidR="00667A68" w:rsidRPr="00254FBD">
        <w:rPr>
          <w:rFonts w:asciiTheme="minorHAnsi" w:hAnsiTheme="minorHAnsi" w:cstheme="minorHAnsi"/>
          <w:sz w:val="24"/>
          <w:szCs w:val="24"/>
        </w:rPr>
        <w:t>of im</w:t>
      </w:r>
      <w:r w:rsidR="00730D6D" w:rsidRPr="00254FBD">
        <w:rPr>
          <w:rFonts w:asciiTheme="minorHAnsi" w:hAnsiTheme="minorHAnsi" w:cstheme="minorHAnsi"/>
          <w:sz w:val="24"/>
          <w:szCs w:val="24"/>
        </w:rPr>
        <w:t xml:space="preserve">pairment” </w:t>
      </w:r>
      <w:sdt>
        <w:sdtPr>
          <w:rPr>
            <w:rFonts w:asciiTheme="minorHAnsi" w:hAnsiTheme="minorHAnsi" w:cstheme="minorHAnsi"/>
            <w:sz w:val="24"/>
            <w:szCs w:val="24"/>
          </w:rPr>
          <w:id w:val="2049723396"/>
          <w:citation/>
        </w:sdtPr>
        <w:sdtContent>
          <w:r w:rsidR="00730D6D" w:rsidRPr="00254FBD">
            <w:rPr>
              <w:rFonts w:asciiTheme="minorHAnsi" w:hAnsiTheme="minorHAnsi" w:cstheme="minorHAnsi"/>
              <w:sz w:val="24"/>
              <w:szCs w:val="24"/>
            </w:rPr>
            <w:fldChar w:fldCharType="begin"/>
          </w:r>
          <w:r w:rsidR="00730D6D" w:rsidRPr="00254FBD">
            <w:rPr>
              <w:rFonts w:asciiTheme="minorHAnsi" w:hAnsiTheme="minorHAnsi" w:cstheme="minorHAnsi"/>
              <w:sz w:val="24"/>
              <w:szCs w:val="24"/>
            </w:rPr>
            <w:instrText xml:space="preserve">CITATION Bar19 \p 129 \l 2057 </w:instrText>
          </w:r>
          <w:r w:rsidR="00730D6D" w:rsidRPr="00254FBD">
            <w:rPr>
              <w:rFonts w:asciiTheme="minorHAnsi" w:hAnsiTheme="minorHAnsi" w:cstheme="minorHAnsi"/>
              <w:sz w:val="24"/>
              <w:szCs w:val="24"/>
            </w:rPr>
            <w:fldChar w:fldCharType="separate"/>
          </w:r>
          <w:r w:rsidR="00730D6D" w:rsidRPr="00254FBD">
            <w:rPr>
              <w:rFonts w:asciiTheme="minorHAnsi" w:hAnsiTheme="minorHAnsi" w:cstheme="minorHAnsi"/>
              <w:noProof/>
              <w:sz w:val="24"/>
              <w:szCs w:val="24"/>
            </w:rPr>
            <w:t>(Barclays PLC., 2019, p. 129)</w:t>
          </w:r>
          <w:r w:rsidR="00730D6D" w:rsidRPr="00254FBD">
            <w:rPr>
              <w:rFonts w:asciiTheme="minorHAnsi" w:hAnsiTheme="minorHAnsi" w:cstheme="minorHAnsi"/>
              <w:sz w:val="24"/>
              <w:szCs w:val="24"/>
            </w:rPr>
            <w:fldChar w:fldCharType="end"/>
          </w:r>
        </w:sdtContent>
      </w:sdt>
      <w:r w:rsidR="00730D6D" w:rsidRPr="00254FBD">
        <w:rPr>
          <w:rFonts w:asciiTheme="minorHAnsi" w:hAnsiTheme="minorHAnsi" w:cstheme="minorHAnsi"/>
          <w:sz w:val="24"/>
          <w:szCs w:val="24"/>
        </w:rPr>
        <w:t xml:space="preserve">. Furthermore, other issues that could impact profitability for Barclays include lower gross </w:t>
      </w:r>
      <w:r w:rsidR="00730D6D" w:rsidRPr="00254FBD">
        <w:rPr>
          <w:rFonts w:asciiTheme="minorHAnsi" w:hAnsiTheme="minorHAnsi" w:cstheme="minorHAnsi"/>
          <w:sz w:val="24"/>
          <w:szCs w:val="24"/>
        </w:rPr>
        <w:lastRenderedPageBreak/>
        <w:t>domestic product (GDP) growth, higher rates of unemployment and substantial changes in asset prices and profitability of industries</w:t>
      </w:r>
      <w:sdt>
        <w:sdtPr>
          <w:rPr>
            <w:rFonts w:asciiTheme="minorHAnsi" w:hAnsiTheme="minorHAnsi" w:cstheme="minorHAnsi"/>
            <w:sz w:val="24"/>
            <w:szCs w:val="24"/>
          </w:rPr>
          <w:id w:val="2065984733"/>
          <w:citation/>
        </w:sdtPr>
        <w:sdtContent>
          <w:r w:rsidR="00730D6D" w:rsidRPr="00254FBD">
            <w:rPr>
              <w:rFonts w:asciiTheme="minorHAnsi" w:hAnsiTheme="minorHAnsi" w:cstheme="minorHAnsi"/>
              <w:sz w:val="24"/>
              <w:szCs w:val="24"/>
            </w:rPr>
            <w:fldChar w:fldCharType="begin"/>
          </w:r>
          <w:r w:rsidR="00730D6D" w:rsidRPr="00254FBD">
            <w:rPr>
              <w:rFonts w:asciiTheme="minorHAnsi" w:hAnsiTheme="minorHAnsi" w:cstheme="minorHAnsi"/>
              <w:sz w:val="24"/>
              <w:szCs w:val="24"/>
            </w:rPr>
            <w:instrText xml:space="preserve"> CITATION Bar19 \l 2057 </w:instrText>
          </w:r>
          <w:r w:rsidR="00730D6D" w:rsidRPr="00254FBD">
            <w:rPr>
              <w:rFonts w:asciiTheme="minorHAnsi" w:hAnsiTheme="minorHAnsi" w:cstheme="minorHAnsi"/>
              <w:sz w:val="24"/>
              <w:szCs w:val="24"/>
            </w:rPr>
            <w:fldChar w:fldCharType="separate"/>
          </w:r>
          <w:r w:rsidR="00730D6D" w:rsidRPr="00254FBD">
            <w:rPr>
              <w:rFonts w:asciiTheme="minorHAnsi" w:hAnsiTheme="minorHAnsi" w:cstheme="minorHAnsi"/>
              <w:noProof/>
              <w:sz w:val="24"/>
              <w:szCs w:val="24"/>
            </w:rPr>
            <w:t xml:space="preserve"> (Barclays PLC., 2019)</w:t>
          </w:r>
          <w:r w:rsidR="00730D6D" w:rsidRPr="00254FBD">
            <w:rPr>
              <w:rFonts w:asciiTheme="minorHAnsi" w:hAnsiTheme="minorHAnsi" w:cstheme="minorHAnsi"/>
              <w:sz w:val="24"/>
              <w:szCs w:val="24"/>
            </w:rPr>
            <w:fldChar w:fldCharType="end"/>
          </w:r>
        </w:sdtContent>
      </w:sdt>
      <w:r w:rsidR="00730D6D" w:rsidRPr="00254FBD">
        <w:rPr>
          <w:rFonts w:asciiTheme="minorHAnsi" w:hAnsiTheme="minorHAnsi" w:cstheme="minorHAnsi"/>
          <w:sz w:val="24"/>
          <w:szCs w:val="24"/>
        </w:rPr>
        <w:t xml:space="preserve">. </w:t>
      </w:r>
      <w:r w:rsidR="00E57E69" w:rsidRPr="00254FBD">
        <w:rPr>
          <w:rFonts w:asciiTheme="minorHAnsi" w:hAnsiTheme="minorHAnsi" w:cstheme="minorHAnsi"/>
          <w:sz w:val="24"/>
          <w:szCs w:val="24"/>
        </w:rPr>
        <w:t xml:space="preserve">This concern about lower interest rates negatively impacting profitability was also an issue for Barclays last year.  In the 2018 report they state that “ongoing low interest rates constrain overall profitability” </w:t>
      </w:r>
      <w:sdt>
        <w:sdtPr>
          <w:rPr>
            <w:rFonts w:asciiTheme="minorHAnsi" w:hAnsiTheme="minorHAnsi" w:cstheme="minorHAnsi"/>
            <w:sz w:val="24"/>
            <w:szCs w:val="24"/>
          </w:rPr>
          <w:id w:val="417997166"/>
          <w:citation/>
        </w:sdtPr>
        <w:sdtContent>
          <w:r w:rsidR="00E57E69" w:rsidRPr="00254FBD">
            <w:rPr>
              <w:rFonts w:asciiTheme="minorHAnsi" w:hAnsiTheme="minorHAnsi" w:cstheme="minorHAnsi"/>
              <w:sz w:val="24"/>
              <w:szCs w:val="24"/>
            </w:rPr>
            <w:fldChar w:fldCharType="begin"/>
          </w:r>
          <w:r w:rsidR="00E57E69" w:rsidRPr="00254FBD">
            <w:rPr>
              <w:rFonts w:asciiTheme="minorHAnsi" w:hAnsiTheme="minorHAnsi" w:cstheme="minorHAnsi"/>
              <w:sz w:val="24"/>
              <w:szCs w:val="24"/>
            </w:rPr>
            <w:instrText xml:space="preserve">CITATION Bar18 \p 3 \l 2057 </w:instrText>
          </w:r>
          <w:r w:rsidR="00E57E69" w:rsidRPr="00254FBD">
            <w:rPr>
              <w:rFonts w:asciiTheme="minorHAnsi" w:hAnsiTheme="minorHAnsi" w:cstheme="minorHAnsi"/>
              <w:sz w:val="24"/>
              <w:szCs w:val="24"/>
            </w:rPr>
            <w:fldChar w:fldCharType="separate"/>
          </w:r>
          <w:r w:rsidR="00E57E69" w:rsidRPr="00254FBD">
            <w:rPr>
              <w:rFonts w:asciiTheme="minorHAnsi" w:hAnsiTheme="minorHAnsi" w:cstheme="minorHAnsi"/>
              <w:noProof/>
              <w:sz w:val="24"/>
              <w:szCs w:val="24"/>
            </w:rPr>
            <w:t>(Barclays PLC, 2018, p. 3)</w:t>
          </w:r>
          <w:r w:rsidR="00E57E69" w:rsidRPr="00254FBD">
            <w:rPr>
              <w:rFonts w:asciiTheme="minorHAnsi" w:hAnsiTheme="minorHAnsi" w:cstheme="minorHAnsi"/>
              <w:sz w:val="24"/>
              <w:szCs w:val="24"/>
            </w:rPr>
            <w:fldChar w:fldCharType="end"/>
          </w:r>
        </w:sdtContent>
      </w:sdt>
      <w:r w:rsidR="00E57E69" w:rsidRPr="00254FBD">
        <w:rPr>
          <w:rFonts w:asciiTheme="minorHAnsi" w:hAnsiTheme="minorHAnsi" w:cstheme="minorHAnsi"/>
          <w:sz w:val="24"/>
          <w:szCs w:val="24"/>
        </w:rPr>
        <w:t>.</w:t>
      </w:r>
      <w:r w:rsidR="00866CD6">
        <w:rPr>
          <w:rFonts w:asciiTheme="minorHAnsi" w:hAnsiTheme="minorHAnsi" w:cstheme="minorHAnsi"/>
          <w:sz w:val="24"/>
          <w:szCs w:val="24"/>
        </w:rPr>
        <w:t xml:space="preserve"> This suggests that while the business has increased its profitability since last year, there are external factors that could negatively impact future profitability. </w:t>
      </w:r>
    </w:p>
    <w:p w:rsidR="00C60C5E" w:rsidRPr="00254FBD" w:rsidRDefault="00C60C5E" w:rsidP="00254FBD">
      <w:pPr>
        <w:spacing w:line="360" w:lineRule="auto"/>
        <w:rPr>
          <w:rFonts w:asciiTheme="minorHAnsi" w:hAnsiTheme="minorHAnsi" w:cstheme="minorHAnsi"/>
          <w:sz w:val="24"/>
          <w:szCs w:val="24"/>
        </w:rPr>
      </w:pPr>
    </w:p>
    <w:p w:rsidR="00823608" w:rsidRPr="00254FBD" w:rsidRDefault="00823608" w:rsidP="00254FBD">
      <w:pPr>
        <w:spacing w:line="360" w:lineRule="auto"/>
        <w:rPr>
          <w:rFonts w:asciiTheme="minorHAnsi" w:hAnsiTheme="minorHAnsi" w:cstheme="minorHAnsi"/>
          <w:color w:val="FF0000"/>
          <w:sz w:val="24"/>
          <w:szCs w:val="24"/>
        </w:rPr>
      </w:pPr>
    </w:p>
    <w:p w:rsidR="00823608" w:rsidRPr="00254FBD" w:rsidRDefault="00823608" w:rsidP="00254FBD">
      <w:pPr>
        <w:pStyle w:val="Heading2"/>
        <w:spacing w:line="360" w:lineRule="auto"/>
        <w:rPr>
          <w:rFonts w:asciiTheme="minorHAnsi" w:hAnsiTheme="minorHAnsi" w:cstheme="minorHAnsi"/>
          <w:sz w:val="24"/>
          <w:szCs w:val="24"/>
        </w:rPr>
      </w:pPr>
      <w:bookmarkStart w:id="5" w:name="_Toc42082605"/>
      <w:r w:rsidRPr="00254FBD">
        <w:rPr>
          <w:rFonts w:asciiTheme="minorHAnsi" w:hAnsiTheme="minorHAnsi" w:cstheme="minorHAnsi"/>
          <w:sz w:val="24"/>
          <w:szCs w:val="24"/>
        </w:rPr>
        <w:t>Liquidity</w:t>
      </w:r>
      <w:bookmarkEnd w:id="5"/>
      <w:r w:rsidRPr="00254FBD">
        <w:rPr>
          <w:rFonts w:asciiTheme="minorHAnsi" w:hAnsiTheme="minorHAnsi" w:cstheme="minorHAnsi"/>
          <w:sz w:val="24"/>
          <w:szCs w:val="24"/>
        </w:rPr>
        <w:t xml:space="preserve"> </w:t>
      </w:r>
    </w:p>
    <w:p w:rsidR="00E57E69" w:rsidRPr="00254FBD" w:rsidRDefault="00E57E69" w:rsidP="00254FBD">
      <w:pPr>
        <w:spacing w:line="360" w:lineRule="auto"/>
        <w:rPr>
          <w:rFonts w:asciiTheme="minorHAnsi" w:hAnsiTheme="minorHAnsi" w:cstheme="minorHAnsi"/>
          <w:sz w:val="24"/>
          <w:szCs w:val="24"/>
        </w:rPr>
      </w:pPr>
      <w:r w:rsidRPr="00254FBD">
        <w:rPr>
          <w:rFonts w:asciiTheme="minorHAnsi" w:hAnsiTheme="minorHAnsi" w:cstheme="minorHAnsi"/>
          <w:sz w:val="24"/>
          <w:szCs w:val="24"/>
        </w:rPr>
        <w:t xml:space="preserve">Liquidity refers to liquid assets available to an organisation, such as cash </w:t>
      </w:r>
      <w:sdt>
        <w:sdtPr>
          <w:rPr>
            <w:rFonts w:asciiTheme="minorHAnsi" w:hAnsiTheme="minorHAnsi" w:cstheme="minorHAnsi"/>
            <w:sz w:val="24"/>
            <w:szCs w:val="24"/>
          </w:rPr>
          <w:id w:val="-1890180225"/>
          <w:citation/>
        </w:sdtPr>
        <w:sdtContent>
          <w:r w:rsidRPr="00254FBD">
            <w:rPr>
              <w:rFonts w:asciiTheme="minorHAnsi" w:hAnsiTheme="minorHAnsi" w:cstheme="minorHAnsi"/>
              <w:sz w:val="24"/>
              <w:szCs w:val="24"/>
            </w:rPr>
            <w:fldChar w:fldCharType="begin"/>
          </w:r>
          <w:r w:rsidRPr="00254FBD">
            <w:rPr>
              <w:rFonts w:asciiTheme="minorHAnsi" w:hAnsiTheme="minorHAnsi" w:cstheme="minorHAnsi"/>
              <w:sz w:val="24"/>
              <w:szCs w:val="24"/>
            </w:rPr>
            <w:instrText xml:space="preserve"> CITATION Ber04 \l 2057 </w:instrText>
          </w:r>
          <w:r w:rsidRPr="00254FBD">
            <w:rPr>
              <w:rFonts w:asciiTheme="minorHAnsi" w:hAnsiTheme="minorHAnsi" w:cstheme="minorHAnsi"/>
              <w:sz w:val="24"/>
              <w:szCs w:val="24"/>
            </w:rPr>
            <w:fldChar w:fldCharType="separate"/>
          </w:r>
          <w:r w:rsidRPr="00254FBD">
            <w:rPr>
              <w:rFonts w:asciiTheme="minorHAnsi" w:hAnsiTheme="minorHAnsi" w:cstheme="minorHAnsi"/>
              <w:noProof/>
              <w:sz w:val="24"/>
              <w:szCs w:val="24"/>
            </w:rPr>
            <w:t>(Bernardo &amp; Welch, 2004)</w:t>
          </w:r>
          <w:r w:rsidRPr="00254FBD">
            <w:rPr>
              <w:rFonts w:asciiTheme="minorHAnsi" w:hAnsiTheme="minorHAnsi" w:cstheme="minorHAnsi"/>
              <w:sz w:val="24"/>
              <w:szCs w:val="24"/>
            </w:rPr>
            <w:fldChar w:fldCharType="end"/>
          </w:r>
        </w:sdtContent>
      </w:sdt>
      <w:r w:rsidRPr="00254FBD">
        <w:rPr>
          <w:rFonts w:asciiTheme="minorHAnsi" w:hAnsiTheme="minorHAnsi" w:cstheme="minorHAnsi"/>
          <w:sz w:val="24"/>
          <w:szCs w:val="24"/>
        </w:rPr>
        <w:t xml:space="preserve">.  Some organisation </w:t>
      </w:r>
      <w:proofErr w:type="gramStart"/>
      <w:r w:rsidRPr="00254FBD">
        <w:rPr>
          <w:rFonts w:asciiTheme="minorHAnsi" w:hAnsiTheme="minorHAnsi" w:cstheme="minorHAnsi"/>
          <w:sz w:val="24"/>
          <w:szCs w:val="24"/>
        </w:rPr>
        <w:t>liquidate</w:t>
      </w:r>
      <w:proofErr w:type="gramEnd"/>
      <w:r w:rsidRPr="00254FBD">
        <w:rPr>
          <w:rFonts w:asciiTheme="minorHAnsi" w:hAnsiTheme="minorHAnsi" w:cstheme="minorHAnsi"/>
          <w:sz w:val="24"/>
          <w:szCs w:val="24"/>
        </w:rPr>
        <w:t xml:space="preserve"> their shares due to losing profit without waiting for prices to recover.  This implies that </w:t>
      </w:r>
      <w:r w:rsidR="00244636" w:rsidRPr="00254FBD">
        <w:rPr>
          <w:rFonts w:asciiTheme="minorHAnsi" w:hAnsiTheme="minorHAnsi" w:cstheme="minorHAnsi"/>
          <w:sz w:val="24"/>
          <w:szCs w:val="24"/>
        </w:rPr>
        <w:t>“l</w:t>
      </w:r>
      <w:r w:rsidRPr="00254FBD">
        <w:rPr>
          <w:rFonts w:asciiTheme="minorHAnsi" w:hAnsiTheme="minorHAnsi" w:cstheme="minorHAnsi"/>
          <w:sz w:val="24"/>
          <w:szCs w:val="24"/>
        </w:rPr>
        <w:t>iquidity runs and crises are not caused by liquidity shocks</w:t>
      </w:r>
      <w:r w:rsidR="004B05DA">
        <w:rPr>
          <w:rFonts w:asciiTheme="minorHAnsi" w:hAnsiTheme="minorHAnsi" w:cstheme="minorHAnsi"/>
          <w:sz w:val="24"/>
          <w:szCs w:val="24"/>
        </w:rPr>
        <w:t xml:space="preserve"> per assets</w:t>
      </w:r>
      <w:r w:rsidRPr="00254FBD">
        <w:rPr>
          <w:rFonts w:asciiTheme="minorHAnsi" w:hAnsiTheme="minorHAnsi" w:cstheme="minorHAnsi"/>
          <w:sz w:val="24"/>
          <w:szCs w:val="24"/>
        </w:rPr>
        <w:t>, but by the fear of future liquidity shocks</w:t>
      </w:r>
      <w:r w:rsidR="00244636" w:rsidRPr="00254FBD">
        <w:rPr>
          <w:rFonts w:asciiTheme="minorHAnsi" w:hAnsiTheme="minorHAnsi" w:cstheme="minorHAnsi"/>
          <w:sz w:val="24"/>
          <w:szCs w:val="24"/>
        </w:rPr>
        <w:t xml:space="preserve">” </w:t>
      </w:r>
      <w:sdt>
        <w:sdtPr>
          <w:rPr>
            <w:rFonts w:asciiTheme="minorHAnsi" w:hAnsiTheme="minorHAnsi" w:cstheme="minorHAnsi"/>
            <w:sz w:val="24"/>
            <w:szCs w:val="24"/>
          </w:rPr>
          <w:id w:val="1795255492"/>
          <w:citation/>
        </w:sdtPr>
        <w:sdtContent>
          <w:r w:rsidR="00244636" w:rsidRPr="00254FBD">
            <w:rPr>
              <w:rFonts w:asciiTheme="minorHAnsi" w:hAnsiTheme="minorHAnsi" w:cstheme="minorHAnsi"/>
              <w:sz w:val="24"/>
              <w:szCs w:val="24"/>
            </w:rPr>
            <w:fldChar w:fldCharType="begin"/>
          </w:r>
          <w:r w:rsidR="00244636" w:rsidRPr="00254FBD">
            <w:rPr>
              <w:rFonts w:asciiTheme="minorHAnsi" w:hAnsiTheme="minorHAnsi" w:cstheme="minorHAnsi"/>
              <w:sz w:val="24"/>
              <w:szCs w:val="24"/>
            </w:rPr>
            <w:instrText xml:space="preserve">CITATION Ber04 \p 135 \l 2057 </w:instrText>
          </w:r>
          <w:r w:rsidR="00244636" w:rsidRPr="00254FBD">
            <w:rPr>
              <w:rFonts w:asciiTheme="minorHAnsi" w:hAnsiTheme="minorHAnsi" w:cstheme="minorHAnsi"/>
              <w:sz w:val="24"/>
              <w:szCs w:val="24"/>
            </w:rPr>
            <w:fldChar w:fldCharType="separate"/>
          </w:r>
          <w:r w:rsidR="00244636" w:rsidRPr="00254FBD">
            <w:rPr>
              <w:rFonts w:asciiTheme="minorHAnsi" w:hAnsiTheme="minorHAnsi" w:cstheme="minorHAnsi"/>
              <w:noProof/>
              <w:sz w:val="24"/>
              <w:szCs w:val="24"/>
            </w:rPr>
            <w:t>(Bernardo &amp; Welch, 2004, p. 135)</w:t>
          </w:r>
          <w:r w:rsidR="00244636" w:rsidRPr="00254FBD">
            <w:rPr>
              <w:rFonts w:asciiTheme="minorHAnsi" w:hAnsiTheme="minorHAnsi" w:cstheme="minorHAnsi"/>
              <w:sz w:val="24"/>
              <w:szCs w:val="24"/>
            </w:rPr>
            <w:fldChar w:fldCharType="end"/>
          </w:r>
        </w:sdtContent>
      </w:sdt>
      <w:r w:rsidR="00244636" w:rsidRPr="00254FBD">
        <w:rPr>
          <w:rFonts w:asciiTheme="minorHAnsi" w:hAnsiTheme="minorHAnsi" w:cstheme="minorHAnsi"/>
          <w:sz w:val="24"/>
          <w:szCs w:val="24"/>
        </w:rPr>
        <w:t xml:space="preserve">. Like any organisation, Barclays is at risk of not having appropriate liquidity to support its assets, but as the example above shows, liquid assets fluctuate. </w:t>
      </w:r>
    </w:p>
    <w:p w:rsidR="00244636" w:rsidRPr="00254FBD" w:rsidRDefault="00244636" w:rsidP="00254FBD">
      <w:pPr>
        <w:spacing w:line="360" w:lineRule="auto"/>
        <w:rPr>
          <w:rFonts w:asciiTheme="minorHAnsi" w:hAnsiTheme="minorHAnsi" w:cstheme="minorHAnsi"/>
          <w:sz w:val="24"/>
          <w:szCs w:val="24"/>
        </w:rPr>
      </w:pPr>
    </w:p>
    <w:p w:rsidR="00244636" w:rsidRPr="00254FBD" w:rsidRDefault="00DC1A19" w:rsidP="00254FBD">
      <w:pPr>
        <w:spacing w:line="360" w:lineRule="auto"/>
        <w:rPr>
          <w:rFonts w:asciiTheme="minorHAnsi" w:hAnsiTheme="minorHAnsi" w:cstheme="minorHAnsi"/>
          <w:sz w:val="24"/>
          <w:szCs w:val="24"/>
        </w:rPr>
      </w:pPr>
      <w:r w:rsidRPr="00254FBD">
        <w:rPr>
          <w:rFonts w:asciiTheme="minorHAnsi" w:hAnsiTheme="minorHAnsi" w:cstheme="minorHAnsi"/>
          <w:sz w:val="24"/>
          <w:szCs w:val="24"/>
        </w:rPr>
        <w:t xml:space="preserve">Barclays PLC (2019) were concerned that leaving the EU would have consequences on their liquid position because of a potential credit rating downgrade and an increase to borrowing costs within the UK.  Furthermore, </w:t>
      </w:r>
      <w:r w:rsidR="00244636" w:rsidRPr="00254FBD">
        <w:rPr>
          <w:rFonts w:asciiTheme="minorHAnsi" w:hAnsiTheme="minorHAnsi" w:cstheme="minorHAnsi"/>
          <w:sz w:val="24"/>
          <w:szCs w:val="24"/>
        </w:rPr>
        <w:t>legal proce</w:t>
      </w:r>
      <w:r w:rsidRPr="00254FBD">
        <w:rPr>
          <w:rFonts w:asciiTheme="minorHAnsi" w:hAnsiTheme="minorHAnsi" w:cstheme="minorHAnsi"/>
          <w:sz w:val="24"/>
          <w:szCs w:val="24"/>
        </w:rPr>
        <w:t xml:space="preserve">edings connected with leaving the EU could result in loss of regulatory </w:t>
      </w:r>
      <w:r w:rsidR="00244636" w:rsidRPr="00254FBD">
        <w:rPr>
          <w:rFonts w:asciiTheme="minorHAnsi" w:hAnsiTheme="minorHAnsi" w:cstheme="minorHAnsi"/>
          <w:sz w:val="24"/>
          <w:szCs w:val="24"/>
        </w:rPr>
        <w:t>lic</w:t>
      </w:r>
      <w:r w:rsidRPr="00254FBD">
        <w:rPr>
          <w:rFonts w:asciiTheme="minorHAnsi" w:hAnsiTheme="minorHAnsi" w:cstheme="minorHAnsi"/>
          <w:sz w:val="24"/>
          <w:szCs w:val="24"/>
        </w:rPr>
        <w:t xml:space="preserve">ences and permissions and could lead to </w:t>
      </w:r>
      <w:r w:rsidR="00244636" w:rsidRPr="00254FBD">
        <w:rPr>
          <w:rFonts w:asciiTheme="minorHAnsi" w:hAnsiTheme="minorHAnsi" w:cstheme="minorHAnsi"/>
          <w:sz w:val="24"/>
          <w:szCs w:val="24"/>
        </w:rPr>
        <w:t>sanction</w:t>
      </w:r>
      <w:r w:rsidRPr="00254FBD">
        <w:rPr>
          <w:rFonts w:asciiTheme="minorHAnsi" w:hAnsiTheme="minorHAnsi" w:cstheme="minorHAnsi"/>
          <w:sz w:val="24"/>
          <w:szCs w:val="24"/>
        </w:rPr>
        <w:t xml:space="preserve">s.  This could have a negative impact on Barclays’ reputation with clients </w:t>
      </w:r>
      <w:r w:rsidR="00244636" w:rsidRPr="00254FBD">
        <w:rPr>
          <w:rFonts w:asciiTheme="minorHAnsi" w:hAnsiTheme="minorHAnsi" w:cstheme="minorHAnsi"/>
          <w:sz w:val="24"/>
          <w:szCs w:val="24"/>
        </w:rPr>
        <w:t>and custo</w:t>
      </w:r>
      <w:r w:rsidRPr="00254FBD">
        <w:rPr>
          <w:rFonts w:asciiTheme="minorHAnsi" w:hAnsiTheme="minorHAnsi" w:cstheme="minorHAnsi"/>
          <w:sz w:val="24"/>
          <w:szCs w:val="24"/>
        </w:rPr>
        <w:t xml:space="preserve">mers and on investor confidence </w:t>
      </w:r>
      <w:r w:rsidR="004B05DA" w:rsidRPr="00254FBD">
        <w:rPr>
          <w:rFonts w:asciiTheme="minorHAnsi" w:hAnsiTheme="minorHAnsi" w:cstheme="minorHAnsi"/>
          <w:sz w:val="24"/>
          <w:szCs w:val="24"/>
        </w:rPr>
        <w:t>within</w:t>
      </w:r>
      <w:r w:rsidRPr="00254FBD">
        <w:rPr>
          <w:rFonts w:asciiTheme="minorHAnsi" w:hAnsiTheme="minorHAnsi" w:cstheme="minorHAnsi"/>
          <w:sz w:val="24"/>
          <w:szCs w:val="24"/>
        </w:rPr>
        <w:t xml:space="preserve"> tur</w:t>
      </w:r>
      <w:r w:rsidR="004B05DA">
        <w:rPr>
          <w:rFonts w:asciiTheme="minorHAnsi" w:hAnsiTheme="minorHAnsi" w:cstheme="minorHAnsi"/>
          <w:sz w:val="24"/>
          <w:szCs w:val="24"/>
        </w:rPr>
        <w:t>n</w:t>
      </w:r>
      <w:r w:rsidRPr="00254FBD">
        <w:rPr>
          <w:rFonts w:asciiTheme="minorHAnsi" w:hAnsiTheme="minorHAnsi" w:cstheme="minorHAnsi"/>
          <w:sz w:val="24"/>
          <w:szCs w:val="24"/>
        </w:rPr>
        <w:t xml:space="preserve"> could affect </w:t>
      </w:r>
      <w:r w:rsidR="00244636" w:rsidRPr="00254FBD">
        <w:rPr>
          <w:rFonts w:asciiTheme="minorHAnsi" w:hAnsiTheme="minorHAnsi" w:cstheme="minorHAnsi"/>
          <w:sz w:val="24"/>
          <w:szCs w:val="24"/>
        </w:rPr>
        <w:t>capital, liquidity and funding</w:t>
      </w:r>
      <w:r w:rsidRPr="00254FBD">
        <w:rPr>
          <w:rFonts w:asciiTheme="minorHAnsi" w:hAnsiTheme="minorHAnsi" w:cstheme="minorHAnsi"/>
          <w:sz w:val="24"/>
          <w:szCs w:val="24"/>
        </w:rPr>
        <w:t>. “Sudden shocks or geopolitical unrest…could alter the be</w:t>
      </w:r>
      <w:r w:rsidR="008103AC" w:rsidRPr="00254FBD">
        <w:rPr>
          <w:rFonts w:asciiTheme="minorHAnsi" w:hAnsiTheme="minorHAnsi" w:cstheme="minorHAnsi"/>
          <w:sz w:val="24"/>
          <w:szCs w:val="24"/>
        </w:rPr>
        <w:t xml:space="preserve">haviour of depositors and other </w:t>
      </w:r>
      <w:r w:rsidRPr="00254FBD">
        <w:rPr>
          <w:rFonts w:asciiTheme="minorHAnsi" w:hAnsiTheme="minorHAnsi" w:cstheme="minorHAnsi"/>
          <w:sz w:val="24"/>
          <w:szCs w:val="24"/>
        </w:rPr>
        <w:t>counterpartie</w:t>
      </w:r>
      <w:r w:rsidR="008103AC" w:rsidRPr="00254FBD">
        <w:rPr>
          <w:rFonts w:asciiTheme="minorHAnsi" w:hAnsiTheme="minorHAnsi" w:cstheme="minorHAnsi"/>
          <w:sz w:val="24"/>
          <w:szCs w:val="24"/>
        </w:rPr>
        <w:t xml:space="preserve">s and affect the ability of the </w:t>
      </w:r>
      <w:r w:rsidRPr="00254FBD">
        <w:rPr>
          <w:rFonts w:asciiTheme="minorHAnsi" w:hAnsiTheme="minorHAnsi" w:cstheme="minorHAnsi"/>
          <w:sz w:val="24"/>
          <w:szCs w:val="24"/>
        </w:rPr>
        <w:t>firm to maintai</w:t>
      </w:r>
      <w:r w:rsidR="008103AC" w:rsidRPr="00254FBD">
        <w:rPr>
          <w:rFonts w:asciiTheme="minorHAnsi" w:hAnsiTheme="minorHAnsi" w:cstheme="minorHAnsi"/>
          <w:sz w:val="24"/>
          <w:szCs w:val="24"/>
        </w:rPr>
        <w:t xml:space="preserve">n appropriate capital and </w:t>
      </w:r>
      <w:r w:rsidRPr="00254FBD">
        <w:rPr>
          <w:rFonts w:asciiTheme="minorHAnsi" w:hAnsiTheme="minorHAnsi" w:cstheme="minorHAnsi"/>
          <w:sz w:val="24"/>
          <w:szCs w:val="24"/>
        </w:rPr>
        <w:t>liquidity ratios</w:t>
      </w:r>
      <w:r w:rsidR="008103AC" w:rsidRPr="00254FBD">
        <w:rPr>
          <w:rFonts w:asciiTheme="minorHAnsi" w:hAnsiTheme="minorHAnsi" w:cstheme="minorHAnsi"/>
          <w:sz w:val="24"/>
          <w:szCs w:val="24"/>
        </w:rPr>
        <w:t xml:space="preserve">” </w:t>
      </w:r>
      <w:sdt>
        <w:sdtPr>
          <w:rPr>
            <w:rFonts w:asciiTheme="minorHAnsi" w:hAnsiTheme="minorHAnsi" w:cstheme="minorHAnsi"/>
            <w:sz w:val="24"/>
            <w:szCs w:val="24"/>
          </w:rPr>
          <w:id w:val="664292024"/>
          <w:citation/>
        </w:sdtPr>
        <w:sdtContent>
          <w:r w:rsidR="008103AC" w:rsidRPr="00254FBD">
            <w:rPr>
              <w:rFonts w:asciiTheme="minorHAnsi" w:hAnsiTheme="minorHAnsi" w:cstheme="minorHAnsi"/>
              <w:sz w:val="24"/>
              <w:szCs w:val="24"/>
            </w:rPr>
            <w:fldChar w:fldCharType="begin"/>
          </w:r>
          <w:r w:rsidR="008103AC" w:rsidRPr="00254FBD">
            <w:rPr>
              <w:rFonts w:asciiTheme="minorHAnsi" w:hAnsiTheme="minorHAnsi" w:cstheme="minorHAnsi"/>
              <w:sz w:val="24"/>
              <w:szCs w:val="24"/>
            </w:rPr>
            <w:instrText xml:space="preserve"> CITATION Bar19 \l 2057 </w:instrText>
          </w:r>
          <w:r w:rsidR="008103AC" w:rsidRPr="00254FBD">
            <w:rPr>
              <w:rFonts w:asciiTheme="minorHAnsi" w:hAnsiTheme="minorHAnsi" w:cstheme="minorHAnsi"/>
              <w:sz w:val="24"/>
              <w:szCs w:val="24"/>
            </w:rPr>
            <w:fldChar w:fldCharType="separate"/>
          </w:r>
          <w:r w:rsidR="008103AC" w:rsidRPr="00254FBD">
            <w:rPr>
              <w:rFonts w:asciiTheme="minorHAnsi" w:hAnsiTheme="minorHAnsi" w:cstheme="minorHAnsi"/>
              <w:noProof/>
              <w:sz w:val="24"/>
              <w:szCs w:val="24"/>
            </w:rPr>
            <w:t>(Barclays PLC., 2019)</w:t>
          </w:r>
          <w:r w:rsidR="008103AC" w:rsidRPr="00254FBD">
            <w:rPr>
              <w:rFonts w:asciiTheme="minorHAnsi" w:hAnsiTheme="minorHAnsi" w:cstheme="minorHAnsi"/>
              <w:sz w:val="24"/>
              <w:szCs w:val="24"/>
            </w:rPr>
            <w:fldChar w:fldCharType="end"/>
          </w:r>
        </w:sdtContent>
      </w:sdt>
      <w:r w:rsidR="008103AC" w:rsidRPr="00254FBD">
        <w:rPr>
          <w:rFonts w:asciiTheme="minorHAnsi" w:hAnsiTheme="minorHAnsi" w:cstheme="minorHAnsi"/>
          <w:sz w:val="24"/>
          <w:szCs w:val="24"/>
        </w:rPr>
        <w:t xml:space="preserve">. </w:t>
      </w:r>
    </w:p>
    <w:p w:rsidR="008103AC" w:rsidRPr="00254FBD" w:rsidRDefault="008103AC" w:rsidP="00254FBD">
      <w:pPr>
        <w:spacing w:line="360" w:lineRule="auto"/>
        <w:rPr>
          <w:rFonts w:asciiTheme="minorHAnsi" w:hAnsiTheme="minorHAnsi" w:cstheme="minorHAnsi"/>
          <w:sz w:val="24"/>
          <w:szCs w:val="24"/>
        </w:rPr>
      </w:pPr>
    </w:p>
    <w:p w:rsidR="008103AC" w:rsidRPr="00254FBD" w:rsidRDefault="00A10E13" w:rsidP="00254FBD">
      <w:pPr>
        <w:spacing w:line="360" w:lineRule="auto"/>
        <w:rPr>
          <w:rFonts w:asciiTheme="minorHAnsi" w:hAnsiTheme="minorHAnsi" w:cstheme="minorHAnsi"/>
          <w:sz w:val="24"/>
          <w:szCs w:val="24"/>
        </w:rPr>
      </w:pPr>
      <w:r w:rsidRPr="00254FBD">
        <w:rPr>
          <w:rFonts w:asciiTheme="minorHAnsi" w:hAnsiTheme="minorHAnsi" w:cstheme="minorHAnsi"/>
          <w:sz w:val="24"/>
          <w:szCs w:val="24"/>
        </w:rPr>
        <w:t xml:space="preserve">“Common Equity Tier 1 (CET1) is a component of Tier 1 capital that consists mostly of common stock held by a bank or other financial institution” </w:t>
      </w:r>
      <w:sdt>
        <w:sdtPr>
          <w:rPr>
            <w:rFonts w:asciiTheme="minorHAnsi" w:hAnsiTheme="minorHAnsi" w:cstheme="minorHAnsi"/>
            <w:sz w:val="24"/>
            <w:szCs w:val="24"/>
          </w:rPr>
          <w:id w:val="-1831823594"/>
          <w:citation/>
        </w:sdtPr>
        <w:sdtContent>
          <w:r w:rsidRPr="00254FBD">
            <w:rPr>
              <w:rFonts w:asciiTheme="minorHAnsi" w:hAnsiTheme="minorHAnsi" w:cstheme="minorHAnsi"/>
              <w:sz w:val="24"/>
              <w:szCs w:val="24"/>
            </w:rPr>
            <w:fldChar w:fldCharType="begin"/>
          </w:r>
          <w:r w:rsidRPr="00254FBD">
            <w:rPr>
              <w:rFonts w:asciiTheme="minorHAnsi" w:hAnsiTheme="minorHAnsi" w:cstheme="minorHAnsi"/>
              <w:sz w:val="24"/>
              <w:szCs w:val="24"/>
            </w:rPr>
            <w:instrText xml:space="preserve"> CITATION Gra20 \l 2057 </w:instrText>
          </w:r>
          <w:r w:rsidRPr="00254FBD">
            <w:rPr>
              <w:rFonts w:asciiTheme="minorHAnsi" w:hAnsiTheme="minorHAnsi" w:cstheme="minorHAnsi"/>
              <w:sz w:val="24"/>
              <w:szCs w:val="24"/>
            </w:rPr>
            <w:fldChar w:fldCharType="separate"/>
          </w:r>
          <w:r w:rsidRPr="00254FBD">
            <w:rPr>
              <w:rFonts w:asciiTheme="minorHAnsi" w:hAnsiTheme="minorHAnsi" w:cstheme="minorHAnsi"/>
              <w:noProof/>
              <w:sz w:val="24"/>
              <w:szCs w:val="24"/>
            </w:rPr>
            <w:t>(Grant, 2020)</w:t>
          </w:r>
          <w:r w:rsidRPr="00254FBD">
            <w:rPr>
              <w:rFonts w:asciiTheme="minorHAnsi" w:hAnsiTheme="minorHAnsi" w:cstheme="minorHAnsi"/>
              <w:sz w:val="24"/>
              <w:szCs w:val="24"/>
            </w:rPr>
            <w:fldChar w:fldCharType="end"/>
          </w:r>
        </w:sdtContent>
      </w:sdt>
      <w:r w:rsidRPr="00254FBD">
        <w:rPr>
          <w:rFonts w:asciiTheme="minorHAnsi" w:hAnsiTheme="minorHAnsi" w:cstheme="minorHAnsi"/>
          <w:sz w:val="24"/>
          <w:szCs w:val="24"/>
        </w:rPr>
        <w:t xml:space="preserve">. </w:t>
      </w:r>
      <w:r w:rsidR="008103AC" w:rsidRPr="00254FBD">
        <w:rPr>
          <w:rFonts w:asciiTheme="minorHAnsi" w:hAnsiTheme="minorHAnsi" w:cstheme="minorHAnsi"/>
          <w:sz w:val="24"/>
          <w:szCs w:val="24"/>
        </w:rPr>
        <w:t>The percentage of CET1</w:t>
      </w:r>
      <w:r w:rsidRPr="00254FBD">
        <w:rPr>
          <w:rFonts w:asciiTheme="minorHAnsi" w:hAnsiTheme="minorHAnsi" w:cstheme="minorHAnsi"/>
          <w:sz w:val="24"/>
          <w:szCs w:val="24"/>
        </w:rPr>
        <w:t xml:space="preserve"> at Barclays</w:t>
      </w:r>
      <w:r w:rsidR="008103AC" w:rsidRPr="00254FBD">
        <w:rPr>
          <w:rFonts w:asciiTheme="minorHAnsi" w:hAnsiTheme="minorHAnsi" w:cstheme="minorHAnsi"/>
          <w:sz w:val="24"/>
          <w:szCs w:val="24"/>
        </w:rPr>
        <w:t xml:space="preserve"> grew from 12.4% to 13.8% in 2019 and maintained a comfortable level above the regulatory minimum </w:t>
      </w:r>
      <w:sdt>
        <w:sdtPr>
          <w:rPr>
            <w:rFonts w:asciiTheme="minorHAnsi" w:hAnsiTheme="minorHAnsi" w:cstheme="minorHAnsi"/>
            <w:sz w:val="24"/>
            <w:szCs w:val="24"/>
          </w:rPr>
          <w:id w:val="-2079737031"/>
          <w:citation/>
        </w:sdtPr>
        <w:sdtContent>
          <w:r w:rsidR="008103AC" w:rsidRPr="00254FBD">
            <w:rPr>
              <w:rFonts w:asciiTheme="minorHAnsi" w:hAnsiTheme="minorHAnsi" w:cstheme="minorHAnsi"/>
              <w:sz w:val="24"/>
              <w:szCs w:val="24"/>
            </w:rPr>
            <w:fldChar w:fldCharType="begin"/>
          </w:r>
          <w:r w:rsidR="008103AC" w:rsidRPr="00254FBD">
            <w:rPr>
              <w:rFonts w:asciiTheme="minorHAnsi" w:hAnsiTheme="minorHAnsi" w:cstheme="minorHAnsi"/>
              <w:sz w:val="24"/>
              <w:szCs w:val="24"/>
            </w:rPr>
            <w:instrText xml:space="preserve"> CITATION Bar19 \l 2057 </w:instrText>
          </w:r>
          <w:r w:rsidR="008103AC" w:rsidRPr="00254FBD">
            <w:rPr>
              <w:rFonts w:asciiTheme="minorHAnsi" w:hAnsiTheme="minorHAnsi" w:cstheme="minorHAnsi"/>
              <w:sz w:val="24"/>
              <w:szCs w:val="24"/>
            </w:rPr>
            <w:fldChar w:fldCharType="separate"/>
          </w:r>
          <w:r w:rsidR="008103AC" w:rsidRPr="00254FBD">
            <w:rPr>
              <w:rFonts w:asciiTheme="minorHAnsi" w:hAnsiTheme="minorHAnsi" w:cstheme="minorHAnsi"/>
              <w:noProof/>
              <w:sz w:val="24"/>
              <w:szCs w:val="24"/>
            </w:rPr>
            <w:t>(Barclays PLC., 2019)</w:t>
          </w:r>
          <w:r w:rsidR="008103AC" w:rsidRPr="00254FBD">
            <w:rPr>
              <w:rFonts w:asciiTheme="minorHAnsi" w:hAnsiTheme="minorHAnsi" w:cstheme="minorHAnsi"/>
              <w:sz w:val="24"/>
              <w:szCs w:val="24"/>
            </w:rPr>
            <w:fldChar w:fldCharType="end"/>
          </w:r>
        </w:sdtContent>
      </w:sdt>
      <w:r w:rsidR="008103AC" w:rsidRPr="00254FBD">
        <w:rPr>
          <w:rFonts w:asciiTheme="minorHAnsi" w:hAnsiTheme="minorHAnsi" w:cstheme="minorHAnsi"/>
          <w:sz w:val="24"/>
          <w:szCs w:val="24"/>
        </w:rPr>
        <w:t xml:space="preserve">. In 2018 and 2019, Barclays’ liquidity risk appetite measure and the Liquidity Coverage Ratio remained above targets </w:t>
      </w:r>
      <w:sdt>
        <w:sdtPr>
          <w:rPr>
            <w:rFonts w:asciiTheme="minorHAnsi" w:hAnsiTheme="minorHAnsi" w:cstheme="minorHAnsi"/>
            <w:sz w:val="24"/>
            <w:szCs w:val="24"/>
          </w:rPr>
          <w:id w:val="-758513071"/>
          <w:citation/>
        </w:sdtPr>
        <w:sdtContent>
          <w:r w:rsidR="008103AC" w:rsidRPr="00254FBD">
            <w:rPr>
              <w:rFonts w:asciiTheme="minorHAnsi" w:hAnsiTheme="minorHAnsi" w:cstheme="minorHAnsi"/>
              <w:sz w:val="24"/>
              <w:szCs w:val="24"/>
            </w:rPr>
            <w:fldChar w:fldCharType="begin"/>
          </w:r>
          <w:r w:rsidR="008103AC" w:rsidRPr="00254FBD">
            <w:rPr>
              <w:rFonts w:asciiTheme="minorHAnsi" w:hAnsiTheme="minorHAnsi" w:cstheme="minorHAnsi"/>
              <w:sz w:val="24"/>
              <w:szCs w:val="24"/>
            </w:rPr>
            <w:instrText xml:space="preserve"> CITATION Bar19 \l 2057 </w:instrText>
          </w:r>
          <w:r w:rsidR="008103AC" w:rsidRPr="00254FBD">
            <w:rPr>
              <w:rFonts w:asciiTheme="minorHAnsi" w:hAnsiTheme="minorHAnsi" w:cstheme="minorHAnsi"/>
              <w:sz w:val="24"/>
              <w:szCs w:val="24"/>
            </w:rPr>
            <w:fldChar w:fldCharType="separate"/>
          </w:r>
          <w:r w:rsidR="008103AC" w:rsidRPr="00254FBD">
            <w:rPr>
              <w:rFonts w:asciiTheme="minorHAnsi" w:hAnsiTheme="minorHAnsi" w:cstheme="minorHAnsi"/>
              <w:noProof/>
              <w:sz w:val="24"/>
              <w:szCs w:val="24"/>
            </w:rPr>
            <w:t>(Barclays PLC., 2019)</w:t>
          </w:r>
          <w:r w:rsidR="008103AC" w:rsidRPr="00254FBD">
            <w:rPr>
              <w:rFonts w:asciiTheme="minorHAnsi" w:hAnsiTheme="minorHAnsi" w:cstheme="minorHAnsi"/>
              <w:sz w:val="24"/>
              <w:szCs w:val="24"/>
            </w:rPr>
            <w:fldChar w:fldCharType="end"/>
          </w:r>
        </w:sdtContent>
      </w:sdt>
      <w:r w:rsidR="008103AC" w:rsidRPr="00254FBD">
        <w:rPr>
          <w:rFonts w:asciiTheme="minorHAnsi" w:hAnsiTheme="minorHAnsi" w:cstheme="minorHAnsi"/>
          <w:sz w:val="24"/>
          <w:szCs w:val="24"/>
        </w:rPr>
        <w:t xml:space="preserve">. </w:t>
      </w:r>
    </w:p>
    <w:p w:rsidR="00A10E13" w:rsidRPr="00254FBD" w:rsidRDefault="00A10E13" w:rsidP="00254FBD">
      <w:pPr>
        <w:spacing w:line="360" w:lineRule="auto"/>
        <w:rPr>
          <w:rFonts w:asciiTheme="minorHAnsi" w:hAnsiTheme="minorHAnsi" w:cstheme="minorHAnsi"/>
          <w:sz w:val="24"/>
          <w:szCs w:val="24"/>
        </w:rPr>
      </w:pPr>
    </w:p>
    <w:p w:rsidR="00A10E13" w:rsidRPr="00254FBD" w:rsidRDefault="00A10E13" w:rsidP="00254FBD">
      <w:pPr>
        <w:spacing w:line="360" w:lineRule="auto"/>
        <w:rPr>
          <w:rFonts w:asciiTheme="minorHAnsi" w:hAnsiTheme="minorHAnsi" w:cstheme="minorHAnsi"/>
          <w:sz w:val="24"/>
          <w:szCs w:val="24"/>
        </w:rPr>
      </w:pPr>
      <w:r w:rsidRPr="00254FBD">
        <w:rPr>
          <w:rFonts w:asciiTheme="minorHAnsi" w:hAnsiTheme="minorHAnsi" w:cstheme="minorHAnsi"/>
          <w:sz w:val="24"/>
          <w:szCs w:val="24"/>
        </w:rPr>
        <w:t>Barclays’ liquidity pool of £211bn in 2019</w:t>
      </w:r>
      <w:sdt>
        <w:sdtPr>
          <w:rPr>
            <w:rFonts w:asciiTheme="minorHAnsi" w:hAnsiTheme="minorHAnsi" w:cstheme="minorHAnsi"/>
            <w:sz w:val="24"/>
            <w:szCs w:val="24"/>
          </w:rPr>
          <w:id w:val="1493453187"/>
          <w:citation/>
        </w:sdtPr>
        <w:sdtContent>
          <w:r w:rsidRPr="00254FBD">
            <w:rPr>
              <w:rFonts w:asciiTheme="minorHAnsi" w:hAnsiTheme="minorHAnsi" w:cstheme="minorHAnsi"/>
              <w:sz w:val="24"/>
              <w:szCs w:val="24"/>
            </w:rPr>
            <w:fldChar w:fldCharType="begin"/>
          </w:r>
          <w:r w:rsidRPr="00254FBD">
            <w:rPr>
              <w:rFonts w:asciiTheme="minorHAnsi" w:hAnsiTheme="minorHAnsi" w:cstheme="minorHAnsi"/>
              <w:sz w:val="24"/>
              <w:szCs w:val="24"/>
            </w:rPr>
            <w:instrText xml:space="preserve"> CITATION Bar19 \l 2057 </w:instrText>
          </w:r>
          <w:r w:rsidRPr="00254FBD">
            <w:rPr>
              <w:rFonts w:asciiTheme="minorHAnsi" w:hAnsiTheme="minorHAnsi" w:cstheme="minorHAnsi"/>
              <w:sz w:val="24"/>
              <w:szCs w:val="24"/>
            </w:rPr>
            <w:fldChar w:fldCharType="separate"/>
          </w:r>
          <w:r w:rsidRPr="00254FBD">
            <w:rPr>
              <w:rFonts w:asciiTheme="minorHAnsi" w:hAnsiTheme="minorHAnsi" w:cstheme="minorHAnsi"/>
              <w:noProof/>
              <w:sz w:val="24"/>
              <w:szCs w:val="24"/>
            </w:rPr>
            <w:t xml:space="preserve"> (Barclays PLC., 2019)</w:t>
          </w:r>
          <w:r w:rsidRPr="00254FBD">
            <w:rPr>
              <w:rFonts w:asciiTheme="minorHAnsi" w:hAnsiTheme="minorHAnsi" w:cstheme="minorHAnsi"/>
              <w:sz w:val="24"/>
              <w:szCs w:val="24"/>
            </w:rPr>
            <w:fldChar w:fldCharType="end"/>
          </w:r>
        </w:sdtContent>
      </w:sdt>
      <w:r w:rsidRPr="00254FBD">
        <w:rPr>
          <w:rFonts w:asciiTheme="minorHAnsi" w:hAnsiTheme="minorHAnsi" w:cstheme="minorHAnsi"/>
          <w:sz w:val="24"/>
          <w:szCs w:val="24"/>
        </w:rPr>
        <w:t xml:space="preserve"> and £227bn in 2018</w:t>
      </w:r>
      <w:sdt>
        <w:sdtPr>
          <w:rPr>
            <w:rFonts w:asciiTheme="minorHAnsi" w:hAnsiTheme="minorHAnsi" w:cstheme="minorHAnsi"/>
            <w:sz w:val="24"/>
            <w:szCs w:val="24"/>
          </w:rPr>
          <w:id w:val="-1552838845"/>
          <w:citation/>
        </w:sdtPr>
        <w:sdtContent>
          <w:r w:rsidRPr="00254FBD">
            <w:rPr>
              <w:rFonts w:asciiTheme="minorHAnsi" w:hAnsiTheme="minorHAnsi" w:cstheme="minorHAnsi"/>
              <w:sz w:val="24"/>
              <w:szCs w:val="24"/>
            </w:rPr>
            <w:fldChar w:fldCharType="begin"/>
          </w:r>
          <w:r w:rsidRPr="00254FBD">
            <w:rPr>
              <w:rFonts w:asciiTheme="minorHAnsi" w:hAnsiTheme="minorHAnsi" w:cstheme="minorHAnsi"/>
              <w:sz w:val="24"/>
              <w:szCs w:val="24"/>
            </w:rPr>
            <w:instrText xml:space="preserve"> CITATION Bar18 \l 2057 </w:instrText>
          </w:r>
          <w:r w:rsidRPr="00254FBD">
            <w:rPr>
              <w:rFonts w:asciiTheme="minorHAnsi" w:hAnsiTheme="minorHAnsi" w:cstheme="minorHAnsi"/>
              <w:sz w:val="24"/>
              <w:szCs w:val="24"/>
            </w:rPr>
            <w:fldChar w:fldCharType="separate"/>
          </w:r>
          <w:r w:rsidRPr="00254FBD">
            <w:rPr>
              <w:rFonts w:asciiTheme="minorHAnsi" w:hAnsiTheme="minorHAnsi" w:cstheme="minorHAnsi"/>
              <w:noProof/>
              <w:sz w:val="24"/>
              <w:szCs w:val="24"/>
            </w:rPr>
            <w:t xml:space="preserve"> (Barclays PLC, 2018)</w:t>
          </w:r>
          <w:r w:rsidRPr="00254FBD">
            <w:rPr>
              <w:rFonts w:asciiTheme="minorHAnsi" w:hAnsiTheme="minorHAnsi" w:cstheme="minorHAnsi"/>
              <w:sz w:val="24"/>
              <w:szCs w:val="24"/>
            </w:rPr>
            <w:fldChar w:fldCharType="end"/>
          </w:r>
        </w:sdtContent>
      </w:sdt>
      <w:r w:rsidRPr="00254FBD">
        <w:rPr>
          <w:rFonts w:asciiTheme="minorHAnsi" w:hAnsiTheme="minorHAnsi" w:cstheme="minorHAnsi"/>
          <w:sz w:val="24"/>
          <w:szCs w:val="24"/>
        </w:rPr>
        <w:t xml:space="preserve"> reflects that they have an appropriate approach to liquidity management. </w:t>
      </w:r>
      <w:r w:rsidR="003F50EE">
        <w:rPr>
          <w:rFonts w:asciiTheme="minorHAnsi" w:hAnsiTheme="minorHAnsi" w:cstheme="minorHAnsi"/>
          <w:sz w:val="24"/>
          <w:szCs w:val="24"/>
        </w:rPr>
        <w:t xml:space="preserve"> To break down the year 2019 further, although the overall liquidity pool was £211bn at the end financial year, in September of that year the l</w:t>
      </w:r>
      <w:r w:rsidR="003F50EE" w:rsidRPr="003F50EE">
        <w:rPr>
          <w:rFonts w:asciiTheme="minorHAnsi" w:hAnsiTheme="minorHAnsi" w:cstheme="minorHAnsi"/>
          <w:sz w:val="24"/>
          <w:szCs w:val="24"/>
        </w:rPr>
        <w:t xml:space="preserve">iquidity pool </w:t>
      </w:r>
      <w:r w:rsidR="003F50EE">
        <w:rPr>
          <w:rFonts w:asciiTheme="minorHAnsi" w:hAnsiTheme="minorHAnsi" w:cstheme="minorHAnsi"/>
          <w:sz w:val="24"/>
          <w:szCs w:val="24"/>
        </w:rPr>
        <w:t xml:space="preserve">was £226bn, which is closer to the liquidity pool for 2018.  This shows that the biggest change occurred after September 2019.  </w:t>
      </w:r>
    </w:p>
    <w:p w:rsidR="00E57E69" w:rsidRPr="00254FBD" w:rsidRDefault="00E57E69" w:rsidP="00254FBD">
      <w:pPr>
        <w:spacing w:line="360" w:lineRule="auto"/>
        <w:rPr>
          <w:rFonts w:asciiTheme="minorHAnsi" w:hAnsiTheme="minorHAnsi" w:cstheme="minorHAnsi"/>
          <w:sz w:val="24"/>
          <w:szCs w:val="24"/>
        </w:rPr>
      </w:pPr>
    </w:p>
    <w:p w:rsidR="00823608" w:rsidRPr="00254FBD" w:rsidRDefault="00823608" w:rsidP="00254FBD">
      <w:pPr>
        <w:spacing w:line="360" w:lineRule="auto"/>
        <w:rPr>
          <w:rFonts w:asciiTheme="minorHAnsi" w:hAnsiTheme="minorHAnsi" w:cstheme="minorHAnsi"/>
          <w:sz w:val="24"/>
          <w:szCs w:val="24"/>
        </w:rPr>
      </w:pPr>
    </w:p>
    <w:p w:rsidR="00823608" w:rsidRPr="00254FBD" w:rsidRDefault="00823608" w:rsidP="00254FBD">
      <w:pPr>
        <w:pStyle w:val="Heading2"/>
        <w:spacing w:line="360" w:lineRule="auto"/>
        <w:rPr>
          <w:rFonts w:asciiTheme="minorHAnsi" w:hAnsiTheme="minorHAnsi" w:cstheme="minorHAnsi"/>
          <w:sz w:val="24"/>
          <w:szCs w:val="24"/>
        </w:rPr>
      </w:pPr>
      <w:bookmarkStart w:id="6" w:name="_Toc42082606"/>
      <w:r w:rsidRPr="00254FBD">
        <w:rPr>
          <w:rFonts w:asciiTheme="minorHAnsi" w:hAnsiTheme="minorHAnsi" w:cstheme="minorHAnsi"/>
          <w:sz w:val="24"/>
          <w:szCs w:val="24"/>
        </w:rPr>
        <w:t>Gearing</w:t>
      </w:r>
      <w:bookmarkEnd w:id="6"/>
      <w:r w:rsidRPr="00254FBD">
        <w:rPr>
          <w:rFonts w:asciiTheme="minorHAnsi" w:hAnsiTheme="minorHAnsi" w:cstheme="minorHAnsi"/>
          <w:sz w:val="24"/>
          <w:szCs w:val="24"/>
        </w:rPr>
        <w:t xml:space="preserve"> </w:t>
      </w:r>
    </w:p>
    <w:p w:rsidR="00A10E13" w:rsidRPr="00254FBD" w:rsidRDefault="00A10E13" w:rsidP="00254FBD">
      <w:pPr>
        <w:spacing w:line="360" w:lineRule="auto"/>
        <w:rPr>
          <w:rFonts w:asciiTheme="minorHAnsi" w:hAnsiTheme="minorHAnsi" w:cstheme="minorHAnsi"/>
          <w:color w:val="000000" w:themeColor="text1"/>
          <w:sz w:val="24"/>
          <w:szCs w:val="24"/>
          <w:shd w:val="clear" w:color="auto" w:fill="FFFFFF"/>
        </w:rPr>
      </w:pPr>
      <w:r w:rsidRPr="00254FBD">
        <w:rPr>
          <w:rFonts w:asciiTheme="minorHAnsi" w:hAnsiTheme="minorHAnsi" w:cstheme="minorHAnsi"/>
          <w:color w:val="000000" w:themeColor="text1"/>
          <w:sz w:val="24"/>
          <w:szCs w:val="24"/>
          <w:shd w:val="clear" w:color="auto" w:fill="FFFFFF"/>
        </w:rPr>
        <w:t xml:space="preserve">Gearing is also known as the debt/equity ratio or leverage. “The ratio of debt (borrowings) to shareholder funds (broadly, share capital and retained profits), often expressed as a percentage or ratio” </w:t>
      </w:r>
      <w:sdt>
        <w:sdtPr>
          <w:rPr>
            <w:rFonts w:asciiTheme="minorHAnsi" w:hAnsiTheme="minorHAnsi" w:cstheme="minorHAnsi"/>
            <w:color w:val="000000" w:themeColor="text1"/>
            <w:sz w:val="24"/>
            <w:szCs w:val="24"/>
            <w:shd w:val="clear" w:color="auto" w:fill="FFFFFF"/>
          </w:rPr>
          <w:id w:val="2002391121"/>
          <w:citation/>
        </w:sdtPr>
        <w:sdtContent>
          <w:r w:rsidRPr="00254FBD">
            <w:rPr>
              <w:rFonts w:asciiTheme="minorHAnsi" w:hAnsiTheme="minorHAnsi" w:cstheme="minorHAnsi"/>
              <w:color w:val="000000" w:themeColor="text1"/>
              <w:sz w:val="24"/>
              <w:szCs w:val="24"/>
              <w:shd w:val="clear" w:color="auto" w:fill="FFFFFF"/>
            </w:rPr>
            <w:fldChar w:fldCharType="begin"/>
          </w:r>
          <w:r w:rsidR="00384CD5" w:rsidRPr="00254FBD">
            <w:rPr>
              <w:rFonts w:asciiTheme="minorHAnsi" w:hAnsiTheme="minorHAnsi" w:cstheme="minorHAnsi"/>
              <w:color w:val="000000" w:themeColor="text1"/>
              <w:sz w:val="24"/>
              <w:szCs w:val="24"/>
              <w:shd w:val="clear" w:color="auto" w:fill="FFFFFF"/>
            </w:rPr>
            <w:instrText xml:space="preserve">CITATION htt1 \l 2057 </w:instrText>
          </w:r>
          <w:r w:rsidRPr="00254FBD">
            <w:rPr>
              <w:rFonts w:asciiTheme="minorHAnsi" w:hAnsiTheme="minorHAnsi" w:cstheme="minorHAnsi"/>
              <w:color w:val="000000" w:themeColor="text1"/>
              <w:sz w:val="24"/>
              <w:szCs w:val="24"/>
              <w:shd w:val="clear" w:color="auto" w:fill="FFFFFF"/>
            </w:rPr>
            <w:fldChar w:fldCharType="separate"/>
          </w:r>
          <w:r w:rsidR="00384CD5" w:rsidRPr="00254FBD">
            <w:rPr>
              <w:rFonts w:asciiTheme="minorHAnsi" w:hAnsiTheme="minorHAnsi" w:cstheme="minorHAnsi"/>
              <w:noProof/>
              <w:color w:val="000000" w:themeColor="text1"/>
              <w:sz w:val="24"/>
              <w:szCs w:val="24"/>
              <w:shd w:val="clear" w:color="auto" w:fill="FFFFFF"/>
            </w:rPr>
            <w:t>(Academic, 2020)</w:t>
          </w:r>
          <w:r w:rsidRPr="00254FBD">
            <w:rPr>
              <w:rFonts w:asciiTheme="minorHAnsi" w:hAnsiTheme="minorHAnsi" w:cstheme="minorHAnsi"/>
              <w:color w:val="000000" w:themeColor="text1"/>
              <w:sz w:val="24"/>
              <w:szCs w:val="24"/>
              <w:shd w:val="clear" w:color="auto" w:fill="FFFFFF"/>
            </w:rPr>
            <w:fldChar w:fldCharType="end"/>
          </w:r>
        </w:sdtContent>
      </w:sdt>
      <w:r w:rsidR="00384CD5" w:rsidRPr="00254FBD">
        <w:rPr>
          <w:rFonts w:asciiTheme="minorHAnsi" w:hAnsiTheme="minorHAnsi" w:cstheme="minorHAnsi"/>
          <w:color w:val="000000" w:themeColor="text1"/>
          <w:sz w:val="24"/>
          <w:szCs w:val="24"/>
          <w:shd w:val="clear" w:color="auto" w:fill="FFFFFF"/>
        </w:rPr>
        <w:t xml:space="preserve">. </w:t>
      </w:r>
    </w:p>
    <w:p w:rsidR="00A10E13" w:rsidRPr="00254FBD" w:rsidRDefault="00A10E13" w:rsidP="00254FBD">
      <w:pPr>
        <w:spacing w:line="360" w:lineRule="auto"/>
        <w:rPr>
          <w:rFonts w:asciiTheme="minorHAnsi" w:hAnsiTheme="minorHAnsi" w:cstheme="minorHAnsi"/>
          <w:color w:val="000000" w:themeColor="text1"/>
          <w:sz w:val="24"/>
          <w:szCs w:val="24"/>
          <w:shd w:val="clear" w:color="auto" w:fill="FFFFFF"/>
        </w:rPr>
      </w:pPr>
    </w:p>
    <w:p w:rsidR="00823608" w:rsidRPr="00254FBD" w:rsidRDefault="00384CD5" w:rsidP="00254FBD">
      <w:pPr>
        <w:spacing w:line="360" w:lineRule="auto"/>
        <w:rPr>
          <w:rFonts w:asciiTheme="minorHAnsi" w:hAnsiTheme="minorHAnsi" w:cstheme="minorHAnsi"/>
          <w:sz w:val="24"/>
          <w:szCs w:val="24"/>
        </w:rPr>
      </w:pPr>
      <w:r w:rsidRPr="00254FBD">
        <w:rPr>
          <w:rFonts w:asciiTheme="minorHAnsi" w:hAnsiTheme="minorHAnsi" w:cstheme="minorHAnsi"/>
          <w:sz w:val="24"/>
          <w:szCs w:val="24"/>
        </w:rPr>
        <w:t xml:space="preserve">Debt securities at Barclays include “government securities held as part of the Group’s treasury management portfolio for liquidity and regulatory purposes” </w:t>
      </w:r>
      <w:sdt>
        <w:sdtPr>
          <w:rPr>
            <w:rFonts w:asciiTheme="minorHAnsi" w:hAnsiTheme="minorHAnsi" w:cstheme="minorHAnsi"/>
            <w:sz w:val="24"/>
            <w:szCs w:val="24"/>
          </w:rPr>
          <w:id w:val="-1867507828"/>
          <w:citation/>
        </w:sdtPr>
        <w:sdtContent>
          <w:r w:rsidRPr="00254FBD">
            <w:rPr>
              <w:rFonts w:asciiTheme="minorHAnsi" w:hAnsiTheme="minorHAnsi" w:cstheme="minorHAnsi"/>
              <w:sz w:val="24"/>
              <w:szCs w:val="24"/>
            </w:rPr>
            <w:fldChar w:fldCharType="begin"/>
          </w:r>
          <w:r w:rsidRPr="00254FBD">
            <w:rPr>
              <w:rFonts w:asciiTheme="minorHAnsi" w:hAnsiTheme="minorHAnsi" w:cstheme="minorHAnsi"/>
              <w:sz w:val="24"/>
              <w:szCs w:val="24"/>
            </w:rPr>
            <w:instrText xml:space="preserve"> CITATION Bar19 \l 2057 </w:instrText>
          </w:r>
          <w:r w:rsidRPr="00254FBD">
            <w:rPr>
              <w:rFonts w:asciiTheme="minorHAnsi" w:hAnsiTheme="minorHAnsi" w:cstheme="minorHAnsi"/>
              <w:sz w:val="24"/>
              <w:szCs w:val="24"/>
            </w:rPr>
            <w:fldChar w:fldCharType="separate"/>
          </w:r>
          <w:r w:rsidRPr="00254FBD">
            <w:rPr>
              <w:rFonts w:asciiTheme="minorHAnsi" w:hAnsiTheme="minorHAnsi" w:cstheme="minorHAnsi"/>
              <w:noProof/>
              <w:sz w:val="24"/>
              <w:szCs w:val="24"/>
            </w:rPr>
            <w:t>(Barclays PLC., 2019)</w:t>
          </w:r>
          <w:r w:rsidRPr="00254FBD">
            <w:rPr>
              <w:rFonts w:asciiTheme="minorHAnsi" w:hAnsiTheme="minorHAnsi" w:cstheme="minorHAnsi"/>
              <w:sz w:val="24"/>
              <w:szCs w:val="24"/>
            </w:rPr>
            <w:fldChar w:fldCharType="end"/>
          </w:r>
        </w:sdtContent>
      </w:sdt>
      <w:r w:rsidRPr="00254FBD">
        <w:rPr>
          <w:rFonts w:asciiTheme="minorHAnsi" w:hAnsiTheme="minorHAnsi" w:cstheme="minorHAnsi"/>
          <w:sz w:val="24"/>
          <w:szCs w:val="24"/>
        </w:rPr>
        <w:t xml:space="preserve">. The debt for 2019 was £139,853.  The equity at the end of 2019 excluding non-controlling interests was £64.4bn </w:t>
      </w:r>
      <w:sdt>
        <w:sdtPr>
          <w:rPr>
            <w:rFonts w:asciiTheme="minorHAnsi" w:hAnsiTheme="minorHAnsi" w:cstheme="minorHAnsi"/>
            <w:sz w:val="24"/>
            <w:szCs w:val="24"/>
          </w:rPr>
          <w:id w:val="986742776"/>
          <w:citation/>
        </w:sdtPr>
        <w:sdtContent>
          <w:r w:rsidRPr="00254FBD">
            <w:rPr>
              <w:rFonts w:asciiTheme="minorHAnsi" w:hAnsiTheme="minorHAnsi" w:cstheme="minorHAnsi"/>
              <w:sz w:val="24"/>
              <w:szCs w:val="24"/>
            </w:rPr>
            <w:fldChar w:fldCharType="begin"/>
          </w:r>
          <w:r w:rsidRPr="00254FBD">
            <w:rPr>
              <w:rFonts w:asciiTheme="minorHAnsi" w:hAnsiTheme="minorHAnsi" w:cstheme="minorHAnsi"/>
              <w:sz w:val="24"/>
              <w:szCs w:val="24"/>
            </w:rPr>
            <w:instrText xml:space="preserve"> CITATION Bar19 \l 2057 </w:instrText>
          </w:r>
          <w:r w:rsidRPr="00254FBD">
            <w:rPr>
              <w:rFonts w:asciiTheme="minorHAnsi" w:hAnsiTheme="minorHAnsi" w:cstheme="minorHAnsi"/>
              <w:sz w:val="24"/>
              <w:szCs w:val="24"/>
            </w:rPr>
            <w:fldChar w:fldCharType="separate"/>
          </w:r>
          <w:r w:rsidRPr="00254FBD">
            <w:rPr>
              <w:rFonts w:asciiTheme="minorHAnsi" w:hAnsiTheme="minorHAnsi" w:cstheme="minorHAnsi"/>
              <w:noProof/>
              <w:sz w:val="24"/>
              <w:szCs w:val="24"/>
            </w:rPr>
            <w:t>(Barclays PLC., 2019)</w:t>
          </w:r>
          <w:r w:rsidRPr="00254FBD">
            <w:rPr>
              <w:rFonts w:asciiTheme="minorHAnsi" w:hAnsiTheme="minorHAnsi" w:cstheme="minorHAnsi"/>
              <w:sz w:val="24"/>
              <w:szCs w:val="24"/>
            </w:rPr>
            <w:fldChar w:fldCharType="end"/>
          </w:r>
        </w:sdtContent>
      </w:sdt>
      <w:r w:rsidRPr="00254FBD">
        <w:rPr>
          <w:rFonts w:asciiTheme="minorHAnsi" w:hAnsiTheme="minorHAnsi" w:cstheme="minorHAnsi"/>
          <w:sz w:val="24"/>
          <w:szCs w:val="24"/>
        </w:rPr>
        <w:t xml:space="preserve">. </w:t>
      </w:r>
      <w:r w:rsidR="000251AE" w:rsidRPr="00254FBD">
        <w:rPr>
          <w:rFonts w:asciiTheme="minorHAnsi" w:hAnsiTheme="minorHAnsi" w:cstheme="minorHAnsi"/>
          <w:sz w:val="24"/>
          <w:szCs w:val="24"/>
        </w:rPr>
        <w:t xml:space="preserve">According to </w:t>
      </w:r>
      <w:r w:rsidR="000251AE" w:rsidRPr="00254FBD">
        <w:rPr>
          <w:rFonts w:asciiTheme="minorHAnsi" w:hAnsiTheme="minorHAnsi" w:cstheme="minorHAnsi"/>
          <w:noProof/>
          <w:sz w:val="24"/>
          <w:szCs w:val="24"/>
        </w:rPr>
        <w:t>Shares Magazine, (2020) the net gearing for 2019 was</w:t>
      </w:r>
      <w:r w:rsidR="000251AE" w:rsidRPr="00254FBD">
        <w:rPr>
          <w:rFonts w:asciiTheme="minorHAnsi" w:hAnsiTheme="minorHAnsi" w:cstheme="minorHAnsi"/>
          <w:sz w:val="24"/>
          <w:szCs w:val="24"/>
        </w:rPr>
        <w:t xml:space="preserve"> 81.06.  This is not as good as the previous year</w:t>
      </w:r>
      <w:r w:rsidR="000124EB" w:rsidRPr="00254FBD">
        <w:rPr>
          <w:rFonts w:asciiTheme="minorHAnsi" w:hAnsiTheme="minorHAnsi" w:cstheme="minorHAnsi"/>
          <w:sz w:val="24"/>
          <w:szCs w:val="24"/>
        </w:rPr>
        <w:t xml:space="preserve"> which was</w:t>
      </w:r>
      <w:r w:rsidR="000251AE" w:rsidRPr="00254FBD">
        <w:rPr>
          <w:rFonts w:asciiTheme="minorHAnsi" w:hAnsiTheme="minorHAnsi" w:cstheme="minorHAnsi"/>
          <w:sz w:val="24"/>
          <w:szCs w:val="24"/>
        </w:rPr>
        <w:t xml:space="preserve"> 78.75.  </w:t>
      </w:r>
    </w:p>
    <w:p w:rsidR="000124EB" w:rsidRPr="00254FBD" w:rsidRDefault="000124EB" w:rsidP="00254FBD">
      <w:pPr>
        <w:spacing w:line="360" w:lineRule="auto"/>
        <w:rPr>
          <w:rFonts w:asciiTheme="minorHAnsi" w:hAnsiTheme="minorHAnsi" w:cstheme="minorHAnsi"/>
          <w:sz w:val="24"/>
          <w:szCs w:val="24"/>
        </w:rPr>
      </w:pPr>
    </w:p>
    <w:p w:rsidR="00823608" w:rsidRPr="00254FBD" w:rsidRDefault="00823608" w:rsidP="00254FBD">
      <w:pPr>
        <w:pStyle w:val="Heading2"/>
        <w:spacing w:line="360" w:lineRule="auto"/>
        <w:rPr>
          <w:rFonts w:asciiTheme="minorHAnsi" w:hAnsiTheme="minorHAnsi" w:cstheme="minorHAnsi"/>
          <w:sz w:val="24"/>
          <w:szCs w:val="24"/>
        </w:rPr>
      </w:pPr>
      <w:bookmarkStart w:id="7" w:name="_Toc42082607"/>
      <w:r w:rsidRPr="00254FBD">
        <w:rPr>
          <w:rFonts w:asciiTheme="minorHAnsi" w:hAnsiTheme="minorHAnsi" w:cstheme="minorHAnsi"/>
          <w:sz w:val="24"/>
          <w:szCs w:val="24"/>
        </w:rPr>
        <w:t>Efficiency</w:t>
      </w:r>
      <w:bookmarkEnd w:id="7"/>
      <w:r w:rsidRPr="00254FBD">
        <w:rPr>
          <w:rFonts w:asciiTheme="minorHAnsi" w:hAnsiTheme="minorHAnsi" w:cstheme="minorHAnsi"/>
          <w:sz w:val="24"/>
          <w:szCs w:val="24"/>
        </w:rPr>
        <w:t xml:space="preserve"> </w:t>
      </w:r>
    </w:p>
    <w:p w:rsidR="00823608" w:rsidRPr="00254FBD" w:rsidRDefault="000124EB" w:rsidP="00254FBD">
      <w:pPr>
        <w:spacing w:line="360" w:lineRule="auto"/>
        <w:rPr>
          <w:rFonts w:asciiTheme="minorHAnsi" w:hAnsiTheme="minorHAnsi" w:cstheme="minorHAnsi"/>
          <w:sz w:val="24"/>
          <w:szCs w:val="24"/>
        </w:rPr>
      </w:pPr>
      <w:r w:rsidRPr="00254FBD">
        <w:rPr>
          <w:rFonts w:asciiTheme="minorHAnsi" w:hAnsiTheme="minorHAnsi" w:cstheme="minorHAnsi"/>
          <w:sz w:val="24"/>
          <w:szCs w:val="24"/>
        </w:rPr>
        <w:t xml:space="preserve">Efficiency refers to the difference between what is actually achieved and what could be achieved with the same amount resources such as money, time and labour </w:t>
      </w:r>
      <w:sdt>
        <w:sdtPr>
          <w:rPr>
            <w:rFonts w:asciiTheme="minorHAnsi" w:hAnsiTheme="minorHAnsi" w:cstheme="minorHAnsi"/>
            <w:sz w:val="24"/>
            <w:szCs w:val="24"/>
          </w:rPr>
          <w:id w:val="-1973272746"/>
          <w:citation/>
        </w:sdtPr>
        <w:sdtContent>
          <w:r w:rsidRPr="00254FBD">
            <w:rPr>
              <w:rFonts w:asciiTheme="minorHAnsi" w:hAnsiTheme="minorHAnsi" w:cstheme="minorHAnsi"/>
              <w:sz w:val="24"/>
              <w:szCs w:val="24"/>
            </w:rPr>
            <w:fldChar w:fldCharType="begin"/>
          </w:r>
          <w:r w:rsidRPr="00254FBD">
            <w:rPr>
              <w:rFonts w:asciiTheme="minorHAnsi" w:hAnsiTheme="minorHAnsi" w:cstheme="minorHAnsi"/>
              <w:sz w:val="24"/>
              <w:szCs w:val="24"/>
            </w:rPr>
            <w:instrText xml:space="preserve"> CITATION Pil18 \l 2057 </w:instrText>
          </w:r>
          <w:r w:rsidRPr="00254FBD">
            <w:rPr>
              <w:rFonts w:asciiTheme="minorHAnsi" w:hAnsiTheme="minorHAnsi" w:cstheme="minorHAnsi"/>
              <w:sz w:val="24"/>
              <w:szCs w:val="24"/>
            </w:rPr>
            <w:fldChar w:fldCharType="separate"/>
          </w:r>
          <w:r w:rsidRPr="00254FBD">
            <w:rPr>
              <w:rFonts w:asciiTheme="minorHAnsi" w:hAnsiTheme="minorHAnsi" w:cstheme="minorHAnsi"/>
              <w:noProof/>
              <w:sz w:val="24"/>
              <w:szCs w:val="24"/>
            </w:rPr>
            <w:t>(Pilbeam, 2018)</w:t>
          </w:r>
          <w:r w:rsidRPr="00254FBD">
            <w:rPr>
              <w:rFonts w:asciiTheme="minorHAnsi" w:hAnsiTheme="minorHAnsi" w:cstheme="minorHAnsi"/>
              <w:sz w:val="24"/>
              <w:szCs w:val="24"/>
            </w:rPr>
            <w:fldChar w:fldCharType="end"/>
          </w:r>
        </w:sdtContent>
      </w:sdt>
      <w:r w:rsidR="00E72AC8" w:rsidRPr="00254FBD">
        <w:rPr>
          <w:rFonts w:asciiTheme="minorHAnsi" w:hAnsiTheme="minorHAnsi" w:cstheme="minorHAnsi"/>
          <w:sz w:val="24"/>
          <w:szCs w:val="24"/>
        </w:rPr>
        <w:t xml:space="preserve">.  Operational efficiency </w:t>
      </w:r>
    </w:p>
    <w:p w:rsidR="00E72AC8" w:rsidRPr="00254FBD" w:rsidRDefault="00E72AC8" w:rsidP="00254FBD">
      <w:pPr>
        <w:spacing w:line="360" w:lineRule="auto"/>
        <w:rPr>
          <w:rFonts w:asciiTheme="minorHAnsi" w:hAnsiTheme="minorHAnsi" w:cstheme="minorHAnsi"/>
          <w:sz w:val="24"/>
          <w:szCs w:val="24"/>
        </w:rPr>
      </w:pPr>
    </w:p>
    <w:p w:rsidR="00E72AC8" w:rsidRPr="00254FBD" w:rsidRDefault="00E72AC8" w:rsidP="00254FBD">
      <w:pPr>
        <w:spacing w:line="360" w:lineRule="auto"/>
        <w:rPr>
          <w:rFonts w:asciiTheme="minorHAnsi" w:hAnsiTheme="minorHAnsi" w:cstheme="minorHAnsi"/>
          <w:bCs/>
          <w:sz w:val="24"/>
          <w:szCs w:val="24"/>
        </w:rPr>
      </w:pPr>
      <w:r w:rsidRPr="00254FBD">
        <w:rPr>
          <w:rFonts w:asciiTheme="minorHAnsi" w:hAnsiTheme="minorHAnsi" w:cstheme="minorHAnsi"/>
          <w:bCs/>
          <w:sz w:val="24"/>
          <w:szCs w:val="24"/>
        </w:rPr>
        <w:t xml:space="preserve">The income ratio for Barclays decreased from 66% in 2018 to 63% in 2019 as “favourable income and cost efficiencies were partially offset by continued investment” </w:t>
      </w:r>
      <w:sdt>
        <w:sdtPr>
          <w:rPr>
            <w:rFonts w:asciiTheme="minorHAnsi" w:hAnsiTheme="minorHAnsi" w:cstheme="minorHAnsi"/>
            <w:bCs/>
            <w:sz w:val="24"/>
            <w:szCs w:val="24"/>
          </w:rPr>
          <w:id w:val="1388298184"/>
          <w:citation/>
        </w:sdtPr>
        <w:sdtContent>
          <w:r w:rsidRPr="00254FBD">
            <w:rPr>
              <w:rFonts w:asciiTheme="minorHAnsi" w:hAnsiTheme="minorHAnsi" w:cstheme="minorHAnsi"/>
              <w:bCs/>
              <w:sz w:val="24"/>
              <w:szCs w:val="24"/>
            </w:rPr>
            <w:fldChar w:fldCharType="begin"/>
          </w:r>
          <w:r w:rsidRPr="00254FBD">
            <w:rPr>
              <w:rFonts w:asciiTheme="minorHAnsi" w:hAnsiTheme="minorHAnsi" w:cstheme="minorHAnsi"/>
              <w:bCs/>
              <w:sz w:val="24"/>
              <w:szCs w:val="24"/>
            </w:rPr>
            <w:instrText xml:space="preserve">CITATION Bar19 \p 213 \l 2057 </w:instrText>
          </w:r>
          <w:r w:rsidRPr="00254FBD">
            <w:rPr>
              <w:rFonts w:asciiTheme="minorHAnsi" w:hAnsiTheme="minorHAnsi" w:cstheme="minorHAnsi"/>
              <w:bCs/>
              <w:sz w:val="24"/>
              <w:szCs w:val="24"/>
            </w:rPr>
            <w:fldChar w:fldCharType="separate"/>
          </w:r>
          <w:r w:rsidRPr="00254FBD">
            <w:rPr>
              <w:rFonts w:asciiTheme="minorHAnsi" w:hAnsiTheme="minorHAnsi" w:cstheme="minorHAnsi"/>
              <w:noProof/>
              <w:sz w:val="24"/>
              <w:szCs w:val="24"/>
            </w:rPr>
            <w:t>(Barclays PLC., 2019, p. 213)</w:t>
          </w:r>
          <w:r w:rsidRPr="00254FBD">
            <w:rPr>
              <w:rFonts w:asciiTheme="minorHAnsi" w:hAnsiTheme="minorHAnsi" w:cstheme="minorHAnsi"/>
              <w:bCs/>
              <w:sz w:val="24"/>
              <w:szCs w:val="24"/>
            </w:rPr>
            <w:fldChar w:fldCharType="end"/>
          </w:r>
        </w:sdtContent>
      </w:sdt>
      <w:r w:rsidRPr="00254FBD">
        <w:rPr>
          <w:rFonts w:asciiTheme="minorHAnsi" w:hAnsiTheme="minorHAnsi" w:cstheme="minorHAnsi"/>
          <w:bCs/>
          <w:sz w:val="24"/>
          <w:szCs w:val="24"/>
        </w:rPr>
        <w:t xml:space="preserve">.  This means that the efficiency is becoming less but this is due to cost efficiencies being partially offset by planned investment and inflation </w:t>
      </w:r>
      <w:sdt>
        <w:sdtPr>
          <w:rPr>
            <w:rFonts w:asciiTheme="minorHAnsi" w:hAnsiTheme="minorHAnsi" w:cstheme="minorHAnsi"/>
            <w:bCs/>
            <w:sz w:val="24"/>
            <w:szCs w:val="24"/>
          </w:rPr>
          <w:id w:val="1958521822"/>
          <w:citation/>
        </w:sdtPr>
        <w:sdtContent>
          <w:r w:rsidRPr="00254FBD">
            <w:rPr>
              <w:rFonts w:asciiTheme="minorHAnsi" w:hAnsiTheme="minorHAnsi" w:cstheme="minorHAnsi"/>
              <w:bCs/>
              <w:sz w:val="24"/>
              <w:szCs w:val="24"/>
            </w:rPr>
            <w:fldChar w:fldCharType="begin"/>
          </w:r>
          <w:r w:rsidRPr="00254FBD">
            <w:rPr>
              <w:rFonts w:asciiTheme="minorHAnsi" w:hAnsiTheme="minorHAnsi" w:cstheme="minorHAnsi"/>
              <w:bCs/>
              <w:sz w:val="24"/>
              <w:szCs w:val="24"/>
            </w:rPr>
            <w:instrText xml:space="preserve"> CITATION Bar19 \l 2057 </w:instrText>
          </w:r>
          <w:r w:rsidRPr="00254FBD">
            <w:rPr>
              <w:rFonts w:asciiTheme="minorHAnsi" w:hAnsiTheme="minorHAnsi" w:cstheme="minorHAnsi"/>
              <w:bCs/>
              <w:sz w:val="24"/>
              <w:szCs w:val="24"/>
            </w:rPr>
            <w:fldChar w:fldCharType="separate"/>
          </w:r>
          <w:r w:rsidRPr="00254FBD">
            <w:rPr>
              <w:rFonts w:asciiTheme="minorHAnsi" w:hAnsiTheme="minorHAnsi" w:cstheme="minorHAnsi"/>
              <w:noProof/>
              <w:sz w:val="24"/>
              <w:szCs w:val="24"/>
            </w:rPr>
            <w:t>(Barclays PLC., 2019)</w:t>
          </w:r>
          <w:r w:rsidRPr="00254FBD">
            <w:rPr>
              <w:rFonts w:asciiTheme="minorHAnsi" w:hAnsiTheme="minorHAnsi" w:cstheme="minorHAnsi"/>
              <w:bCs/>
              <w:sz w:val="24"/>
              <w:szCs w:val="24"/>
            </w:rPr>
            <w:fldChar w:fldCharType="end"/>
          </w:r>
        </w:sdtContent>
      </w:sdt>
      <w:r w:rsidRPr="00254FBD">
        <w:rPr>
          <w:rFonts w:asciiTheme="minorHAnsi" w:hAnsiTheme="minorHAnsi" w:cstheme="minorHAnsi"/>
          <w:bCs/>
          <w:sz w:val="24"/>
          <w:szCs w:val="24"/>
        </w:rPr>
        <w:t xml:space="preserve">. In 2018, cost efficiencies were used to offset operational efficiency such as digitising the bank </w:t>
      </w:r>
      <w:sdt>
        <w:sdtPr>
          <w:rPr>
            <w:rFonts w:asciiTheme="minorHAnsi" w:hAnsiTheme="minorHAnsi" w:cstheme="minorHAnsi"/>
            <w:bCs/>
            <w:sz w:val="24"/>
            <w:szCs w:val="24"/>
          </w:rPr>
          <w:id w:val="-72742092"/>
          <w:citation/>
        </w:sdtPr>
        <w:sdtContent>
          <w:r w:rsidRPr="00254FBD">
            <w:rPr>
              <w:rFonts w:asciiTheme="minorHAnsi" w:hAnsiTheme="minorHAnsi" w:cstheme="minorHAnsi"/>
              <w:bCs/>
              <w:sz w:val="24"/>
              <w:szCs w:val="24"/>
            </w:rPr>
            <w:fldChar w:fldCharType="begin"/>
          </w:r>
          <w:r w:rsidRPr="00254FBD">
            <w:rPr>
              <w:rFonts w:asciiTheme="minorHAnsi" w:hAnsiTheme="minorHAnsi" w:cstheme="minorHAnsi"/>
              <w:bCs/>
              <w:sz w:val="24"/>
              <w:szCs w:val="24"/>
            </w:rPr>
            <w:instrText xml:space="preserve"> CITATION Bar18 \l 2057 </w:instrText>
          </w:r>
          <w:r w:rsidRPr="00254FBD">
            <w:rPr>
              <w:rFonts w:asciiTheme="minorHAnsi" w:hAnsiTheme="minorHAnsi" w:cstheme="minorHAnsi"/>
              <w:bCs/>
              <w:sz w:val="24"/>
              <w:szCs w:val="24"/>
            </w:rPr>
            <w:fldChar w:fldCharType="separate"/>
          </w:r>
          <w:r w:rsidRPr="00254FBD">
            <w:rPr>
              <w:rFonts w:asciiTheme="minorHAnsi" w:hAnsiTheme="minorHAnsi" w:cstheme="minorHAnsi"/>
              <w:noProof/>
              <w:sz w:val="24"/>
              <w:szCs w:val="24"/>
            </w:rPr>
            <w:t>(Barclays PLC, 2018)</w:t>
          </w:r>
          <w:r w:rsidRPr="00254FBD">
            <w:rPr>
              <w:rFonts w:asciiTheme="minorHAnsi" w:hAnsiTheme="minorHAnsi" w:cstheme="minorHAnsi"/>
              <w:bCs/>
              <w:sz w:val="24"/>
              <w:szCs w:val="24"/>
            </w:rPr>
            <w:fldChar w:fldCharType="end"/>
          </w:r>
        </w:sdtContent>
      </w:sdt>
      <w:r w:rsidRPr="00254FBD">
        <w:rPr>
          <w:rFonts w:asciiTheme="minorHAnsi" w:hAnsiTheme="minorHAnsi" w:cstheme="minorHAnsi"/>
          <w:bCs/>
          <w:sz w:val="24"/>
          <w:szCs w:val="24"/>
        </w:rPr>
        <w:t xml:space="preserve">. </w:t>
      </w:r>
    </w:p>
    <w:p w:rsidR="00823608" w:rsidRPr="00254FBD" w:rsidRDefault="00823608" w:rsidP="00254FBD">
      <w:pPr>
        <w:spacing w:line="360" w:lineRule="auto"/>
        <w:rPr>
          <w:rFonts w:asciiTheme="minorHAnsi" w:hAnsiTheme="minorHAnsi" w:cstheme="minorHAnsi"/>
          <w:sz w:val="24"/>
          <w:szCs w:val="24"/>
        </w:rPr>
      </w:pPr>
    </w:p>
    <w:p w:rsidR="00823608" w:rsidRPr="00254FBD" w:rsidRDefault="00823608" w:rsidP="00254FBD">
      <w:pPr>
        <w:spacing w:line="360" w:lineRule="auto"/>
        <w:rPr>
          <w:rFonts w:asciiTheme="minorHAnsi" w:hAnsiTheme="minorHAnsi" w:cstheme="minorHAnsi"/>
          <w:sz w:val="24"/>
          <w:szCs w:val="24"/>
        </w:rPr>
      </w:pPr>
    </w:p>
    <w:p w:rsidR="00823608" w:rsidRPr="00254FBD" w:rsidRDefault="00823608" w:rsidP="00254FBD">
      <w:pPr>
        <w:pStyle w:val="Heading2"/>
        <w:spacing w:line="360" w:lineRule="auto"/>
        <w:rPr>
          <w:rFonts w:asciiTheme="minorHAnsi" w:hAnsiTheme="minorHAnsi" w:cstheme="minorHAnsi"/>
          <w:sz w:val="24"/>
          <w:szCs w:val="24"/>
        </w:rPr>
      </w:pPr>
      <w:bookmarkStart w:id="8" w:name="_Toc42082608"/>
      <w:r w:rsidRPr="00254FBD">
        <w:rPr>
          <w:rFonts w:asciiTheme="minorHAnsi" w:hAnsiTheme="minorHAnsi" w:cstheme="minorHAnsi"/>
          <w:sz w:val="24"/>
          <w:szCs w:val="24"/>
        </w:rPr>
        <w:t>Investor Ratios</w:t>
      </w:r>
      <w:bookmarkEnd w:id="8"/>
      <w:r w:rsidRPr="00254FBD">
        <w:rPr>
          <w:rFonts w:asciiTheme="minorHAnsi" w:hAnsiTheme="minorHAnsi" w:cstheme="minorHAnsi"/>
          <w:sz w:val="24"/>
          <w:szCs w:val="24"/>
        </w:rPr>
        <w:t xml:space="preserve"> </w:t>
      </w:r>
    </w:p>
    <w:p w:rsidR="008E6CF6" w:rsidRDefault="008E6CF6" w:rsidP="00254FBD">
      <w:pPr>
        <w:spacing w:line="360" w:lineRule="auto"/>
        <w:rPr>
          <w:rFonts w:asciiTheme="minorHAnsi" w:hAnsiTheme="minorHAnsi" w:cstheme="minorHAnsi"/>
          <w:bCs/>
          <w:color w:val="FF0000"/>
          <w:sz w:val="24"/>
          <w:szCs w:val="24"/>
        </w:rPr>
      </w:pPr>
      <w:r w:rsidRPr="00254FBD">
        <w:rPr>
          <w:rFonts w:asciiTheme="minorHAnsi" w:hAnsiTheme="minorHAnsi" w:cstheme="minorHAnsi"/>
          <w:bCs/>
          <w:sz w:val="24"/>
          <w:szCs w:val="24"/>
        </w:rPr>
        <w:t xml:space="preserve">Investor ratios usually refer to the profit after tax of a business.  Investor ratios should be viewed over </w:t>
      </w:r>
      <w:proofErr w:type="gramStart"/>
      <w:r w:rsidRPr="00254FBD">
        <w:rPr>
          <w:rFonts w:asciiTheme="minorHAnsi" w:hAnsiTheme="minorHAnsi" w:cstheme="minorHAnsi"/>
          <w:bCs/>
          <w:sz w:val="24"/>
          <w:szCs w:val="24"/>
        </w:rPr>
        <w:t>a period of time</w:t>
      </w:r>
      <w:proofErr w:type="gramEnd"/>
      <w:r w:rsidRPr="00254FBD">
        <w:rPr>
          <w:rFonts w:asciiTheme="minorHAnsi" w:hAnsiTheme="minorHAnsi" w:cstheme="minorHAnsi"/>
          <w:bCs/>
          <w:sz w:val="24"/>
          <w:szCs w:val="24"/>
        </w:rPr>
        <w:t xml:space="preserve"> using trend analysis in order to make comparisons </w:t>
      </w:r>
      <w:sdt>
        <w:sdtPr>
          <w:rPr>
            <w:rFonts w:asciiTheme="minorHAnsi" w:hAnsiTheme="minorHAnsi" w:cstheme="minorHAnsi"/>
            <w:bCs/>
            <w:sz w:val="24"/>
            <w:szCs w:val="24"/>
          </w:rPr>
          <w:id w:val="-469523087"/>
          <w:citation/>
        </w:sdtPr>
        <w:sdtContent>
          <w:r w:rsidRPr="00254FBD">
            <w:rPr>
              <w:rFonts w:asciiTheme="minorHAnsi" w:hAnsiTheme="minorHAnsi" w:cstheme="minorHAnsi"/>
              <w:bCs/>
              <w:sz w:val="24"/>
              <w:szCs w:val="24"/>
            </w:rPr>
            <w:fldChar w:fldCharType="begin"/>
          </w:r>
          <w:r w:rsidRPr="00254FBD">
            <w:rPr>
              <w:rFonts w:asciiTheme="minorHAnsi" w:hAnsiTheme="minorHAnsi" w:cstheme="minorHAnsi"/>
              <w:bCs/>
              <w:sz w:val="24"/>
              <w:szCs w:val="24"/>
            </w:rPr>
            <w:instrText xml:space="preserve"> CITATION Dou20 \l 2057 </w:instrText>
          </w:r>
          <w:r w:rsidRPr="00254FBD">
            <w:rPr>
              <w:rFonts w:asciiTheme="minorHAnsi" w:hAnsiTheme="minorHAnsi" w:cstheme="minorHAnsi"/>
              <w:bCs/>
              <w:sz w:val="24"/>
              <w:szCs w:val="24"/>
            </w:rPr>
            <w:fldChar w:fldCharType="separate"/>
          </w:r>
          <w:r w:rsidRPr="00254FBD">
            <w:rPr>
              <w:rFonts w:asciiTheme="minorHAnsi" w:hAnsiTheme="minorHAnsi" w:cstheme="minorHAnsi"/>
              <w:noProof/>
              <w:sz w:val="24"/>
              <w:szCs w:val="24"/>
            </w:rPr>
            <w:t>(Double Entry Bookkeeping, 2020)</w:t>
          </w:r>
          <w:r w:rsidRPr="00254FBD">
            <w:rPr>
              <w:rFonts w:asciiTheme="minorHAnsi" w:hAnsiTheme="minorHAnsi" w:cstheme="minorHAnsi"/>
              <w:bCs/>
              <w:sz w:val="24"/>
              <w:szCs w:val="24"/>
            </w:rPr>
            <w:fldChar w:fldCharType="end"/>
          </w:r>
        </w:sdtContent>
      </w:sdt>
      <w:r w:rsidRPr="00254FBD">
        <w:rPr>
          <w:rFonts w:asciiTheme="minorHAnsi" w:hAnsiTheme="minorHAnsi" w:cstheme="minorHAnsi"/>
          <w:bCs/>
          <w:sz w:val="24"/>
          <w:szCs w:val="24"/>
        </w:rPr>
        <w:t>.</w:t>
      </w:r>
      <w:r w:rsidRPr="00254FBD">
        <w:rPr>
          <w:rFonts w:asciiTheme="minorHAnsi" w:hAnsiTheme="minorHAnsi" w:cstheme="minorHAnsi"/>
          <w:bCs/>
          <w:color w:val="FF0000"/>
          <w:sz w:val="24"/>
          <w:szCs w:val="24"/>
        </w:rPr>
        <w:t xml:space="preserve"> </w:t>
      </w:r>
    </w:p>
    <w:p w:rsidR="007B283B" w:rsidRDefault="007B283B" w:rsidP="00254FBD">
      <w:pPr>
        <w:spacing w:line="360" w:lineRule="auto"/>
        <w:rPr>
          <w:rFonts w:asciiTheme="minorHAnsi" w:hAnsiTheme="minorHAnsi" w:cstheme="minorHAnsi"/>
          <w:bCs/>
          <w:color w:val="FF0000"/>
          <w:sz w:val="24"/>
          <w:szCs w:val="24"/>
        </w:rPr>
      </w:pPr>
    </w:p>
    <w:p w:rsidR="007B283B" w:rsidRDefault="007B283B" w:rsidP="007B283B">
      <w:pPr>
        <w:pStyle w:val="ListParagraph"/>
        <w:numPr>
          <w:ilvl w:val="0"/>
          <w:numId w:val="4"/>
        </w:numPr>
        <w:spacing w:line="360" w:lineRule="auto"/>
        <w:rPr>
          <w:rFonts w:asciiTheme="minorHAnsi" w:hAnsiTheme="minorHAnsi" w:cstheme="minorHAnsi"/>
          <w:bCs/>
          <w:sz w:val="24"/>
          <w:szCs w:val="24"/>
        </w:rPr>
      </w:pPr>
      <w:r w:rsidRPr="00BE18A9">
        <w:rPr>
          <w:rFonts w:asciiTheme="minorHAnsi" w:hAnsiTheme="minorHAnsi" w:cstheme="minorHAnsi"/>
          <w:bCs/>
          <w:sz w:val="24"/>
          <w:szCs w:val="24"/>
        </w:rPr>
        <w:t xml:space="preserve">In 2019 the profit before tax for the UK Barclays group was £4357m.  </w:t>
      </w:r>
    </w:p>
    <w:p w:rsidR="007B283B" w:rsidRDefault="007B283B" w:rsidP="007B283B">
      <w:pPr>
        <w:pStyle w:val="ListParagraph"/>
        <w:numPr>
          <w:ilvl w:val="0"/>
          <w:numId w:val="4"/>
        </w:numPr>
        <w:spacing w:line="360" w:lineRule="auto"/>
        <w:rPr>
          <w:rFonts w:asciiTheme="minorHAnsi" w:hAnsiTheme="minorHAnsi" w:cstheme="minorHAnsi"/>
          <w:bCs/>
          <w:sz w:val="24"/>
          <w:szCs w:val="24"/>
        </w:rPr>
      </w:pPr>
      <w:r>
        <w:rPr>
          <w:rFonts w:asciiTheme="minorHAnsi" w:hAnsiTheme="minorHAnsi" w:cstheme="minorHAnsi"/>
          <w:bCs/>
          <w:sz w:val="24"/>
          <w:szCs w:val="24"/>
        </w:rPr>
        <w:t>In 2018</w:t>
      </w:r>
      <w:r w:rsidRPr="00BE18A9">
        <w:rPr>
          <w:rFonts w:asciiTheme="minorHAnsi" w:hAnsiTheme="minorHAnsi" w:cstheme="minorHAnsi"/>
          <w:bCs/>
          <w:sz w:val="24"/>
          <w:szCs w:val="24"/>
        </w:rPr>
        <w:t xml:space="preserve"> the profit before tax for</w:t>
      </w:r>
      <w:r>
        <w:rPr>
          <w:rFonts w:asciiTheme="minorHAnsi" w:hAnsiTheme="minorHAnsi" w:cstheme="minorHAnsi"/>
          <w:bCs/>
          <w:sz w:val="24"/>
          <w:szCs w:val="24"/>
        </w:rPr>
        <w:t xml:space="preserve"> the UK Barclays group was £3494</w:t>
      </w:r>
      <w:r w:rsidRPr="00BE18A9">
        <w:rPr>
          <w:rFonts w:asciiTheme="minorHAnsi" w:hAnsiTheme="minorHAnsi" w:cstheme="minorHAnsi"/>
          <w:bCs/>
          <w:sz w:val="24"/>
          <w:szCs w:val="24"/>
        </w:rPr>
        <w:t xml:space="preserve">m.  </w:t>
      </w:r>
    </w:p>
    <w:p w:rsidR="007B283B" w:rsidRDefault="007B283B" w:rsidP="007B283B">
      <w:pPr>
        <w:pStyle w:val="ListParagraph"/>
        <w:numPr>
          <w:ilvl w:val="0"/>
          <w:numId w:val="4"/>
        </w:numPr>
        <w:spacing w:line="360" w:lineRule="auto"/>
        <w:rPr>
          <w:rFonts w:asciiTheme="minorHAnsi" w:hAnsiTheme="minorHAnsi" w:cstheme="minorHAnsi"/>
          <w:bCs/>
          <w:sz w:val="24"/>
          <w:szCs w:val="24"/>
        </w:rPr>
      </w:pPr>
      <w:r>
        <w:rPr>
          <w:rFonts w:asciiTheme="minorHAnsi" w:hAnsiTheme="minorHAnsi" w:cstheme="minorHAnsi"/>
          <w:bCs/>
          <w:sz w:val="24"/>
          <w:szCs w:val="24"/>
        </w:rPr>
        <w:t>In 2017</w:t>
      </w:r>
      <w:r w:rsidRPr="00BE18A9">
        <w:rPr>
          <w:rFonts w:asciiTheme="minorHAnsi" w:hAnsiTheme="minorHAnsi" w:cstheme="minorHAnsi"/>
          <w:bCs/>
          <w:sz w:val="24"/>
          <w:szCs w:val="24"/>
        </w:rPr>
        <w:t xml:space="preserve"> the profit before tax for the UK Barclays group was £</w:t>
      </w:r>
      <w:r>
        <w:rPr>
          <w:rFonts w:asciiTheme="minorHAnsi" w:hAnsiTheme="minorHAnsi" w:cstheme="minorHAnsi"/>
          <w:bCs/>
          <w:sz w:val="24"/>
          <w:szCs w:val="24"/>
        </w:rPr>
        <w:t>3541</w:t>
      </w:r>
      <w:r w:rsidRPr="00BE18A9">
        <w:rPr>
          <w:rFonts w:asciiTheme="minorHAnsi" w:hAnsiTheme="minorHAnsi" w:cstheme="minorHAnsi"/>
          <w:bCs/>
          <w:sz w:val="24"/>
          <w:szCs w:val="24"/>
        </w:rPr>
        <w:t xml:space="preserve">m. </w:t>
      </w:r>
    </w:p>
    <w:p w:rsidR="007B283B" w:rsidRDefault="007B283B" w:rsidP="007B283B">
      <w:pPr>
        <w:pStyle w:val="ListParagraph"/>
        <w:numPr>
          <w:ilvl w:val="0"/>
          <w:numId w:val="4"/>
        </w:numPr>
        <w:spacing w:line="360" w:lineRule="auto"/>
        <w:rPr>
          <w:rFonts w:asciiTheme="minorHAnsi" w:hAnsiTheme="minorHAnsi" w:cstheme="minorHAnsi"/>
          <w:bCs/>
          <w:sz w:val="24"/>
          <w:szCs w:val="24"/>
        </w:rPr>
      </w:pPr>
      <w:r>
        <w:rPr>
          <w:rFonts w:asciiTheme="minorHAnsi" w:hAnsiTheme="minorHAnsi" w:cstheme="minorHAnsi"/>
          <w:bCs/>
          <w:sz w:val="24"/>
          <w:szCs w:val="24"/>
        </w:rPr>
        <w:t>In 2016</w:t>
      </w:r>
      <w:r w:rsidRPr="00BE18A9">
        <w:rPr>
          <w:rFonts w:asciiTheme="minorHAnsi" w:hAnsiTheme="minorHAnsi" w:cstheme="minorHAnsi"/>
          <w:bCs/>
          <w:sz w:val="24"/>
          <w:szCs w:val="24"/>
        </w:rPr>
        <w:t xml:space="preserve"> the profit before tax for the UK Barclays group was £</w:t>
      </w:r>
      <w:r>
        <w:rPr>
          <w:rFonts w:asciiTheme="minorHAnsi" w:hAnsiTheme="minorHAnsi" w:cstheme="minorHAnsi"/>
          <w:bCs/>
          <w:sz w:val="24"/>
          <w:szCs w:val="24"/>
        </w:rPr>
        <w:t>3230</w:t>
      </w:r>
      <w:r w:rsidRPr="00BE18A9">
        <w:rPr>
          <w:rFonts w:asciiTheme="minorHAnsi" w:hAnsiTheme="minorHAnsi" w:cstheme="minorHAnsi"/>
          <w:bCs/>
          <w:sz w:val="24"/>
          <w:szCs w:val="24"/>
        </w:rPr>
        <w:t xml:space="preserve">m. </w:t>
      </w:r>
    </w:p>
    <w:p w:rsidR="007B283B" w:rsidRDefault="007B283B" w:rsidP="007B283B">
      <w:pPr>
        <w:pStyle w:val="ListParagraph"/>
        <w:numPr>
          <w:ilvl w:val="0"/>
          <w:numId w:val="4"/>
        </w:numPr>
        <w:spacing w:line="360" w:lineRule="auto"/>
        <w:rPr>
          <w:rFonts w:asciiTheme="minorHAnsi" w:hAnsiTheme="minorHAnsi" w:cstheme="minorHAnsi"/>
          <w:bCs/>
          <w:sz w:val="24"/>
          <w:szCs w:val="24"/>
        </w:rPr>
      </w:pPr>
      <w:r>
        <w:rPr>
          <w:rFonts w:asciiTheme="minorHAnsi" w:hAnsiTheme="minorHAnsi" w:cstheme="minorHAnsi"/>
          <w:bCs/>
          <w:sz w:val="24"/>
          <w:szCs w:val="24"/>
        </w:rPr>
        <w:t>In 2015</w:t>
      </w:r>
      <w:r w:rsidRPr="00BE18A9">
        <w:rPr>
          <w:rFonts w:asciiTheme="minorHAnsi" w:hAnsiTheme="minorHAnsi" w:cstheme="minorHAnsi"/>
          <w:bCs/>
          <w:sz w:val="24"/>
          <w:szCs w:val="24"/>
        </w:rPr>
        <w:t xml:space="preserve"> the profit before tax for the UK Barclays group was £</w:t>
      </w:r>
      <w:r>
        <w:rPr>
          <w:rFonts w:asciiTheme="minorHAnsi" w:hAnsiTheme="minorHAnsi" w:cstheme="minorHAnsi"/>
          <w:bCs/>
          <w:sz w:val="24"/>
          <w:szCs w:val="24"/>
        </w:rPr>
        <w:t>1146</w:t>
      </w:r>
      <w:r w:rsidRPr="00BE18A9">
        <w:rPr>
          <w:rFonts w:asciiTheme="minorHAnsi" w:hAnsiTheme="minorHAnsi" w:cstheme="minorHAnsi"/>
          <w:bCs/>
          <w:sz w:val="24"/>
          <w:szCs w:val="24"/>
        </w:rPr>
        <w:t xml:space="preserve">m. </w:t>
      </w:r>
    </w:p>
    <w:p w:rsidR="007B283B" w:rsidRPr="00BE18A9" w:rsidRDefault="007B283B" w:rsidP="007B283B">
      <w:pPr>
        <w:pStyle w:val="ListParagraph"/>
        <w:numPr>
          <w:ilvl w:val="0"/>
          <w:numId w:val="4"/>
        </w:numPr>
        <w:spacing w:line="360" w:lineRule="auto"/>
        <w:rPr>
          <w:rFonts w:asciiTheme="minorHAnsi" w:hAnsiTheme="minorHAnsi" w:cstheme="minorHAnsi"/>
          <w:bCs/>
          <w:sz w:val="24"/>
          <w:szCs w:val="24"/>
        </w:rPr>
      </w:pPr>
      <w:r>
        <w:rPr>
          <w:rFonts w:asciiTheme="minorHAnsi" w:hAnsiTheme="minorHAnsi" w:cstheme="minorHAnsi"/>
          <w:bCs/>
          <w:sz w:val="24"/>
          <w:szCs w:val="24"/>
        </w:rPr>
        <w:t>In 2014</w:t>
      </w:r>
      <w:r w:rsidRPr="00BE18A9">
        <w:rPr>
          <w:rFonts w:asciiTheme="minorHAnsi" w:hAnsiTheme="minorHAnsi" w:cstheme="minorHAnsi"/>
          <w:bCs/>
          <w:sz w:val="24"/>
          <w:szCs w:val="24"/>
        </w:rPr>
        <w:t xml:space="preserve"> the profit before tax for the UK Barclays group was £</w:t>
      </w:r>
      <w:r>
        <w:rPr>
          <w:rFonts w:asciiTheme="minorHAnsi" w:hAnsiTheme="minorHAnsi" w:cstheme="minorHAnsi"/>
          <w:bCs/>
          <w:sz w:val="24"/>
          <w:szCs w:val="24"/>
        </w:rPr>
        <w:t>1313</w:t>
      </w:r>
      <w:r w:rsidRPr="00BE18A9">
        <w:rPr>
          <w:rFonts w:asciiTheme="minorHAnsi" w:hAnsiTheme="minorHAnsi" w:cstheme="minorHAnsi"/>
          <w:bCs/>
          <w:sz w:val="24"/>
          <w:szCs w:val="24"/>
        </w:rPr>
        <w:t xml:space="preserve">m. </w:t>
      </w:r>
    </w:p>
    <w:p w:rsidR="007B283B" w:rsidRDefault="004B05DA" w:rsidP="007B283B">
      <w:pPr>
        <w:pStyle w:val="ListParagraph"/>
        <w:numPr>
          <w:ilvl w:val="1"/>
          <w:numId w:val="4"/>
        </w:numPr>
        <w:spacing w:line="360" w:lineRule="auto"/>
        <w:rPr>
          <w:rFonts w:asciiTheme="minorHAnsi" w:hAnsiTheme="minorHAnsi" w:cstheme="minorHAnsi"/>
          <w:bCs/>
          <w:sz w:val="24"/>
          <w:szCs w:val="24"/>
        </w:rPr>
      </w:pPr>
      <w:sdt>
        <w:sdtPr>
          <w:rPr>
            <w:rFonts w:asciiTheme="minorHAnsi" w:hAnsiTheme="minorHAnsi" w:cstheme="minorHAnsi"/>
            <w:bCs/>
            <w:sz w:val="24"/>
            <w:szCs w:val="24"/>
          </w:rPr>
          <w:id w:val="-1780710263"/>
          <w:citation/>
        </w:sdtPr>
        <w:sdtContent>
          <w:r w:rsidR="007B283B">
            <w:rPr>
              <w:rFonts w:asciiTheme="minorHAnsi" w:hAnsiTheme="minorHAnsi" w:cstheme="minorHAnsi"/>
              <w:bCs/>
              <w:sz w:val="24"/>
              <w:szCs w:val="24"/>
            </w:rPr>
            <w:fldChar w:fldCharType="begin"/>
          </w:r>
          <w:r w:rsidR="007B283B">
            <w:rPr>
              <w:rFonts w:asciiTheme="minorHAnsi" w:hAnsiTheme="minorHAnsi" w:cstheme="minorHAnsi"/>
              <w:bCs/>
              <w:sz w:val="24"/>
              <w:szCs w:val="24"/>
            </w:rPr>
            <w:instrText xml:space="preserve"> CITATION Che20 \l 2057 </w:instrText>
          </w:r>
          <w:r w:rsidR="007B283B">
            <w:rPr>
              <w:rFonts w:asciiTheme="minorHAnsi" w:hAnsiTheme="minorHAnsi" w:cstheme="minorHAnsi"/>
              <w:bCs/>
              <w:sz w:val="24"/>
              <w:szCs w:val="24"/>
            </w:rPr>
            <w:fldChar w:fldCharType="separate"/>
          </w:r>
          <w:r w:rsidR="007B283B" w:rsidRPr="00BE18A9">
            <w:rPr>
              <w:rFonts w:asciiTheme="minorHAnsi" w:hAnsiTheme="minorHAnsi" w:cstheme="minorHAnsi"/>
              <w:noProof/>
              <w:sz w:val="24"/>
              <w:szCs w:val="24"/>
            </w:rPr>
            <w:t>(Cherowbrier, 2020)</w:t>
          </w:r>
          <w:r w:rsidR="007B283B">
            <w:rPr>
              <w:rFonts w:asciiTheme="minorHAnsi" w:hAnsiTheme="minorHAnsi" w:cstheme="minorHAnsi"/>
              <w:bCs/>
              <w:sz w:val="24"/>
              <w:szCs w:val="24"/>
            </w:rPr>
            <w:fldChar w:fldCharType="end"/>
          </w:r>
        </w:sdtContent>
      </w:sdt>
    </w:p>
    <w:p w:rsidR="007B283B" w:rsidRDefault="007B283B" w:rsidP="00254FBD">
      <w:pPr>
        <w:spacing w:line="360" w:lineRule="auto"/>
        <w:rPr>
          <w:rFonts w:asciiTheme="minorHAnsi" w:hAnsiTheme="minorHAnsi" w:cstheme="minorHAnsi"/>
          <w:bCs/>
          <w:color w:val="FF0000"/>
          <w:sz w:val="24"/>
          <w:szCs w:val="24"/>
        </w:rPr>
      </w:pPr>
    </w:p>
    <w:p w:rsidR="007B283B" w:rsidRDefault="007B283B" w:rsidP="00254FBD">
      <w:pPr>
        <w:spacing w:line="360" w:lineRule="auto"/>
        <w:rPr>
          <w:rFonts w:asciiTheme="minorHAnsi" w:hAnsiTheme="minorHAnsi" w:cstheme="minorHAnsi"/>
          <w:bCs/>
          <w:color w:val="FF0000"/>
          <w:sz w:val="24"/>
          <w:szCs w:val="24"/>
        </w:rPr>
      </w:pPr>
    </w:p>
    <w:p w:rsidR="007B283B" w:rsidRDefault="007B283B" w:rsidP="00254FBD">
      <w:pPr>
        <w:spacing w:line="360" w:lineRule="auto"/>
        <w:rPr>
          <w:rFonts w:asciiTheme="minorHAnsi" w:hAnsiTheme="minorHAnsi" w:cstheme="minorHAnsi"/>
          <w:bCs/>
          <w:color w:val="FF0000"/>
          <w:sz w:val="24"/>
          <w:szCs w:val="24"/>
        </w:rPr>
      </w:pPr>
      <w:r>
        <w:rPr>
          <w:noProof/>
        </w:rPr>
        <w:drawing>
          <wp:inline distT="0" distB="0" distL="0" distR="0" wp14:anchorId="6F7B4706" wp14:editId="041467D5">
            <wp:extent cx="4572000" cy="2743200"/>
            <wp:effectExtent l="0" t="0" r="0" b="0"/>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rsidR="007B283B" w:rsidRDefault="007B283B" w:rsidP="00254FBD">
      <w:pPr>
        <w:spacing w:line="360" w:lineRule="auto"/>
        <w:rPr>
          <w:rFonts w:asciiTheme="minorHAnsi" w:hAnsiTheme="minorHAnsi" w:cstheme="minorHAnsi"/>
          <w:bCs/>
          <w:color w:val="FF0000"/>
          <w:sz w:val="24"/>
          <w:szCs w:val="24"/>
        </w:rPr>
      </w:pPr>
    </w:p>
    <w:p w:rsidR="00BE18A9" w:rsidRPr="003B0AA3" w:rsidRDefault="003B0AA3" w:rsidP="003B0AA3">
      <w:pPr>
        <w:pStyle w:val="Heading1"/>
        <w:rPr>
          <w:sz w:val="24"/>
          <w:szCs w:val="24"/>
        </w:rPr>
      </w:pPr>
      <w:bookmarkStart w:id="9" w:name="_Toc42082609"/>
      <w:r w:rsidRPr="003B0AA3">
        <w:rPr>
          <w:sz w:val="24"/>
          <w:szCs w:val="24"/>
        </w:rPr>
        <w:t>Ratio Analysis</w:t>
      </w:r>
      <w:bookmarkEnd w:id="9"/>
      <w:r w:rsidRPr="003B0AA3">
        <w:rPr>
          <w:sz w:val="24"/>
          <w:szCs w:val="24"/>
        </w:rPr>
        <w:t xml:space="preserve"> </w:t>
      </w:r>
    </w:p>
    <w:p w:rsidR="003B0AA3" w:rsidRPr="003B0AA3" w:rsidRDefault="003B0AA3" w:rsidP="003B0AA3">
      <w:pPr>
        <w:spacing w:line="360" w:lineRule="auto"/>
        <w:rPr>
          <w:rFonts w:asciiTheme="minorHAnsi" w:hAnsiTheme="minorHAnsi" w:cstheme="minorHAnsi"/>
          <w:bCs/>
          <w:sz w:val="24"/>
          <w:szCs w:val="24"/>
        </w:rPr>
      </w:pPr>
      <w:r w:rsidRPr="003B0AA3">
        <w:rPr>
          <w:rFonts w:asciiTheme="minorHAnsi" w:hAnsiTheme="minorHAnsi" w:cstheme="minorHAnsi"/>
          <w:bCs/>
          <w:sz w:val="24"/>
          <w:szCs w:val="24"/>
        </w:rPr>
        <w:t>Performance ratios</w:t>
      </w:r>
    </w:p>
    <w:p w:rsidR="003B0AA3" w:rsidRPr="003B0AA3" w:rsidRDefault="003B0AA3" w:rsidP="003B0AA3">
      <w:pPr>
        <w:pStyle w:val="ListParagraph"/>
        <w:numPr>
          <w:ilvl w:val="0"/>
          <w:numId w:val="5"/>
        </w:numPr>
        <w:spacing w:line="360" w:lineRule="auto"/>
        <w:rPr>
          <w:rFonts w:asciiTheme="minorHAnsi" w:hAnsiTheme="minorHAnsi" w:cstheme="minorHAnsi"/>
          <w:bCs/>
          <w:sz w:val="24"/>
          <w:szCs w:val="24"/>
        </w:rPr>
      </w:pPr>
      <w:r w:rsidRPr="003B0AA3">
        <w:rPr>
          <w:rFonts w:asciiTheme="minorHAnsi" w:hAnsiTheme="minorHAnsi" w:cstheme="minorHAnsi"/>
          <w:bCs/>
          <w:sz w:val="24"/>
          <w:szCs w:val="24"/>
        </w:rPr>
        <w:lastRenderedPageBreak/>
        <w:t>Return on investment ROI = Profit after tax / Shareholders’ funds</w:t>
      </w:r>
    </w:p>
    <w:tbl>
      <w:tblPr>
        <w:tblStyle w:val="TableGrid"/>
        <w:tblW w:w="0" w:type="auto"/>
        <w:tblInd w:w="1080" w:type="dxa"/>
        <w:tblLook w:val="04A0" w:firstRow="1" w:lastRow="0" w:firstColumn="1" w:lastColumn="0" w:noHBand="0" w:noVBand="1"/>
      </w:tblPr>
      <w:tblGrid>
        <w:gridCol w:w="1183"/>
        <w:gridCol w:w="1701"/>
        <w:gridCol w:w="2552"/>
        <w:gridCol w:w="2500"/>
      </w:tblGrid>
      <w:tr w:rsidR="003B0AA3" w:rsidTr="005B41B2">
        <w:tc>
          <w:tcPr>
            <w:tcW w:w="1183" w:type="dxa"/>
          </w:tcPr>
          <w:p w:rsidR="003B0AA3" w:rsidRPr="003B0AA3" w:rsidRDefault="003B0AA3" w:rsidP="003B0AA3">
            <w:pPr>
              <w:pStyle w:val="ListParagraph"/>
              <w:spacing w:line="360" w:lineRule="auto"/>
              <w:ind w:left="0"/>
              <w:rPr>
                <w:rFonts w:asciiTheme="minorHAnsi" w:hAnsiTheme="minorHAnsi" w:cstheme="minorHAnsi"/>
                <w:bCs/>
                <w:sz w:val="24"/>
                <w:szCs w:val="24"/>
              </w:rPr>
            </w:pPr>
          </w:p>
        </w:tc>
        <w:tc>
          <w:tcPr>
            <w:tcW w:w="1701" w:type="dxa"/>
          </w:tcPr>
          <w:p w:rsidR="003B0AA3" w:rsidRDefault="003B0AA3" w:rsidP="003B0AA3">
            <w:pPr>
              <w:pStyle w:val="ListParagraph"/>
              <w:spacing w:line="360" w:lineRule="auto"/>
              <w:ind w:left="0"/>
              <w:rPr>
                <w:rFonts w:asciiTheme="minorHAnsi" w:hAnsiTheme="minorHAnsi" w:cstheme="minorHAnsi"/>
                <w:bCs/>
                <w:sz w:val="24"/>
                <w:szCs w:val="24"/>
              </w:rPr>
            </w:pPr>
            <w:r>
              <w:rPr>
                <w:rFonts w:asciiTheme="minorHAnsi" w:hAnsiTheme="minorHAnsi" w:cstheme="minorHAnsi"/>
                <w:bCs/>
                <w:sz w:val="24"/>
                <w:szCs w:val="24"/>
              </w:rPr>
              <w:t>Profit after tax</w:t>
            </w:r>
          </w:p>
        </w:tc>
        <w:tc>
          <w:tcPr>
            <w:tcW w:w="2552" w:type="dxa"/>
          </w:tcPr>
          <w:p w:rsidR="003B0AA3" w:rsidRDefault="003B0AA3" w:rsidP="003B0AA3">
            <w:pPr>
              <w:pStyle w:val="ListParagraph"/>
              <w:spacing w:line="360" w:lineRule="auto"/>
              <w:ind w:left="0"/>
              <w:rPr>
                <w:rFonts w:asciiTheme="minorHAnsi" w:hAnsiTheme="minorHAnsi" w:cstheme="minorHAnsi"/>
                <w:bCs/>
                <w:sz w:val="24"/>
                <w:szCs w:val="24"/>
              </w:rPr>
            </w:pPr>
            <w:r>
              <w:rPr>
                <w:rFonts w:asciiTheme="minorHAnsi" w:hAnsiTheme="minorHAnsi" w:cstheme="minorHAnsi"/>
                <w:bCs/>
                <w:sz w:val="24"/>
                <w:szCs w:val="24"/>
              </w:rPr>
              <w:t>Shareholders’ Funds</w:t>
            </w:r>
          </w:p>
        </w:tc>
        <w:tc>
          <w:tcPr>
            <w:tcW w:w="2500" w:type="dxa"/>
          </w:tcPr>
          <w:p w:rsidR="003B0AA3" w:rsidRDefault="003B0AA3" w:rsidP="003B0AA3">
            <w:pPr>
              <w:pStyle w:val="ListParagraph"/>
              <w:spacing w:line="360" w:lineRule="auto"/>
              <w:ind w:left="0"/>
              <w:rPr>
                <w:rFonts w:asciiTheme="minorHAnsi" w:hAnsiTheme="minorHAnsi" w:cstheme="minorHAnsi"/>
                <w:bCs/>
                <w:sz w:val="24"/>
                <w:szCs w:val="24"/>
              </w:rPr>
            </w:pPr>
            <w:r>
              <w:rPr>
                <w:rFonts w:asciiTheme="minorHAnsi" w:hAnsiTheme="minorHAnsi" w:cstheme="minorHAnsi"/>
                <w:bCs/>
                <w:sz w:val="24"/>
                <w:szCs w:val="24"/>
              </w:rPr>
              <w:t>ROI</w:t>
            </w:r>
          </w:p>
        </w:tc>
      </w:tr>
      <w:tr w:rsidR="003B0AA3" w:rsidTr="005B41B2">
        <w:tc>
          <w:tcPr>
            <w:tcW w:w="1183" w:type="dxa"/>
          </w:tcPr>
          <w:p w:rsidR="003B0AA3" w:rsidRPr="003B0AA3" w:rsidRDefault="005B41B2" w:rsidP="003B0AA3">
            <w:pPr>
              <w:pStyle w:val="ListParagraph"/>
              <w:spacing w:line="360" w:lineRule="auto"/>
              <w:ind w:left="0"/>
              <w:rPr>
                <w:rFonts w:asciiTheme="minorHAnsi" w:hAnsiTheme="minorHAnsi" w:cstheme="minorHAnsi"/>
                <w:bCs/>
                <w:sz w:val="24"/>
                <w:szCs w:val="24"/>
              </w:rPr>
            </w:pPr>
            <w:r>
              <w:rPr>
                <w:rFonts w:asciiTheme="minorHAnsi" w:hAnsiTheme="minorHAnsi" w:cstheme="minorHAnsi"/>
                <w:bCs/>
                <w:sz w:val="24"/>
                <w:szCs w:val="24"/>
              </w:rPr>
              <w:t>2019</w:t>
            </w:r>
          </w:p>
        </w:tc>
        <w:tc>
          <w:tcPr>
            <w:tcW w:w="1701" w:type="dxa"/>
          </w:tcPr>
          <w:p w:rsidR="003B0AA3" w:rsidRDefault="005B41B2" w:rsidP="003B0AA3">
            <w:pPr>
              <w:pStyle w:val="ListParagraph"/>
              <w:spacing w:line="360" w:lineRule="auto"/>
              <w:ind w:left="0"/>
              <w:rPr>
                <w:rFonts w:asciiTheme="minorHAnsi" w:hAnsiTheme="minorHAnsi" w:cstheme="minorHAnsi"/>
                <w:bCs/>
                <w:sz w:val="24"/>
                <w:szCs w:val="24"/>
              </w:rPr>
            </w:pPr>
            <w:r>
              <w:rPr>
                <w:rFonts w:ascii="Arial" w:hAnsi="Arial" w:cs="Arial"/>
                <w:color w:val="000000"/>
                <w:shd w:val="clear" w:color="auto" w:fill="FFFFFF"/>
              </w:rPr>
              <w:t>3,354.00</w:t>
            </w:r>
          </w:p>
        </w:tc>
        <w:tc>
          <w:tcPr>
            <w:tcW w:w="2552" w:type="dxa"/>
          </w:tcPr>
          <w:p w:rsidR="003B0AA3" w:rsidRDefault="005B41B2" w:rsidP="003B0AA3">
            <w:pPr>
              <w:pStyle w:val="ListParagraph"/>
              <w:spacing w:line="360" w:lineRule="auto"/>
              <w:ind w:left="0"/>
              <w:rPr>
                <w:rFonts w:asciiTheme="minorHAnsi" w:hAnsiTheme="minorHAnsi" w:cstheme="minorHAnsi"/>
                <w:bCs/>
                <w:sz w:val="24"/>
                <w:szCs w:val="24"/>
              </w:rPr>
            </w:pPr>
            <w:r>
              <w:rPr>
                <w:rFonts w:ascii="Arial" w:hAnsi="Arial" w:cs="Arial"/>
                <w:color w:val="000000"/>
                <w:shd w:val="clear" w:color="auto" w:fill="FFFFFF"/>
              </w:rPr>
              <w:t>64,429.00</w:t>
            </w:r>
          </w:p>
        </w:tc>
        <w:tc>
          <w:tcPr>
            <w:tcW w:w="2500" w:type="dxa"/>
          </w:tcPr>
          <w:p w:rsidR="003B0AA3" w:rsidRDefault="005B41B2" w:rsidP="003B0AA3">
            <w:pPr>
              <w:pStyle w:val="ListParagraph"/>
              <w:spacing w:line="360" w:lineRule="auto"/>
              <w:ind w:left="0"/>
              <w:rPr>
                <w:rFonts w:asciiTheme="minorHAnsi" w:hAnsiTheme="minorHAnsi" w:cstheme="minorHAnsi"/>
                <w:bCs/>
                <w:sz w:val="24"/>
                <w:szCs w:val="24"/>
              </w:rPr>
            </w:pPr>
            <w:r>
              <w:rPr>
                <w:rFonts w:asciiTheme="minorHAnsi" w:hAnsiTheme="minorHAnsi" w:cstheme="minorHAnsi"/>
                <w:bCs/>
                <w:sz w:val="24"/>
                <w:szCs w:val="24"/>
              </w:rPr>
              <w:t>5.21%</w:t>
            </w:r>
          </w:p>
        </w:tc>
      </w:tr>
      <w:tr w:rsidR="003B0AA3" w:rsidTr="005B41B2">
        <w:tc>
          <w:tcPr>
            <w:tcW w:w="1183" w:type="dxa"/>
          </w:tcPr>
          <w:p w:rsidR="003B0AA3" w:rsidRPr="003B0AA3" w:rsidRDefault="005B41B2" w:rsidP="003B0AA3">
            <w:pPr>
              <w:pStyle w:val="ListParagraph"/>
              <w:spacing w:line="360" w:lineRule="auto"/>
              <w:ind w:left="0"/>
              <w:rPr>
                <w:rFonts w:asciiTheme="minorHAnsi" w:hAnsiTheme="minorHAnsi" w:cstheme="minorHAnsi"/>
                <w:bCs/>
                <w:sz w:val="24"/>
                <w:szCs w:val="24"/>
              </w:rPr>
            </w:pPr>
            <w:r>
              <w:rPr>
                <w:rFonts w:asciiTheme="minorHAnsi" w:hAnsiTheme="minorHAnsi" w:cstheme="minorHAnsi"/>
                <w:bCs/>
                <w:sz w:val="24"/>
                <w:szCs w:val="24"/>
              </w:rPr>
              <w:t>2018</w:t>
            </w:r>
          </w:p>
        </w:tc>
        <w:tc>
          <w:tcPr>
            <w:tcW w:w="1701" w:type="dxa"/>
          </w:tcPr>
          <w:p w:rsidR="003B0AA3" w:rsidRDefault="005B41B2" w:rsidP="003B0AA3">
            <w:pPr>
              <w:pStyle w:val="ListParagraph"/>
              <w:spacing w:line="360" w:lineRule="auto"/>
              <w:ind w:left="0"/>
              <w:rPr>
                <w:rFonts w:asciiTheme="minorHAnsi" w:hAnsiTheme="minorHAnsi" w:cstheme="minorHAnsi"/>
                <w:bCs/>
                <w:sz w:val="24"/>
                <w:szCs w:val="24"/>
              </w:rPr>
            </w:pPr>
            <w:r>
              <w:rPr>
                <w:rFonts w:ascii="Arial" w:hAnsi="Arial" w:cs="Arial"/>
                <w:color w:val="000000"/>
                <w:shd w:val="clear" w:color="auto" w:fill="FFFFFF"/>
              </w:rPr>
              <w:t>2,583.00</w:t>
            </w:r>
          </w:p>
        </w:tc>
        <w:tc>
          <w:tcPr>
            <w:tcW w:w="2552" w:type="dxa"/>
          </w:tcPr>
          <w:p w:rsidR="003B0AA3" w:rsidRDefault="005B41B2" w:rsidP="003B0AA3">
            <w:pPr>
              <w:pStyle w:val="ListParagraph"/>
              <w:spacing w:line="360" w:lineRule="auto"/>
              <w:ind w:left="0"/>
              <w:rPr>
                <w:rFonts w:asciiTheme="minorHAnsi" w:hAnsiTheme="minorHAnsi" w:cstheme="minorHAnsi"/>
                <w:bCs/>
                <w:sz w:val="24"/>
                <w:szCs w:val="24"/>
              </w:rPr>
            </w:pPr>
            <w:r>
              <w:rPr>
                <w:rFonts w:ascii="Arial" w:hAnsi="Arial" w:cs="Arial"/>
                <w:color w:val="000000"/>
                <w:shd w:val="clear" w:color="auto" w:fill="FFFFFF"/>
              </w:rPr>
              <w:t>62,556.00</w:t>
            </w:r>
          </w:p>
        </w:tc>
        <w:tc>
          <w:tcPr>
            <w:tcW w:w="2500" w:type="dxa"/>
          </w:tcPr>
          <w:p w:rsidR="003B0AA3" w:rsidRDefault="005B41B2" w:rsidP="003B0AA3">
            <w:pPr>
              <w:pStyle w:val="ListParagraph"/>
              <w:spacing w:line="360" w:lineRule="auto"/>
              <w:ind w:left="0"/>
              <w:rPr>
                <w:rFonts w:asciiTheme="minorHAnsi" w:hAnsiTheme="minorHAnsi" w:cstheme="minorHAnsi"/>
                <w:bCs/>
                <w:sz w:val="24"/>
                <w:szCs w:val="24"/>
              </w:rPr>
            </w:pPr>
            <w:r>
              <w:rPr>
                <w:rFonts w:asciiTheme="minorHAnsi" w:hAnsiTheme="minorHAnsi" w:cstheme="minorHAnsi"/>
                <w:bCs/>
                <w:sz w:val="24"/>
                <w:szCs w:val="24"/>
              </w:rPr>
              <w:t>0.41%</w:t>
            </w:r>
          </w:p>
        </w:tc>
      </w:tr>
    </w:tbl>
    <w:p w:rsidR="003B0AA3" w:rsidRPr="003B0AA3" w:rsidRDefault="003B0AA3" w:rsidP="003B0AA3">
      <w:pPr>
        <w:pStyle w:val="ListParagraph"/>
        <w:spacing w:line="360" w:lineRule="auto"/>
        <w:ind w:left="1080"/>
        <w:rPr>
          <w:rFonts w:asciiTheme="minorHAnsi" w:hAnsiTheme="minorHAnsi" w:cstheme="minorHAnsi"/>
          <w:bCs/>
          <w:sz w:val="24"/>
          <w:szCs w:val="24"/>
        </w:rPr>
      </w:pPr>
    </w:p>
    <w:p w:rsidR="003B0AA3" w:rsidRPr="003B0AA3" w:rsidRDefault="003B0AA3" w:rsidP="003B0AA3">
      <w:pPr>
        <w:spacing w:line="360" w:lineRule="auto"/>
        <w:rPr>
          <w:rFonts w:asciiTheme="minorHAnsi" w:hAnsiTheme="minorHAnsi" w:cstheme="minorHAnsi"/>
          <w:bCs/>
          <w:sz w:val="24"/>
          <w:szCs w:val="24"/>
        </w:rPr>
      </w:pPr>
      <w:r w:rsidRPr="003B0AA3">
        <w:rPr>
          <w:rFonts w:asciiTheme="minorHAnsi" w:hAnsiTheme="minorHAnsi" w:cstheme="minorHAnsi"/>
          <w:bCs/>
          <w:sz w:val="24"/>
          <w:szCs w:val="24"/>
        </w:rPr>
        <w:tab/>
      </w:r>
      <w:r w:rsidRPr="003B0AA3">
        <w:rPr>
          <w:rFonts w:asciiTheme="minorHAnsi" w:hAnsiTheme="minorHAnsi" w:cstheme="minorHAnsi"/>
          <w:bCs/>
          <w:sz w:val="24"/>
          <w:szCs w:val="24"/>
        </w:rPr>
        <w:tab/>
      </w:r>
      <w:r w:rsidRPr="003B0AA3">
        <w:rPr>
          <w:rFonts w:asciiTheme="minorHAnsi" w:hAnsiTheme="minorHAnsi" w:cstheme="minorHAnsi"/>
          <w:bCs/>
          <w:sz w:val="24"/>
          <w:szCs w:val="24"/>
        </w:rPr>
        <w:tab/>
      </w:r>
      <w:r w:rsidRPr="003B0AA3">
        <w:rPr>
          <w:rFonts w:asciiTheme="minorHAnsi" w:hAnsiTheme="minorHAnsi" w:cstheme="minorHAnsi"/>
          <w:bCs/>
          <w:sz w:val="24"/>
          <w:szCs w:val="24"/>
        </w:rPr>
        <w:tab/>
      </w:r>
    </w:p>
    <w:p w:rsidR="003B0AA3" w:rsidRPr="003B0AA3" w:rsidRDefault="003B0AA3" w:rsidP="003B0AA3">
      <w:pPr>
        <w:spacing w:line="360" w:lineRule="auto"/>
        <w:rPr>
          <w:rFonts w:asciiTheme="minorHAnsi" w:hAnsiTheme="minorHAnsi" w:cstheme="minorHAnsi"/>
          <w:bCs/>
          <w:sz w:val="24"/>
          <w:szCs w:val="24"/>
        </w:rPr>
      </w:pPr>
      <w:r w:rsidRPr="003B0AA3">
        <w:rPr>
          <w:rFonts w:asciiTheme="minorHAnsi" w:hAnsiTheme="minorHAnsi" w:cstheme="minorHAnsi"/>
          <w:bCs/>
          <w:sz w:val="24"/>
          <w:szCs w:val="24"/>
        </w:rPr>
        <w:t>2</w:t>
      </w:r>
      <w:r w:rsidRPr="003B0AA3">
        <w:rPr>
          <w:rFonts w:asciiTheme="minorHAnsi" w:hAnsiTheme="minorHAnsi" w:cstheme="minorHAnsi"/>
          <w:bCs/>
          <w:sz w:val="24"/>
          <w:szCs w:val="24"/>
        </w:rPr>
        <w:tab/>
        <w:t>Return on Capital Employed ROCE</w:t>
      </w:r>
    </w:p>
    <w:p w:rsidR="003B0AA3" w:rsidRDefault="003B0AA3" w:rsidP="003B0AA3">
      <w:pPr>
        <w:spacing w:line="360" w:lineRule="auto"/>
        <w:rPr>
          <w:rFonts w:asciiTheme="minorHAnsi" w:hAnsiTheme="minorHAnsi" w:cstheme="minorHAnsi"/>
          <w:bCs/>
          <w:sz w:val="24"/>
          <w:szCs w:val="24"/>
        </w:rPr>
      </w:pPr>
      <w:r w:rsidRPr="003B0AA3">
        <w:rPr>
          <w:rFonts w:asciiTheme="minorHAnsi" w:hAnsiTheme="minorHAnsi" w:cstheme="minorHAnsi"/>
          <w:bCs/>
          <w:sz w:val="24"/>
          <w:szCs w:val="24"/>
        </w:rPr>
        <w:t xml:space="preserve"> = Profit before interest &amp; tax / (Shareholders’ funds + Long Term debt)</w:t>
      </w:r>
    </w:p>
    <w:tbl>
      <w:tblPr>
        <w:tblStyle w:val="TableGrid"/>
        <w:tblW w:w="0" w:type="auto"/>
        <w:tblInd w:w="1080" w:type="dxa"/>
        <w:tblLook w:val="04A0" w:firstRow="1" w:lastRow="0" w:firstColumn="1" w:lastColumn="0" w:noHBand="0" w:noVBand="1"/>
      </w:tblPr>
      <w:tblGrid>
        <w:gridCol w:w="987"/>
        <w:gridCol w:w="1756"/>
        <w:gridCol w:w="1807"/>
        <w:gridCol w:w="1572"/>
        <w:gridCol w:w="1814"/>
      </w:tblGrid>
      <w:tr w:rsidR="005B41B2" w:rsidTr="005B41B2">
        <w:tc>
          <w:tcPr>
            <w:tcW w:w="987" w:type="dxa"/>
          </w:tcPr>
          <w:p w:rsidR="005B41B2" w:rsidRPr="003B0AA3" w:rsidRDefault="005B41B2" w:rsidP="00DA254D">
            <w:pPr>
              <w:pStyle w:val="ListParagraph"/>
              <w:spacing w:line="360" w:lineRule="auto"/>
              <w:ind w:left="0"/>
              <w:rPr>
                <w:rFonts w:asciiTheme="minorHAnsi" w:hAnsiTheme="minorHAnsi" w:cstheme="minorHAnsi"/>
                <w:bCs/>
                <w:sz w:val="24"/>
                <w:szCs w:val="24"/>
              </w:rPr>
            </w:pPr>
          </w:p>
        </w:tc>
        <w:tc>
          <w:tcPr>
            <w:tcW w:w="1756" w:type="dxa"/>
          </w:tcPr>
          <w:p w:rsidR="005B41B2" w:rsidRDefault="005B41B2" w:rsidP="005B41B2">
            <w:pPr>
              <w:pStyle w:val="ListParagraph"/>
              <w:spacing w:line="360" w:lineRule="auto"/>
              <w:ind w:left="0"/>
              <w:rPr>
                <w:rFonts w:asciiTheme="minorHAnsi" w:hAnsiTheme="minorHAnsi" w:cstheme="minorHAnsi"/>
                <w:bCs/>
                <w:sz w:val="24"/>
                <w:szCs w:val="24"/>
              </w:rPr>
            </w:pPr>
            <w:r>
              <w:rPr>
                <w:rFonts w:asciiTheme="minorHAnsi" w:hAnsiTheme="minorHAnsi" w:cstheme="minorHAnsi"/>
                <w:bCs/>
                <w:sz w:val="24"/>
                <w:szCs w:val="24"/>
              </w:rPr>
              <w:t>Profit before interest &amp; tax</w:t>
            </w:r>
          </w:p>
        </w:tc>
        <w:tc>
          <w:tcPr>
            <w:tcW w:w="1807" w:type="dxa"/>
          </w:tcPr>
          <w:p w:rsidR="005B41B2" w:rsidRDefault="005B41B2" w:rsidP="00DA254D">
            <w:pPr>
              <w:pStyle w:val="ListParagraph"/>
              <w:spacing w:line="360" w:lineRule="auto"/>
              <w:ind w:left="0"/>
              <w:rPr>
                <w:rFonts w:asciiTheme="minorHAnsi" w:hAnsiTheme="minorHAnsi" w:cstheme="minorHAnsi"/>
                <w:bCs/>
                <w:sz w:val="24"/>
                <w:szCs w:val="24"/>
              </w:rPr>
            </w:pPr>
            <w:r>
              <w:rPr>
                <w:rFonts w:asciiTheme="minorHAnsi" w:hAnsiTheme="minorHAnsi" w:cstheme="minorHAnsi"/>
                <w:bCs/>
                <w:sz w:val="24"/>
                <w:szCs w:val="24"/>
              </w:rPr>
              <w:t>Shareholders’ Funds</w:t>
            </w:r>
          </w:p>
        </w:tc>
        <w:tc>
          <w:tcPr>
            <w:tcW w:w="1572" w:type="dxa"/>
          </w:tcPr>
          <w:p w:rsidR="005B41B2" w:rsidRDefault="005B41B2" w:rsidP="00DA254D">
            <w:pPr>
              <w:pStyle w:val="ListParagraph"/>
              <w:spacing w:line="360" w:lineRule="auto"/>
              <w:ind w:left="0"/>
              <w:rPr>
                <w:rFonts w:asciiTheme="minorHAnsi" w:hAnsiTheme="minorHAnsi" w:cstheme="minorHAnsi"/>
                <w:bCs/>
                <w:sz w:val="24"/>
                <w:szCs w:val="24"/>
              </w:rPr>
            </w:pPr>
            <w:r>
              <w:rPr>
                <w:rFonts w:asciiTheme="minorHAnsi" w:hAnsiTheme="minorHAnsi" w:cstheme="minorHAnsi"/>
                <w:bCs/>
                <w:sz w:val="24"/>
                <w:szCs w:val="24"/>
              </w:rPr>
              <w:t>Long term debt</w:t>
            </w:r>
          </w:p>
        </w:tc>
        <w:tc>
          <w:tcPr>
            <w:tcW w:w="1814" w:type="dxa"/>
          </w:tcPr>
          <w:p w:rsidR="005B41B2" w:rsidRDefault="005B41B2" w:rsidP="005B41B2">
            <w:pPr>
              <w:pStyle w:val="ListParagraph"/>
              <w:tabs>
                <w:tab w:val="left" w:pos="810"/>
              </w:tabs>
              <w:spacing w:line="360" w:lineRule="auto"/>
              <w:ind w:left="0"/>
              <w:rPr>
                <w:rFonts w:asciiTheme="minorHAnsi" w:hAnsiTheme="minorHAnsi" w:cstheme="minorHAnsi"/>
                <w:bCs/>
                <w:sz w:val="24"/>
                <w:szCs w:val="24"/>
              </w:rPr>
            </w:pPr>
            <w:r>
              <w:rPr>
                <w:rFonts w:asciiTheme="minorHAnsi" w:hAnsiTheme="minorHAnsi" w:cstheme="minorHAnsi"/>
                <w:bCs/>
                <w:sz w:val="24"/>
                <w:szCs w:val="24"/>
              </w:rPr>
              <w:t>ROCE</w:t>
            </w:r>
          </w:p>
        </w:tc>
      </w:tr>
      <w:tr w:rsidR="005B41B2" w:rsidTr="005B41B2">
        <w:tc>
          <w:tcPr>
            <w:tcW w:w="987" w:type="dxa"/>
          </w:tcPr>
          <w:p w:rsidR="005B41B2" w:rsidRPr="003B0AA3" w:rsidRDefault="005B41B2" w:rsidP="00DA254D">
            <w:pPr>
              <w:pStyle w:val="ListParagraph"/>
              <w:spacing w:line="360" w:lineRule="auto"/>
              <w:ind w:left="0"/>
              <w:rPr>
                <w:rFonts w:asciiTheme="minorHAnsi" w:hAnsiTheme="minorHAnsi" w:cstheme="minorHAnsi"/>
                <w:bCs/>
                <w:sz w:val="24"/>
                <w:szCs w:val="24"/>
              </w:rPr>
            </w:pPr>
            <w:r>
              <w:rPr>
                <w:rFonts w:asciiTheme="minorHAnsi" w:hAnsiTheme="minorHAnsi" w:cstheme="minorHAnsi"/>
                <w:bCs/>
                <w:sz w:val="24"/>
                <w:szCs w:val="24"/>
              </w:rPr>
              <w:t>2019</w:t>
            </w:r>
          </w:p>
        </w:tc>
        <w:tc>
          <w:tcPr>
            <w:tcW w:w="1756" w:type="dxa"/>
            <w:shd w:val="clear" w:color="auto" w:fill="auto"/>
          </w:tcPr>
          <w:p w:rsidR="005B41B2" w:rsidRDefault="005B41B2" w:rsidP="00DA254D">
            <w:pPr>
              <w:pStyle w:val="ListParagraph"/>
              <w:spacing w:line="360" w:lineRule="auto"/>
              <w:ind w:left="0"/>
              <w:rPr>
                <w:rFonts w:asciiTheme="minorHAnsi" w:hAnsiTheme="minorHAnsi" w:cstheme="minorHAnsi"/>
                <w:bCs/>
                <w:sz w:val="24"/>
                <w:szCs w:val="24"/>
              </w:rPr>
            </w:pPr>
            <w:r w:rsidRPr="005B41B2">
              <w:rPr>
                <w:rFonts w:asciiTheme="minorHAnsi" w:hAnsiTheme="minorHAnsi" w:cstheme="minorHAnsi"/>
                <w:bCs/>
                <w:sz w:val="24"/>
                <w:szCs w:val="24"/>
              </w:rPr>
              <w:t>4,357.00</w:t>
            </w:r>
          </w:p>
        </w:tc>
        <w:tc>
          <w:tcPr>
            <w:tcW w:w="1807" w:type="dxa"/>
          </w:tcPr>
          <w:p w:rsidR="005B41B2" w:rsidRDefault="005B41B2" w:rsidP="00DA254D">
            <w:pPr>
              <w:pStyle w:val="ListParagraph"/>
              <w:spacing w:line="360" w:lineRule="auto"/>
              <w:ind w:left="0"/>
              <w:rPr>
                <w:rFonts w:asciiTheme="minorHAnsi" w:hAnsiTheme="minorHAnsi" w:cstheme="minorHAnsi"/>
                <w:bCs/>
                <w:sz w:val="24"/>
                <w:szCs w:val="24"/>
              </w:rPr>
            </w:pPr>
            <w:r>
              <w:rPr>
                <w:rFonts w:ascii="Arial" w:hAnsi="Arial" w:cs="Arial"/>
                <w:color w:val="000000"/>
                <w:shd w:val="clear" w:color="auto" w:fill="FFFFFF"/>
              </w:rPr>
              <w:t>64,429.00</w:t>
            </w:r>
          </w:p>
        </w:tc>
        <w:tc>
          <w:tcPr>
            <w:tcW w:w="1572" w:type="dxa"/>
          </w:tcPr>
          <w:p w:rsidR="005B41B2" w:rsidRDefault="001F314F" w:rsidP="00DA254D">
            <w:pPr>
              <w:pStyle w:val="ListParagraph"/>
              <w:spacing w:line="360" w:lineRule="auto"/>
              <w:ind w:left="0"/>
              <w:rPr>
                <w:rFonts w:asciiTheme="minorHAnsi" w:hAnsiTheme="minorHAnsi" w:cstheme="minorHAnsi"/>
                <w:bCs/>
                <w:sz w:val="24"/>
                <w:szCs w:val="24"/>
              </w:rPr>
            </w:pPr>
            <w:r>
              <w:rPr>
                <w:rFonts w:asciiTheme="minorHAnsi" w:hAnsiTheme="minorHAnsi" w:cstheme="minorHAnsi"/>
                <w:bCs/>
                <w:sz w:val="24"/>
                <w:szCs w:val="24"/>
              </w:rPr>
              <w:t>133.05b</w:t>
            </w:r>
          </w:p>
        </w:tc>
        <w:tc>
          <w:tcPr>
            <w:tcW w:w="1814" w:type="dxa"/>
          </w:tcPr>
          <w:p w:rsidR="005B41B2" w:rsidRDefault="001F314F" w:rsidP="005B41B2">
            <w:pPr>
              <w:pStyle w:val="ListParagraph"/>
              <w:spacing w:line="360" w:lineRule="auto"/>
              <w:ind w:left="0"/>
              <w:rPr>
                <w:rFonts w:asciiTheme="minorHAnsi" w:hAnsiTheme="minorHAnsi" w:cstheme="minorHAnsi"/>
                <w:bCs/>
                <w:sz w:val="24"/>
                <w:szCs w:val="24"/>
              </w:rPr>
            </w:pPr>
            <w:r>
              <w:rPr>
                <w:rFonts w:asciiTheme="minorHAnsi" w:hAnsiTheme="minorHAnsi" w:cstheme="minorHAnsi"/>
                <w:bCs/>
                <w:sz w:val="24"/>
                <w:szCs w:val="24"/>
              </w:rPr>
              <w:t>0.002%</w:t>
            </w:r>
          </w:p>
        </w:tc>
      </w:tr>
      <w:tr w:rsidR="005B41B2" w:rsidTr="005B41B2">
        <w:tc>
          <w:tcPr>
            <w:tcW w:w="987" w:type="dxa"/>
          </w:tcPr>
          <w:p w:rsidR="005B41B2" w:rsidRPr="003B0AA3" w:rsidRDefault="005B41B2" w:rsidP="00DA254D">
            <w:pPr>
              <w:pStyle w:val="ListParagraph"/>
              <w:spacing w:line="360" w:lineRule="auto"/>
              <w:ind w:left="0"/>
              <w:rPr>
                <w:rFonts w:asciiTheme="minorHAnsi" w:hAnsiTheme="minorHAnsi" w:cstheme="minorHAnsi"/>
                <w:bCs/>
                <w:sz w:val="24"/>
                <w:szCs w:val="24"/>
              </w:rPr>
            </w:pPr>
            <w:r>
              <w:rPr>
                <w:rFonts w:asciiTheme="minorHAnsi" w:hAnsiTheme="minorHAnsi" w:cstheme="minorHAnsi"/>
                <w:bCs/>
                <w:sz w:val="24"/>
                <w:szCs w:val="24"/>
              </w:rPr>
              <w:t>2018</w:t>
            </w:r>
          </w:p>
        </w:tc>
        <w:tc>
          <w:tcPr>
            <w:tcW w:w="1756" w:type="dxa"/>
          </w:tcPr>
          <w:p w:rsidR="005B41B2" w:rsidRDefault="005B41B2" w:rsidP="00DA254D">
            <w:pPr>
              <w:pStyle w:val="ListParagraph"/>
              <w:spacing w:line="360" w:lineRule="auto"/>
              <w:ind w:left="0"/>
              <w:rPr>
                <w:rFonts w:asciiTheme="minorHAnsi" w:hAnsiTheme="minorHAnsi" w:cstheme="minorHAnsi"/>
                <w:bCs/>
                <w:sz w:val="24"/>
                <w:szCs w:val="24"/>
              </w:rPr>
            </w:pPr>
            <w:r w:rsidRPr="005B41B2">
              <w:rPr>
                <w:rFonts w:asciiTheme="minorHAnsi" w:hAnsiTheme="minorHAnsi" w:cstheme="minorHAnsi"/>
                <w:bCs/>
                <w:sz w:val="24"/>
                <w:szCs w:val="24"/>
              </w:rPr>
              <w:t>3,494.00</w:t>
            </w:r>
          </w:p>
        </w:tc>
        <w:tc>
          <w:tcPr>
            <w:tcW w:w="1807" w:type="dxa"/>
          </w:tcPr>
          <w:p w:rsidR="005B41B2" w:rsidRDefault="005B41B2" w:rsidP="00DA254D">
            <w:pPr>
              <w:pStyle w:val="ListParagraph"/>
              <w:spacing w:line="360" w:lineRule="auto"/>
              <w:ind w:left="0"/>
              <w:rPr>
                <w:rFonts w:asciiTheme="minorHAnsi" w:hAnsiTheme="minorHAnsi" w:cstheme="minorHAnsi"/>
                <w:bCs/>
                <w:sz w:val="24"/>
                <w:szCs w:val="24"/>
              </w:rPr>
            </w:pPr>
            <w:r>
              <w:rPr>
                <w:rFonts w:ascii="Arial" w:hAnsi="Arial" w:cs="Arial"/>
                <w:color w:val="000000"/>
                <w:shd w:val="clear" w:color="auto" w:fill="FFFFFF"/>
              </w:rPr>
              <w:t>62,556.00</w:t>
            </w:r>
          </w:p>
        </w:tc>
        <w:tc>
          <w:tcPr>
            <w:tcW w:w="1572" w:type="dxa"/>
          </w:tcPr>
          <w:p w:rsidR="005B41B2" w:rsidRDefault="001F314F" w:rsidP="00DA254D">
            <w:pPr>
              <w:pStyle w:val="ListParagraph"/>
              <w:spacing w:line="360" w:lineRule="auto"/>
              <w:ind w:left="0"/>
              <w:rPr>
                <w:rFonts w:asciiTheme="minorHAnsi" w:hAnsiTheme="minorHAnsi" w:cstheme="minorHAnsi"/>
                <w:bCs/>
                <w:sz w:val="24"/>
                <w:szCs w:val="24"/>
              </w:rPr>
            </w:pPr>
            <w:r>
              <w:rPr>
                <w:rFonts w:asciiTheme="minorHAnsi" w:hAnsiTheme="minorHAnsi" w:cstheme="minorHAnsi"/>
                <w:bCs/>
                <w:sz w:val="24"/>
                <w:szCs w:val="24"/>
              </w:rPr>
              <w:t>228.07b</w:t>
            </w:r>
          </w:p>
        </w:tc>
        <w:tc>
          <w:tcPr>
            <w:tcW w:w="1814" w:type="dxa"/>
          </w:tcPr>
          <w:p w:rsidR="005B41B2" w:rsidRDefault="002155EE" w:rsidP="002155EE">
            <w:pPr>
              <w:pStyle w:val="ListParagraph"/>
              <w:spacing w:line="360" w:lineRule="auto"/>
              <w:ind w:left="0"/>
              <w:rPr>
                <w:rFonts w:asciiTheme="minorHAnsi" w:hAnsiTheme="minorHAnsi" w:cstheme="minorHAnsi"/>
                <w:bCs/>
                <w:sz w:val="24"/>
                <w:szCs w:val="24"/>
              </w:rPr>
            </w:pPr>
            <w:r>
              <w:rPr>
                <w:rFonts w:asciiTheme="minorHAnsi" w:hAnsiTheme="minorHAnsi" w:cstheme="minorHAnsi"/>
                <w:bCs/>
                <w:sz w:val="24"/>
                <w:szCs w:val="24"/>
              </w:rPr>
              <w:t>0.000015%</w:t>
            </w:r>
          </w:p>
        </w:tc>
      </w:tr>
    </w:tbl>
    <w:p w:rsidR="005B41B2" w:rsidRPr="003B0AA3" w:rsidRDefault="005B41B2" w:rsidP="003B0AA3">
      <w:pPr>
        <w:spacing w:line="360" w:lineRule="auto"/>
        <w:rPr>
          <w:rFonts w:asciiTheme="minorHAnsi" w:hAnsiTheme="minorHAnsi" w:cstheme="minorHAnsi"/>
          <w:bCs/>
          <w:sz w:val="24"/>
          <w:szCs w:val="24"/>
        </w:rPr>
      </w:pPr>
    </w:p>
    <w:p w:rsidR="003B0AA3" w:rsidRPr="003B0AA3" w:rsidRDefault="003B0AA3" w:rsidP="003B0AA3">
      <w:pPr>
        <w:spacing w:line="360" w:lineRule="auto"/>
        <w:rPr>
          <w:rFonts w:asciiTheme="minorHAnsi" w:hAnsiTheme="minorHAnsi" w:cstheme="minorHAnsi"/>
          <w:bCs/>
          <w:sz w:val="24"/>
          <w:szCs w:val="24"/>
        </w:rPr>
      </w:pPr>
      <w:r w:rsidRPr="003B0AA3">
        <w:rPr>
          <w:rFonts w:asciiTheme="minorHAnsi" w:hAnsiTheme="minorHAnsi" w:cstheme="minorHAnsi"/>
          <w:bCs/>
          <w:sz w:val="24"/>
          <w:szCs w:val="24"/>
        </w:rPr>
        <w:tab/>
      </w:r>
      <w:r w:rsidRPr="003B0AA3">
        <w:rPr>
          <w:rFonts w:asciiTheme="minorHAnsi" w:hAnsiTheme="minorHAnsi" w:cstheme="minorHAnsi"/>
          <w:bCs/>
          <w:sz w:val="24"/>
          <w:szCs w:val="24"/>
        </w:rPr>
        <w:tab/>
      </w:r>
      <w:r w:rsidRPr="003B0AA3">
        <w:rPr>
          <w:rFonts w:asciiTheme="minorHAnsi" w:hAnsiTheme="minorHAnsi" w:cstheme="minorHAnsi"/>
          <w:bCs/>
          <w:sz w:val="24"/>
          <w:szCs w:val="24"/>
        </w:rPr>
        <w:tab/>
      </w:r>
      <w:r w:rsidRPr="003B0AA3">
        <w:rPr>
          <w:rFonts w:asciiTheme="minorHAnsi" w:hAnsiTheme="minorHAnsi" w:cstheme="minorHAnsi"/>
          <w:bCs/>
          <w:sz w:val="24"/>
          <w:szCs w:val="24"/>
        </w:rPr>
        <w:tab/>
      </w:r>
    </w:p>
    <w:p w:rsidR="003B0AA3" w:rsidRPr="003B0AA3" w:rsidRDefault="003B0AA3" w:rsidP="003B0AA3">
      <w:pPr>
        <w:spacing w:line="360" w:lineRule="auto"/>
        <w:rPr>
          <w:rFonts w:asciiTheme="minorHAnsi" w:hAnsiTheme="minorHAnsi" w:cstheme="minorHAnsi"/>
          <w:bCs/>
          <w:sz w:val="24"/>
          <w:szCs w:val="24"/>
        </w:rPr>
      </w:pPr>
      <w:r w:rsidRPr="003B0AA3">
        <w:rPr>
          <w:rFonts w:asciiTheme="minorHAnsi" w:hAnsiTheme="minorHAnsi" w:cstheme="minorHAnsi"/>
          <w:bCs/>
          <w:sz w:val="24"/>
          <w:szCs w:val="24"/>
        </w:rPr>
        <w:t>3</w:t>
      </w:r>
      <w:r w:rsidRPr="003B0AA3">
        <w:rPr>
          <w:rFonts w:asciiTheme="minorHAnsi" w:hAnsiTheme="minorHAnsi" w:cstheme="minorHAnsi"/>
          <w:bCs/>
          <w:sz w:val="24"/>
          <w:szCs w:val="24"/>
        </w:rPr>
        <w:tab/>
        <w:t>Gross Profit Margin GPM = Gross profit / Sales</w:t>
      </w:r>
    </w:p>
    <w:p w:rsidR="002155EE" w:rsidRPr="003B0AA3" w:rsidRDefault="003B0AA3" w:rsidP="003B0AA3">
      <w:pPr>
        <w:spacing w:line="360" w:lineRule="auto"/>
        <w:rPr>
          <w:rFonts w:asciiTheme="minorHAnsi" w:hAnsiTheme="minorHAnsi" w:cstheme="minorHAnsi"/>
          <w:bCs/>
          <w:sz w:val="24"/>
          <w:szCs w:val="24"/>
        </w:rPr>
      </w:pPr>
      <w:r w:rsidRPr="003B0AA3">
        <w:rPr>
          <w:rFonts w:asciiTheme="minorHAnsi" w:hAnsiTheme="minorHAnsi" w:cstheme="minorHAnsi"/>
          <w:bCs/>
          <w:sz w:val="24"/>
          <w:szCs w:val="24"/>
        </w:rPr>
        <w:tab/>
      </w:r>
      <w:r w:rsidRPr="003B0AA3">
        <w:rPr>
          <w:rFonts w:asciiTheme="minorHAnsi" w:hAnsiTheme="minorHAnsi" w:cstheme="minorHAnsi"/>
          <w:bCs/>
          <w:sz w:val="24"/>
          <w:szCs w:val="24"/>
        </w:rPr>
        <w:tab/>
      </w:r>
    </w:p>
    <w:tbl>
      <w:tblPr>
        <w:tblStyle w:val="TableGrid"/>
        <w:tblW w:w="0" w:type="auto"/>
        <w:tblInd w:w="1080" w:type="dxa"/>
        <w:tblLook w:val="04A0" w:firstRow="1" w:lastRow="0" w:firstColumn="1" w:lastColumn="0" w:noHBand="0" w:noVBand="1"/>
      </w:tblPr>
      <w:tblGrid>
        <w:gridCol w:w="1183"/>
        <w:gridCol w:w="1701"/>
        <w:gridCol w:w="2552"/>
        <w:gridCol w:w="2500"/>
      </w:tblGrid>
      <w:tr w:rsidR="002155EE" w:rsidTr="00DA254D">
        <w:tc>
          <w:tcPr>
            <w:tcW w:w="1183" w:type="dxa"/>
          </w:tcPr>
          <w:p w:rsidR="002155EE" w:rsidRPr="003B0AA3" w:rsidRDefault="002155EE" w:rsidP="00DA254D">
            <w:pPr>
              <w:pStyle w:val="ListParagraph"/>
              <w:spacing w:line="360" w:lineRule="auto"/>
              <w:ind w:left="0"/>
              <w:rPr>
                <w:rFonts w:asciiTheme="minorHAnsi" w:hAnsiTheme="minorHAnsi" w:cstheme="minorHAnsi"/>
                <w:bCs/>
                <w:sz w:val="24"/>
                <w:szCs w:val="24"/>
              </w:rPr>
            </w:pPr>
          </w:p>
        </w:tc>
        <w:tc>
          <w:tcPr>
            <w:tcW w:w="1701" w:type="dxa"/>
          </w:tcPr>
          <w:p w:rsidR="002155EE" w:rsidRDefault="002155EE" w:rsidP="00DA254D">
            <w:pPr>
              <w:pStyle w:val="ListParagraph"/>
              <w:spacing w:line="360" w:lineRule="auto"/>
              <w:ind w:left="0"/>
              <w:rPr>
                <w:rFonts w:asciiTheme="minorHAnsi" w:hAnsiTheme="minorHAnsi" w:cstheme="minorHAnsi"/>
                <w:bCs/>
                <w:sz w:val="24"/>
                <w:szCs w:val="24"/>
              </w:rPr>
            </w:pPr>
            <w:r>
              <w:rPr>
                <w:rFonts w:asciiTheme="minorHAnsi" w:hAnsiTheme="minorHAnsi" w:cstheme="minorHAnsi"/>
                <w:bCs/>
                <w:sz w:val="24"/>
                <w:szCs w:val="24"/>
              </w:rPr>
              <w:t>Gross profit</w:t>
            </w:r>
          </w:p>
        </w:tc>
        <w:tc>
          <w:tcPr>
            <w:tcW w:w="2552" w:type="dxa"/>
          </w:tcPr>
          <w:p w:rsidR="002155EE" w:rsidRDefault="002155EE" w:rsidP="00DA254D">
            <w:pPr>
              <w:pStyle w:val="ListParagraph"/>
              <w:spacing w:line="360" w:lineRule="auto"/>
              <w:ind w:left="0"/>
              <w:rPr>
                <w:rFonts w:asciiTheme="minorHAnsi" w:hAnsiTheme="minorHAnsi" w:cstheme="minorHAnsi"/>
                <w:bCs/>
                <w:sz w:val="24"/>
                <w:szCs w:val="24"/>
              </w:rPr>
            </w:pPr>
            <w:r>
              <w:rPr>
                <w:rFonts w:asciiTheme="minorHAnsi" w:hAnsiTheme="minorHAnsi" w:cstheme="minorHAnsi"/>
                <w:bCs/>
                <w:sz w:val="24"/>
                <w:szCs w:val="24"/>
              </w:rPr>
              <w:t>Sales</w:t>
            </w:r>
          </w:p>
        </w:tc>
        <w:tc>
          <w:tcPr>
            <w:tcW w:w="2500" w:type="dxa"/>
          </w:tcPr>
          <w:p w:rsidR="002155EE" w:rsidRDefault="002155EE" w:rsidP="00DA254D">
            <w:pPr>
              <w:pStyle w:val="ListParagraph"/>
              <w:spacing w:line="360" w:lineRule="auto"/>
              <w:ind w:left="0"/>
              <w:rPr>
                <w:rFonts w:asciiTheme="minorHAnsi" w:hAnsiTheme="minorHAnsi" w:cstheme="minorHAnsi"/>
                <w:bCs/>
                <w:sz w:val="24"/>
                <w:szCs w:val="24"/>
              </w:rPr>
            </w:pPr>
            <w:r>
              <w:rPr>
                <w:rFonts w:asciiTheme="minorHAnsi" w:hAnsiTheme="minorHAnsi" w:cstheme="minorHAnsi"/>
                <w:bCs/>
                <w:sz w:val="24"/>
                <w:szCs w:val="24"/>
              </w:rPr>
              <w:t>GPM</w:t>
            </w:r>
          </w:p>
        </w:tc>
      </w:tr>
      <w:tr w:rsidR="002155EE" w:rsidTr="00DA254D">
        <w:tc>
          <w:tcPr>
            <w:tcW w:w="1183" w:type="dxa"/>
          </w:tcPr>
          <w:p w:rsidR="002155EE" w:rsidRPr="003B0AA3" w:rsidRDefault="002155EE" w:rsidP="00DA254D">
            <w:pPr>
              <w:pStyle w:val="ListParagraph"/>
              <w:spacing w:line="360" w:lineRule="auto"/>
              <w:ind w:left="0"/>
              <w:rPr>
                <w:rFonts w:asciiTheme="minorHAnsi" w:hAnsiTheme="minorHAnsi" w:cstheme="minorHAnsi"/>
                <w:bCs/>
                <w:sz w:val="24"/>
                <w:szCs w:val="24"/>
              </w:rPr>
            </w:pPr>
            <w:r>
              <w:rPr>
                <w:rFonts w:asciiTheme="minorHAnsi" w:hAnsiTheme="minorHAnsi" w:cstheme="minorHAnsi"/>
                <w:bCs/>
                <w:sz w:val="24"/>
                <w:szCs w:val="24"/>
              </w:rPr>
              <w:t>2019</w:t>
            </w:r>
          </w:p>
        </w:tc>
        <w:tc>
          <w:tcPr>
            <w:tcW w:w="1701" w:type="dxa"/>
          </w:tcPr>
          <w:p w:rsidR="002155EE" w:rsidRDefault="002155EE" w:rsidP="00DA254D">
            <w:pPr>
              <w:pStyle w:val="ListParagraph"/>
              <w:spacing w:line="360" w:lineRule="auto"/>
              <w:ind w:left="0"/>
              <w:rPr>
                <w:rFonts w:asciiTheme="minorHAnsi" w:hAnsiTheme="minorHAnsi" w:cstheme="minorHAnsi"/>
                <w:bCs/>
                <w:sz w:val="24"/>
                <w:szCs w:val="24"/>
              </w:rPr>
            </w:pPr>
            <w:r w:rsidRPr="002155EE">
              <w:rPr>
                <w:rFonts w:asciiTheme="minorHAnsi" w:hAnsiTheme="minorHAnsi" w:cstheme="minorHAnsi"/>
                <w:bCs/>
                <w:sz w:val="24"/>
                <w:szCs w:val="24"/>
              </w:rPr>
              <w:t>3,354.00</w:t>
            </w:r>
          </w:p>
        </w:tc>
        <w:tc>
          <w:tcPr>
            <w:tcW w:w="2552" w:type="dxa"/>
          </w:tcPr>
          <w:p w:rsidR="002155EE" w:rsidRDefault="002155EE" w:rsidP="00DA254D">
            <w:pPr>
              <w:pStyle w:val="ListParagraph"/>
              <w:spacing w:line="360" w:lineRule="auto"/>
              <w:ind w:left="0"/>
              <w:rPr>
                <w:rFonts w:asciiTheme="minorHAnsi" w:hAnsiTheme="minorHAnsi" w:cstheme="minorHAnsi"/>
                <w:bCs/>
                <w:sz w:val="24"/>
                <w:szCs w:val="24"/>
              </w:rPr>
            </w:pPr>
            <w:r>
              <w:rPr>
                <w:rFonts w:asciiTheme="minorHAnsi" w:hAnsiTheme="minorHAnsi" w:cstheme="minorHAnsi"/>
                <w:bCs/>
                <w:sz w:val="24"/>
                <w:szCs w:val="24"/>
              </w:rPr>
              <w:t>n/a</w:t>
            </w:r>
          </w:p>
        </w:tc>
        <w:tc>
          <w:tcPr>
            <w:tcW w:w="2500" w:type="dxa"/>
          </w:tcPr>
          <w:p w:rsidR="002155EE" w:rsidRDefault="002155EE" w:rsidP="00DA254D">
            <w:pPr>
              <w:pStyle w:val="ListParagraph"/>
              <w:spacing w:line="360" w:lineRule="auto"/>
              <w:ind w:left="0"/>
              <w:rPr>
                <w:rFonts w:asciiTheme="minorHAnsi" w:hAnsiTheme="minorHAnsi" w:cstheme="minorHAnsi"/>
                <w:bCs/>
                <w:sz w:val="24"/>
                <w:szCs w:val="24"/>
              </w:rPr>
            </w:pPr>
            <w:r w:rsidRPr="002155EE">
              <w:rPr>
                <w:rFonts w:asciiTheme="minorHAnsi" w:hAnsiTheme="minorHAnsi" w:cstheme="minorHAnsi"/>
                <w:bCs/>
                <w:sz w:val="24"/>
                <w:szCs w:val="24"/>
              </w:rPr>
              <w:t>3,354.00</w:t>
            </w:r>
          </w:p>
        </w:tc>
      </w:tr>
      <w:tr w:rsidR="002155EE" w:rsidTr="00DA254D">
        <w:tc>
          <w:tcPr>
            <w:tcW w:w="1183" w:type="dxa"/>
          </w:tcPr>
          <w:p w:rsidR="002155EE" w:rsidRPr="003B0AA3" w:rsidRDefault="002155EE" w:rsidP="00DA254D">
            <w:pPr>
              <w:pStyle w:val="ListParagraph"/>
              <w:spacing w:line="360" w:lineRule="auto"/>
              <w:ind w:left="0"/>
              <w:rPr>
                <w:rFonts w:asciiTheme="minorHAnsi" w:hAnsiTheme="minorHAnsi" w:cstheme="minorHAnsi"/>
                <w:bCs/>
                <w:sz w:val="24"/>
                <w:szCs w:val="24"/>
              </w:rPr>
            </w:pPr>
            <w:r>
              <w:rPr>
                <w:rFonts w:asciiTheme="minorHAnsi" w:hAnsiTheme="minorHAnsi" w:cstheme="minorHAnsi"/>
                <w:bCs/>
                <w:sz w:val="24"/>
                <w:szCs w:val="24"/>
              </w:rPr>
              <w:t>2018</w:t>
            </w:r>
          </w:p>
        </w:tc>
        <w:tc>
          <w:tcPr>
            <w:tcW w:w="1701" w:type="dxa"/>
          </w:tcPr>
          <w:p w:rsidR="002155EE" w:rsidRDefault="002155EE" w:rsidP="00DA254D">
            <w:pPr>
              <w:pStyle w:val="ListParagraph"/>
              <w:spacing w:line="360" w:lineRule="auto"/>
              <w:ind w:left="0"/>
              <w:rPr>
                <w:rFonts w:asciiTheme="minorHAnsi" w:hAnsiTheme="minorHAnsi" w:cstheme="minorHAnsi"/>
                <w:bCs/>
                <w:sz w:val="24"/>
                <w:szCs w:val="24"/>
              </w:rPr>
            </w:pPr>
            <w:r w:rsidRPr="002155EE">
              <w:rPr>
                <w:rFonts w:asciiTheme="minorHAnsi" w:hAnsiTheme="minorHAnsi" w:cstheme="minorHAnsi"/>
                <w:bCs/>
                <w:sz w:val="24"/>
                <w:szCs w:val="24"/>
              </w:rPr>
              <w:t>2,583.00</w:t>
            </w:r>
          </w:p>
        </w:tc>
        <w:tc>
          <w:tcPr>
            <w:tcW w:w="2552" w:type="dxa"/>
          </w:tcPr>
          <w:p w:rsidR="002155EE" w:rsidRDefault="002155EE" w:rsidP="00DA254D">
            <w:pPr>
              <w:pStyle w:val="ListParagraph"/>
              <w:spacing w:line="360" w:lineRule="auto"/>
              <w:ind w:left="0"/>
              <w:rPr>
                <w:rFonts w:asciiTheme="minorHAnsi" w:hAnsiTheme="minorHAnsi" w:cstheme="minorHAnsi"/>
                <w:bCs/>
                <w:sz w:val="24"/>
                <w:szCs w:val="24"/>
              </w:rPr>
            </w:pPr>
            <w:r>
              <w:rPr>
                <w:rFonts w:asciiTheme="minorHAnsi" w:hAnsiTheme="minorHAnsi" w:cstheme="minorHAnsi"/>
                <w:bCs/>
                <w:sz w:val="24"/>
                <w:szCs w:val="24"/>
              </w:rPr>
              <w:t>n/a</w:t>
            </w:r>
          </w:p>
        </w:tc>
        <w:tc>
          <w:tcPr>
            <w:tcW w:w="2500" w:type="dxa"/>
          </w:tcPr>
          <w:p w:rsidR="002155EE" w:rsidRDefault="002155EE" w:rsidP="00DA254D">
            <w:pPr>
              <w:pStyle w:val="ListParagraph"/>
              <w:spacing w:line="360" w:lineRule="auto"/>
              <w:ind w:left="0"/>
              <w:rPr>
                <w:rFonts w:asciiTheme="minorHAnsi" w:hAnsiTheme="minorHAnsi" w:cstheme="minorHAnsi"/>
                <w:bCs/>
                <w:sz w:val="24"/>
                <w:szCs w:val="24"/>
              </w:rPr>
            </w:pPr>
            <w:r w:rsidRPr="002155EE">
              <w:rPr>
                <w:rFonts w:asciiTheme="minorHAnsi" w:hAnsiTheme="minorHAnsi" w:cstheme="minorHAnsi"/>
                <w:bCs/>
                <w:sz w:val="24"/>
                <w:szCs w:val="24"/>
              </w:rPr>
              <w:t>2,583.00</w:t>
            </w:r>
          </w:p>
        </w:tc>
      </w:tr>
    </w:tbl>
    <w:p w:rsidR="003B0AA3" w:rsidRPr="003B0AA3" w:rsidRDefault="003B0AA3" w:rsidP="003B0AA3">
      <w:pPr>
        <w:spacing w:line="360" w:lineRule="auto"/>
        <w:rPr>
          <w:rFonts w:asciiTheme="minorHAnsi" w:hAnsiTheme="minorHAnsi" w:cstheme="minorHAnsi"/>
          <w:bCs/>
          <w:sz w:val="24"/>
          <w:szCs w:val="24"/>
        </w:rPr>
      </w:pPr>
      <w:r w:rsidRPr="003B0AA3">
        <w:rPr>
          <w:rFonts w:asciiTheme="minorHAnsi" w:hAnsiTheme="minorHAnsi" w:cstheme="minorHAnsi"/>
          <w:bCs/>
          <w:sz w:val="24"/>
          <w:szCs w:val="24"/>
        </w:rPr>
        <w:tab/>
      </w:r>
      <w:r w:rsidRPr="003B0AA3">
        <w:rPr>
          <w:rFonts w:asciiTheme="minorHAnsi" w:hAnsiTheme="minorHAnsi" w:cstheme="minorHAnsi"/>
          <w:bCs/>
          <w:sz w:val="24"/>
          <w:szCs w:val="24"/>
        </w:rPr>
        <w:tab/>
      </w:r>
    </w:p>
    <w:p w:rsidR="003B0AA3" w:rsidRPr="003B0AA3" w:rsidRDefault="003B0AA3" w:rsidP="003B0AA3">
      <w:pPr>
        <w:spacing w:line="360" w:lineRule="auto"/>
        <w:rPr>
          <w:rFonts w:asciiTheme="minorHAnsi" w:hAnsiTheme="minorHAnsi" w:cstheme="minorHAnsi"/>
          <w:bCs/>
          <w:sz w:val="24"/>
          <w:szCs w:val="24"/>
        </w:rPr>
      </w:pPr>
      <w:r w:rsidRPr="003B0AA3">
        <w:rPr>
          <w:rFonts w:asciiTheme="minorHAnsi" w:hAnsiTheme="minorHAnsi" w:cstheme="minorHAnsi"/>
          <w:bCs/>
          <w:sz w:val="24"/>
          <w:szCs w:val="24"/>
        </w:rPr>
        <w:t>4</w:t>
      </w:r>
      <w:r w:rsidRPr="003B0AA3">
        <w:rPr>
          <w:rFonts w:asciiTheme="minorHAnsi" w:hAnsiTheme="minorHAnsi" w:cstheme="minorHAnsi"/>
          <w:bCs/>
          <w:sz w:val="24"/>
          <w:szCs w:val="24"/>
        </w:rPr>
        <w:tab/>
        <w:t xml:space="preserve">Operating profit </w:t>
      </w:r>
      <w:proofErr w:type="gramStart"/>
      <w:r w:rsidRPr="003B0AA3">
        <w:rPr>
          <w:rFonts w:asciiTheme="minorHAnsi" w:hAnsiTheme="minorHAnsi" w:cstheme="minorHAnsi"/>
          <w:bCs/>
          <w:sz w:val="24"/>
          <w:szCs w:val="24"/>
        </w:rPr>
        <w:t>margin</w:t>
      </w:r>
      <w:proofErr w:type="gramEnd"/>
      <w:r w:rsidRPr="003B0AA3">
        <w:rPr>
          <w:rFonts w:asciiTheme="minorHAnsi" w:hAnsiTheme="minorHAnsi" w:cstheme="minorHAnsi"/>
          <w:bCs/>
          <w:sz w:val="24"/>
          <w:szCs w:val="24"/>
        </w:rPr>
        <w:t xml:space="preserve"> = PBIT / Sales</w:t>
      </w:r>
    </w:p>
    <w:p w:rsidR="002155EE" w:rsidRPr="003B0AA3" w:rsidRDefault="003B0AA3" w:rsidP="003B0AA3">
      <w:pPr>
        <w:spacing w:line="360" w:lineRule="auto"/>
        <w:rPr>
          <w:rFonts w:asciiTheme="minorHAnsi" w:hAnsiTheme="minorHAnsi" w:cstheme="minorHAnsi"/>
          <w:bCs/>
          <w:sz w:val="24"/>
          <w:szCs w:val="24"/>
        </w:rPr>
      </w:pPr>
      <w:r w:rsidRPr="003B0AA3">
        <w:rPr>
          <w:rFonts w:asciiTheme="minorHAnsi" w:hAnsiTheme="minorHAnsi" w:cstheme="minorHAnsi"/>
          <w:bCs/>
          <w:sz w:val="24"/>
          <w:szCs w:val="24"/>
        </w:rPr>
        <w:tab/>
      </w:r>
    </w:p>
    <w:tbl>
      <w:tblPr>
        <w:tblStyle w:val="TableGrid"/>
        <w:tblW w:w="0" w:type="auto"/>
        <w:tblInd w:w="1080" w:type="dxa"/>
        <w:tblLook w:val="04A0" w:firstRow="1" w:lastRow="0" w:firstColumn="1" w:lastColumn="0" w:noHBand="0" w:noVBand="1"/>
      </w:tblPr>
      <w:tblGrid>
        <w:gridCol w:w="1183"/>
        <w:gridCol w:w="1701"/>
        <w:gridCol w:w="2552"/>
        <w:gridCol w:w="2500"/>
      </w:tblGrid>
      <w:tr w:rsidR="002155EE" w:rsidTr="00DA254D">
        <w:tc>
          <w:tcPr>
            <w:tcW w:w="1183" w:type="dxa"/>
          </w:tcPr>
          <w:p w:rsidR="002155EE" w:rsidRPr="003B0AA3" w:rsidRDefault="002155EE" w:rsidP="00DA254D">
            <w:pPr>
              <w:pStyle w:val="ListParagraph"/>
              <w:spacing w:line="360" w:lineRule="auto"/>
              <w:ind w:left="0"/>
              <w:rPr>
                <w:rFonts w:asciiTheme="minorHAnsi" w:hAnsiTheme="minorHAnsi" w:cstheme="minorHAnsi"/>
                <w:bCs/>
                <w:sz w:val="24"/>
                <w:szCs w:val="24"/>
              </w:rPr>
            </w:pPr>
          </w:p>
        </w:tc>
        <w:tc>
          <w:tcPr>
            <w:tcW w:w="1701" w:type="dxa"/>
          </w:tcPr>
          <w:p w:rsidR="002155EE" w:rsidRDefault="002155EE" w:rsidP="00DA254D">
            <w:pPr>
              <w:pStyle w:val="ListParagraph"/>
              <w:spacing w:line="360" w:lineRule="auto"/>
              <w:ind w:left="0"/>
              <w:rPr>
                <w:rFonts w:asciiTheme="minorHAnsi" w:hAnsiTheme="minorHAnsi" w:cstheme="minorHAnsi"/>
                <w:bCs/>
                <w:sz w:val="24"/>
                <w:szCs w:val="24"/>
              </w:rPr>
            </w:pPr>
            <w:r>
              <w:rPr>
                <w:rFonts w:asciiTheme="minorHAnsi" w:hAnsiTheme="minorHAnsi" w:cstheme="minorHAnsi"/>
                <w:bCs/>
                <w:sz w:val="24"/>
                <w:szCs w:val="24"/>
              </w:rPr>
              <w:t>PBIT</w:t>
            </w:r>
          </w:p>
        </w:tc>
        <w:tc>
          <w:tcPr>
            <w:tcW w:w="2552" w:type="dxa"/>
          </w:tcPr>
          <w:p w:rsidR="002155EE" w:rsidRDefault="002155EE" w:rsidP="00DA254D">
            <w:pPr>
              <w:pStyle w:val="ListParagraph"/>
              <w:spacing w:line="360" w:lineRule="auto"/>
              <w:ind w:left="0"/>
              <w:rPr>
                <w:rFonts w:asciiTheme="minorHAnsi" w:hAnsiTheme="minorHAnsi" w:cstheme="minorHAnsi"/>
                <w:bCs/>
                <w:sz w:val="24"/>
                <w:szCs w:val="24"/>
              </w:rPr>
            </w:pPr>
            <w:r>
              <w:rPr>
                <w:rFonts w:asciiTheme="minorHAnsi" w:hAnsiTheme="minorHAnsi" w:cstheme="minorHAnsi"/>
                <w:bCs/>
                <w:sz w:val="24"/>
                <w:szCs w:val="24"/>
              </w:rPr>
              <w:t>Sales</w:t>
            </w:r>
          </w:p>
        </w:tc>
        <w:tc>
          <w:tcPr>
            <w:tcW w:w="2500" w:type="dxa"/>
          </w:tcPr>
          <w:p w:rsidR="002155EE" w:rsidRDefault="002155EE" w:rsidP="00DA254D">
            <w:pPr>
              <w:pStyle w:val="ListParagraph"/>
              <w:spacing w:line="360" w:lineRule="auto"/>
              <w:ind w:left="0"/>
              <w:rPr>
                <w:rFonts w:asciiTheme="minorHAnsi" w:hAnsiTheme="minorHAnsi" w:cstheme="minorHAnsi"/>
                <w:bCs/>
                <w:sz w:val="24"/>
                <w:szCs w:val="24"/>
              </w:rPr>
            </w:pPr>
            <w:r>
              <w:rPr>
                <w:rFonts w:asciiTheme="minorHAnsi" w:hAnsiTheme="minorHAnsi" w:cstheme="minorHAnsi"/>
                <w:bCs/>
                <w:sz w:val="24"/>
                <w:szCs w:val="24"/>
              </w:rPr>
              <w:t>Operating profit Margin</w:t>
            </w:r>
          </w:p>
        </w:tc>
      </w:tr>
      <w:tr w:rsidR="002155EE" w:rsidTr="00DA254D">
        <w:tc>
          <w:tcPr>
            <w:tcW w:w="1183" w:type="dxa"/>
          </w:tcPr>
          <w:p w:rsidR="002155EE" w:rsidRPr="003B0AA3" w:rsidRDefault="002155EE" w:rsidP="00DA254D">
            <w:pPr>
              <w:pStyle w:val="ListParagraph"/>
              <w:spacing w:line="360" w:lineRule="auto"/>
              <w:ind w:left="0"/>
              <w:rPr>
                <w:rFonts w:asciiTheme="minorHAnsi" w:hAnsiTheme="minorHAnsi" w:cstheme="minorHAnsi"/>
                <w:bCs/>
                <w:sz w:val="24"/>
                <w:szCs w:val="24"/>
              </w:rPr>
            </w:pPr>
            <w:r>
              <w:rPr>
                <w:rFonts w:asciiTheme="minorHAnsi" w:hAnsiTheme="minorHAnsi" w:cstheme="minorHAnsi"/>
                <w:bCs/>
                <w:sz w:val="24"/>
                <w:szCs w:val="24"/>
              </w:rPr>
              <w:t>2019</w:t>
            </w:r>
          </w:p>
        </w:tc>
        <w:tc>
          <w:tcPr>
            <w:tcW w:w="1701" w:type="dxa"/>
          </w:tcPr>
          <w:p w:rsidR="002155EE" w:rsidRDefault="002155EE" w:rsidP="00DA254D">
            <w:pPr>
              <w:pStyle w:val="ListParagraph"/>
              <w:spacing w:line="360" w:lineRule="auto"/>
              <w:ind w:left="0"/>
              <w:rPr>
                <w:rFonts w:asciiTheme="minorHAnsi" w:hAnsiTheme="minorHAnsi" w:cstheme="minorHAnsi"/>
                <w:bCs/>
                <w:sz w:val="24"/>
                <w:szCs w:val="24"/>
              </w:rPr>
            </w:pPr>
            <w:r w:rsidRPr="002155EE">
              <w:rPr>
                <w:rFonts w:asciiTheme="minorHAnsi" w:hAnsiTheme="minorHAnsi" w:cstheme="minorHAnsi"/>
                <w:bCs/>
                <w:sz w:val="24"/>
                <w:szCs w:val="24"/>
              </w:rPr>
              <w:t>4,286.00</w:t>
            </w:r>
          </w:p>
        </w:tc>
        <w:tc>
          <w:tcPr>
            <w:tcW w:w="2552" w:type="dxa"/>
          </w:tcPr>
          <w:p w:rsidR="002155EE" w:rsidRDefault="002155EE" w:rsidP="00DA254D">
            <w:pPr>
              <w:pStyle w:val="ListParagraph"/>
              <w:spacing w:line="360" w:lineRule="auto"/>
              <w:ind w:left="0"/>
              <w:rPr>
                <w:rFonts w:asciiTheme="minorHAnsi" w:hAnsiTheme="minorHAnsi" w:cstheme="minorHAnsi"/>
                <w:bCs/>
                <w:sz w:val="24"/>
                <w:szCs w:val="24"/>
              </w:rPr>
            </w:pPr>
            <w:r>
              <w:rPr>
                <w:rFonts w:asciiTheme="minorHAnsi" w:hAnsiTheme="minorHAnsi" w:cstheme="minorHAnsi"/>
                <w:bCs/>
                <w:sz w:val="24"/>
                <w:szCs w:val="24"/>
              </w:rPr>
              <w:t>n/a</w:t>
            </w:r>
          </w:p>
        </w:tc>
        <w:tc>
          <w:tcPr>
            <w:tcW w:w="2500" w:type="dxa"/>
          </w:tcPr>
          <w:p w:rsidR="002155EE" w:rsidRDefault="002155EE" w:rsidP="00DA254D">
            <w:pPr>
              <w:pStyle w:val="ListParagraph"/>
              <w:spacing w:line="360" w:lineRule="auto"/>
              <w:ind w:left="0"/>
              <w:rPr>
                <w:rFonts w:asciiTheme="minorHAnsi" w:hAnsiTheme="minorHAnsi" w:cstheme="minorHAnsi"/>
                <w:bCs/>
                <w:sz w:val="24"/>
                <w:szCs w:val="24"/>
              </w:rPr>
            </w:pPr>
            <w:r w:rsidRPr="002155EE">
              <w:rPr>
                <w:rFonts w:asciiTheme="minorHAnsi" w:hAnsiTheme="minorHAnsi" w:cstheme="minorHAnsi"/>
                <w:bCs/>
                <w:sz w:val="24"/>
                <w:szCs w:val="24"/>
              </w:rPr>
              <w:t>4,286.00</w:t>
            </w:r>
          </w:p>
        </w:tc>
      </w:tr>
      <w:tr w:rsidR="002155EE" w:rsidTr="00DA254D">
        <w:tc>
          <w:tcPr>
            <w:tcW w:w="1183" w:type="dxa"/>
          </w:tcPr>
          <w:p w:rsidR="002155EE" w:rsidRPr="003B0AA3" w:rsidRDefault="002155EE" w:rsidP="00DA254D">
            <w:pPr>
              <w:pStyle w:val="ListParagraph"/>
              <w:spacing w:line="360" w:lineRule="auto"/>
              <w:ind w:left="0"/>
              <w:rPr>
                <w:rFonts w:asciiTheme="minorHAnsi" w:hAnsiTheme="minorHAnsi" w:cstheme="minorHAnsi"/>
                <w:bCs/>
                <w:sz w:val="24"/>
                <w:szCs w:val="24"/>
              </w:rPr>
            </w:pPr>
            <w:r>
              <w:rPr>
                <w:rFonts w:asciiTheme="minorHAnsi" w:hAnsiTheme="minorHAnsi" w:cstheme="minorHAnsi"/>
                <w:bCs/>
                <w:sz w:val="24"/>
                <w:szCs w:val="24"/>
              </w:rPr>
              <w:t>2018</w:t>
            </w:r>
          </w:p>
        </w:tc>
        <w:tc>
          <w:tcPr>
            <w:tcW w:w="1701" w:type="dxa"/>
          </w:tcPr>
          <w:p w:rsidR="002155EE" w:rsidRDefault="002155EE" w:rsidP="00DA254D">
            <w:pPr>
              <w:pStyle w:val="ListParagraph"/>
              <w:spacing w:line="360" w:lineRule="auto"/>
              <w:ind w:left="0"/>
              <w:rPr>
                <w:rFonts w:asciiTheme="minorHAnsi" w:hAnsiTheme="minorHAnsi" w:cstheme="minorHAnsi"/>
                <w:bCs/>
                <w:sz w:val="24"/>
                <w:szCs w:val="24"/>
              </w:rPr>
            </w:pPr>
            <w:r w:rsidRPr="002155EE">
              <w:rPr>
                <w:rFonts w:asciiTheme="minorHAnsi" w:hAnsiTheme="minorHAnsi" w:cstheme="minorHAnsi"/>
                <w:bCs/>
                <w:sz w:val="24"/>
                <w:szCs w:val="24"/>
              </w:rPr>
              <w:t>3,425.00</w:t>
            </w:r>
          </w:p>
        </w:tc>
        <w:tc>
          <w:tcPr>
            <w:tcW w:w="2552" w:type="dxa"/>
          </w:tcPr>
          <w:p w:rsidR="002155EE" w:rsidRDefault="002155EE" w:rsidP="00DA254D">
            <w:pPr>
              <w:pStyle w:val="ListParagraph"/>
              <w:spacing w:line="360" w:lineRule="auto"/>
              <w:ind w:left="0"/>
              <w:rPr>
                <w:rFonts w:asciiTheme="minorHAnsi" w:hAnsiTheme="minorHAnsi" w:cstheme="minorHAnsi"/>
                <w:bCs/>
                <w:sz w:val="24"/>
                <w:szCs w:val="24"/>
              </w:rPr>
            </w:pPr>
            <w:r>
              <w:rPr>
                <w:rFonts w:asciiTheme="minorHAnsi" w:hAnsiTheme="minorHAnsi" w:cstheme="minorHAnsi"/>
                <w:bCs/>
                <w:sz w:val="24"/>
                <w:szCs w:val="24"/>
              </w:rPr>
              <w:t>n/a</w:t>
            </w:r>
          </w:p>
        </w:tc>
        <w:tc>
          <w:tcPr>
            <w:tcW w:w="2500" w:type="dxa"/>
          </w:tcPr>
          <w:p w:rsidR="002155EE" w:rsidRDefault="002155EE" w:rsidP="00DA254D">
            <w:pPr>
              <w:pStyle w:val="ListParagraph"/>
              <w:spacing w:line="360" w:lineRule="auto"/>
              <w:ind w:left="0"/>
              <w:rPr>
                <w:rFonts w:asciiTheme="minorHAnsi" w:hAnsiTheme="minorHAnsi" w:cstheme="minorHAnsi"/>
                <w:bCs/>
                <w:sz w:val="24"/>
                <w:szCs w:val="24"/>
              </w:rPr>
            </w:pPr>
            <w:r w:rsidRPr="002155EE">
              <w:rPr>
                <w:rFonts w:asciiTheme="minorHAnsi" w:hAnsiTheme="minorHAnsi" w:cstheme="minorHAnsi"/>
                <w:bCs/>
                <w:sz w:val="24"/>
                <w:szCs w:val="24"/>
              </w:rPr>
              <w:t>3,425.00</w:t>
            </w:r>
          </w:p>
        </w:tc>
      </w:tr>
    </w:tbl>
    <w:p w:rsidR="003B0AA3" w:rsidRPr="003B0AA3" w:rsidRDefault="003B0AA3" w:rsidP="003B0AA3">
      <w:pPr>
        <w:spacing w:line="360" w:lineRule="auto"/>
        <w:rPr>
          <w:rFonts w:asciiTheme="minorHAnsi" w:hAnsiTheme="minorHAnsi" w:cstheme="minorHAnsi"/>
          <w:bCs/>
          <w:sz w:val="24"/>
          <w:szCs w:val="24"/>
        </w:rPr>
      </w:pPr>
      <w:r w:rsidRPr="003B0AA3">
        <w:rPr>
          <w:rFonts w:asciiTheme="minorHAnsi" w:hAnsiTheme="minorHAnsi" w:cstheme="minorHAnsi"/>
          <w:bCs/>
          <w:sz w:val="24"/>
          <w:szCs w:val="24"/>
        </w:rPr>
        <w:tab/>
      </w:r>
      <w:r w:rsidRPr="003B0AA3">
        <w:rPr>
          <w:rFonts w:asciiTheme="minorHAnsi" w:hAnsiTheme="minorHAnsi" w:cstheme="minorHAnsi"/>
          <w:bCs/>
          <w:sz w:val="24"/>
          <w:szCs w:val="24"/>
        </w:rPr>
        <w:tab/>
      </w:r>
      <w:r w:rsidRPr="003B0AA3">
        <w:rPr>
          <w:rFonts w:asciiTheme="minorHAnsi" w:hAnsiTheme="minorHAnsi" w:cstheme="minorHAnsi"/>
          <w:bCs/>
          <w:sz w:val="24"/>
          <w:szCs w:val="24"/>
        </w:rPr>
        <w:tab/>
      </w:r>
    </w:p>
    <w:p w:rsidR="003B0AA3" w:rsidRPr="003B0AA3" w:rsidRDefault="003B0AA3" w:rsidP="003B0AA3">
      <w:pPr>
        <w:spacing w:line="360" w:lineRule="auto"/>
        <w:rPr>
          <w:rFonts w:asciiTheme="minorHAnsi" w:hAnsiTheme="minorHAnsi" w:cstheme="minorHAnsi"/>
          <w:bCs/>
          <w:sz w:val="24"/>
          <w:szCs w:val="24"/>
        </w:rPr>
      </w:pPr>
    </w:p>
    <w:p w:rsidR="003B0AA3" w:rsidRPr="003B0AA3" w:rsidRDefault="003B0AA3" w:rsidP="003B0AA3">
      <w:pPr>
        <w:spacing w:line="360" w:lineRule="auto"/>
        <w:rPr>
          <w:rFonts w:asciiTheme="minorHAnsi" w:hAnsiTheme="minorHAnsi" w:cstheme="minorHAnsi"/>
          <w:bCs/>
          <w:sz w:val="24"/>
          <w:szCs w:val="24"/>
        </w:rPr>
      </w:pPr>
      <w:r w:rsidRPr="003B0AA3">
        <w:rPr>
          <w:rFonts w:asciiTheme="minorHAnsi" w:hAnsiTheme="minorHAnsi" w:cstheme="minorHAnsi"/>
          <w:bCs/>
          <w:sz w:val="24"/>
          <w:szCs w:val="24"/>
        </w:rPr>
        <w:t>Liquidity Ratios</w:t>
      </w:r>
    </w:p>
    <w:p w:rsidR="003B0AA3" w:rsidRDefault="003B0AA3" w:rsidP="003B0AA3">
      <w:pPr>
        <w:spacing w:line="360" w:lineRule="auto"/>
        <w:rPr>
          <w:rFonts w:asciiTheme="minorHAnsi" w:hAnsiTheme="minorHAnsi" w:cstheme="minorHAnsi"/>
          <w:bCs/>
          <w:sz w:val="24"/>
          <w:szCs w:val="24"/>
        </w:rPr>
      </w:pPr>
      <w:r w:rsidRPr="003B0AA3">
        <w:rPr>
          <w:rFonts w:asciiTheme="minorHAnsi" w:hAnsiTheme="minorHAnsi" w:cstheme="minorHAnsi"/>
          <w:bCs/>
          <w:sz w:val="24"/>
          <w:szCs w:val="24"/>
        </w:rPr>
        <w:t>5</w:t>
      </w:r>
      <w:r w:rsidRPr="003B0AA3">
        <w:rPr>
          <w:rFonts w:asciiTheme="minorHAnsi" w:hAnsiTheme="minorHAnsi" w:cstheme="minorHAnsi"/>
          <w:bCs/>
          <w:sz w:val="24"/>
          <w:szCs w:val="24"/>
        </w:rPr>
        <w:tab/>
        <w:t xml:space="preserve">Working capital </w:t>
      </w:r>
      <w:proofErr w:type="gramStart"/>
      <w:r w:rsidRPr="003B0AA3">
        <w:rPr>
          <w:rFonts w:asciiTheme="minorHAnsi" w:hAnsiTheme="minorHAnsi" w:cstheme="minorHAnsi"/>
          <w:bCs/>
          <w:sz w:val="24"/>
          <w:szCs w:val="24"/>
        </w:rPr>
        <w:t>ratio</w:t>
      </w:r>
      <w:proofErr w:type="gramEnd"/>
      <w:r w:rsidRPr="003B0AA3">
        <w:rPr>
          <w:rFonts w:asciiTheme="minorHAnsi" w:hAnsiTheme="minorHAnsi" w:cstheme="minorHAnsi"/>
          <w:bCs/>
          <w:sz w:val="24"/>
          <w:szCs w:val="24"/>
        </w:rPr>
        <w:t xml:space="preserve"> = Current assets / Current liabilities</w:t>
      </w:r>
    </w:p>
    <w:tbl>
      <w:tblPr>
        <w:tblStyle w:val="TableGrid"/>
        <w:tblW w:w="0" w:type="auto"/>
        <w:tblInd w:w="1080" w:type="dxa"/>
        <w:tblLook w:val="04A0" w:firstRow="1" w:lastRow="0" w:firstColumn="1" w:lastColumn="0" w:noHBand="0" w:noVBand="1"/>
      </w:tblPr>
      <w:tblGrid>
        <w:gridCol w:w="1183"/>
        <w:gridCol w:w="1701"/>
        <w:gridCol w:w="2552"/>
        <w:gridCol w:w="2500"/>
      </w:tblGrid>
      <w:tr w:rsidR="002155EE" w:rsidTr="00DA254D">
        <w:tc>
          <w:tcPr>
            <w:tcW w:w="1183" w:type="dxa"/>
          </w:tcPr>
          <w:p w:rsidR="002155EE" w:rsidRPr="003B0AA3" w:rsidRDefault="002155EE" w:rsidP="00DA254D">
            <w:pPr>
              <w:pStyle w:val="ListParagraph"/>
              <w:spacing w:line="360" w:lineRule="auto"/>
              <w:ind w:left="0"/>
              <w:rPr>
                <w:rFonts w:asciiTheme="minorHAnsi" w:hAnsiTheme="minorHAnsi" w:cstheme="minorHAnsi"/>
                <w:bCs/>
                <w:sz w:val="24"/>
                <w:szCs w:val="24"/>
              </w:rPr>
            </w:pPr>
          </w:p>
        </w:tc>
        <w:tc>
          <w:tcPr>
            <w:tcW w:w="1701" w:type="dxa"/>
          </w:tcPr>
          <w:p w:rsidR="002155EE" w:rsidRDefault="002155EE" w:rsidP="00DA254D">
            <w:pPr>
              <w:pStyle w:val="ListParagraph"/>
              <w:spacing w:line="360" w:lineRule="auto"/>
              <w:ind w:left="0"/>
              <w:rPr>
                <w:rFonts w:asciiTheme="minorHAnsi" w:hAnsiTheme="minorHAnsi" w:cstheme="minorHAnsi"/>
                <w:bCs/>
                <w:sz w:val="24"/>
                <w:szCs w:val="24"/>
              </w:rPr>
            </w:pPr>
            <w:r w:rsidRPr="003B0AA3">
              <w:rPr>
                <w:rFonts w:asciiTheme="minorHAnsi" w:hAnsiTheme="minorHAnsi" w:cstheme="minorHAnsi"/>
                <w:bCs/>
                <w:sz w:val="24"/>
                <w:szCs w:val="24"/>
              </w:rPr>
              <w:t>Current assets</w:t>
            </w:r>
          </w:p>
        </w:tc>
        <w:tc>
          <w:tcPr>
            <w:tcW w:w="2552" w:type="dxa"/>
          </w:tcPr>
          <w:p w:rsidR="002155EE" w:rsidRDefault="002155EE" w:rsidP="00DA254D">
            <w:pPr>
              <w:pStyle w:val="ListParagraph"/>
              <w:spacing w:line="360" w:lineRule="auto"/>
              <w:ind w:left="0"/>
              <w:rPr>
                <w:rFonts w:asciiTheme="minorHAnsi" w:hAnsiTheme="minorHAnsi" w:cstheme="minorHAnsi"/>
                <w:bCs/>
                <w:sz w:val="24"/>
                <w:szCs w:val="24"/>
              </w:rPr>
            </w:pPr>
            <w:r w:rsidRPr="003B0AA3">
              <w:rPr>
                <w:rFonts w:asciiTheme="minorHAnsi" w:hAnsiTheme="minorHAnsi" w:cstheme="minorHAnsi"/>
                <w:bCs/>
                <w:sz w:val="24"/>
                <w:szCs w:val="24"/>
              </w:rPr>
              <w:t>Current liabilities</w:t>
            </w:r>
          </w:p>
        </w:tc>
        <w:tc>
          <w:tcPr>
            <w:tcW w:w="2500" w:type="dxa"/>
          </w:tcPr>
          <w:p w:rsidR="002155EE" w:rsidRDefault="002155EE" w:rsidP="00DA254D">
            <w:pPr>
              <w:pStyle w:val="ListParagraph"/>
              <w:spacing w:line="360" w:lineRule="auto"/>
              <w:ind w:left="0"/>
              <w:rPr>
                <w:rFonts w:asciiTheme="minorHAnsi" w:hAnsiTheme="minorHAnsi" w:cstheme="minorHAnsi"/>
                <w:bCs/>
                <w:sz w:val="24"/>
                <w:szCs w:val="24"/>
              </w:rPr>
            </w:pPr>
            <w:r w:rsidRPr="003B0AA3">
              <w:rPr>
                <w:rFonts w:asciiTheme="minorHAnsi" w:hAnsiTheme="minorHAnsi" w:cstheme="minorHAnsi"/>
                <w:bCs/>
                <w:sz w:val="24"/>
                <w:szCs w:val="24"/>
              </w:rPr>
              <w:t>Working capital ratio</w:t>
            </w:r>
          </w:p>
        </w:tc>
      </w:tr>
      <w:tr w:rsidR="002155EE" w:rsidTr="00DA254D">
        <w:tc>
          <w:tcPr>
            <w:tcW w:w="1183" w:type="dxa"/>
          </w:tcPr>
          <w:p w:rsidR="002155EE" w:rsidRPr="003B0AA3" w:rsidRDefault="002155EE" w:rsidP="00DA254D">
            <w:pPr>
              <w:pStyle w:val="ListParagraph"/>
              <w:spacing w:line="360" w:lineRule="auto"/>
              <w:ind w:left="0"/>
              <w:rPr>
                <w:rFonts w:asciiTheme="minorHAnsi" w:hAnsiTheme="minorHAnsi" w:cstheme="minorHAnsi"/>
                <w:bCs/>
                <w:sz w:val="24"/>
                <w:szCs w:val="24"/>
              </w:rPr>
            </w:pPr>
            <w:r>
              <w:rPr>
                <w:rFonts w:asciiTheme="minorHAnsi" w:hAnsiTheme="minorHAnsi" w:cstheme="minorHAnsi"/>
                <w:bCs/>
                <w:sz w:val="24"/>
                <w:szCs w:val="24"/>
              </w:rPr>
              <w:lastRenderedPageBreak/>
              <w:t>2019</w:t>
            </w:r>
          </w:p>
        </w:tc>
        <w:tc>
          <w:tcPr>
            <w:tcW w:w="1701" w:type="dxa"/>
          </w:tcPr>
          <w:p w:rsidR="002155EE" w:rsidRDefault="002155EE" w:rsidP="00DA254D">
            <w:pPr>
              <w:pStyle w:val="ListParagraph"/>
              <w:spacing w:line="360" w:lineRule="auto"/>
              <w:ind w:left="0"/>
              <w:rPr>
                <w:rFonts w:asciiTheme="minorHAnsi" w:hAnsiTheme="minorHAnsi" w:cstheme="minorHAnsi"/>
                <w:bCs/>
                <w:sz w:val="24"/>
                <w:szCs w:val="24"/>
              </w:rPr>
            </w:pPr>
            <w:r w:rsidRPr="002155EE">
              <w:rPr>
                <w:rFonts w:asciiTheme="minorHAnsi" w:hAnsiTheme="minorHAnsi" w:cstheme="minorHAnsi"/>
                <w:bCs/>
                <w:sz w:val="24"/>
                <w:szCs w:val="24"/>
              </w:rPr>
              <w:t>1,140,229.00</w:t>
            </w:r>
          </w:p>
        </w:tc>
        <w:tc>
          <w:tcPr>
            <w:tcW w:w="2552" w:type="dxa"/>
          </w:tcPr>
          <w:p w:rsidR="002155EE" w:rsidRDefault="002155EE" w:rsidP="00DA254D">
            <w:pPr>
              <w:pStyle w:val="ListParagraph"/>
              <w:spacing w:line="360" w:lineRule="auto"/>
              <w:ind w:left="0"/>
              <w:rPr>
                <w:rFonts w:asciiTheme="minorHAnsi" w:hAnsiTheme="minorHAnsi" w:cstheme="minorHAnsi"/>
                <w:bCs/>
                <w:sz w:val="24"/>
                <w:szCs w:val="24"/>
              </w:rPr>
            </w:pPr>
            <w:r>
              <w:rPr>
                <w:rFonts w:asciiTheme="minorHAnsi" w:hAnsiTheme="minorHAnsi" w:cstheme="minorHAnsi"/>
                <w:bCs/>
                <w:sz w:val="24"/>
                <w:szCs w:val="24"/>
              </w:rPr>
              <w:t>n/a</w:t>
            </w:r>
          </w:p>
        </w:tc>
        <w:tc>
          <w:tcPr>
            <w:tcW w:w="2500" w:type="dxa"/>
          </w:tcPr>
          <w:p w:rsidR="002155EE" w:rsidRDefault="002155EE" w:rsidP="00DA254D">
            <w:pPr>
              <w:pStyle w:val="ListParagraph"/>
              <w:spacing w:line="360" w:lineRule="auto"/>
              <w:ind w:left="0"/>
              <w:rPr>
                <w:rFonts w:asciiTheme="minorHAnsi" w:hAnsiTheme="minorHAnsi" w:cstheme="minorHAnsi"/>
                <w:bCs/>
                <w:sz w:val="24"/>
                <w:szCs w:val="24"/>
              </w:rPr>
            </w:pPr>
            <w:r w:rsidRPr="002155EE">
              <w:rPr>
                <w:rFonts w:asciiTheme="minorHAnsi" w:hAnsiTheme="minorHAnsi" w:cstheme="minorHAnsi"/>
                <w:bCs/>
                <w:sz w:val="24"/>
                <w:szCs w:val="24"/>
              </w:rPr>
              <w:t>1,140,229.00</w:t>
            </w:r>
          </w:p>
        </w:tc>
      </w:tr>
      <w:tr w:rsidR="002155EE" w:rsidTr="00DA254D">
        <w:tc>
          <w:tcPr>
            <w:tcW w:w="1183" w:type="dxa"/>
          </w:tcPr>
          <w:p w:rsidR="002155EE" w:rsidRPr="003B0AA3" w:rsidRDefault="002155EE" w:rsidP="00DA254D">
            <w:pPr>
              <w:pStyle w:val="ListParagraph"/>
              <w:spacing w:line="360" w:lineRule="auto"/>
              <w:ind w:left="0"/>
              <w:rPr>
                <w:rFonts w:asciiTheme="minorHAnsi" w:hAnsiTheme="minorHAnsi" w:cstheme="minorHAnsi"/>
                <w:bCs/>
                <w:sz w:val="24"/>
                <w:szCs w:val="24"/>
              </w:rPr>
            </w:pPr>
            <w:r>
              <w:rPr>
                <w:rFonts w:asciiTheme="minorHAnsi" w:hAnsiTheme="minorHAnsi" w:cstheme="minorHAnsi"/>
                <w:bCs/>
                <w:sz w:val="24"/>
                <w:szCs w:val="24"/>
              </w:rPr>
              <w:t>2018</w:t>
            </w:r>
          </w:p>
        </w:tc>
        <w:tc>
          <w:tcPr>
            <w:tcW w:w="1701" w:type="dxa"/>
          </w:tcPr>
          <w:p w:rsidR="002155EE" w:rsidRDefault="002155EE" w:rsidP="00DA254D">
            <w:pPr>
              <w:pStyle w:val="ListParagraph"/>
              <w:spacing w:line="360" w:lineRule="auto"/>
              <w:ind w:left="0"/>
              <w:rPr>
                <w:rFonts w:asciiTheme="minorHAnsi" w:hAnsiTheme="minorHAnsi" w:cstheme="minorHAnsi"/>
                <w:bCs/>
                <w:sz w:val="24"/>
                <w:szCs w:val="24"/>
              </w:rPr>
            </w:pPr>
            <w:r w:rsidRPr="002155EE">
              <w:rPr>
                <w:rFonts w:asciiTheme="minorHAnsi" w:hAnsiTheme="minorHAnsi" w:cstheme="minorHAnsi"/>
                <w:bCs/>
                <w:sz w:val="24"/>
                <w:szCs w:val="24"/>
              </w:rPr>
              <w:t>1,133,283.00</w:t>
            </w:r>
          </w:p>
        </w:tc>
        <w:tc>
          <w:tcPr>
            <w:tcW w:w="2552" w:type="dxa"/>
          </w:tcPr>
          <w:p w:rsidR="002155EE" w:rsidRDefault="002155EE" w:rsidP="00DA254D">
            <w:pPr>
              <w:pStyle w:val="ListParagraph"/>
              <w:spacing w:line="360" w:lineRule="auto"/>
              <w:ind w:left="0"/>
              <w:rPr>
                <w:rFonts w:asciiTheme="minorHAnsi" w:hAnsiTheme="minorHAnsi" w:cstheme="minorHAnsi"/>
                <w:bCs/>
                <w:sz w:val="24"/>
                <w:szCs w:val="24"/>
              </w:rPr>
            </w:pPr>
            <w:r>
              <w:rPr>
                <w:rFonts w:asciiTheme="minorHAnsi" w:hAnsiTheme="minorHAnsi" w:cstheme="minorHAnsi"/>
                <w:bCs/>
                <w:sz w:val="24"/>
                <w:szCs w:val="24"/>
              </w:rPr>
              <w:t>n/a</w:t>
            </w:r>
          </w:p>
        </w:tc>
        <w:tc>
          <w:tcPr>
            <w:tcW w:w="2500" w:type="dxa"/>
          </w:tcPr>
          <w:p w:rsidR="002155EE" w:rsidRDefault="00560200" w:rsidP="00DA254D">
            <w:pPr>
              <w:pStyle w:val="ListParagraph"/>
              <w:spacing w:line="360" w:lineRule="auto"/>
              <w:ind w:left="0"/>
              <w:rPr>
                <w:rFonts w:asciiTheme="minorHAnsi" w:hAnsiTheme="minorHAnsi" w:cstheme="minorHAnsi"/>
                <w:bCs/>
                <w:sz w:val="24"/>
                <w:szCs w:val="24"/>
              </w:rPr>
            </w:pPr>
            <w:r w:rsidRPr="002155EE">
              <w:rPr>
                <w:rFonts w:asciiTheme="minorHAnsi" w:hAnsiTheme="minorHAnsi" w:cstheme="minorHAnsi"/>
                <w:bCs/>
                <w:sz w:val="24"/>
                <w:szCs w:val="24"/>
              </w:rPr>
              <w:t>1,133,283.00</w:t>
            </w:r>
          </w:p>
        </w:tc>
      </w:tr>
    </w:tbl>
    <w:p w:rsidR="002155EE" w:rsidRPr="003B0AA3" w:rsidRDefault="002155EE" w:rsidP="003B0AA3">
      <w:pPr>
        <w:spacing w:line="360" w:lineRule="auto"/>
        <w:rPr>
          <w:rFonts w:asciiTheme="minorHAnsi" w:hAnsiTheme="minorHAnsi" w:cstheme="minorHAnsi"/>
          <w:bCs/>
          <w:sz w:val="24"/>
          <w:szCs w:val="24"/>
        </w:rPr>
      </w:pPr>
    </w:p>
    <w:p w:rsidR="003B0AA3" w:rsidRPr="003B0AA3" w:rsidRDefault="003B0AA3" w:rsidP="003B0AA3">
      <w:pPr>
        <w:spacing w:line="360" w:lineRule="auto"/>
        <w:rPr>
          <w:rFonts w:asciiTheme="minorHAnsi" w:hAnsiTheme="minorHAnsi" w:cstheme="minorHAnsi"/>
          <w:bCs/>
          <w:sz w:val="24"/>
          <w:szCs w:val="24"/>
        </w:rPr>
      </w:pPr>
      <w:r w:rsidRPr="003B0AA3">
        <w:rPr>
          <w:rFonts w:asciiTheme="minorHAnsi" w:hAnsiTheme="minorHAnsi" w:cstheme="minorHAnsi"/>
          <w:bCs/>
          <w:sz w:val="24"/>
          <w:szCs w:val="24"/>
        </w:rPr>
        <w:tab/>
      </w:r>
      <w:r w:rsidRPr="003B0AA3">
        <w:rPr>
          <w:rFonts w:asciiTheme="minorHAnsi" w:hAnsiTheme="minorHAnsi" w:cstheme="minorHAnsi"/>
          <w:bCs/>
          <w:sz w:val="24"/>
          <w:szCs w:val="24"/>
        </w:rPr>
        <w:tab/>
      </w:r>
      <w:r w:rsidRPr="003B0AA3">
        <w:rPr>
          <w:rFonts w:asciiTheme="minorHAnsi" w:hAnsiTheme="minorHAnsi" w:cstheme="minorHAnsi"/>
          <w:bCs/>
          <w:sz w:val="24"/>
          <w:szCs w:val="24"/>
        </w:rPr>
        <w:tab/>
      </w:r>
      <w:r w:rsidRPr="003B0AA3">
        <w:rPr>
          <w:rFonts w:asciiTheme="minorHAnsi" w:hAnsiTheme="minorHAnsi" w:cstheme="minorHAnsi"/>
          <w:bCs/>
          <w:sz w:val="24"/>
          <w:szCs w:val="24"/>
        </w:rPr>
        <w:tab/>
      </w:r>
    </w:p>
    <w:p w:rsidR="003B0AA3" w:rsidRDefault="003B0AA3" w:rsidP="003B0AA3">
      <w:pPr>
        <w:spacing w:line="360" w:lineRule="auto"/>
        <w:rPr>
          <w:rFonts w:asciiTheme="minorHAnsi" w:hAnsiTheme="minorHAnsi" w:cstheme="minorHAnsi"/>
          <w:bCs/>
          <w:sz w:val="24"/>
          <w:szCs w:val="24"/>
        </w:rPr>
      </w:pPr>
      <w:r w:rsidRPr="003B0AA3">
        <w:rPr>
          <w:rFonts w:asciiTheme="minorHAnsi" w:hAnsiTheme="minorHAnsi" w:cstheme="minorHAnsi"/>
          <w:bCs/>
          <w:sz w:val="24"/>
          <w:szCs w:val="24"/>
        </w:rPr>
        <w:t>6</w:t>
      </w:r>
      <w:r w:rsidRPr="003B0AA3">
        <w:rPr>
          <w:rFonts w:asciiTheme="minorHAnsi" w:hAnsiTheme="minorHAnsi" w:cstheme="minorHAnsi"/>
          <w:bCs/>
          <w:sz w:val="24"/>
          <w:szCs w:val="24"/>
        </w:rPr>
        <w:tab/>
        <w:t xml:space="preserve">Acid </w:t>
      </w:r>
      <w:proofErr w:type="gramStart"/>
      <w:r w:rsidRPr="003B0AA3">
        <w:rPr>
          <w:rFonts w:asciiTheme="minorHAnsi" w:hAnsiTheme="minorHAnsi" w:cstheme="minorHAnsi"/>
          <w:bCs/>
          <w:sz w:val="24"/>
          <w:szCs w:val="24"/>
        </w:rPr>
        <w:t>test</w:t>
      </w:r>
      <w:proofErr w:type="gramEnd"/>
      <w:r w:rsidRPr="003B0AA3">
        <w:rPr>
          <w:rFonts w:asciiTheme="minorHAnsi" w:hAnsiTheme="minorHAnsi" w:cstheme="minorHAnsi"/>
          <w:bCs/>
          <w:sz w:val="24"/>
          <w:szCs w:val="24"/>
        </w:rPr>
        <w:t xml:space="preserve"> = (Current assets - Stock) / Current liabilities</w:t>
      </w:r>
    </w:p>
    <w:tbl>
      <w:tblPr>
        <w:tblStyle w:val="TableGrid"/>
        <w:tblW w:w="0" w:type="auto"/>
        <w:tblInd w:w="1080" w:type="dxa"/>
        <w:tblLook w:val="04A0" w:firstRow="1" w:lastRow="0" w:firstColumn="1" w:lastColumn="0" w:noHBand="0" w:noVBand="1"/>
      </w:tblPr>
      <w:tblGrid>
        <w:gridCol w:w="960"/>
        <w:gridCol w:w="1604"/>
        <w:gridCol w:w="1470"/>
        <w:gridCol w:w="1870"/>
        <w:gridCol w:w="2032"/>
      </w:tblGrid>
      <w:tr w:rsidR="00560200" w:rsidTr="00560200">
        <w:tc>
          <w:tcPr>
            <w:tcW w:w="960" w:type="dxa"/>
          </w:tcPr>
          <w:p w:rsidR="00560200" w:rsidRPr="003B0AA3" w:rsidRDefault="00560200" w:rsidP="00DA254D">
            <w:pPr>
              <w:pStyle w:val="ListParagraph"/>
              <w:spacing w:line="360" w:lineRule="auto"/>
              <w:ind w:left="0"/>
              <w:rPr>
                <w:rFonts w:asciiTheme="minorHAnsi" w:hAnsiTheme="minorHAnsi" w:cstheme="minorHAnsi"/>
                <w:bCs/>
                <w:sz w:val="24"/>
                <w:szCs w:val="24"/>
              </w:rPr>
            </w:pPr>
          </w:p>
        </w:tc>
        <w:tc>
          <w:tcPr>
            <w:tcW w:w="1604" w:type="dxa"/>
          </w:tcPr>
          <w:p w:rsidR="00560200" w:rsidRDefault="00560200" w:rsidP="00DA254D">
            <w:pPr>
              <w:pStyle w:val="ListParagraph"/>
              <w:spacing w:line="360" w:lineRule="auto"/>
              <w:ind w:left="0"/>
              <w:rPr>
                <w:rFonts w:asciiTheme="minorHAnsi" w:hAnsiTheme="minorHAnsi" w:cstheme="minorHAnsi"/>
                <w:bCs/>
                <w:sz w:val="24"/>
                <w:szCs w:val="24"/>
              </w:rPr>
            </w:pPr>
            <w:r w:rsidRPr="003B0AA3">
              <w:rPr>
                <w:rFonts w:asciiTheme="minorHAnsi" w:hAnsiTheme="minorHAnsi" w:cstheme="minorHAnsi"/>
                <w:bCs/>
                <w:sz w:val="24"/>
                <w:szCs w:val="24"/>
              </w:rPr>
              <w:t>Current assets</w:t>
            </w:r>
          </w:p>
        </w:tc>
        <w:tc>
          <w:tcPr>
            <w:tcW w:w="1470" w:type="dxa"/>
          </w:tcPr>
          <w:p w:rsidR="00560200" w:rsidRPr="003B0AA3" w:rsidRDefault="00560200" w:rsidP="00DA254D">
            <w:pPr>
              <w:pStyle w:val="ListParagraph"/>
              <w:spacing w:line="360" w:lineRule="auto"/>
              <w:ind w:left="0"/>
              <w:rPr>
                <w:rFonts w:asciiTheme="minorHAnsi" w:hAnsiTheme="minorHAnsi" w:cstheme="minorHAnsi"/>
                <w:bCs/>
                <w:sz w:val="24"/>
                <w:szCs w:val="24"/>
              </w:rPr>
            </w:pPr>
            <w:r>
              <w:rPr>
                <w:rFonts w:asciiTheme="minorHAnsi" w:hAnsiTheme="minorHAnsi" w:cstheme="minorHAnsi"/>
                <w:bCs/>
                <w:sz w:val="24"/>
                <w:szCs w:val="24"/>
              </w:rPr>
              <w:t>Stock</w:t>
            </w:r>
          </w:p>
        </w:tc>
        <w:tc>
          <w:tcPr>
            <w:tcW w:w="1870" w:type="dxa"/>
          </w:tcPr>
          <w:p w:rsidR="00560200" w:rsidRDefault="00560200" w:rsidP="00DA254D">
            <w:pPr>
              <w:pStyle w:val="ListParagraph"/>
              <w:spacing w:line="360" w:lineRule="auto"/>
              <w:ind w:left="0"/>
              <w:rPr>
                <w:rFonts w:asciiTheme="minorHAnsi" w:hAnsiTheme="minorHAnsi" w:cstheme="minorHAnsi"/>
                <w:bCs/>
                <w:sz w:val="24"/>
                <w:szCs w:val="24"/>
              </w:rPr>
            </w:pPr>
            <w:r w:rsidRPr="003B0AA3">
              <w:rPr>
                <w:rFonts w:asciiTheme="minorHAnsi" w:hAnsiTheme="minorHAnsi" w:cstheme="minorHAnsi"/>
                <w:bCs/>
                <w:sz w:val="24"/>
                <w:szCs w:val="24"/>
              </w:rPr>
              <w:t>Current liabilities</w:t>
            </w:r>
          </w:p>
        </w:tc>
        <w:tc>
          <w:tcPr>
            <w:tcW w:w="2032" w:type="dxa"/>
          </w:tcPr>
          <w:p w:rsidR="00560200" w:rsidRDefault="00560200" w:rsidP="00DA254D">
            <w:pPr>
              <w:pStyle w:val="ListParagraph"/>
              <w:spacing w:line="360" w:lineRule="auto"/>
              <w:ind w:left="0"/>
              <w:rPr>
                <w:rFonts w:asciiTheme="minorHAnsi" w:hAnsiTheme="minorHAnsi" w:cstheme="minorHAnsi"/>
                <w:bCs/>
                <w:sz w:val="24"/>
                <w:szCs w:val="24"/>
              </w:rPr>
            </w:pPr>
            <w:r>
              <w:rPr>
                <w:rFonts w:asciiTheme="minorHAnsi" w:hAnsiTheme="minorHAnsi" w:cstheme="minorHAnsi"/>
                <w:bCs/>
                <w:sz w:val="24"/>
                <w:szCs w:val="24"/>
              </w:rPr>
              <w:t>Acid Test</w:t>
            </w:r>
          </w:p>
        </w:tc>
      </w:tr>
      <w:tr w:rsidR="00560200" w:rsidTr="00560200">
        <w:tc>
          <w:tcPr>
            <w:tcW w:w="960" w:type="dxa"/>
          </w:tcPr>
          <w:p w:rsidR="00560200" w:rsidRPr="003B0AA3" w:rsidRDefault="00560200" w:rsidP="00560200">
            <w:pPr>
              <w:pStyle w:val="ListParagraph"/>
              <w:spacing w:line="360" w:lineRule="auto"/>
              <w:ind w:left="0"/>
              <w:rPr>
                <w:rFonts w:asciiTheme="minorHAnsi" w:hAnsiTheme="minorHAnsi" w:cstheme="minorHAnsi"/>
                <w:bCs/>
                <w:sz w:val="24"/>
                <w:szCs w:val="24"/>
              </w:rPr>
            </w:pPr>
            <w:r>
              <w:rPr>
                <w:rFonts w:asciiTheme="minorHAnsi" w:hAnsiTheme="minorHAnsi" w:cstheme="minorHAnsi"/>
                <w:bCs/>
                <w:sz w:val="24"/>
                <w:szCs w:val="24"/>
              </w:rPr>
              <w:t>2019</w:t>
            </w:r>
          </w:p>
        </w:tc>
        <w:tc>
          <w:tcPr>
            <w:tcW w:w="1604" w:type="dxa"/>
          </w:tcPr>
          <w:p w:rsidR="00560200" w:rsidRDefault="00560200" w:rsidP="00560200">
            <w:pPr>
              <w:pStyle w:val="ListParagraph"/>
              <w:spacing w:line="360" w:lineRule="auto"/>
              <w:ind w:left="0"/>
              <w:rPr>
                <w:rFonts w:asciiTheme="minorHAnsi" w:hAnsiTheme="minorHAnsi" w:cstheme="minorHAnsi"/>
                <w:bCs/>
                <w:sz w:val="24"/>
                <w:szCs w:val="24"/>
              </w:rPr>
            </w:pPr>
            <w:r w:rsidRPr="002155EE">
              <w:rPr>
                <w:rFonts w:asciiTheme="minorHAnsi" w:hAnsiTheme="minorHAnsi" w:cstheme="minorHAnsi"/>
                <w:bCs/>
                <w:sz w:val="24"/>
                <w:szCs w:val="24"/>
              </w:rPr>
              <w:t>1,140,229.00</w:t>
            </w:r>
          </w:p>
        </w:tc>
        <w:tc>
          <w:tcPr>
            <w:tcW w:w="1470" w:type="dxa"/>
          </w:tcPr>
          <w:p w:rsidR="00560200" w:rsidRDefault="00560200" w:rsidP="00560200">
            <w:pPr>
              <w:pStyle w:val="ListParagraph"/>
              <w:spacing w:line="360" w:lineRule="auto"/>
              <w:ind w:left="0"/>
              <w:rPr>
                <w:rFonts w:asciiTheme="minorHAnsi" w:hAnsiTheme="minorHAnsi" w:cstheme="minorHAnsi"/>
                <w:bCs/>
                <w:sz w:val="24"/>
                <w:szCs w:val="24"/>
              </w:rPr>
            </w:pPr>
            <w:r>
              <w:rPr>
                <w:rFonts w:asciiTheme="minorHAnsi" w:hAnsiTheme="minorHAnsi" w:cstheme="minorHAnsi"/>
                <w:bCs/>
                <w:sz w:val="24"/>
                <w:szCs w:val="24"/>
              </w:rPr>
              <w:t>n/a</w:t>
            </w:r>
          </w:p>
        </w:tc>
        <w:tc>
          <w:tcPr>
            <w:tcW w:w="1870" w:type="dxa"/>
          </w:tcPr>
          <w:p w:rsidR="00560200" w:rsidRDefault="00560200" w:rsidP="00560200">
            <w:pPr>
              <w:pStyle w:val="ListParagraph"/>
              <w:spacing w:line="360" w:lineRule="auto"/>
              <w:ind w:left="0"/>
              <w:rPr>
                <w:rFonts w:asciiTheme="minorHAnsi" w:hAnsiTheme="minorHAnsi" w:cstheme="minorHAnsi"/>
                <w:bCs/>
                <w:sz w:val="24"/>
                <w:szCs w:val="24"/>
              </w:rPr>
            </w:pPr>
            <w:r>
              <w:rPr>
                <w:rFonts w:asciiTheme="minorHAnsi" w:hAnsiTheme="minorHAnsi" w:cstheme="minorHAnsi"/>
                <w:bCs/>
                <w:sz w:val="24"/>
                <w:szCs w:val="24"/>
              </w:rPr>
              <w:t>n/a</w:t>
            </w:r>
          </w:p>
        </w:tc>
        <w:tc>
          <w:tcPr>
            <w:tcW w:w="2032" w:type="dxa"/>
          </w:tcPr>
          <w:p w:rsidR="00560200" w:rsidRDefault="00560200" w:rsidP="00560200">
            <w:pPr>
              <w:pStyle w:val="ListParagraph"/>
              <w:spacing w:line="360" w:lineRule="auto"/>
              <w:ind w:left="0"/>
              <w:rPr>
                <w:rFonts w:asciiTheme="minorHAnsi" w:hAnsiTheme="minorHAnsi" w:cstheme="minorHAnsi"/>
                <w:bCs/>
                <w:sz w:val="24"/>
                <w:szCs w:val="24"/>
              </w:rPr>
            </w:pPr>
            <w:r w:rsidRPr="002155EE">
              <w:rPr>
                <w:rFonts w:asciiTheme="minorHAnsi" w:hAnsiTheme="minorHAnsi" w:cstheme="minorHAnsi"/>
                <w:bCs/>
                <w:sz w:val="24"/>
                <w:szCs w:val="24"/>
              </w:rPr>
              <w:t>1,140,229.00</w:t>
            </w:r>
          </w:p>
        </w:tc>
      </w:tr>
      <w:tr w:rsidR="00560200" w:rsidTr="00560200">
        <w:tc>
          <w:tcPr>
            <w:tcW w:w="960" w:type="dxa"/>
          </w:tcPr>
          <w:p w:rsidR="00560200" w:rsidRPr="003B0AA3" w:rsidRDefault="00560200" w:rsidP="00560200">
            <w:pPr>
              <w:pStyle w:val="ListParagraph"/>
              <w:spacing w:line="360" w:lineRule="auto"/>
              <w:ind w:left="0"/>
              <w:rPr>
                <w:rFonts w:asciiTheme="minorHAnsi" w:hAnsiTheme="minorHAnsi" w:cstheme="minorHAnsi"/>
                <w:bCs/>
                <w:sz w:val="24"/>
                <w:szCs w:val="24"/>
              </w:rPr>
            </w:pPr>
            <w:r>
              <w:rPr>
                <w:rFonts w:asciiTheme="minorHAnsi" w:hAnsiTheme="minorHAnsi" w:cstheme="minorHAnsi"/>
                <w:bCs/>
                <w:sz w:val="24"/>
                <w:szCs w:val="24"/>
              </w:rPr>
              <w:t>2018</w:t>
            </w:r>
          </w:p>
        </w:tc>
        <w:tc>
          <w:tcPr>
            <w:tcW w:w="1604" w:type="dxa"/>
          </w:tcPr>
          <w:p w:rsidR="00560200" w:rsidRDefault="00560200" w:rsidP="00560200">
            <w:pPr>
              <w:pStyle w:val="ListParagraph"/>
              <w:spacing w:line="360" w:lineRule="auto"/>
              <w:ind w:left="0"/>
              <w:rPr>
                <w:rFonts w:asciiTheme="minorHAnsi" w:hAnsiTheme="minorHAnsi" w:cstheme="minorHAnsi"/>
                <w:bCs/>
                <w:sz w:val="24"/>
                <w:szCs w:val="24"/>
              </w:rPr>
            </w:pPr>
            <w:r w:rsidRPr="002155EE">
              <w:rPr>
                <w:rFonts w:asciiTheme="minorHAnsi" w:hAnsiTheme="minorHAnsi" w:cstheme="minorHAnsi"/>
                <w:bCs/>
                <w:sz w:val="24"/>
                <w:szCs w:val="24"/>
              </w:rPr>
              <w:t>1,133,283.00</w:t>
            </w:r>
          </w:p>
        </w:tc>
        <w:tc>
          <w:tcPr>
            <w:tcW w:w="1470" w:type="dxa"/>
          </w:tcPr>
          <w:p w:rsidR="00560200" w:rsidRDefault="00560200" w:rsidP="00560200">
            <w:pPr>
              <w:pStyle w:val="ListParagraph"/>
              <w:spacing w:line="360" w:lineRule="auto"/>
              <w:ind w:left="0"/>
              <w:rPr>
                <w:rFonts w:asciiTheme="minorHAnsi" w:hAnsiTheme="minorHAnsi" w:cstheme="minorHAnsi"/>
                <w:bCs/>
                <w:sz w:val="24"/>
                <w:szCs w:val="24"/>
              </w:rPr>
            </w:pPr>
            <w:r>
              <w:rPr>
                <w:rFonts w:asciiTheme="minorHAnsi" w:hAnsiTheme="minorHAnsi" w:cstheme="minorHAnsi"/>
                <w:bCs/>
                <w:sz w:val="24"/>
                <w:szCs w:val="24"/>
              </w:rPr>
              <w:t>n/a</w:t>
            </w:r>
          </w:p>
        </w:tc>
        <w:tc>
          <w:tcPr>
            <w:tcW w:w="1870" w:type="dxa"/>
          </w:tcPr>
          <w:p w:rsidR="00560200" w:rsidRDefault="00560200" w:rsidP="00560200">
            <w:pPr>
              <w:pStyle w:val="ListParagraph"/>
              <w:spacing w:line="360" w:lineRule="auto"/>
              <w:ind w:left="0"/>
              <w:rPr>
                <w:rFonts w:asciiTheme="minorHAnsi" w:hAnsiTheme="minorHAnsi" w:cstheme="minorHAnsi"/>
                <w:bCs/>
                <w:sz w:val="24"/>
                <w:szCs w:val="24"/>
              </w:rPr>
            </w:pPr>
            <w:r>
              <w:rPr>
                <w:rFonts w:asciiTheme="minorHAnsi" w:hAnsiTheme="minorHAnsi" w:cstheme="minorHAnsi"/>
                <w:bCs/>
                <w:sz w:val="24"/>
                <w:szCs w:val="24"/>
              </w:rPr>
              <w:t>n/a</w:t>
            </w:r>
          </w:p>
        </w:tc>
        <w:tc>
          <w:tcPr>
            <w:tcW w:w="2032" w:type="dxa"/>
          </w:tcPr>
          <w:p w:rsidR="00560200" w:rsidRDefault="00560200" w:rsidP="00560200">
            <w:pPr>
              <w:pStyle w:val="ListParagraph"/>
              <w:spacing w:line="360" w:lineRule="auto"/>
              <w:ind w:left="0"/>
              <w:rPr>
                <w:rFonts w:asciiTheme="minorHAnsi" w:hAnsiTheme="minorHAnsi" w:cstheme="minorHAnsi"/>
                <w:bCs/>
                <w:sz w:val="24"/>
                <w:szCs w:val="24"/>
              </w:rPr>
            </w:pPr>
            <w:r w:rsidRPr="002155EE">
              <w:rPr>
                <w:rFonts w:asciiTheme="minorHAnsi" w:hAnsiTheme="minorHAnsi" w:cstheme="minorHAnsi"/>
                <w:bCs/>
                <w:sz w:val="24"/>
                <w:szCs w:val="24"/>
              </w:rPr>
              <w:t>1,133,283.00</w:t>
            </w:r>
          </w:p>
        </w:tc>
      </w:tr>
    </w:tbl>
    <w:p w:rsidR="00560200" w:rsidRPr="003B0AA3" w:rsidRDefault="00560200" w:rsidP="003B0AA3">
      <w:pPr>
        <w:spacing w:line="360" w:lineRule="auto"/>
        <w:rPr>
          <w:rFonts w:asciiTheme="minorHAnsi" w:hAnsiTheme="minorHAnsi" w:cstheme="minorHAnsi"/>
          <w:bCs/>
          <w:sz w:val="24"/>
          <w:szCs w:val="24"/>
        </w:rPr>
      </w:pPr>
    </w:p>
    <w:p w:rsidR="003B0AA3" w:rsidRPr="003B0AA3" w:rsidRDefault="003B0AA3" w:rsidP="003B0AA3">
      <w:pPr>
        <w:spacing w:line="360" w:lineRule="auto"/>
        <w:rPr>
          <w:rFonts w:asciiTheme="minorHAnsi" w:hAnsiTheme="minorHAnsi" w:cstheme="minorHAnsi"/>
          <w:bCs/>
          <w:sz w:val="24"/>
          <w:szCs w:val="24"/>
        </w:rPr>
      </w:pPr>
      <w:r w:rsidRPr="003B0AA3">
        <w:rPr>
          <w:rFonts w:asciiTheme="minorHAnsi" w:hAnsiTheme="minorHAnsi" w:cstheme="minorHAnsi"/>
          <w:bCs/>
          <w:sz w:val="24"/>
          <w:szCs w:val="24"/>
        </w:rPr>
        <w:tab/>
      </w:r>
      <w:r w:rsidRPr="003B0AA3">
        <w:rPr>
          <w:rFonts w:asciiTheme="minorHAnsi" w:hAnsiTheme="minorHAnsi" w:cstheme="minorHAnsi"/>
          <w:bCs/>
          <w:sz w:val="24"/>
          <w:szCs w:val="24"/>
        </w:rPr>
        <w:tab/>
      </w:r>
      <w:r w:rsidRPr="003B0AA3">
        <w:rPr>
          <w:rFonts w:asciiTheme="minorHAnsi" w:hAnsiTheme="minorHAnsi" w:cstheme="minorHAnsi"/>
          <w:bCs/>
          <w:sz w:val="24"/>
          <w:szCs w:val="24"/>
        </w:rPr>
        <w:tab/>
      </w:r>
      <w:r w:rsidRPr="003B0AA3">
        <w:rPr>
          <w:rFonts w:asciiTheme="minorHAnsi" w:hAnsiTheme="minorHAnsi" w:cstheme="minorHAnsi"/>
          <w:bCs/>
          <w:sz w:val="24"/>
          <w:szCs w:val="24"/>
        </w:rPr>
        <w:tab/>
      </w:r>
    </w:p>
    <w:p w:rsidR="003B0AA3" w:rsidRPr="003B0AA3" w:rsidRDefault="003B0AA3" w:rsidP="003B0AA3">
      <w:pPr>
        <w:spacing w:line="360" w:lineRule="auto"/>
        <w:rPr>
          <w:rFonts w:asciiTheme="minorHAnsi" w:hAnsiTheme="minorHAnsi" w:cstheme="minorHAnsi"/>
          <w:bCs/>
          <w:sz w:val="24"/>
          <w:szCs w:val="24"/>
        </w:rPr>
      </w:pPr>
      <w:r w:rsidRPr="003B0AA3">
        <w:rPr>
          <w:rFonts w:asciiTheme="minorHAnsi" w:hAnsiTheme="minorHAnsi" w:cstheme="minorHAnsi"/>
          <w:bCs/>
          <w:sz w:val="24"/>
          <w:szCs w:val="24"/>
        </w:rPr>
        <w:t>7</w:t>
      </w:r>
      <w:r w:rsidRPr="003B0AA3">
        <w:rPr>
          <w:rFonts w:asciiTheme="minorHAnsi" w:hAnsiTheme="minorHAnsi" w:cstheme="minorHAnsi"/>
          <w:bCs/>
          <w:sz w:val="24"/>
          <w:szCs w:val="24"/>
        </w:rPr>
        <w:tab/>
        <w:t xml:space="preserve">Debtor days = (Trade debtors / Sales) x 365 </w:t>
      </w:r>
    </w:p>
    <w:p w:rsidR="00560200" w:rsidRPr="003B0AA3" w:rsidRDefault="003B0AA3" w:rsidP="003B0AA3">
      <w:pPr>
        <w:spacing w:line="360" w:lineRule="auto"/>
        <w:rPr>
          <w:rFonts w:asciiTheme="minorHAnsi" w:hAnsiTheme="minorHAnsi" w:cstheme="minorHAnsi"/>
          <w:bCs/>
          <w:sz w:val="24"/>
          <w:szCs w:val="24"/>
        </w:rPr>
      </w:pPr>
      <w:r w:rsidRPr="003B0AA3">
        <w:rPr>
          <w:rFonts w:asciiTheme="minorHAnsi" w:hAnsiTheme="minorHAnsi" w:cstheme="minorHAnsi"/>
          <w:bCs/>
          <w:sz w:val="24"/>
          <w:szCs w:val="24"/>
        </w:rPr>
        <w:tab/>
      </w:r>
    </w:p>
    <w:tbl>
      <w:tblPr>
        <w:tblStyle w:val="TableGrid"/>
        <w:tblW w:w="0" w:type="auto"/>
        <w:tblInd w:w="1080" w:type="dxa"/>
        <w:tblLook w:val="04A0" w:firstRow="1" w:lastRow="0" w:firstColumn="1" w:lastColumn="0" w:noHBand="0" w:noVBand="1"/>
      </w:tblPr>
      <w:tblGrid>
        <w:gridCol w:w="1183"/>
        <w:gridCol w:w="1701"/>
        <w:gridCol w:w="2552"/>
        <w:gridCol w:w="2500"/>
      </w:tblGrid>
      <w:tr w:rsidR="00560200" w:rsidTr="00DA254D">
        <w:tc>
          <w:tcPr>
            <w:tcW w:w="1183" w:type="dxa"/>
          </w:tcPr>
          <w:p w:rsidR="00560200" w:rsidRPr="003B0AA3" w:rsidRDefault="00560200" w:rsidP="00DA254D">
            <w:pPr>
              <w:pStyle w:val="ListParagraph"/>
              <w:spacing w:line="360" w:lineRule="auto"/>
              <w:ind w:left="0"/>
              <w:rPr>
                <w:rFonts w:asciiTheme="minorHAnsi" w:hAnsiTheme="minorHAnsi" w:cstheme="minorHAnsi"/>
                <w:bCs/>
                <w:sz w:val="24"/>
                <w:szCs w:val="24"/>
              </w:rPr>
            </w:pPr>
          </w:p>
        </w:tc>
        <w:tc>
          <w:tcPr>
            <w:tcW w:w="1701" w:type="dxa"/>
          </w:tcPr>
          <w:p w:rsidR="00560200" w:rsidRDefault="00560200" w:rsidP="00DA254D">
            <w:pPr>
              <w:pStyle w:val="ListParagraph"/>
              <w:spacing w:line="360" w:lineRule="auto"/>
              <w:ind w:left="0"/>
              <w:rPr>
                <w:rFonts w:asciiTheme="minorHAnsi" w:hAnsiTheme="minorHAnsi" w:cstheme="minorHAnsi"/>
                <w:bCs/>
                <w:sz w:val="24"/>
                <w:szCs w:val="24"/>
              </w:rPr>
            </w:pPr>
            <w:r>
              <w:rPr>
                <w:rFonts w:asciiTheme="minorHAnsi" w:hAnsiTheme="minorHAnsi" w:cstheme="minorHAnsi"/>
                <w:bCs/>
                <w:sz w:val="24"/>
                <w:szCs w:val="24"/>
              </w:rPr>
              <w:t>Trade debtors</w:t>
            </w:r>
          </w:p>
        </w:tc>
        <w:tc>
          <w:tcPr>
            <w:tcW w:w="2552" w:type="dxa"/>
          </w:tcPr>
          <w:p w:rsidR="00560200" w:rsidRDefault="00560200" w:rsidP="00DA254D">
            <w:pPr>
              <w:pStyle w:val="ListParagraph"/>
              <w:spacing w:line="360" w:lineRule="auto"/>
              <w:ind w:left="0"/>
              <w:rPr>
                <w:rFonts w:asciiTheme="minorHAnsi" w:hAnsiTheme="minorHAnsi" w:cstheme="minorHAnsi"/>
                <w:bCs/>
                <w:sz w:val="24"/>
                <w:szCs w:val="24"/>
              </w:rPr>
            </w:pPr>
            <w:r>
              <w:rPr>
                <w:rFonts w:asciiTheme="minorHAnsi" w:hAnsiTheme="minorHAnsi" w:cstheme="minorHAnsi"/>
                <w:bCs/>
                <w:sz w:val="24"/>
                <w:szCs w:val="24"/>
              </w:rPr>
              <w:t>Sales</w:t>
            </w:r>
          </w:p>
        </w:tc>
        <w:tc>
          <w:tcPr>
            <w:tcW w:w="2500" w:type="dxa"/>
          </w:tcPr>
          <w:p w:rsidR="00560200" w:rsidRDefault="00560200" w:rsidP="00DA254D">
            <w:pPr>
              <w:pStyle w:val="ListParagraph"/>
              <w:spacing w:line="360" w:lineRule="auto"/>
              <w:ind w:left="0"/>
              <w:rPr>
                <w:rFonts w:asciiTheme="minorHAnsi" w:hAnsiTheme="minorHAnsi" w:cstheme="minorHAnsi"/>
                <w:bCs/>
                <w:sz w:val="24"/>
                <w:szCs w:val="24"/>
              </w:rPr>
            </w:pPr>
            <w:r>
              <w:rPr>
                <w:rFonts w:asciiTheme="minorHAnsi" w:hAnsiTheme="minorHAnsi" w:cstheme="minorHAnsi"/>
                <w:bCs/>
                <w:sz w:val="24"/>
                <w:szCs w:val="24"/>
              </w:rPr>
              <w:t>Debtor days</w:t>
            </w:r>
          </w:p>
        </w:tc>
      </w:tr>
      <w:tr w:rsidR="00560200" w:rsidTr="00DA254D">
        <w:tc>
          <w:tcPr>
            <w:tcW w:w="1183" w:type="dxa"/>
          </w:tcPr>
          <w:p w:rsidR="00560200" w:rsidRPr="003B0AA3" w:rsidRDefault="00560200" w:rsidP="00DA254D">
            <w:pPr>
              <w:pStyle w:val="ListParagraph"/>
              <w:spacing w:line="360" w:lineRule="auto"/>
              <w:ind w:left="0"/>
              <w:rPr>
                <w:rFonts w:asciiTheme="minorHAnsi" w:hAnsiTheme="minorHAnsi" w:cstheme="minorHAnsi"/>
                <w:bCs/>
                <w:sz w:val="24"/>
                <w:szCs w:val="24"/>
              </w:rPr>
            </w:pPr>
            <w:r>
              <w:rPr>
                <w:rFonts w:asciiTheme="minorHAnsi" w:hAnsiTheme="minorHAnsi" w:cstheme="minorHAnsi"/>
                <w:bCs/>
                <w:sz w:val="24"/>
                <w:szCs w:val="24"/>
              </w:rPr>
              <w:t>2019</w:t>
            </w:r>
          </w:p>
        </w:tc>
        <w:tc>
          <w:tcPr>
            <w:tcW w:w="1701" w:type="dxa"/>
          </w:tcPr>
          <w:p w:rsidR="00560200" w:rsidRDefault="00560200" w:rsidP="00DA254D">
            <w:pPr>
              <w:pStyle w:val="ListParagraph"/>
              <w:spacing w:line="360" w:lineRule="auto"/>
              <w:ind w:left="0"/>
              <w:rPr>
                <w:rFonts w:asciiTheme="minorHAnsi" w:hAnsiTheme="minorHAnsi" w:cstheme="minorHAnsi"/>
                <w:bCs/>
                <w:sz w:val="24"/>
                <w:szCs w:val="24"/>
              </w:rPr>
            </w:pPr>
            <w:r>
              <w:rPr>
                <w:rFonts w:asciiTheme="minorHAnsi" w:hAnsiTheme="minorHAnsi" w:cstheme="minorHAnsi"/>
                <w:bCs/>
                <w:sz w:val="24"/>
                <w:szCs w:val="24"/>
              </w:rPr>
              <w:t>0</w:t>
            </w:r>
          </w:p>
        </w:tc>
        <w:tc>
          <w:tcPr>
            <w:tcW w:w="2552" w:type="dxa"/>
          </w:tcPr>
          <w:p w:rsidR="00560200" w:rsidRDefault="00560200" w:rsidP="00DA254D">
            <w:pPr>
              <w:pStyle w:val="ListParagraph"/>
              <w:spacing w:line="360" w:lineRule="auto"/>
              <w:ind w:left="0"/>
              <w:rPr>
                <w:rFonts w:asciiTheme="minorHAnsi" w:hAnsiTheme="minorHAnsi" w:cstheme="minorHAnsi"/>
                <w:bCs/>
                <w:sz w:val="24"/>
                <w:szCs w:val="24"/>
              </w:rPr>
            </w:pPr>
            <w:r>
              <w:rPr>
                <w:rFonts w:asciiTheme="minorHAnsi" w:hAnsiTheme="minorHAnsi" w:cstheme="minorHAnsi"/>
                <w:bCs/>
                <w:sz w:val="24"/>
                <w:szCs w:val="24"/>
              </w:rPr>
              <w:t>n/a</w:t>
            </w:r>
          </w:p>
        </w:tc>
        <w:tc>
          <w:tcPr>
            <w:tcW w:w="2500" w:type="dxa"/>
          </w:tcPr>
          <w:p w:rsidR="00560200" w:rsidRDefault="00560200" w:rsidP="00DA254D">
            <w:pPr>
              <w:pStyle w:val="ListParagraph"/>
              <w:spacing w:line="360" w:lineRule="auto"/>
              <w:ind w:left="0"/>
              <w:rPr>
                <w:rFonts w:asciiTheme="minorHAnsi" w:hAnsiTheme="minorHAnsi" w:cstheme="minorHAnsi"/>
                <w:bCs/>
                <w:sz w:val="24"/>
                <w:szCs w:val="24"/>
              </w:rPr>
            </w:pPr>
            <w:r>
              <w:rPr>
                <w:rFonts w:asciiTheme="minorHAnsi" w:hAnsiTheme="minorHAnsi" w:cstheme="minorHAnsi"/>
                <w:bCs/>
                <w:sz w:val="24"/>
                <w:szCs w:val="24"/>
              </w:rPr>
              <w:t>0</w:t>
            </w:r>
          </w:p>
        </w:tc>
      </w:tr>
      <w:tr w:rsidR="00560200" w:rsidTr="00DA254D">
        <w:tc>
          <w:tcPr>
            <w:tcW w:w="1183" w:type="dxa"/>
          </w:tcPr>
          <w:p w:rsidR="00560200" w:rsidRPr="003B0AA3" w:rsidRDefault="00560200" w:rsidP="00DA254D">
            <w:pPr>
              <w:pStyle w:val="ListParagraph"/>
              <w:spacing w:line="360" w:lineRule="auto"/>
              <w:ind w:left="0"/>
              <w:rPr>
                <w:rFonts w:asciiTheme="minorHAnsi" w:hAnsiTheme="minorHAnsi" w:cstheme="minorHAnsi"/>
                <w:bCs/>
                <w:sz w:val="24"/>
                <w:szCs w:val="24"/>
              </w:rPr>
            </w:pPr>
            <w:r>
              <w:rPr>
                <w:rFonts w:asciiTheme="minorHAnsi" w:hAnsiTheme="minorHAnsi" w:cstheme="minorHAnsi"/>
                <w:bCs/>
                <w:sz w:val="24"/>
                <w:szCs w:val="24"/>
              </w:rPr>
              <w:t>2018</w:t>
            </w:r>
          </w:p>
        </w:tc>
        <w:tc>
          <w:tcPr>
            <w:tcW w:w="1701" w:type="dxa"/>
          </w:tcPr>
          <w:p w:rsidR="00560200" w:rsidRDefault="00560200" w:rsidP="00DA254D">
            <w:pPr>
              <w:pStyle w:val="ListParagraph"/>
              <w:spacing w:line="360" w:lineRule="auto"/>
              <w:ind w:left="0"/>
              <w:rPr>
                <w:rFonts w:asciiTheme="minorHAnsi" w:hAnsiTheme="minorHAnsi" w:cstheme="minorHAnsi"/>
                <w:bCs/>
                <w:sz w:val="24"/>
                <w:szCs w:val="24"/>
              </w:rPr>
            </w:pPr>
            <w:r>
              <w:rPr>
                <w:rFonts w:asciiTheme="minorHAnsi" w:hAnsiTheme="minorHAnsi" w:cstheme="minorHAnsi"/>
                <w:bCs/>
                <w:sz w:val="24"/>
                <w:szCs w:val="24"/>
              </w:rPr>
              <w:t>0</w:t>
            </w:r>
          </w:p>
        </w:tc>
        <w:tc>
          <w:tcPr>
            <w:tcW w:w="2552" w:type="dxa"/>
          </w:tcPr>
          <w:p w:rsidR="00560200" w:rsidRDefault="00560200" w:rsidP="00DA254D">
            <w:pPr>
              <w:pStyle w:val="ListParagraph"/>
              <w:spacing w:line="360" w:lineRule="auto"/>
              <w:ind w:left="0"/>
              <w:rPr>
                <w:rFonts w:asciiTheme="minorHAnsi" w:hAnsiTheme="minorHAnsi" w:cstheme="minorHAnsi"/>
                <w:bCs/>
                <w:sz w:val="24"/>
                <w:szCs w:val="24"/>
              </w:rPr>
            </w:pPr>
            <w:r>
              <w:rPr>
                <w:rFonts w:asciiTheme="minorHAnsi" w:hAnsiTheme="minorHAnsi" w:cstheme="minorHAnsi"/>
                <w:bCs/>
                <w:sz w:val="24"/>
                <w:szCs w:val="24"/>
              </w:rPr>
              <w:t>n/a</w:t>
            </w:r>
          </w:p>
        </w:tc>
        <w:tc>
          <w:tcPr>
            <w:tcW w:w="2500" w:type="dxa"/>
          </w:tcPr>
          <w:p w:rsidR="00560200" w:rsidRDefault="00560200" w:rsidP="00DA254D">
            <w:pPr>
              <w:pStyle w:val="ListParagraph"/>
              <w:spacing w:line="360" w:lineRule="auto"/>
              <w:ind w:left="0"/>
              <w:rPr>
                <w:rFonts w:asciiTheme="minorHAnsi" w:hAnsiTheme="minorHAnsi" w:cstheme="minorHAnsi"/>
                <w:bCs/>
                <w:sz w:val="24"/>
                <w:szCs w:val="24"/>
              </w:rPr>
            </w:pPr>
            <w:r>
              <w:rPr>
                <w:rFonts w:asciiTheme="minorHAnsi" w:hAnsiTheme="minorHAnsi" w:cstheme="minorHAnsi"/>
                <w:bCs/>
                <w:sz w:val="24"/>
                <w:szCs w:val="24"/>
              </w:rPr>
              <w:t>0</w:t>
            </w:r>
          </w:p>
        </w:tc>
      </w:tr>
    </w:tbl>
    <w:p w:rsidR="00560200" w:rsidRPr="003B0AA3" w:rsidRDefault="003B0AA3" w:rsidP="003B0AA3">
      <w:pPr>
        <w:spacing w:line="360" w:lineRule="auto"/>
        <w:rPr>
          <w:rFonts w:asciiTheme="minorHAnsi" w:hAnsiTheme="minorHAnsi" w:cstheme="minorHAnsi"/>
          <w:bCs/>
          <w:sz w:val="24"/>
          <w:szCs w:val="24"/>
        </w:rPr>
      </w:pPr>
      <w:r w:rsidRPr="003B0AA3">
        <w:rPr>
          <w:rFonts w:asciiTheme="minorHAnsi" w:hAnsiTheme="minorHAnsi" w:cstheme="minorHAnsi"/>
          <w:bCs/>
          <w:sz w:val="24"/>
          <w:szCs w:val="24"/>
        </w:rPr>
        <w:tab/>
      </w:r>
    </w:p>
    <w:p w:rsidR="003B0AA3" w:rsidRPr="003B0AA3" w:rsidRDefault="003B0AA3" w:rsidP="003B0AA3">
      <w:pPr>
        <w:spacing w:line="360" w:lineRule="auto"/>
        <w:rPr>
          <w:rFonts w:asciiTheme="minorHAnsi" w:hAnsiTheme="minorHAnsi" w:cstheme="minorHAnsi"/>
          <w:bCs/>
          <w:sz w:val="24"/>
          <w:szCs w:val="24"/>
        </w:rPr>
      </w:pPr>
      <w:r w:rsidRPr="003B0AA3">
        <w:rPr>
          <w:rFonts w:asciiTheme="minorHAnsi" w:hAnsiTheme="minorHAnsi" w:cstheme="minorHAnsi"/>
          <w:bCs/>
          <w:sz w:val="24"/>
          <w:szCs w:val="24"/>
        </w:rPr>
        <w:tab/>
      </w:r>
      <w:r w:rsidRPr="003B0AA3">
        <w:rPr>
          <w:rFonts w:asciiTheme="minorHAnsi" w:hAnsiTheme="minorHAnsi" w:cstheme="minorHAnsi"/>
          <w:bCs/>
          <w:sz w:val="24"/>
          <w:szCs w:val="24"/>
        </w:rPr>
        <w:tab/>
      </w:r>
    </w:p>
    <w:p w:rsidR="003B0AA3" w:rsidRPr="003B0AA3" w:rsidRDefault="003B0AA3" w:rsidP="003B0AA3">
      <w:pPr>
        <w:spacing w:line="360" w:lineRule="auto"/>
        <w:rPr>
          <w:rFonts w:asciiTheme="minorHAnsi" w:hAnsiTheme="minorHAnsi" w:cstheme="minorHAnsi"/>
          <w:bCs/>
          <w:sz w:val="24"/>
          <w:szCs w:val="24"/>
        </w:rPr>
      </w:pPr>
      <w:r w:rsidRPr="003B0AA3">
        <w:rPr>
          <w:rFonts w:asciiTheme="minorHAnsi" w:hAnsiTheme="minorHAnsi" w:cstheme="minorHAnsi"/>
          <w:bCs/>
          <w:sz w:val="24"/>
          <w:szCs w:val="24"/>
        </w:rPr>
        <w:t>8</w:t>
      </w:r>
      <w:r w:rsidRPr="003B0AA3">
        <w:rPr>
          <w:rFonts w:asciiTheme="minorHAnsi" w:hAnsiTheme="minorHAnsi" w:cstheme="minorHAnsi"/>
          <w:bCs/>
          <w:sz w:val="24"/>
          <w:szCs w:val="24"/>
        </w:rPr>
        <w:tab/>
        <w:t>Creditor days = (Trade creditors / Purchases) x 365</w:t>
      </w:r>
    </w:p>
    <w:p w:rsidR="00560200" w:rsidRPr="003B0AA3" w:rsidRDefault="003B0AA3" w:rsidP="003B0AA3">
      <w:pPr>
        <w:spacing w:line="360" w:lineRule="auto"/>
        <w:rPr>
          <w:rFonts w:asciiTheme="minorHAnsi" w:hAnsiTheme="minorHAnsi" w:cstheme="minorHAnsi"/>
          <w:bCs/>
          <w:sz w:val="24"/>
          <w:szCs w:val="24"/>
        </w:rPr>
      </w:pPr>
      <w:r w:rsidRPr="003B0AA3">
        <w:rPr>
          <w:rFonts w:asciiTheme="minorHAnsi" w:hAnsiTheme="minorHAnsi" w:cstheme="minorHAnsi"/>
          <w:bCs/>
          <w:sz w:val="24"/>
          <w:szCs w:val="24"/>
        </w:rPr>
        <w:tab/>
      </w:r>
      <w:r w:rsidRPr="003B0AA3">
        <w:rPr>
          <w:rFonts w:asciiTheme="minorHAnsi" w:hAnsiTheme="minorHAnsi" w:cstheme="minorHAnsi"/>
          <w:bCs/>
          <w:sz w:val="24"/>
          <w:szCs w:val="24"/>
        </w:rPr>
        <w:tab/>
      </w:r>
    </w:p>
    <w:tbl>
      <w:tblPr>
        <w:tblStyle w:val="TableGrid"/>
        <w:tblW w:w="0" w:type="auto"/>
        <w:tblInd w:w="1080" w:type="dxa"/>
        <w:tblLook w:val="04A0" w:firstRow="1" w:lastRow="0" w:firstColumn="1" w:lastColumn="0" w:noHBand="0" w:noVBand="1"/>
      </w:tblPr>
      <w:tblGrid>
        <w:gridCol w:w="1183"/>
        <w:gridCol w:w="1701"/>
        <w:gridCol w:w="2552"/>
        <w:gridCol w:w="2500"/>
      </w:tblGrid>
      <w:tr w:rsidR="00560200" w:rsidTr="00DA254D">
        <w:tc>
          <w:tcPr>
            <w:tcW w:w="1183" w:type="dxa"/>
          </w:tcPr>
          <w:p w:rsidR="00560200" w:rsidRPr="003B0AA3" w:rsidRDefault="00560200" w:rsidP="00DA254D">
            <w:pPr>
              <w:pStyle w:val="ListParagraph"/>
              <w:spacing w:line="360" w:lineRule="auto"/>
              <w:ind w:left="0"/>
              <w:rPr>
                <w:rFonts w:asciiTheme="minorHAnsi" w:hAnsiTheme="minorHAnsi" w:cstheme="minorHAnsi"/>
                <w:bCs/>
                <w:sz w:val="24"/>
                <w:szCs w:val="24"/>
              </w:rPr>
            </w:pPr>
          </w:p>
        </w:tc>
        <w:tc>
          <w:tcPr>
            <w:tcW w:w="1701" w:type="dxa"/>
          </w:tcPr>
          <w:p w:rsidR="00560200" w:rsidRDefault="00560200" w:rsidP="00560200">
            <w:pPr>
              <w:pStyle w:val="ListParagraph"/>
              <w:spacing w:line="360" w:lineRule="auto"/>
              <w:ind w:left="0"/>
              <w:rPr>
                <w:rFonts w:asciiTheme="minorHAnsi" w:hAnsiTheme="minorHAnsi" w:cstheme="minorHAnsi"/>
                <w:bCs/>
                <w:sz w:val="24"/>
                <w:szCs w:val="24"/>
              </w:rPr>
            </w:pPr>
            <w:r>
              <w:rPr>
                <w:rFonts w:asciiTheme="minorHAnsi" w:hAnsiTheme="minorHAnsi" w:cstheme="minorHAnsi"/>
                <w:bCs/>
                <w:sz w:val="24"/>
                <w:szCs w:val="24"/>
              </w:rPr>
              <w:t>Trade creditors</w:t>
            </w:r>
          </w:p>
        </w:tc>
        <w:tc>
          <w:tcPr>
            <w:tcW w:w="2552" w:type="dxa"/>
          </w:tcPr>
          <w:p w:rsidR="00560200" w:rsidRDefault="00560200" w:rsidP="00DA254D">
            <w:pPr>
              <w:pStyle w:val="ListParagraph"/>
              <w:spacing w:line="360" w:lineRule="auto"/>
              <w:ind w:left="0"/>
              <w:rPr>
                <w:rFonts w:asciiTheme="minorHAnsi" w:hAnsiTheme="minorHAnsi" w:cstheme="minorHAnsi"/>
                <w:bCs/>
                <w:sz w:val="24"/>
                <w:szCs w:val="24"/>
              </w:rPr>
            </w:pPr>
            <w:r>
              <w:rPr>
                <w:rFonts w:asciiTheme="minorHAnsi" w:hAnsiTheme="minorHAnsi" w:cstheme="minorHAnsi"/>
                <w:bCs/>
                <w:sz w:val="24"/>
                <w:szCs w:val="24"/>
              </w:rPr>
              <w:t>Purchases</w:t>
            </w:r>
          </w:p>
        </w:tc>
        <w:tc>
          <w:tcPr>
            <w:tcW w:w="2500" w:type="dxa"/>
          </w:tcPr>
          <w:p w:rsidR="00560200" w:rsidRDefault="00560200" w:rsidP="00DA254D">
            <w:pPr>
              <w:pStyle w:val="ListParagraph"/>
              <w:spacing w:line="360" w:lineRule="auto"/>
              <w:ind w:left="0"/>
              <w:rPr>
                <w:rFonts w:asciiTheme="minorHAnsi" w:hAnsiTheme="minorHAnsi" w:cstheme="minorHAnsi"/>
                <w:bCs/>
                <w:sz w:val="24"/>
                <w:szCs w:val="24"/>
              </w:rPr>
            </w:pPr>
            <w:r>
              <w:rPr>
                <w:rFonts w:asciiTheme="minorHAnsi" w:hAnsiTheme="minorHAnsi" w:cstheme="minorHAnsi"/>
                <w:bCs/>
                <w:sz w:val="24"/>
                <w:szCs w:val="24"/>
              </w:rPr>
              <w:t>Creditor days</w:t>
            </w:r>
          </w:p>
        </w:tc>
      </w:tr>
      <w:tr w:rsidR="00560200" w:rsidTr="00DA254D">
        <w:tc>
          <w:tcPr>
            <w:tcW w:w="1183" w:type="dxa"/>
          </w:tcPr>
          <w:p w:rsidR="00560200" w:rsidRPr="003B0AA3" w:rsidRDefault="00560200" w:rsidP="00DA254D">
            <w:pPr>
              <w:pStyle w:val="ListParagraph"/>
              <w:spacing w:line="360" w:lineRule="auto"/>
              <w:ind w:left="0"/>
              <w:rPr>
                <w:rFonts w:asciiTheme="minorHAnsi" w:hAnsiTheme="minorHAnsi" w:cstheme="minorHAnsi"/>
                <w:bCs/>
                <w:sz w:val="24"/>
                <w:szCs w:val="24"/>
              </w:rPr>
            </w:pPr>
            <w:r>
              <w:rPr>
                <w:rFonts w:asciiTheme="minorHAnsi" w:hAnsiTheme="minorHAnsi" w:cstheme="minorHAnsi"/>
                <w:bCs/>
                <w:sz w:val="24"/>
                <w:szCs w:val="24"/>
              </w:rPr>
              <w:t>2019</w:t>
            </w:r>
          </w:p>
        </w:tc>
        <w:tc>
          <w:tcPr>
            <w:tcW w:w="1701" w:type="dxa"/>
          </w:tcPr>
          <w:p w:rsidR="00560200" w:rsidRDefault="00560200" w:rsidP="00DA254D">
            <w:pPr>
              <w:pStyle w:val="ListParagraph"/>
              <w:spacing w:line="360" w:lineRule="auto"/>
              <w:ind w:left="0"/>
              <w:rPr>
                <w:rFonts w:asciiTheme="minorHAnsi" w:hAnsiTheme="minorHAnsi" w:cstheme="minorHAnsi"/>
                <w:bCs/>
                <w:sz w:val="24"/>
                <w:szCs w:val="24"/>
              </w:rPr>
            </w:pPr>
            <w:r>
              <w:rPr>
                <w:rFonts w:asciiTheme="minorHAnsi" w:hAnsiTheme="minorHAnsi" w:cstheme="minorHAnsi"/>
                <w:bCs/>
                <w:sz w:val="24"/>
                <w:szCs w:val="24"/>
              </w:rPr>
              <w:t>0</w:t>
            </w:r>
          </w:p>
        </w:tc>
        <w:tc>
          <w:tcPr>
            <w:tcW w:w="2552" w:type="dxa"/>
          </w:tcPr>
          <w:p w:rsidR="00560200" w:rsidRDefault="00560200" w:rsidP="00DA254D">
            <w:pPr>
              <w:pStyle w:val="ListParagraph"/>
              <w:spacing w:line="360" w:lineRule="auto"/>
              <w:ind w:left="0"/>
              <w:rPr>
                <w:rFonts w:asciiTheme="minorHAnsi" w:hAnsiTheme="minorHAnsi" w:cstheme="minorHAnsi"/>
                <w:bCs/>
                <w:sz w:val="24"/>
                <w:szCs w:val="24"/>
              </w:rPr>
            </w:pPr>
            <w:r>
              <w:rPr>
                <w:rFonts w:asciiTheme="minorHAnsi" w:hAnsiTheme="minorHAnsi" w:cstheme="minorHAnsi"/>
                <w:bCs/>
                <w:sz w:val="24"/>
                <w:szCs w:val="24"/>
              </w:rPr>
              <w:t>n/a</w:t>
            </w:r>
          </w:p>
        </w:tc>
        <w:tc>
          <w:tcPr>
            <w:tcW w:w="2500" w:type="dxa"/>
          </w:tcPr>
          <w:p w:rsidR="00560200" w:rsidRDefault="00560200" w:rsidP="00DA254D">
            <w:pPr>
              <w:pStyle w:val="ListParagraph"/>
              <w:spacing w:line="360" w:lineRule="auto"/>
              <w:ind w:left="0"/>
              <w:rPr>
                <w:rFonts w:asciiTheme="minorHAnsi" w:hAnsiTheme="minorHAnsi" w:cstheme="minorHAnsi"/>
                <w:bCs/>
                <w:sz w:val="24"/>
                <w:szCs w:val="24"/>
              </w:rPr>
            </w:pPr>
            <w:r>
              <w:rPr>
                <w:rFonts w:asciiTheme="minorHAnsi" w:hAnsiTheme="minorHAnsi" w:cstheme="minorHAnsi"/>
                <w:bCs/>
                <w:sz w:val="24"/>
                <w:szCs w:val="24"/>
              </w:rPr>
              <w:t>0</w:t>
            </w:r>
          </w:p>
        </w:tc>
      </w:tr>
      <w:tr w:rsidR="00560200" w:rsidTr="00DA254D">
        <w:tc>
          <w:tcPr>
            <w:tcW w:w="1183" w:type="dxa"/>
          </w:tcPr>
          <w:p w:rsidR="00560200" w:rsidRPr="003B0AA3" w:rsidRDefault="00560200" w:rsidP="00DA254D">
            <w:pPr>
              <w:pStyle w:val="ListParagraph"/>
              <w:spacing w:line="360" w:lineRule="auto"/>
              <w:ind w:left="0"/>
              <w:rPr>
                <w:rFonts w:asciiTheme="minorHAnsi" w:hAnsiTheme="minorHAnsi" w:cstheme="minorHAnsi"/>
                <w:bCs/>
                <w:sz w:val="24"/>
                <w:szCs w:val="24"/>
              </w:rPr>
            </w:pPr>
            <w:r>
              <w:rPr>
                <w:rFonts w:asciiTheme="minorHAnsi" w:hAnsiTheme="minorHAnsi" w:cstheme="minorHAnsi"/>
                <w:bCs/>
                <w:sz w:val="24"/>
                <w:szCs w:val="24"/>
              </w:rPr>
              <w:t>2018</w:t>
            </w:r>
          </w:p>
        </w:tc>
        <w:tc>
          <w:tcPr>
            <w:tcW w:w="1701" w:type="dxa"/>
          </w:tcPr>
          <w:p w:rsidR="00560200" w:rsidRDefault="00560200" w:rsidP="00DA254D">
            <w:pPr>
              <w:pStyle w:val="ListParagraph"/>
              <w:spacing w:line="360" w:lineRule="auto"/>
              <w:ind w:left="0"/>
              <w:rPr>
                <w:rFonts w:asciiTheme="minorHAnsi" w:hAnsiTheme="minorHAnsi" w:cstheme="minorHAnsi"/>
                <w:bCs/>
                <w:sz w:val="24"/>
                <w:szCs w:val="24"/>
              </w:rPr>
            </w:pPr>
            <w:r>
              <w:rPr>
                <w:rFonts w:asciiTheme="minorHAnsi" w:hAnsiTheme="minorHAnsi" w:cstheme="minorHAnsi"/>
                <w:bCs/>
                <w:sz w:val="24"/>
                <w:szCs w:val="24"/>
              </w:rPr>
              <w:t>0</w:t>
            </w:r>
          </w:p>
        </w:tc>
        <w:tc>
          <w:tcPr>
            <w:tcW w:w="2552" w:type="dxa"/>
          </w:tcPr>
          <w:p w:rsidR="00560200" w:rsidRDefault="00560200" w:rsidP="00DA254D">
            <w:pPr>
              <w:pStyle w:val="ListParagraph"/>
              <w:spacing w:line="360" w:lineRule="auto"/>
              <w:ind w:left="0"/>
              <w:rPr>
                <w:rFonts w:asciiTheme="minorHAnsi" w:hAnsiTheme="minorHAnsi" w:cstheme="minorHAnsi"/>
                <w:bCs/>
                <w:sz w:val="24"/>
                <w:szCs w:val="24"/>
              </w:rPr>
            </w:pPr>
            <w:r>
              <w:rPr>
                <w:rFonts w:asciiTheme="minorHAnsi" w:hAnsiTheme="minorHAnsi" w:cstheme="minorHAnsi"/>
                <w:bCs/>
                <w:sz w:val="24"/>
                <w:szCs w:val="24"/>
              </w:rPr>
              <w:t>n/a</w:t>
            </w:r>
          </w:p>
        </w:tc>
        <w:tc>
          <w:tcPr>
            <w:tcW w:w="2500" w:type="dxa"/>
          </w:tcPr>
          <w:p w:rsidR="00560200" w:rsidRDefault="00560200" w:rsidP="00DA254D">
            <w:pPr>
              <w:pStyle w:val="ListParagraph"/>
              <w:spacing w:line="360" w:lineRule="auto"/>
              <w:ind w:left="0"/>
              <w:rPr>
                <w:rFonts w:asciiTheme="minorHAnsi" w:hAnsiTheme="minorHAnsi" w:cstheme="minorHAnsi"/>
                <w:bCs/>
                <w:sz w:val="24"/>
                <w:szCs w:val="24"/>
              </w:rPr>
            </w:pPr>
            <w:r>
              <w:rPr>
                <w:rFonts w:asciiTheme="minorHAnsi" w:hAnsiTheme="minorHAnsi" w:cstheme="minorHAnsi"/>
                <w:bCs/>
                <w:sz w:val="24"/>
                <w:szCs w:val="24"/>
              </w:rPr>
              <w:t>0</w:t>
            </w:r>
          </w:p>
        </w:tc>
      </w:tr>
    </w:tbl>
    <w:p w:rsidR="003B0AA3" w:rsidRPr="003B0AA3" w:rsidRDefault="003B0AA3" w:rsidP="003B0AA3">
      <w:pPr>
        <w:spacing w:line="360" w:lineRule="auto"/>
        <w:rPr>
          <w:rFonts w:asciiTheme="minorHAnsi" w:hAnsiTheme="minorHAnsi" w:cstheme="minorHAnsi"/>
          <w:bCs/>
          <w:sz w:val="24"/>
          <w:szCs w:val="24"/>
        </w:rPr>
      </w:pPr>
      <w:r w:rsidRPr="003B0AA3">
        <w:rPr>
          <w:rFonts w:asciiTheme="minorHAnsi" w:hAnsiTheme="minorHAnsi" w:cstheme="minorHAnsi"/>
          <w:bCs/>
          <w:sz w:val="24"/>
          <w:szCs w:val="24"/>
        </w:rPr>
        <w:tab/>
      </w:r>
      <w:r w:rsidRPr="003B0AA3">
        <w:rPr>
          <w:rFonts w:asciiTheme="minorHAnsi" w:hAnsiTheme="minorHAnsi" w:cstheme="minorHAnsi"/>
          <w:bCs/>
          <w:sz w:val="24"/>
          <w:szCs w:val="24"/>
        </w:rPr>
        <w:tab/>
      </w:r>
    </w:p>
    <w:p w:rsidR="003B0AA3" w:rsidRPr="003B0AA3" w:rsidRDefault="003B0AA3" w:rsidP="003B0AA3">
      <w:pPr>
        <w:spacing w:line="360" w:lineRule="auto"/>
        <w:rPr>
          <w:rFonts w:asciiTheme="minorHAnsi" w:hAnsiTheme="minorHAnsi" w:cstheme="minorHAnsi"/>
          <w:bCs/>
          <w:sz w:val="24"/>
          <w:szCs w:val="24"/>
        </w:rPr>
      </w:pPr>
      <w:r w:rsidRPr="003B0AA3">
        <w:rPr>
          <w:rFonts w:asciiTheme="minorHAnsi" w:hAnsiTheme="minorHAnsi" w:cstheme="minorHAnsi"/>
          <w:bCs/>
          <w:sz w:val="24"/>
          <w:szCs w:val="24"/>
        </w:rPr>
        <w:t>9</w:t>
      </w:r>
      <w:r w:rsidRPr="003B0AA3">
        <w:rPr>
          <w:rFonts w:asciiTheme="minorHAnsi" w:hAnsiTheme="minorHAnsi" w:cstheme="minorHAnsi"/>
          <w:bCs/>
          <w:sz w:val="24"/>
          <w:szCs w:val="24"/>
        </w:rPr>
        <w:tab/>
        <w:t xml:space="preserve">Stock days = (Stock / Cost of Sales) x 365 </w:t>
      </w:r>
    </w:p>
    <w:p w:rsidR="00560200" w:rsidRPr="003B0AA3" w:rsidRDefault="003B0AA3" w:rsidP="003B0AA3">
      <w:pPr>
        <w:spacing w:line="360" w:lineRule="auto"/>
        <w:rPr>
          <w:rFonts w:asciiTheme="minorHAnsi" w:hAnsiTheme="minorHAnsi" w:cstheme="minorHAnsi"/>
          <w:bCs/>
          <w:sz w:val="24"/>
          <w:szCs w:val="24"/>
        </w:rPr>
      </w:pPr>
      <w:r w:rsidRPr="003B0AA3">
        <w:rPr>
          <w:rFonts w:asciiTheme="minorHAnsi" w:hAnsiTheme="minorHAnsi" w:cstheme="minorHAnsi"/>
          <w:bCs/>
          <w:sz w:val="24"/>
          <w:szCs w:val="24"/>
        </w:rPr>
        <w:tab/>
      </w:r>
    </w:p>
    <w:tbl>
      <w:tblPr>
        <w:tblStyle w:val="TableGrid"/>
        <w:tblW w:w="0" w:type="auto"/>
        <w:tblInd w:w="1080" w:type="dxa"/>
        <w:tblLook w:val="04A0" w:firstRow="1" w:lastRow="0" w:firstColumn="1" w:lastColumn="0" w:noHBand="0" w:noVBand="1"/>
      </w:tblPr>
      <w:tblGrid>
        <w:gridCol w:w="1183"/>
        <w:gridCol w:w="1701"/>
        <w:gridCol w:w="2552"/>
        <w:gridCol w:w="2500"/>
      </w:tblGrid>
      <w:tr w:rsidR="00560200" w:rsidTr="00DA254D">
        <w:tc>
          <w:tcPr>
            <w:tcW w:w="1183" w:type="dxa"/>
          </w:tcPr>
          <w:p w:rsidR="00560200" w:rsidRPr="003B0AA3" w:rsidRDefault="00560200" w:rsidP="00DA254D">
            <w:pPr>
              <w:pStyle w:val="ListParagraph"/>
              <w:spacing w:line="360" w:lineRule="auto"/>
              <w:ind w:left="0"/>
              <w:rPr>
                <w:rFonts w:asciiTheme="minorHAnsi" w:hAnsiTheme="minorHAnsi" w:cstheme="minorHAnsi"/>
                <w:bCs/>
                <w:sz w:val="24"/>
                <w:szCs w:val="24"/>
              </w:rPr>
            </w:pPr>
          </w:p>
        </w:tc>
        <w:tc>
          <w:tcPr>
            <w:tcW w:w="1701" w:type="dxa"/>
          </w:tcPr>
          <w:p w:rsidR="00560200" w:rsidRDefault="00560200" w:rsidP="00DA254D">
            <w:pPr>
              <w:pStyle w:val="ListParagraph"/>
              <w:spacing w:line="360" w:lineRule="auto"/>
              <w:ind w:left="0"/>
              <w:rPr>
                <w:rFonts w:asciiTheme="minorHAnsi" w:hAnsiTheme="minorHAnsi" w:cstheme="minorHAnsi"/>
                <w:bCs/>
                <w:sz w:val="24"/>
                <w:szCs w:val="24"/>
              </w:rPr>
            </w:pPr>
            <w:r>
              <w:rPr>
                <w:rFonts w:asciiTheme="minorHAnsi" w:hAnsiTheme="minorHAnsi" w:cstheme="minorHAnsi"/>
                <w:bCs/>
                <w:sz w:val="24"/>
                <w:szCs w:val="24"/>
              </w:rPr>
              <w:t>Stock</w:t>
            </w:r>
          </w:p>
        </w:tc>
        <w:tc>
          <w:tcPr>
            <w:tcW w:w="2552" w:type="dxa"/>
          </w:tcPr>
          <w:p w:rsidR="00560200" w:rsidRDefault="00560200" w:rsidP="00DA254D">
            <w:pPr>
              <w:pStyle w:val="ListParagraph"/>
              <w:spacing w:line="360" w:lineRule="auto"/>
              <w:ind w:left="0"/>
              <w:rPr>
                <w:rFonts w:asciiTheme="minorHAnsi" w:hAnsiTheme="minorHAnsi" w:cstheme="minorHAnsi"/>
                <w:bCs/>
                <w:sz w:val="24"/>
                <w:szCs w:val="24"/>
              </w:rPr>
            </w:pPr>
            <w:r>
              <w:rPr>
                <w:rFonts w:asciiTheme="minorHAnsi" w:hAnsiTheme="minorHAnsi" w:cstheme="minorHAnsi"/>
                <w:bCs/>
                <w:sz w:val="24"/>
                <w:szCs w:val="24"/>
              </w:rPr>
              <w:t>Cost of Sales</w:t>
            </w:r>
          </w:p>
        </w:tc>
        <w:tc>
          <w:tcPr>
            <w:tcW w:w="2500" w:type="dxa"/>
          </w:tcPr>
          <w:p w:rsidR="00560200" w:rsidRDefault="00560200" w:rsidP="00DA254D">
            <w:pPr>
              <w:pStyle w:val="ListParagraph"/>
              <w:spacing w:line="360" w:lineRule="auto"/>
              <w:ind w:left="0"/>
              <w:rPr>
                <w:rFonts w:asciiTheme="minorHAnsi" w:hAnsiTheme="minorHAnsi" w:cstheme="minorHAnsi"/>
                <w:bCs/>
                <w:sz w:val="24"/>
                <w:szCs w:val="24"/>
              </w:rPr>
            </w:pPr>
            <w:r>
              <w:rPr>
                <w:rFonts w:asciiTheme="minorHAnsi" w:hAnsiTheme="minorHAnsi" w:cstheme="minorHAnsi"/>
                <w:bCs/>
                <w:sz w:val="24"/>
                <w:szCs w:val="24"/>
              </w:rPr>
              <w:t>Stock days</w:t>
            </w:r>
          </w:p>
        </w:tc>
      </w:tr>
      <w:tr w:rsidR="00560200" w:rsidTr="00DA254D">
        <w:tc>
          <w:tcPr>
            <w:tcW w:w="1183" w:type="dxa"/>
          </w:tcPr>
          <w:p w:rsidR="00560200" w:rsidRPr="003B0AA3" w:rsidRDefault="00560200" w:rsidP="00DA254D">
            <w:pPr>
              <w:pStyle w:val="ListParagraph"/>
              <w:spacing w:line="360" w:lineRule="auto"/>
              <w:ind w:left="0"/>
              <w:rPr>
                <w:rFonts w:asciiTheme="minorHAnsi" w:hAnsiTheme="minorHAnsi" w:cstheme="minorHAnsi"/>
                <w:bCs/>
                <w:sz w:val="24"/>
                <w:szCs w:val="24"/>
              </w:rPr>
            </w:pPr>
            <w:r>
              <w:rPr>
                <w:rFonts w:asciiTheme="minorHAnsi" w:hAnsiTheme="minorHAnsi" w:cstheme="minorHAnsi"/>
                <w:bCs/>
                <w:sz w:val="24"/>
                <w:szCs w:val="24"/>
              </w:rPr>
              <w:t>2019</w:t>
            </w:r>
          </w:p>
        </w:tc>
        <w:tc>
          <w:tcPr>
            <w:tcW w:w="1701" w:type="dxa"/>
          </w:tcPr>
          <w:p w:rsidR="00560200" w:rsidRDefault="00560200" w:rsidP="00DA254D">
            <w:pPr>
              <w:pStyle w:val="ListParagraph"/>
              <w:spacing w:line="360" w:lineRule="auto"/>
              <w:ind w:left="0"/>
              <w:rPr>
                <w:rFonts w:asciiTheme="minorHAnsi" w:hAnsiTheme="minorHAnsi" w:cstheme="minorHAnsi"/>
                <w:bCs/>
                <w:sz w:val="24"/>
                <w:szCs w:val="24"/>
              </w:rPr>
            </w:pPr>
            <w:r>
              <w:rPr>
                <w:rFonts w:asciiTheme="minorHAnsi" w:hAnsiTheme="minorHAnsi" w:cstheme="minorHAnsi"/>
                <w:bCs/>
                <w:sz w:val="24"/>
                <w:szCs w:val="24"/>
              </w:rPr>
              <w:t>0</w:t>
            </w:r>
          </w:p>
        </w:tc>
        <w:tc>
          <w:tcPr>
            <w:tcW w:w="2552" w:type="dxa"/>
          </w:tcPr>
          <w:p w:rsidR="00560200" w:rsidRDefault="00560200" w:rsidP="00DA254D">
            <w:pPr>
              <w:pStyle w:val="ListParagraph"/>
              <w:spacing w:line="360" w:lineRule="auto"/>
              <w:ind w:left="0"/>
              <w:rPr>
                <w:rFonts w:asciiTheme="minorHAnsi" w:hAnsiTheme="minorHAnsi" w:cstheme="minorHAnsi"/>
                <w:bCs/>
                <w:sz w:val="24"/>
                <w:szCs w:val="24"/>
              </w:rPr>
            </w:pPr>
            <w:r>
              <w:rPr>
                <w:rFonts w:asciiTheme="minorHAnsi" w:hAnsiTheme="minorHAnsi" w:cstheme="minorHAnsi"/>
                <w:bCs/>
                <w:sz w:val="24"/>
                <w:szCs w:val="24"/>
              </w:rPr>
              <w:t>n/a</w:t>
            </w:r>
          </w:p>
        </w:tc>
        <w:tc>
          <w:tcPr>
            <w:tcW w:w="2500" w:type="dxa"/>
          </w:tcPr>
          <w:p w:rsidR="00560200" w:rsidRDefault="00560200" w:rsidP="00DA254D">
            <w:pPr>
              <w:pStyle w:val="ListParagraph"/>
              <w:spacing w:line="360" w:lineRule="auto"/>
              <w:ind w:left="0"/>
              <w:rPr>
                <w:rFonts w:asciiTheme="minorHAnsi" w:hAnsiTheme="minorHAnsi" w:cstheme="minorHAnsi"/>
                <w:bCs/>
                <w:sz w:val="24"/>
                <w:szCs w:val="24"/>
              </w:rPr>
            </w:pPr>
            <w:r>
              <w:rPr>
                <w:rFonts w:asciiTheme="minorHAnsi" w:hAnsiTheme="minorHAnsi" w:cstheme="minorHAnsi"/>
                <w:bCs/>
                <w:sz w:val="24"/>
                <w:szCs w:val="24"/>
              </w:rPr>
              <w:t>0</w:t>
            </w:r>
          </w:p>
        </w:tc>
      </w:tr>
      <w:tr w:rsidR="00560200" w:rsidTr="00DA254D">
        <w:tc>
          <w:tcPr>
            <w:tcW w:w="1183" w:type="dxa"/>
          </w:tcPr>
          <w:p w:rsidR="00560200" w:rsidRPr="003B0AA3" w:rsidRDefault="00560200" w:rsidP="00DA254D">
            <w:pPr>
              <w:pStyle w:val="ListParagraph"/>
              <w:spacing w:line="360" w:lineRule="auto"/>
              <w:ind w:left="0"/>
              <w:rPr>
                <w:rFonts w:asciiTheme="minorHAnsi" w:hAnsiTheme="minorHAnsi" w:cstheme="minorHAnsi"/>
                <w:bCs/>
                <w:sz w:val="24"/>
                <w:szCs w:val="24"/>
              </w:rPr>
            </w:pPr>
            <w:r>
              <w:rPr>
                <w:rFonts w:asciiTheme="minorHAnsi" w:hAnsiTheme="minorHAnsi" w:cstheme="minorHAnsi"/>
                <w:bCs/>
                <w:sz w:val="24"/>
                <w:szCs w:val="24"/>
              </w:rPr>
              <w:t>2018</w:t>
            </w:r>
          </w:p>
        </w:tc>
        <w:tc>
          <w:tcPr>
            <w:tcW w:w="1701" w:type="dxa"/>
          </w:tcPr>
          <w:p w:rsidR="00560200" w:rsidRDefault="00560200" w:rsidP="00DA254D">
            <w:pPr>
              <w:pStyle w:val="ListParagraph"/>
              <w:spacing w:line="360" w:lineRule="auto"/>
              <w:ind w:left="0"/>
              <w:rPr>
                <w:rFonts w:asciiTheme="minorHAnsi" w:hAnsiTheme="minorHAnsi" w:cstheme="minorHAnsi"/>
                <w:bCs/>
                <w:sz w:val="24"/>
                <w:szCs w:val="24"/>
              </w:rPr>
            </w:pPr>
            <w:r>
              <w:rPr>
                <w:rFonts w:asciiTheme="minorHAnsi" w:hAnsiTheme="minorHAnsi" w:cstheme="minorHAnsi"/>
                <w:bCs/>
                <w:sz w:val="24"/>
                <w:szCs w:val="24"/>
              </w:rPr>
              <w:t>0</w:t>
            </w:r>
          </w:p>
        </w:tc>
        <w:tc>
          <w:tcPr>
            <w:tcW w:w="2552" w:type="dxa"/>
          </w:tcPr>
          <w:p w:rsidR="00560200" w:rsidRDefault="00560200" w:rsidP="00DA254D">
            <w:pPr>
              <w:pStyle w:val="ListParagraph"/>
              <w:spacing w:line="360" w:lineRule="auto"/>
              <w:ind w:left="0"/>
              <w:rPr>
                <w:rFonts w:asciiTheme="minorHAnsi" w:hAnsiTheme="minorHAnsi" w:cstheme="minorHAnsi"/>
                <w:bCs/>
                <w:sz w:val="24"/>
                <w:szCs w:val="24"/>
              </w:rPr>
            </w:pPr>
            <w:r>
              <w:rPr>
                <w:rFonts w:asciiTheme="minorHAnsi" w:hAnsiTheme="minorHAnsi" w:cstheme="minorHAnsi"/>
                <w:bCs/>
                <w:sz w:val="24"/>
                <w:szCs w:val="24"/>
              </w:rPr>
              <w:t>n/a</w:t>
            </w:r>
          </w:p>
        </w:tc>
        <w:tc>
          <w:tcPr>
            <w:tcW w:w="2500" w:type="dxa"/>
          </w:tcPr>
          <w:p w:rsidR="00560200" w:rsidRDefault="00560200" w:rsidP="00DA254D">
            <w:pPr>
              <w:pStyle w:val="ListParagraph"/>
              <w:spacing w:line="360" w:lineRule="auto"/>
              <w:ind w:left="0"/>
              <w:rPr>
                <w:rFonts w:asciiTheme="minorHAnsi" w:hAnsiTheme="minorHAnsi" w:cstheme="minorHAnsi"/>
                <w:bCs/>
                <w:sz w:val="24"/>
                <w:szCs w:val="24"/>
              </w:rPr>
            </w:pPr>
            <w:r>
              <w:rPr>
                <w:rFonts w:asciiTheme="minorHAnsi" w:hAnsiTheme="minorHAnsi" w:cstheme="minorHAnsi"/>
                <w:bCs/>
                <w:sz w:val="24"/>
                <w:szCs w:val="24"/>
              </w:rPr>
              <w:t>0</w:t>
            </w:r>
          </w:p>
        </w:tc>
      </w:tr>
    </w:tbl>
    <w:p w:rsidR="003B0AA3" w:rsidRPr="003B0AA3" w:rsidRDefault="003B0AA3" w:rsidP="003B0AA3">
      <w:pPr>
        <w:spacing w:line="360" w:lineRule="auto"/>
        <w:rPr>
          <w:rFonts w:asciiTheme="minorHAnsi" w:hAnsiTheme="minorHAnsi" w:cstheme="minorHAnsi"/>
          <w:bCs/>
          <w:sz w:val="24"/>
          <w:szCs w:val="24"/>
        </w:rPr>
      </w:pPr>
      <w:r w:rsidRPr="003B0AA3">
        <w:rPr>
          <w:rFonts w:asciiTheme="minorHAnsi" w:hAnsiTheme="minorHAnsi" w:cstheme="minorHAnsi"/>
          <w:bCs/>
          <w:sz w:val="24"/>
          <w:szCs w:val="24"/>
        </w:rPr>
        <w:tab/>
      </w:r>
      <w:r w:rsidRPr="003B0AA3">
        <w:rPr>
          <w:rFonts w:asciiTheme="minorHAnsi" w:hAnsiTheme="minorHAnsi" w:cstheme="minorHAnsi"/>
          <w:bCs/>
          <w:sz w:val="24"/>
          <w:szCs w:val="24"/>
        </w:rPr>
        <w:tab/>
      </w:r>
      <w:r w:rsidRPr="003B0AA3">
        <w:rPr>
          <w:rFonts w:asciiTheme="minorHAnsi" w:hAnsiTheme="minorHAnsi" w:cstheme="minorHAnsi"/>
          <w:bCs/>
          <w:sz w:val="24"/>
          <w:szCs w:val="24"/>
        </w:rPr>
        <w:tab/>
      </w:r>
    </w:p>
    <w:p w:rsidR="003B0AA3" w:rsidRPr="003B0AA3" w:rsidRDefault="003B0AA3" w:rsidP="003B0AA3">
      <w:pPr>
        <w:spacing w:line="360" w:lineRule="auto"/>
        <w:rPr>
          <w:rFonts w:asciiTheme="minorHAnsi" w:hAnsiTheme="minorHAnsi" w:cstheme="minorHAnsi"/>
          <w:bCs/>
          <w:sz w:val="24"/>
          <w:szCs w:val="24"/>
        </w:rPr>
      </w:pPr>
    </w:p>
    <w:p w:rsidR="003B0AA3" w:rsidRPr="003B0AA3" w:rsidRDefault="003B0AA3" w:rsidP="003B0AA3">
      <w:pPr>
        <w:spacing w:line="360" w:lineRule="auto"/>
        <w:rPr>
          <w:rFonts w:asciiTheme="minorHAnsi" w:hAnsiTheme="minorHAnsi" w:cstheme="minorHAnsi"/>
          <w:bCs/>
          <w:sz w:val="24"/>
          <w:szCs w:val="24"/>
        </w:rPr>
      </w:pPr>
      <w:r w:rsidRPr="003B0AA3">
        <w:rPr>
          <w:rFonts w:asciiTheme="minorHAnsi" w:hAnsiTheme="minorHAnsi" w:cstheme="minorHAnsi"/>
          <w:bCs/>
          <w:sz w:val="24"/>
          <w:szCs w:val="24"/>
        </w:rPr>
        <w:t>Gearing ratios</w:t>
      </w:r>
    </w:p>
    <w:p w:rsidR="003B0AA3" w:rsidRDefault="003B0AA3" w:rsidP="003B0AA3">
      <w:pPr>
        <w:spacing w:line="360" w:lineRule="auto"/>
        <w:rPr>
          <w:rFonts w:asciiTheme="minorHAnsi" w:hAnsiTheme="minorHAnsi" w:cstheme="minorHAnsi"/>
          <w:bCs/>
          <w:sz w:val="24"/>
          <w:szCs w:val="24"/>
        </w:rPr>
      </w:pPr>
      <w:r w:rsidRPr="003B0AA3">
        <w:rPr>
          <w:rFonts w:asciiTheme="minorHAnsi" w:hAnsiTheme="minorHAnsi" w:cstheme="minorHAnsi"/>
          <w:bCs/>
          <w:sz w:val="24"/>
          <w:szCs w:val="24"/>
        </w:rPr>
        <w:t>10</w:t>
      </w:r>
      <w:r w:rsidRPr="003B0AA3">
        <w:rPr>
          <w:rFonts w:asciiTheme="minorHAnsi" w:hAnsiTheme="minorHAnsi" w:cstheme="minorHAnsi"/>
          <w:bCs/>
          <w:sz w:val="24"/>
          <w:szCs w:val="24"/>
        </w:rPr>
        <w:tab/>
        <w:t xml:space="preserve">Gearing </w:t>
      </w:r>
      <w:proofErr w:type="gramStart"/>
      <w:r w:rsidRPr="003B0AA3">
        <w:rPr>
          <w:rFonts w:asciiTheme="minorHAnsi" w:hAnsiTheme="minorHAnsi" w:cstheme="minorHAnsi"/>
          <w:bCs/>
          <w:sz w:val="24"/>
          <w:szCs w:val="24"/>
        </w:rPr>
        <w:t>ratio</w:t>
      </w:r>
      <w:proofErr w:type="gramEnd"/>
      <w:r w:rsidRPr="003B0AA3">
        <w:rPr>
          <w:rFonts w:asciiTheme="minorHAnsi" w:hAnsiTheme="minorHAnsi" w:cstheme="minorHAnsi"/>
          <w:bCs/>
          <w:sz w:val="24"/>
          <w:szCs w:val="24"/>
        </w:rPr>
        <w:t xml:space="preserve"> = Long term debt / (Shareholders’ Funds + Long term debt)</w:t>
      </w:r>
    </w:p>
    <w:tbl>
      <w:tblPr>
        <w:tblStyle w:val="TableGrid"/>
        <w:tblW w:w="0" w:type="auto"/>
        <w:tblInd w:w="1080" w:type="dxa"/>
        <w:tblLook w:val="04A0" w:firstRow="1" w:lastRow="0" w:firstColumn="1" w:lastColumn="0" w:noHBand="0" w:noVBand="1"/>
      </w:tblPr>
      <w:tblGrid>
        <w:gridCol w:w="953"/>
        <w:gridCol w:w="1579"/>
        <w:gridCol w:w="1562"/>
        <w:gridCol w:w="1839"/>
        <w:gridCol w:w="2003"/>
      </w:tblGrid>
      <w:tr w:rsidR="00560200" w:rsidTr="00560200">
        <w:tc>
          <w:tcPr>
            <w:tcW w:w="953" w:type="dxa"/>
          </w:tcPr>
          <w:p w:rsidR="00560200" w:rsidRPr="003B0AA3" w:rsidRDefault="00560200" w:rsidP="00DA254D">
            <w:pPr>
              <w:pStyle w:val="ListParagraph"/>
              <w:spacing w:line="360" w:lineRule="auto"/>
              <w:ind w:left="0"/>
              <w:rPr>
                <w:rFonts w:asciiTheme="minorHAnsi" w:hAnsiTheme="minorHAnsi" w:cstheme="minorHAnsi"/>
                <w:bCs/>
                <w:sz w:val="24"/>
                <w:szCs w:val="24"/>
              </w:rPr>
            </w:pPr>
          </w:p>
        </w:tc>
        <w:tc>
          <w:tcPr>
            <w:tcW w:w="1579" w:type="dxa"/>
          </w:tcPr>
          <w:p w:rsidR="00560200" w:rsidRDefault="00560200" w:rsidP="00DA254D">
            <w:pPr>
              <w:pStyle w:val="ListParagraph"/>
              <w:spacing w:line="360" w:lineRule="auto"/>
              <w:ind w:left="0"/>
              <w:rPr>
                <w:rFonts w:asciiTheme="minorHAnsi" w:hAnsiTheme="minorHAnsi" w:cstheme="minorHAnsi"/>
                <w:bCs/>
                <w:sz w:val="24"/>
                <w:szCs w:val="24"/>
              </w:rPr>
            </w:pPr>
            <w:r>
              <w:rPr>
                <w:rFonts w:asciiTheme="minorHAnsi" w:hAnsiTheme="minorHAnsi" w:cstheme="minorHAnsi"/>
                <w:bCs/>
                <w:sz w:val="24"/>
                <w:szCs w:val="24"/>
              </w:rPr>
              <w:t>Long term debt</w:t>
            </w:r>
          </w:p>
        </w:tc>
        <w:tc>
          <w:tcPr>
            <w:tcW w:w="1562" w:type="dxa"/>
          </w:tcPr>
          <w:p w:rsidR="00560200" w:rsidRPr="003B0AA3" w:rsidRDefault="00560200" w:rsidP="00DA254D">
            <w:pPr>
              <w:pStyle w:val="ListParagraph"/>
              <w:spacing w:line="360" w:lineRule="auto"/>
              <w:ind w:left="0"/>
              <w:rPr>
                <w:rFonts w:asciiTheme="minorHAnsi" w:hAnsiTheme="minorHAnsi" w:cstheme="minorHAnsi"/>
                <w:bCs/>
                <w:sz w:val="24"/>
                <w:szCs w:val="24"/>
              </w:rPr>
            </w:pPr>
            <w:r>
              <w:rPr>
                <w:rFonts w:asciiTheme="minorHAnsi" w:hAnsiTheme="minorHAnsi" w:cstheme="minorHAnsi"/>
                <w:bCs/>
                <w:sz w:val="24"/>
                <w:szCs w:val="24"/>
              </w:rPr>
              <w:t>Shareholder’s funds</w:t>
            </w:r>
          </w:p>
        </w:tc>
        <w:tc>
          <w:tcPr>
            <w:tcW w:w="1839" w:type="dxa"/>
          </w:tcPr>
          <w:p w:rsidR="00560200" w:rsidRDefault="00560200" w:rsidP="00DA254D">
            <w:pPr>
              <w:pStyle w:val="ListParagraph"/>
              <w:spacing w:line="360" w:lineRule="auto"/>
              <w:ind w:left="0"/>
              <w:rPr>
                <w:rFonts w:asciiTheme="minorHAnsi" w:hAnsiTheme="minorHAnsi" w:cstheme="minorHAnsi"/>
                <w:bCs/>
                <w:sz w:val="24"/>
                <w:szCs w:val="24"/>
              </w:rPr>
            </w:pPr>
            <w:r>
              <w:rPr>
                <w:rFonts w:asciiTheme="minorHAnsi" w:hAnsiTheme="minorHAnsi" w:cstheme="minorHAnsi"/>
                <w:bCs/>
                <w:sz w:val="24"/>
                <w:szCs w:val="24"/>
              </w:rPr>
              <w:t>Long Term Debt</w:t>
            </w:r>
          </w:p>
        </w:tc>
        <w:tc>
          <w:tcPr>
            <w:tcW w:w="2003" w:type="dxa"/>
          </w:tcPr>
          <w:p w:rsidR="00560200" w:rsidRDefault="00560200" w:rsidP="00DA254D">
            <w:pPr>
              <w:pStyle w:val="ListParagraph"/>
              <w:spacing w:line="360" w:lineRule="auto"/>
              <w:ind w:left="0"/>
              <w:rPr>
                <w:rFonts w:asciiTheme="minorHAnsi" w:hAnsiTheme="minorHAnsi" w:cstheme="minorHAnsi"/>
                <w:bCs/>
                <w:sz w:val="24"/>
                <w:szCs w:val="24"/>
              </w:rPr>
            </w:pPr>
            <w:r>
              <w:rPr>
                <w:rFonts w:asciiTheme="minorHAnsi" w:hAnsiTheme="minorHAnsi" w:cstheme="minorHAnsi"/>
                <w:bCs/>
                <w:sz w:val="24"/>
                <w:szCs w:val="24"/>
              </w:rPr>
              <w:t>Gearing Ratio</w:t>
            </w:r>
          </w:p>
        </w:tc>
      </w:tr>
      <w:tr w:rsidR="00560200" w:rsidTr="00560200">
        <w:tc>
          <w:tcPr>
            <w:tcW w:w="953" w:type="dxa"/>
          </w:tcPr>
          <w:p w:rsidR="00560200" w:rsidRPr="003B0AA3" w:rsidRDefault="00560200" w:rsidP="00560200">
            <w:pPr>
              <w:pStyle w:val="ListParagraph"/>
              <w:spacing w:line="360" w:lineRule="auto"/>
              <w:ind w:left="0"/>
              <w:rPr>
                <w:rFonts w:asciiTheme="minorHAnsi" w:hAnsiTheme="minorHAnsi" w:cstheme="minorHAnsi"/>
                <w:bCs/>
                <w:sz w:val="24"/>
                <w:szCs w:val="24"/>
              </w:rPr>
            </w:pPr>
            <w:r>
              <w:rPr>
                <w:rFonts w:asciiTheme="minorHAnsi" w:hAnsiTheme="minorHAnsi" w:cstheme="minorHAnsi"/>
                <w:bCs/>
                <w:sz w:val="24"/>
                <w:szCs w:val="24"/>
              </w:rPr>
              <w:t>2019</w:t>
            </w:r>
          </w:p>
        </w:tc>
        <w:tc>
          <w:tcPr>
            <w:tcW w:w="1579" w:type="dxa"/>
          </w:tcPr>
          <w:p w:rsidR="00560200" w:rsidRDefault="00560200" w:rsidP="00560200">
            <w:pPr>
              <w:pStyle w:val="ListParagraph"/>
              <w:spacing w:line="360" w:lineRule="auto"/>
              <w:ind w:left="0"/>
              <w:rPr>
                <w:rFonts w:asciiTheme="minorHAnsi" w:hAnsiTheme="minorHAnsi" w:cstheme="minorHAnsi"/>
                <w:bCs/>
                <w:sz w:val="24"/>
                <w:szCs w:val="24"/>
              </w:rPr>
            </w:pPr>
            <w:r>
              <w:rPr>
                <w:rFonts w:asciiTheme="minorHAnsi" w:hAnsiTheme="minorHAnsi" w:cstheme="minorHAnsi"/>
                <w:bCs/>
                <w:sz w:val="24"/>
                <w:szCs w:val="24"/>
              </w:rPr>
              <w:t>133.05b</w:t>
            </w:r>
          </w:p>
        </w:tc>
        <w:tc>
          <w:tcPr>
            <w:tcW w:w="1562" w:type="dxa"/>
          </w:tcPr>
          <w:p w:rsidR="00560200" w:rsidRDefault="00560200" w:rsidP="00560200">
            <w:pPr>
              <w:pStyle w:val="ListParagraph"/>
              <w:spacing w:line="360" w:lineRule="auto"/>
              <w:ind w:left="0"/>
              <w:rPr>
                <w:rFonts w:asciiTheme="minorHAnsi" w:hAnsiTheme="minorHAnsi" w:cstheme="minorHAnsi"/>
                <w:bCs/>
                <w:sz w:val="24"/>
                <w:szCs w:val="24"/>
              </w:rPr>
            </w:pPr>
            <w:r>
              <w:rPr>
                <w:rFonts w:ascii="Arial" w:hAnsi="Arial" w:cs="Arial"/>
                <w:color w:val="000000"/>
                <w:shd w:val="clear" w:color="auto" w:fill="FFFFFF"/>
              </w:rPr>
              <w:t>64,429.00</w:t>
            </w:r>
          </w:p>
        </w:tc>
        <w:tc>
          <w:tcPr>
            <w:tcW w:w="1839" w:type="dxa"/>
          </w:tcPr>
          <w:p w:rsidR="00560200" w:rsidRDefault="00560200" w:rsidP="00560200">
            <w:pPr>
              <w:pStyle w:val="ListParagraph"/>
              <w:spacing w:line="360" w:lineRule="auto"/>
              <w:ind w:left="0"/>
              <w:rPr>
                <w:rFonts w:asciiTheme="minorHAnsi" w:hAnsiTheme="minorHAnsi" w:cstheme="minorHAnsi"/>
                <w:bCs/>
                <w:sz w:val="24"/>
                <w:szCs w:val="24"/>
              </w:rPr>
            </w:pPr>
            <w:r>
              <w:rPr>
                <w:rFonts w:asciiTheme="minorHAnsi" w:hAnsiTheme="minorHAnsi" w:cstheme="minorHAnsi"/>
                <w:bCs/>
                <w:sz w:val="24"/>
                <w:szCs w:val="24"/>
              </w:rPr>
              <w:t>133.05b</w:t>
            </w:r>
          </w:p>
        </w:tc>
        <w:tc>
          <w:tcPr>
            <w:tcW w:w="2003" w:type="dxa"/>
          </w:tcPr>
          <w:p w:rsidR="00560200" w:rsidRDefault="00E81CDF" w:rsidP="00560200">
            <w:pPr>
              <w:pStyle w:val="ListParagraph"/>
              <w:spacing w:line="360" w:lineRule="auto"/>
              <w:ind w:left="0"/>
              <w:rPr>
                <w:rFonts w:asciiTheme="minorHAnsi" w:hAnsiTheme="minorHAnsi" w:cstheme="minorHAnsi"/>
                <w:bCs/>
                <w:sz w:val="24"/>
                <w:szCs w:val="24"/>
              </w:rPr>
            </w:pPr>
            <w:r>
              <w:rPr>
                <w:rFonts w:asciiTheme="minorHAnsi" w:hAnsiTheme="minorHAnsi" w:cstheme="minorHAnsi"/>
                <w:bCs/>
                <w:sz w:val="24"/>
                <w:szCs w:val="24"/>
              </w:rPr>
              <w:t>67.35%</w:t>
            </w:r>
          </w:p>
        </w:tc>
      </w:tr>
      <w:tr w:rsidR="00560200" w:rsidTr="00560200">
        <w:tc>
          <w:tcPr>
            <w:tcW w:w="953" w:type="dxa"/>
          </w:tcPr>
          <w:p w:rsidR="00560200" w:rsidRPr="003B0AA3" w:rsidRDefault="00560200" w:rsidP="00560200">
            <w:pPr>
              <w:pStyle w:val="ListParagraph"/>
              <w:spacing w:line="360" w:lineRule="auto"/>
              <w:ind w:left="0"/>
              <w:rPr>
                <w:rFonts w:asciiTheme="minorHAnsi" w:hAnsiTheme="minorHAnsi" w:cstheme="minorHAnsi"/>
                <w:bCs/>
                <w:sz w:val="24"/>
                <w:szCs w:val="24"/>
              </w:rPr>
            </w:pPr>
            <w:r>
              <w:rPr>
                <w:rFonts w:asciiTheme="minorHAnsi" w:hAnsiTheme="minorHAnsi" w:cstheme="minorHAnsi"/>
                <w:bCs/>
                <w:sz w:val="24"/>
                <w:szCs w:val="24"/>
              </w:rPr>
              <w:t>2018</w:t>
            </w:r>
          </w:p>
        </w:tc>
        <w:tc>
          <w:tcPr>
            <w:tcW w:w="1579" w:type="dxa"/>
          </w:tcPr>
          <w:p w:rsidR="00560200" w:rsidRDefault="00560200" w:rsidP="00560200">
            <w:pPr>
              <w:pStyle w:val="ListParagraph"/>
              <w:spacing w:line="360" w:lineRule="auto"/>
              <w:ind w:left="0"/>
              <w:rPr>
                <w:rFonts w:asciiTheme="minorHAnsi" w:hAnsiTheme="minorHAnsi" w:cstheme="minorHAnsi"/>
                <w:bCs/>
                <w:sz w:val="24"/>
                <w:szCs w:val="24"/>
              </w:rPr>
            </w:pPr>
            <w:r>
              <w:rPr>
                <w:rFonts w:asciiTheme="minorHAnsi" w:hAnsiTheme="minorHAnsi" w:cstheme="minorHAnsi"/>
                <w:bCs/>
                <w:sz w:val="24"/>
                <w:szCs w:val="24"/>
              </w:rPr>
              <w:t>228.07b</w:t>
            </w:r>
          </w:p>
        </w:tc>
        <w:tc>
          <w:tcPr>
            <w:tcW w:w="1562" w:type="dxa"/>
          </w:tcPr>
          <w:p w:rsidR="00560200" w:rsidRDefault="00560200" w:rsidP="00560200">
            <w:pPr>
              <w:pStyle w:val="ListParagraph"/>
              <w:spacing w:line="360" w:lineRule="auto"/>
              <w:ind w:left="0"/>
              <w:rPr>
                <w:rFonts w:asciiTheme="minorHAnsi" w:hAnsiTheme="minorHAnsi" w:cstheme="minorHAnsi"/>
                <w:bCs/>
                <w:sz w:val="24"/>
                <w:szCs w:val="24"/>
              </w:rPr>
            </w:pPr>
            <w:r>
              <w:rPr>
                <w:rFonts w:ascii="Arial" w:hAnsi="Arial" w:cs="Arial"/>
                <w:color w:val="000000"/>
                <w:shd w:val="clear" w:color="auto" w:fill="FFFFFF"/>
              </w:rPr>
              <w:t>62,556.00</w:t>
            </w:r>
          </w:p>
        </w:tc>
        <w:tc>
          <w:tcPr>
            <w:tcW w:w="1839" w:type="dxa"/>
          </w:tcPr>
          <w:p w:rsidR="00560200" w:rsidRDefault="00560200" w:rsidP="00560200">
            <w:pPr>
              <w:pStyle w:val="ListParagraph"/>
              <w:spacing w:line="360" w:lineRule="auto"/>
              <w:ind w:left="0"/>
              <w:rPr>
                <w:rFonts w:asciiTheme="minorHAnsi" w:hAnsiTheme="minorHAnsi" w:cstheme="minorHAnsi"/>
                <w:bCs/>
                <w:sz w:val="24"/>
                <w:szCs w:val="24"/>
              </w:rPr>
            </w:pPr>
            <w:r>
              <w:rPr>
                <w:rFonts w:asciiTheme="minorHAnsi" w:hAnsiTheme="minorHAnsi" w:cstheme="minorHAnsi"/>
                <w:bCs/>
                <w:sz w:val="24"/>
                <w:szCs w:val="24"/>
              </w:rPr>
              <w:t>228.07b</w:t>
            </w:r>
          </w:p>
        </w:tc>
        <w:tc>
          <w:tcPr>
            <w:tcW w:w="2003" w:type="dxa"/>
          </w:tcPr>
          <w:p w:rsidR="00560200" w:rsidRDefault="00AF2B76" w:rsidP="00560200">
            <w:pPr>
              <w:pStyle w:val="ListParagraph"/>
              <w:spacing w:line="360" w:lineRule="auto"/>
              <w:ind w:left="0"/>
              <w:rPr>
                <w:rFonts w:asciiTheme="minorHAnsi" w:hAnsiTheme="minorHAnsi" w:cstheme="minorHAnsi"/>
                <w:bCs/>
                <w:sz w:val="24"/>
                <w:szCs w:val="24"/>
              </w:rPr>
            </w:pPr>
            <w:r>
              <w:rPr>
                <w:rFonts w:asciiTheme="minorHAnsi" w:hAnsiTheme="minorHAnsi" w:cstheme="minorHAnsi"/>
                <w:bCs/>
                <w:sz w:val="24"/>
                <w:szCs w:val="24"/>
              </w:rPr>
              <w:t>99.94%</w:t>
            </w:r>
          </w:p>
        </w:tc>
      </w:tr>
    </w:tbl>
    <w:p w:rsidR="00560200" w:rsidRPr="003B0AA3" w:rsidRDefault="00560200" w:rsidP="003B0AA3">
      <w:pPr>
        <w:spacing w:line="360" w:lineRule="auto"/>
        <w:rPr>
          <w:rFonts w:asciiTheme="minorHAnsi" w:hAnsiTheme="minorHAnsi" w:cstheme="minorHAnsi"/>
          <w:bCs/>
          <w:sz w:val="24"/>
          <w:szCs w:val="24"/>
        </w:rPr>
      </w:pPr>
    </w:p>
    <w:p w:rsidR="003B0AA3" w:rsidRPr="003B0AA3" w:rsidRDefault="003B0AA3" w:rsidP="003B0AA3">
      <w:pPr>
        <w:spacing w:line="360" w:lineRule="auto"/>
        <w:rPr>
          <w:rFonts w:asciiTheme="minorHAnsi" w:hAnsiTheme="minorHAnsi" w:cstheme="minorHAnsi"/>
          <w:bCs/>
          <w:sz w:val="24"/>
          <w:szCs w:val="24"/>
        </w:rPr>
      </w:pPr>
      <w:r w:rsidRPr="003B0AA3">
        <w:rPr>
          <w:rFonts w:asciiTheme="minorHAnsi" w:hAnsiTheme="minorHAnsi" w:cstheme="minorHAnsi"/>
          <w:bCs/>
          <w:sz w:val="24"/>
          <w:szCs w:val="24"/>
        </w:rPr>
        <w:tab/>
      </w:r>
      <w:r w:rsidRPr="003B0AA3">
        <w:rPr>
          <w:rFonts w:asciiTheme="minorHAnsi" w:hAnsiTheme="minorHAnsi" w:cstheme="minorHAnsi"/>
          <w:bCs/>
          <w:sz w:val="24"/>
          <w:szCs w:val="24"/>
        </w:rPr>
        <w:tab/>
      </w:r>
      <w:r w:rsidRPr="003B0AA3">
        <w:rPr>
          <w:rFonts w:asciiTheme="minorHAnsi" w:hAnsiTheme="minorHAnsi" w:cstheme="minorHAnsi"/>
          <w:bCs/>
          <w:sz w:val="24"/>
          <w:szCs w:val="24"/>
        </w:rPr>
        <w:tab/>
      </w:r>
      <w:r w:rsidRPr="003B0AA3">
        <w:rPr>
          <w:rFonts w:asciiTheme="minorHAnsi" w:hAnsiTheme="minorHAnsi" w:cstheme="minorHAnsi"/>
          <w:bCs/>
          <w:sz w:val="24"/>
          <w:szCs w:val="24"/>
        </w:rPr>
        <w:tab/>
      </w:r>
    </w:p>
    <w:p w:rsidR="003B0AA3" w:rsidRPr="003B0AA3" w:rsidRDefault="003B0AA3" w:rsidP="003B0AA3">
      <w:pPr>
        <w:spacing w:line="360" w:lineRule="auto"/>
        <w:rPr>
          <w:rFonts w:asciiTheme="minorHAnsi" w:hAnsiTheme="minorHAnsi" w:cstheme="minorHAnsi"/>
          <w:bCs/>
          <w:sz w:val="24"/>
          <w:szCs w:val="24"/>
        </w:rPr>
      </w:pPr>
      <w:r w:rsidRPr="003B0AA3">
        <w:rPr>
          <w:rFonts w:asciiTheme="minorHAnsi" w:hAnsiTheme="minorHAnsi" w:cstheme="minorHAnsi"/>
          <w:bCs/>
          <w:sz w:val="24"/>
          <w:szCs w:val="24"/>
        </w:rPr>
        <w:t>11</w:t>
      </w:r>
      <w:r w:rsidRPr="003B0AA3">
        <w:rPr>
          <w:rFonts w:asciiTheme="minorHAnsi" w:hAnsiTheme="minorHAnsi" w:cstheme="minorHAnsi"/>
          <w:bCs/>
          <w:sz w:val="24"/>
          <w:szCs w:val="24"/>
        </w:rPr>
        <w:tab/>
        <w:t>Interest cover = PBIT / Interest payable</w:t>
      </w:r>
    </w:p>
    <w:p w:rsidR="00E81CDF" w:rsidRPr="003B0AA3" w:rsidRDefault="003B0AA3" w:rsidP="003B0AA3">
      <w:pPr>
        <w:spacing w:line="360" w:lineRule="auto"/>
        <w:rPr>
          <w:rFonts w:asciiTheme="minorHAnsi" w:hAnsiTheme="minorHAnsi" w:cstheme="minorHAnsi"/>
          <w:bCs/>
          <w:sz w:val="24"/>
          <w:szCs w:val="24"/>
        </w:rPr>
      </w:pPr>
      <w:r w:rsidRPr="003B0AA3">
        <w:rPr>
          <w:rFonts w:asciiTheme="minorHAnsi" w:hAnsiTheme="minorHAnsi" w:cstheme="minorHAnsi"/>
          <w:bCs/>
          <w:sz w:val="24"/>
          <w:szCs w:val="24"/>
        </w:rPr>
        <w:tab/>
      </w:r>
    </w:p>
    <w:tbl>
      <w:tblPr>
        <w:tblStyle w:val="TableGrid"/>
        <w:tblW w:w="0" w:type="auto"/>
        <w:tblInd w:w="1080" w:type="dxa"/>
        <w:tblLook w:val="04A0" w:firstRow="1" w:lastRow="0" w:firstColumn="1" w:lastColumn="0" w:noHBand="0" w:noVBand="1"/>
      </w:tblPr>
      <w:tblGrid>
        <w:gridCol w:w="1183"/>
        <w:gridCol w:w="1701"/>
        <w:gridCol w:w="2552"/>
        <w:gridCol w:w="2500"/>
      </w:tblGrid>
      <w:tr w:rsidR="00E81CDF" w:rsidTr="00DA254D">
        <w:tc>
          <w:tcPr>
            <w:tcW w:w="1183" w:type="dxa"/>
          </w:tcPr>
          <w:p w:rsidR="00E81CDF" w:rsidRPr="003B0AA3" w:rsidRDefault="00E81CDF" w:rsidP="00DA254D">
            <w:pPr>
              <w:pStyle w:val="ListParagraph"/>
              <w:spacing w:line="360" w:lineRule="auto"/>
              <w:ind w:left="0"/>
              <w:rPr>
                <w:rFonts w:asciiTheme="minorHAnsi" w:hAnsiTheme="minorHAnsi" w:cstheme="minorHAnsi"/>
                <w:bCs/>
                <w:sz w:val="24"/>
                <w:szCs w:val="24"/>
              </w:rPr>
            </w:pPr>
          </w:p>
        </w:tc>
        <w:tc>
          <w:tcPr>
            <w:tcW w:w="1701" w:type="dxa"/>
          </w:tcPr>
          <w:p w:rsidR="00E81CDF" w:rsidRDefault="00E81CDF" w:rsidP="00DA254D">
            <w:pPr>
              <w:pStyle w:val="ListParagraph"/>
              <w:spacing w:line="360" w:lineRule="auto"/>
              <w:ind w:left="0"/>
              <w:rPr>
                <w:rFonts w:asciiTheme="minorHAnsi" w:hAnsiTheme="minorHAnsi" w:cstheme="minorHAnsi"/>
                <w:bCs/>
                <w:sz w:val="24"/>
                <w:szCs w:val="24"/>
              </w:rPr>
            </w:pPr>
            <w:r>
              <w:rPr>
                <w:rFonts w:asciiTheme="minorHAnsi" w:hAnsiTheme="minorHAnsi" w:cstheme="minorHAnsi"/>
                <w:bCs/>
                <w:sz w:val="24"/>
                <w:szCs w:val="24"/>
              </w:rPr>
              <w:t>PBIT</w:t>
            </w:r>
          </w:p>
        </w:tc>
        <w:tc>
          <w:tcPr>
            <w:tcW w:w="2552" w:type="dxa"/>
          </w:tcPr>
          <w:p w:rsidR="00E81CDF" w:rsidRDefault="00E81CDF" w:rsidP="00DA254D">
            <w:pPr>
              <w:pStyle w:val="ListParagraph"/>
              <w:spacing w:line="360" w:lineRule="auto"/>
              <w:ind w:left="0"/>
              <w:rPr>
                <w:rFonts w:asciiTheme="minorHAnsi" w:hAnsiTheme="minorHAnsi" w:cstheme="minorHAnsi"/>
                <w:bCs/>
                <w:sz w:val="24"/>
                <w:szCs w:val="24"/>
              </w:rPr>
            </w:pPr>
            <w:r>
              <w:rPr>
                <w:rFonts w:asciiTheme="minorHAnsi" w:hAnsiTheme="minorHAnsi" w:cstheme="minorHAnsi"/>
                <w:bCs/>
                <w:sz w:val="24"/>
                <w:szCs w:val="24"/>
              </w:rPr>
              <w:t>Interest payable</w:t>
            </w:r>
          </w:p>
        </w:tc>
        <w:tc>
          <w:tcPr>
            <w:tcW w:w="2500" w:type="dxa"/>
          </w:tcPr>
          <w:p w:rsidR="00E81CDF" w:rsidRDefault="00E81CDF" w:rsidP="00DA254D">
            <w:pPr>
              <w:pStyle w:val="ListParagraph"/>
              <w:spacing w:line="360" w:lineRule="auto"/>
              <w:ind w:left="0"/>
              <w:rPr>
                <w:rFonts w:asciiTheme="minorHAnsi" w:hAnsiTheme="minorHAnsi" w:cstheme="minorHAnsi"/>
                <w:bCs/>
                <w:sz w:val="24"/>
                <w:szCs w:val="24"/>
              </w:rPr>
            </w:pPr>
            <w:r>
              <w:rPr>
                <w:rFonts w:asciiTheme="minorHAnsi" w:hAnsiTheme="minorHAnsi" w:cstheme="minorHAnsi"/>
                <w:bCs/>
                <w:sz w:val="24"/>
                <w:szCs w:val="24"/>
              </w:rPr>
              <w:t>Interest cover</w:t>
            </w:r>
          </w:p>
        </w:tc>
      </w:tr>
      <w:tr w:rsidR="00E81CDF" w:rsidTr="00DA254D">
        <w:tc>
          <w:tcPr>
            <w:tcW w:w="1183" w:type="dxa"/>
          </w:tcPr>
          <w:p w:rsidR="00E81CDF" w:rsidRPr="003B0AA3" w:rsidRDefault="00E81CDF" w:rsidP="00E81CDF">
            <w:pPr>
              <w:pStyle w:val="ListParagraph"/>
              <w:spacing w:line="360" w:lineRule="auto"/>
              <w:ind w:left="0"/>
              <w:rPr>
                <w:rFonts w:asciiTheme="minorHAnsi" w:hAnsiTheme="minorHAnsi" w:cstheme="minorHAnsi"/>
                <w:bCs/>
                <w:sz w:val="24"/>
                <w:szCs w:val="24"/>
              </w:rPr>
            </w:pPr>
            <w:r>
              <w:rPr>
                <w:rFonts w:asciiTheme="minorHAnsi" w:hAnsiTheme="minorHAnsi" w:cstheme="minorHAnsi"/>
                <w:bCs/>
                <w:sz w:val="24"/>
                <w:szCs w:val="24"/>
              </w:rPr>
              <w:t>2019</w:t>
            </w:r>
          </w:p>
        </w:tc>
        <w:tc>
          <w:tcPr>
            <w:tcW w:w="1701" w:type="dxa"/>
          </w:tcPr>
          <w:p w:rsidR="00E81CDF" w:rsidRDefault="00E81CDF" w:rsidP="00E81CDF">
            <w:pPr>
              <w:pStyle w:val="ListParagraph"/>
              <w:spacing w:line="360" w:lineRule="auto"/>
              <w:ind w:left="0"/>
              <w:rPr>
                <w:rFonts w:asciiTheme="minorHAnsi" w:hAnsiTheme="minorHAnsi" w:cstheme="minorHAnsi"/>
                <w:bCs/>
                <w:sz w:val="24"/>
                <w:szCs w:val="24"/>
              </w:rPr>
            </w:pPr>
            <w:r w:rsidRPr="002155EE">
              <w:rPr>
                <w:rFonts w:asciiTheme="minorHAnsi" w:hAnsiTheme="minorHAnsi" w:cstheme="minorHAnsi"/>
                <w:bCs/>
                <w:sz w:val="24"/>
                <w:szCs w:val="24"/>
              </w:rPr>
              <w:t>4,286.00</w:t>
            </w:r>
          </w:p>
        </w:tc>
        <w:tc>
          <w:tcPr>
            <w:tcW w:w="2552" w:type="dxa"/>
          </w:tcPr>
          <w:p w:rsidR="00E81CDF" w:rsidRDefault="00E81CDF" w:rsidP="00E81CDF">
            <w:pPr>
              <w:pStyle w:val="ListParagraph"/>
              <w:spacing w:line="360" w:lineRule="auto"/>
              <w:ind w:left="0"/>
              <w:rPr>
                <w:rFonts w:asciiTheme="minorHAnsi" w:hAnsiTheme="minorHAnsi" w:cstheme="minorHAnsi"/>
                <w:bCs/>
                <w:sz w:val="24"/>
                <w:szCs w:val="24"/>
              </w:rPr>
            </w:pPr>
            <w:r>
              <w:rPr>
                <w:rFonts w:asciiTheme="minorHAnsi" w:hAnsiTheme="minorHAnsi" w:cstheme="minorHAnsi"/>
                <w:bCs/>
                <w:sz w:val="24"/>
                <w:szCs w:val="24"/>
              </w:rPr>
              <w:t>n/a</w:t>
            </w:r>
          </w:p>
        </w:tc>
        <w:tc>
          <w:tcPr>
            <w:tcW w:w="2500" w:type="dxa"/>
          </w:tcPr>
          <w:p w:rsidR="00E81CDF" w:rsidRDefault="00E81CDF" w:rsidP="00E81CDF">
            <w:pPr>
              <w:pStyle w:val="ListParagraph"/>
              <w:spacing w:line="360" w:lineRule="auto"/>
              <w:ind w:left="0"/>
              <w:rPr>
                <w:rFonts w:asciiTheme="minorHAnsi" w:hAnsiTheme="minorHAnsi" w:cstheme="minorHAnsi"/>
                <w:bCs/>
                <w:sz w:val="24"/>
                <w:szCs w:val="24"/>
              </w:rPr>
            </w:pPr>
            <w:r w:rsidRPr="002155EE">
              <w:rPr>
                <w:rFonts w:asciiTheme="minorHAnsi" w:hAnsiTheme="minorHAnsi" w:cstheme="minorHAnsi"/>
                <w:bCs/>
                <w:sz w:val="24"/>
                <w:szCs w:val="24"/>
              </w:rPr>
              <w:t>4,286.00</w:t>
            </w:r>
          </w:p>
        </w:tc>
      </w:tr>
      <w:tr w:rsidR="00E81CDF" w:rsidTr="00DA254D">
        <w:tc>
          <w:tcPr>
            <w:tcW w:w="1183" w:type="dxa"/>
          </w:tcPr>
          <w:p w:rsidR="00E81CDF" w:rsidRPr="003B0AA3" w:rsidRDefault="00E81CDF" w:rsidP="00E81CDF">
            <w:pPr>
              <w:pStyle w:val="ListParagraph"/>
              <w:spacing w:line="360" w:lineRule="auto"/>
              <w:ind w:left="0"/>
              <w:rPr>
                <w:rFonts w:asciiTheme="minorHAnsi" w:hAnsiTheme="minorHAnsi" w:cstheme="minorHAnsi"/>
                <w:bCs/>
                <w:sz w:val="24"/>
                <w:szCs w:val="24"/>
              </w:rPr>
            </w:pPr>
            <w:r>
              <w:rPr>
                <w:rFonts w:asciiTheme="minorHAnsi" w:hAnsiTheme="minorHAnsi" w:cstheme="minorHAnsi"/>
                <w:bCs/>
                <w:sz w:val="24"/>
                <w:szCs w:val="24"/>
              </w:rPr>
              <w:t>2018</w:t>
            </w:r>
          </w:p>
        </w:tc>
        <w:tc>
          <w:tcPr>
            <w:tcW w:w="1701" w:type="dxa"/>
          </w:tcPr>
          <w:p w:rsidR="00E81CDF" w:rsidRDefault="00E81CDF" w:rsidP="00E81CDF">
            <w:pPr>
              <w:pStyle w:val="ListParagraph"/>
              <w:spacing w:line="360" w:lineRule="auto"/>
              <w:ind w:left="0"/>
              <w:rPr>
                <w:rFonts w:asciiTheme="minorHAnsi" w:hAnsiTheme="minorHAnsi" w:cstheme="minorHAnsi"/>
                <w:bCs/>
                <w:sz w:val="24"/>
                <w:szCs w:val="24"/>
              </w:rPr>
            </w:pPr>
            <w:r w:rsidRPr="002155EE">
              <w:rPr>
                <w:rFonts w:asciiTheme="minorHAnsi" w:hAnsiTheme="minorHAnsi" w:cstheme="minorHAnsi"/>
                <w:bCs/>
                <w:sz w:val="24"/>
                <w:szCs w:val="24"/>
              </w:rPr>
              <w:t>3,425.00</w:t>
            </w:r>
          </w:p>
        </w:tc>
        <w:tc>
          <w:tcPr>
            <w:tcW w:w="2552" w:type="dxa"/>
          </w:tcPr>
          <w:p w:rsidR="00E81CDF" w:rsidRDefault="00E81CDF" w:rsidP="00E81CDF">
            <w:pPr>
              <w:pStyle w:val="ListParagraph"/>
              <w:spacing w:line="360" w:lineRule="auto"/>
              <w:ind w:left="0"/>
              <w:rPr>
                <w:rFonts w:asciiTheme="minorHAnsi" w:hAnsiTheme="minorHAnsi" w:cstheme="minorHAnsi"/>
                <w:bCs/>
                <w:sz w:val="24"/>
                <w:szCs w:val="24"/>
              </w:rPr>
            </w:pPr>
            <w:r>
              <w:rPr>
                <w:rFonts w:asciiTheme="minorHAnsi" w:hAnsiTheme="minorHAnsi" w:cstheme="minorHAnsi"/>
                <w:bCs/>
                <w:sz w:val="24"/>
                <w:szCs w:val="24"/>
              </w:rPr>
              <w:t>n/a</w:t>
            </w:r>
          </w:p>
        </w:tc>
        <w:tc>
          <w:tcPr>
            <w:tcW w:w="2500" w:type="dxa"/>
          </w:tcPr>
          <w:p w:rsidR="00E81CDF" w:rsidRDefault="00E81CDF" w:rsidP="00E81CDF">
            <w:pPr>
              <w:pStyle w:val="ListParagraph"/>
              <w:spacing w:line="360" w:lineRule="auto"/>
              <w:ind w:left="0"/>
              <w:rPr>
                <w:rFonts w:asciiTheme="minorHAnsi" w:hAnsiTheme="minorHAnsi" w:cstheme="minorHAnsi"/>
                <w:bCs/>
                <w:sz w:val="24"/>
                <w:szCs w:val="24"/>
              </w:rPr>
            </w:pPr>
            <w:r w:rsidRPr="002155EE">
              <w:rPr>
                <w:rFonts w:asciiTheme="minorHAnsi" w:hAnsiTheme="minorHAnsi" w:cstheme="minorHAnsi"/>
                <w:bCs/>
                <w:sz w:val="24"/>
                <w:szCs w:val="24"/>
              </w:rPr>
              <w:t>3,425.00</w:t>
            </w:r>
          </w:p>
        </w:tc>
      </w:tr>
    </w:tbl>
    <w:p w:rsidR="003B0AA3" w:rsidRPr="003B0AA3" w:rsidRDefault="003B0AA3" w:rsidP="003B0AA3">
      <w:pPr>
        <w:spacing w:line="360" w:lineRule="auto"/>
        <w:rPr>
          <w:rFonts w:asciiTheme="minorHAnsi" w:hAnsiTheme="minorHAnsi" w:cstheme="minorHAnsi"/>
          <w:bCs/>
          <w:sz w:val="24"/>
          <w:szCs w:val="24"/>
        </w:rPr>
      </w:pPr>
      <w:r w:rsidRPr="003B0AA3">
        <w:rPr>
          <w:rFonts w:asciiTheme="minorHAnsi" w:hAnsiTheme="minorHAnsi" w:cstheme="minorHAnsi"/>
          <w:bCs/>
          <w:sz w:val="24"/>
          <w:szCs w:val="24"/>
        </w:rPr>
        <w:tab/>
      </w:r>
      <w:r w:rsidRPr="003B0AA3">
        <w:rPr>
          <w:rFonts w:asciiTheme="minorHAnsi" w:hAnsiTheme="minorHAnsi" w:cstheme="minorHAnsi"/>
          <w:bCs/>
          <w:sz w:val="24"/>
          <w:szCs w:val="24"/>
        </w:rPr>
        <w:tab/>
      </w:r>
      <w:r w:rsidRPr="003B0AA3">
        <w:rPr>
          <w:rFonts w:asciiTheme="minorHAnsi" w:hAnsiTheme="minorHAnsi" w:cstheme="minorHAnsi"/>
          <w:bCs/>
          <w:sz w:val="24"/>
          <w:szCs w:val="24"/>
        </w:rPr>
        <w:tab/>
      </w:r>
    </w:p>
    <w:p w:rsidR="003B0AA3" w:rsidRPr="003B0AA3" w:rsidRDefault="003B0AA3" w:rsidP="003B0AA3">
      <w:pPr>
        <w:spacing w:line="360" w:lineRule="auto"/>
        <w:rPr>
          <w:rFonts w:asciiTheme="minorHAnsi" w:hAnsiTheme="minorHAnsi" w:cstheme="minorHAnsi"/>
          <w:bCs/>
          <w:sz w:val="24"/>
          <w:szCs w:val="24"/>
        </w:rPr>
      </w:pPr>
    </w:p>
    <w:p w:rsidR="003B0AA3" w:rsidRPr="003B0AA3" w:rsidRDefault="003B0AA3" w:rsidP="003B0AA3">
      <w:pPr>
        <w:spacing w:line="360" w:lineRule="auto"/>
        <w:rPr>
          <w:rFonts w:asciiTheme="minorHAnsi" w:hAnsiTheme="minorHAnsi" w:cstheme="minorHAnsi"/>
          <w:bCs/>
          <w:sz w:val="24"/>
          <w:szCs w:val="24"/>
        </w:rPr>
      </w:pPr>
      <w:r w:rsidRPr="003B0AA3">
        <w:rPr>
          <w:rFonts w:asciiTheme="minorHAnsi" w:hAnsiTheme="minorHAnsi" w:cstheme="minorHAnsi"/>
          <w:bCs/>
          <w:sz w:val="24"/>
          <w:szCs w:val="24"/>
        </w:rPr>
        <w:t>Investor ratios</w:t>
      </w:r>
    </w:p>
    <w:p w:rsidR="003B0AA3" w:rsidRDefault="003B0AA3" w:rsidP="003B0AA3">
      <w:pPr>
        <w:spacing w:line="360" w:lineRule="auto"/>
        <w:rPr>
          <w:rFonts w:asciiTheme="minorHAnsi" w:hAnsiTheme="minorHAnsi" w:cstheme="minorHAnsi"/>
          <w:bCs/>
          <w:sz w:val="24"/>
          <w:szCs w:val="24"/>
        </w:rPr>
      </w:pPr>
      <w:r w:rsidRPr="003B0AA3">
        <w:rPr>
          <w:rFonts w:asciiTheme="minorHAnsi" w:hAnsiTheme="minorHAnsi" w:cstheme="minorHAnsi"/>
          <w:bCs/>
          <w:sz w:val="24"/>
          <w:szCs w:val="24"/>
        </w:rPr>
        <w:t>12</w:t>
      </w:r>
      <w:r w:rsidRPr="003B0AA3">
        <w:rPr>
          <w:rFonts w:asciiTheme="minorHAnsi" w:hAnsiTheme="minorHAnsi" w:cstheme="minorHAnsi"/>
          <w:bCs/>
          <w:sz w:val="24"/>
          <w:szCs w:val="24"/>
        </w:rPr>
        <w:tab/>
        <w:t>Dividend per share = Dividends paid / Number of shares</w:t>
      </w:r>
    </w:p>
    <w:tbl>
      <w:tblPr>
        <w:tblStyle w:val="TableGrid"/>
        <w:tblW w:w="0" w:type="auto"/>
        <w:tblInd w:w="1080" w:type="dxa"/>
        <w:tblLook w:val="04A0" w:firstRow="1" w:lastRow="0" w:firstColumn="1" w:lastColumn="0" w:noHBand="0" w:noVBand="1"/>
      </w:tblPr>
      <w:tblGrid>
        <w:gridCol w:w="1183"/>
        <w:gridCol w:w="1701"/>
        <w:gridCol w:w="2552"/>
        <w:gridCol w:w="2500"/>
      </w:tblGrid>
      <w:tr w:rsidR="00E81CDF" w:rsidTr="00DA254D">
        <w:tc>
          <w:tcPr>
            <w:tcW w:w="1183" w:type="dxa"/>
          </w:tcPr>
          <w:p w:rsidR="00E81CDF" w:rsidRPr="003B0AA3" w:rsidRDefault="00E81CDF" w:rsidP="00DA254D">
            <w:pPr>
              <w:pStyle w:val="ListParagraph"/>
              <w:spacing w:line="360" w:lineRule="auto"/>
              <w:ind w:left="0"/>
              <w:rPr>
                <w:rFonts w:asciiTheme="minorHAnsi" w:hAnsiTheme="minorHAnsi" w:cstheme="minorHAnsi"/>
                <w:bCs/>
                <w:sz w:val="24"/>
                <w:szCs w:val="24"/>
              </w:rPr>
            </w:pPr>
          </w:p>
        </w:tc>
        <w:tc>
          <w:tcPr>
            <w:tcW w:w="1701" w:type="dxa"/>
          </w:tcPr>
          <w:p w:rsidR="00E81CDF" w:rsidRDefault="00E81CDF" w:rsidP="00DA254D">
            <w:pPr>
              <w:pStyle w:val="ListParagraph"/>
              <w:spacing w:line="360" w:lineRule="auto"/>
              <w:ind w:left="0"/>
              <w:rPr>
                <w:rFonts w:asciiTheme="minorHAnsi" w:hAnsiTheme="minorHAnsi" w:cstheme="minorHAnsi"/>
                <w:bCs/>
                <w:sz w:val="24"/>
                <w:szCs w:val="24"/>
              </w:rPr>
            </w:pPr>
            <w:r w:rsidRPr="003B0AA3">
              <w:rPr>
                <w:rFonts w:asciiTheme="minorHAnsi" w:hAnsiTheme="minorHAnsi" w:cstheme="minorHAnsi"/>
                <w:bCs/>
                <w:sz w:val="24"/>
                <w:szCs w:val="24"/>
              </w:rPr>
              <w:t>Dividends paid</w:t>
            </w:r>
          </w:p>
        </w:tc>
        <w:tc>
          <w:tcPr>
            <w:tcW w:w="2552" w:type="dxa"/>
          </w:tcPr>
          <w:p w:rsidR="00E81CDF" w:rsidRDefault="00E81CDF" w:rsidP="00DA254D">
            <w:pPr>
              <w:pStyle w:val="ListParagraph"/>
              <w:spacing w:line="360" w:lineRule="auto"/>
              <w:ind w:left="0"/>
              <w:rPr>
                <w:rFonts w:asciiTheme="minorHAnsi" w:hAnsiTheme="minorHAnsi" w:cstheme="minorHAnsi"/>
                <w:bCs/>
                <w:sz w:val="24"/>
                <w:szCs w:val="24"/>
              </w:rPr>
            </w:pPr>
            <w:r w:rsidRPr="003B0AA3">
              <w:rPr>
                <w:rFonts w:asciiTheme="minorHAnsi" w:hAnsiTheme="minorHAnsi" w:cstheme="minorHAnsi"/>
                <w:bCs/>
                <w:sz w:val="24"/>
                <w:szCs w:val="24"/>
              </w:rPr>
              <w:t>Number of shares</w:t>
            </w:r>
          </w:p>
        </w:tc>
        <w:tc>
          <w:tcPr>
            <w:tcW w:w="2500" w:type="dxa"/>
          </w:tcPr>
          <w:p w:rsidR="00E81CDF" w:rsidRDefault="00E81CDF" w:rsidP="00DA254D">
            <w:pPr>
              <w:pStyle w:val="ListParagraph"/>
              <w:spacing w:line="360" w:lineRule="auto"/>
              <w:ind w:left="0"/>
              <w:rPr>
                <w:rFonts w:asciiTheme="minorHAnsi" w:hAnsiTheme="minorHAnsi" w:cstheme="minorHAnsi"/>
                <w:bCs/>
                <w:sz w:val="24"/>
                <w:szCs w:val="24"/>
              </w:rPr>
            </w:pPr>
            <w:r w:rsidRPr="003B0AA3">
              <w:rPr>
                <w:rFonts w:asciiTheme="minorHAnsi" w:hAnsiTheme="minorHAnsi" w:cstheme="minorHAnsi"/>
                <w:bCs/>
                <w:sz w:val="24"/>
                <w:szCs w:val="24"/>
              </w:rPr>
              <w:t>Dividend per share</w:t>
            </w:r>
          </w:p>
        </w:tc>
      </w:tr>
      <w:tr w:rsidR="00DA254D" w:rsidTr="00DA254D">
        <w:tc>
          <w:tcPr>
            <w:tcW w:w="1183" w:type="dxa"/>
          </w:tcPr>
          <w:p w:rsidR="00DA254D" w:rsidRPr="003B0AA3" w:rsidRDefault="00DA254D" w:rsidP="00DA254D">
            <w:pPr>
              <w:pStyle w:val="ListParagraph"/>
              <w:spacing w:line="360" w:lineRule="auto"/>
              <w:ind w:left="0"/>
              <w:rPr>
                <w:rFonts w:asciiTheme="minorHAnsi" w:hAnsiTheme="minorHAnsi" w:cstheme="minorHAnsi"/>
                <w:bCs/>
                <w:sz w:val="24"/>
                <w:szCs w:val="24"/>
              </w:rPr>
            </w:pPr>
            <w:r>
              <w:rPr>
                <w:rFonts w:asciiTheme="minorHAnsi" w:hAnsiTheme="minorHAnsi" w:cstheme="minorHAnsi"/>
                <w:bCs/>
                <w:sz w:val="24"/>
                <w:szCs w:val="24"/>
              </w:rPr>
              <w:t>2019</w:t>
            </w:r>
          </w:p>
        </w:tc>
        <w:tc>
          <w:tcPr>
            <w:tcW w:w="1701" w:type="dxa"/>
          </w:tcPr>
          <w:p w:rsidR="00DA254D" w:rsidRDefault="00DA254D" w:rsidP="00DA254D">
            <w:pPr>
              <w:pStyle w:val="ListParagraph"/>
              <w:spacing w:line="360" w:lineRule="auto"/>
              <w:ind w:left="0"/>
              <w:rPr>
                <w:rFonts w:asciiTheme="minorHAnsi" w:hAnsiTheme="minorHAnsi" w:cstheme="minorHAnsi"/>
                <w:bCs/>
                <w:sz w:val="24"/>
                <w:szCs w:val="24"/>
              </w:rPr>
            </w:pPr>
            <w:r w:rsidRPr="007A49E7">
              <w:rPr>
                <w:rFonts w:asciiTheme="minorHAnsi" w:hAnsiTheme="minorHAnsi" w:cstheme="minorHAnsi"/>
                <w:sz w:val="24"/>
                <w:szCs w:val="24"/>
              </w:rPr>
              <w:t>1.4220</w:t>
            </w:r>
          </w:p>
        </w:tc>
        <w:tc>
          <w:tcPr>
            <w:tcW w:w="2552" w:type="dxa"/>
          </w:tcPr>
          <w:p w:rsidR="00DA254D" w:rsidRPr="007A49E7" w:rsidRDefault="00DA254D" w:rsidP="00DA254D">
            <w:pPr>
              <w:rPr>
                <w:rFonts w:asciiTheme="minorHAnsi" w:hAnsiTheme="minorHAnsi" w:cstheme="minorHAnsi"/>
                <w:sz w:val="24"/>
                <w:szCs w:val="24"/>
              </w:rPr>
            </w:pPr>
            <w:r>
              <w:rPr>
                <w:rFonts w:asciiTheme="minorHAnsi" w:hAnsiTheme="minorHAnsi" w:cstheme="minorHAnsi"/>
                <w:sz w:val="24"/>
                <w:szCs w:val="24"/>
              </w:rPr>
              <w:t>4.2</w:t>
            </w:r>
          </w:p>
        </w:tc>
        <w:tc>
          <w:tcPr>
            <w:tcW w:w="2500" w:type="dxa"/>
          </w:tcPr>
          <w:p w:rsidR="00DA254D" w:rsidRPr="007A49E7" w:rsidRDefault="00DA254D" w:rsidP="00DA254D">
            <w:pPr>
              <w:rPr>
                <w:rFonts w:asciiTheme="minorHAnsi" w:hAnsiTheme="minorHAnsi" w:cstheme="minorHAnsi"/>
                <w:sz w:val="24"/>
                <w:szCs w:val="24"/>
              </w:rPr>
            </w:pPr>
            <w:r>
              <w:rPr>
                <w:rFonts w:asciiTheme="minorHAnsi" w:hAnsiTheme="minorHAnsi" w:cstheme="minorHAnsi"/>
                <w:sz w:val="24"/>
                <w:szCs w:val="24"/>
              </w:rPr>
              <w:t>3.0p</w:t>
            </w:r>
          </w:p>
        </w:tc>
      </w:tr>
      <w:tr w:rsidR="00DA254D" w:rsidTr="00DA254D">
        <w:tc>
          <w:tcPr>
            <w:tcW w:w="1183" w:type="dxa"/>
          </w:tcPr>
          <w:p w:rsidR="00DA254D" w:rsidRPr="003B0AA3" w:rsidRDefault="00DA254D" w:rsidP="00DA254D">
            <w:pPr>
              <w:pStyle w:val="ListParagraph"/>
              <w:spacing w:line="360" w:lineRule="auto"/>
              <w:ind w:left="0"/>
              <w:rPr>
                <w:rFonts w:asciiTheme="minorHAnsi" w:hAnsiTheme="minorHAnsi" w:cstheme="minorHAnsi"/>
                <w:bCs/>
                <w:sz w:val="24"/>
                <w:szCs w:val="24"/>
              </w:rPr>
            </w:pPr>
            <w:r>
              <w:rPr>
                <w:rFonts w:asciiTheme="minorHAnsi" w:hAnsiTheme="minorHAnsi" w:cstheme="minorHAnsi"/>
                <w:bCs/>
                <w:sz w:val="24"/>
                <w:szCs w:val="24"/>
              </w:rPr>
              <w:t>2018</w:t>
            </w:r>
          </w:p>
        </w:tc>
        <w:tc>
          <w:tcPr>
            <w:tcW w:w="1701" w:type="dxa"/>
          </w:tcPr>
          <w:p w:rsidR="00DA254D" w:rsidRDefault="00DA254D" w:rsidP="00DA254D">
            <w:pPr>
              <w:pStyle w:val="ListParagraph"/>
              <w:spacing w:line="360" w:lineRule="auto"/>
              <w:ind w:left="0"/>
              <w:rPr>
                <w:rFonts w:asciiTheme="minorHAnsi" w:hAnsiTheme="minorHAnsi" w:cstheme="minorHAnsi"/>
                <w:bCs/>
                <w:sz w:val="24"/>
                <w:szCs w:val="24"/>
              </w:rPr>
            </w:pPr>
            <w:r w:rsidRPr="007A49E7">
              <w:rPr>
                <w:rFonts w:asciiTheme="minorHAnsi" w:hAnsiTheme="minorHAnsi" w:cstheme="minorHAnsi"/>
                <w:bCs/>
                <w:sz w:val="24"/>
                <w:szCs w:val="24"/>
              </w:rPr>
              <w:t>1.6406</w:t>
            </w:r>
          </w:p>
        </w:tc>
        <w:tc>
          <w:tcPr>
            <w:tcW w:w="2552" w:type="dxa"/>
          </w:tcPr>
          <w:p w:rsidR="00DA254D" w:rsidRDefault="00DA254D" w:rsidP="00DA254D">
            <w:pPr>
              <w:pStyle w:val="ListParagraph"/>
              <w:spacing w:line="360" w:lineRule="auto"/>
              <w:ind w:left="0"/>
              <w:rPr>
                <w:rFonts w:asciiTheme="minorHAnsi" w:hAnsiTheme="minorHAnsi" w:cstheme="minorHAnsi"/>
                <w:bCs/>
                <w:sz w:val="24"/>
                <w:szCs w:val="24"/>
              </w:rPr>
            </w:pPr>
            <w:r>
              <w:rPr>
                <w:rFonts w:asciiTheme="minorHAnsi" w:hAnsiTheme="minorHAnsi" w:cstheme="minorHAnsi"/>
                <w:bCs/>
                <w:sz w:val="24"/>
                <w:szCs w:val="24"/>
              </w:rPr>
              <w:t>6.6</w:t>
            </w:r>
          </w:p>
        </w:tc>
        <w:tc>
          <w:tcPr>
            <w:tcW w:w="2500" w:type="dxa"/>
          </w:tcPr>
          <w:p w:rsidR="00DA254D" w:rsidRDefault="00DA254D" w:rsidP="00DA254D">
            <w:pPr>
              <w:pStyle w:val="ListParagraph"/>
              <w:spacing w:line="360" w:lineRule="auto"/>
              <w:ind w:left="0"/>
              <w:rPr>
                <w:rFonts w:asciiTheme="minorHAnsi" w:hAnsiTheme="minorHAnsi" w:cstheme="minorHAnsi"/>
                <w:bCs/>
                <w:sz w:val="24"/>
                <w:szCs w:val="24"/>
              </w:rPr>
            </w:pPr>
            <w:r w:rsidRPr="007A49E7">
              <w:rPr>
                <w:rFonts w:asciiTheme="minorHAnsi" w:hAnsiTheme="minorHAnsi" w:cstheme="minorHAnsi"/>
                <w:bCs/>
                <w:sz w:val="24"/>
                <w:szCs w:val="24"/>
              </w:rPr>
              <w:t>4.0p</w:t>
            </w:r>
          </w:p>
        </w:tc>
      </w:tr>
    </w:tbl>
    <w:p w:rsidR="00E81CDF" w:rsidRPr="003B0AA3" w:rsidRDefault="00E81CDF" w:rsidP="003B0AA3">
      <w:pPr>
        <w:spacing w:line="360" w:lineRule="auto"/>
        <w:rPr>
          <w:rFonts w:asciiTheme="minorHAnsi" w:hAnsiTheme="minorHAnsi" w:cstheme="minorHAnsi"/>
          <w:bCs/>
          <w:sz w:val="24"/>
          <w:szCs w:val="24"/>
        </w:rPr>
      </w:pPr>
    </w:p>
    <w:p w:rsidR="003B0AA3" w:rsidRPr="003B0AA3" w:rsidRDefault="003B0AA3" w:rsidP="003B0AA3">
      <w:pPr>
        <w:spacing w:line="360" w:lineRule="auto"/>
        <w:rPr>
          <w:rFonts w:asciiTheme="minorHAnsi" w:hAnsiTheme="minorHAnsi" w:cstheme="minorHAnsi"/>
          <w:bCs/>
          <w:sz w:val="24"/>
          <w:szCs w:val="24"/>
        </w:rPr>
      </w:pPr>
      <w:r w:rsidRPr="003B0AA3">
        <w:rPr>
          <w:rFonts w:asciiTheme="minorHAnsi" w:hAnsiTheme="minorHAnsi" w:cstheme="minorHAnsi"/>
          <w:bCs/>
          <w:sz w:val="24"/>
          <w:szCs w:val="24"/>
        </w:rPr>
        <w:tab/>
      </w:r>
      <w:r w:rsidRPr="003B0AA3">
        <w:rPr>
          <w:rFonts w:asciiTheme="minorHAnsi" w:hAnsiTheme="minorHAnsi" w:cstheme="minorHAnsi"/>
          <w:bCs/>
          <w:sz w:val="24"/>
          <w:szCs w:val="24"/>
        </w:rPr>
        <w:tab/>
      </w:r>
      <w:r w:rsidRPr="003B0AA3">
        <w:rPr>
          <w:rFonts w:asciiTheme="minorHAnsi" w:hAnsiTheme="minorHAnsi" w:cstheme="minorHAnsi"/>
          <w:bCs/>
          <w:sz w:val="24"/>
          <w:szCs w:val="24"/>
        </w:rPr>
        <w:tab/>
      </w:r>
      <w:r w:rsidRPr="003B0AA3">
        <w:rPr>
          <w:rFonts w:asciiTheme="minorHAnsi" w:hAnsiTheme="minorHAnsi" w:cstheme="minorHAnsi"/>
          <w:bCs/>
          <w:sz w:val="24"/>
          <w:szCs w:val="24"/>
        </w:rPr>
        <w:tab/>
      </w:r>
    </w:p>
    <w:p w:rsidR="003B0AA3" w:rsidRPr="003B0AA3" w:rsidRDefault="003B0AA3" w:rsidP="003B0AA3">
      <w:pPr>
        <w:spacing w:line="360" w:lineRule="auto"/>
        <w:rPr>
          <w:rFonts w:asciiTheme="minorHAnsi" w:hAnsiTheme="minorHAnsi" w:cstheme="minorHAnsi"/>
          <w:bCs/>
          <w:sz w:val="24"/>
          <w:szCs w:val="24"/>
        </w:rPr>
      </w:pPr>
      <w:r w:rsidRPr="003B0AA3">
        <w:rPr>
          <w:rFonts w:asciiTheme="minorHAnsi" w:hAnsiTheme="minorHAnsi" w:cstheme="minorHAnsi"/>
          <w:bCs/>
          <w:sz w:val="24"/>
          <w:szCs w:val="24"/>
        </w:rPr>
        <w:t>13</w:t>
      </w:r>
      <w:r w:rsidRPr="003B0AA3">
        <w:rPr>
          <w:rFonts w:asciiTheme="minorHAnsi" w:hAnsiTheme="minorHAnsi" w:cstheme="minorHAnsi"/>
          <w:bCs/>
          <w:sz w:val="24"/>
          <w:szCs w:val="24"/>
        </w:rPr>
        <w:tab/>
        <w:t xml:space="preserve">Dividend pay-out </w:t>
      </w:r>
      <w:proofErr w:type="gramStart"/>
      <w:r w:rsidRPr="003B0AA3">
        <w:rPr>
          <w:rFonts w:asciiTheme="minorHAnsi" w:hAnsiTheme="minorHAnsi" w:cstheme="minorHAnsi"/>
          <w:bCs/>
          <w:sz w:val="24"/>
          <w:szCs w:val="24"/>
        </w:rPr>
        <w:t>ratio</w:t>
      </w:r>
      <w:proofErr w:type="gramEnd"/>
      <w:r w:rsidRPr="003B0AA3">
        <w:rPr>
          <w:rFonts w:asciiTheme="minorHAnsi" w:hAnsiTheme="minorHAnsi" w:cstheme="minorHAnsi"/>
          <w:bCs/>
          <w:sz w:val="24"/>
          <w:szCs w:val="24"/>
        </w:rPr>
        <w:t xml:space="preserve"> = Dividends paid / Profit after tax</w:t>
      </w:r>
    </w:p>
    <w:p w:rsidR="00DA254D" w:rsidRPr="003B0AA3" w:rsidRDefault="003B0AA3" w:rsidP="003B0AA3">
      <w:pPr>
        <w:spacing w:line="360" w:lineRule="auto"/>
        <w:rPr>
          <w:rFonts w:asciiTheme="minorHAnsi" w:hAnsiTheme="minorHAnsi" w:cstheme="minorHAnsi"/>
          <w:bCs/>
          <w:sz w:val="24"/>
          <w:szCs w:val="24"/>
        </w:rPr>
      </w:pPr>
      <w:r w:rsidRPr="003B0AA3">
        <w:rPr>
          <w:rFonts w:asciiTheme="minorHAnsi" w:hAnsiTheme="minorHAnsi" w:cstheme="minorHAnsi"/>
          <w:bCs/>
          <w:sz w:val="24"/>
          <w:szCs w:val="24"/>
        </w:rPr>
        <w:tab/>
      </w:r>
      <w:r w:rsidRPr="003B0AA3">
        <w:rPr>
          <w:rFonts w:asciiTheme="minorHAnsi" w:hAnsiTheme="minorHAnsi" w:cstheme="minorHAnsi"/>
          <w:bCs/>
          <w:sz w:val="24"/>
          <w:szCs w:val="24"/>
        </w:rPr>
        <w:tab/>
      </w:r>
    </w:p>
    <w:tbl>
      <w:tblPr>
        <w:tblStyle w:val="TableGrid"/>
        <w:tblW w:w="0" w:type="auto"/>
        <w:tblInd w:w="1080" w:type="dxa"/>
        <w:tblLook w:val="04A0" w:firstRow="1" w:lastRow="0" w:firstColumn="1" w:lastColumn="0" w:noHBand="0" w:noVBand="1"/>
      </w:tblPr>
      <w:tblGrid>
        <w:gridCol w:w="1183"/>
        <w:gridCol w:w="1701"/>
        <w:gridCol w:w="2552"/>
        <w:gridCol w:w="2500"/>
      </w:tblGrid>
      <w:tr w:rsidR="00DA254D" w:rsidTr="00DA254D">
        <w:tc>
          <w:tcPr>
            <w:tcW w:w="1183" w:type="dxa"/>
          </w:tcPr>
          <w:p w:rsidR="00DA254D" w:rsidRPr="003B0AA3" w:rsidRDefault="00DA254D" w:rsidP="00DA254D">
            <w:pPr>
              <w:pStyle w:val="ListParagraph"/>
              <w:spacing w:line="360" w:lineRule="auto"/>
              <w:ind w:left="0"/>
              <w:rPr>
                <w:rFonts w:asciiTheme="minorHAnsi" w:hAnsiTheme="minorHAnsi" w:cstheme="minorHAnsi"/>
                <w:bCs/>
                <w:sz w:val="24"/>
                <w:szCs w:val="24"/>
              </w:rPr>
            </w:pPr>
          </w:p>
        </w:tc>
        <w:tc>
          <w:tcPr>
            <w:tcW w:w="1701" w:type="dxa"/>
          </w:tcPr>
          <w:p w:rsidR="00DA254D" w:rsidRDefault="00DA254D" w:rsidP="00DA254D">
            <w:pPr>
              <w:pStyle w:val="ListParagraph"/>
              <w:spacing w:line="360" w:lineRule="auto"/>
              <w:ind w:left="0"/>
              <w:rPr>
                <w:rFonts w:asciiTheme="minorHAnsi" w:hAnsiTheme="minorHAnsi" w:cstheme="minorHAnsi"/>
                <w:bCs/>
                <w:sz w:val="24"/>
                <w:szCs w:val="24"/>
              </w:rPr>
            </w:pPr>
            <w:r w:rsidRPr="003B0AA3">
              <w:rPr>
                <w:rFonts w:asciiTheme="minorHAnsi" w:hAnsiTheme="minorHAnsi" w:cstheme="minorHAnsi"/>
                <w:bCs/>
                <w:sz w:val="24"/>
                <w:szCs w:val="24"/>
              </w:rPr>
              <w:t>Dividends paid</w:t>
            </w:r>
          </w:p>
        </w:tc>
        <w:tc>
          <w:tcPr>
            <w:tcW w:w="2552" w:type="dxa"/>
          </w:tcPr>
          <w:p w:rsidR="00DA254D" w:rsidRDefault="00DA254D" w:rsidP="00DA254D">
            <w:pPr>
              <w:pStyle w:val="ListParagraph"/>
              <w:spacing w:line="360" w:lineRule="auto"/>
              <w:ind w:left="0"/>
              <w:rPr>
                <w:rFonts w:asciiTheme="minorHAnsi" w:hAnsiTheme="minorHAnsi" w:cstheme="minorHAnsi"/>
                <w:bCs/>
                <w:sz w:val="24"/>
                <w:szCs w:val="24"/>
              </w:rPr>
            </w:pPr>
            <w:r>
              <w:rPr>
                <w:rFonts w:asciiTheme="minorHAnsi" w:hAnsiTheme="minorHAnsi" w:cstheme="minorHAnsi"/>
                <w:bCs/>
                <w:sz w:val="24"/>
                <w:szCs w:val="24"/>
              </w:rPr>
              <w:t>Profit after tax</w:t>
            </w:r>
          </w:p>
        </w:tc>
        <w:tc>
          <w:tcPr>
            <w:tcW w:w="2500" w:type="dxa"/>
          </w:tcPr>
          <w:p w:rsidR="00DA254D" w:rsidRDefault="00DA254D" w:rsidP="00DA254D">
            <w:pPr>
              <w:pStyle w:val="ListParagraph"/>
              <w:spacing w:line="360" w:lineRule="auto"/>
              <w:ind w:left="0"/>
              <w:rPr>
                <w:rFonts w:asciiTheme="minorHAnsi" w:hAnsiTheme="minorHAnsi" w:cstheme="minorHAnsi"/>
                <w:bCs/>
                <w:sz w:val="24"/>
                <w:szCs w:val="24"/>
              </w:rPr>
            </w:pPr>
            <w:r w:rsidRPr="003B0AA3">
              <w:rPr>
                <w:rFonts w:asciiTheme="minorHAnsi" w:hAnsiTheme="minorHAnsi" w:cstheme="minorHAnsi"/>
                <w:bCs/>
                <w:sz w:val="24"/>
                <w:szCs w:val="24"/>
              </w:rPr>
              <w:t>Dividend pay-out ratio</w:t>
            </w:r>
          </w:p>
        </w:tc>
      </w:tr>
      <w:tr w:rsidR="00DA254D" w:rsidTr="00DA254D">
        <w:tc>
          <w:tcPr>
            <w:tcW w:w="1183" w:type="dxa"/>
          </w:tcPr>
          <w:p w:rsidR="00DA254D" w:rsidRPr="003B0AA3" w:rsidRDefault="00DA254D" w:rsidP="00DA254D">
            <w:pPr>
              <w:pStyle w:val="ListParagraph"/>
              <w:spacing w:line="360" w:lineRule="auto"/>
              <w:ind w:left="0"/>
              <w:rPr>
                <w:rFonts w:asciiTheme="minorHAnsi" w:hAnsiTheme="minorHAnsi" w:cstheme="minorHAnsi"/>
                <w:bCs/>
                <w:sz w:val="24"/>
                <w:szCs w:val="24"/>
              </w:rPr>
            </w:pPr>
            <w:r>
              <w:rPr>
                <w:rFonts w:asciiTheme="minorHAnsi" w:hAnsiTheme="minorHAnsi" w:cstheme="minorHAnsi"/>
                <w:bCs/>
                <w:sz w:val="24"/>
                <w:szCs w:val="24"/>
              </w:rPr>
              <w:t>2019</w:t>
            </w:r>
          </w:p>
        </w:tc>
        <w:tc>
          <w:tcPr>
            <w:tcW w:w="1701" w:type="dxa"/>
          </w:tcPr>
          <w:p w:rsidR="00DA254D" w:rsidRDefault="00DA254D" w:rsidP="00DA254D">
            <w:pPr>
              <w:pStyle w:val="ListParagraph"/>
              <w:spacing w:line="360" w:lineRule="auto"/>
              <w:ind w:left="0"/>
              <w:rPr>
                <w:rFonts w:asciiTheme="minorHAnsi" w:hAnsiTheme="minorHAnsi" w:cstheme="minorHAnsi"/>
                <w:bCs/>
                <w:sz w:val="24"/>
                <w:szCs w:val="24"/>
              </w:rPr>
            </w:pPr>
            <w:r w:rsidRPr="007A49E7">
              <w:rPr>
                <w:rFonts w:asciiTheme="minorHAnsi" w:hAnsiTheme="minorHAnsi" w:cstheme="minorHAnsi"/>
                <w:sz w:val="24"/>
                <w:szCs w:val="24"/>
              </w:rPr>
              <w:t>1.4220</w:t>
            </w:r>
          </w:p>
        </w:tc>
        <w:tc>
          <w:tcPr>
            <w:tcW w:w="2552" w:type="dxa"/>
          </w:tcPr>
          <w:p w:rsidR="00DA254D" w:rsidRDefault="00DA254D" w:rsidP="00DA254D">
            <w:pPr>
              <w:pStyle w:val="ListParagraph"/>
              <w:spacing w:line="360" w:lineRule="auto"/>
              <w:ind w:left="0"/>
              <w:rPr>
                <w:rFonts w:asciiTheme="minorHAnsi" w:hAnsiTheme="minorHAnsi" w:cstheme="minorHAnsi"/>
                <w:bCs/>
                <w:sz w:val="24"/>
                <w:szCs w:val="24"/>
              </w:rPr>
            </w:pPr>
            <w:r>
              <w:rPr>
                <w:rFonts w:ascii="Arial" w:hAnsi="Arial" w:cs="Arial"/>
                <w:color w:val="000000"/>
                <w:shd w:val="clear" w:color="auto" w:fill="FFFFFF"/>
              </w:rPr>
              <w:t>3,354.00</w:t>
            </w:r>
          </w:p>
        </w:tc>
        <w:tc>
          <w:tcPr>
            <w:tcW w:w="2500" w:type="dxa"/>
          </w:tcPr>
          <w:p w:rsidR="00DA254D" w:rsidRDefault="00045BE9" w:rsidP="00DA254D">
            <w:pPr>
              <w:pStyle w:val="ListParagraph"/>
              <w:spacing w:line="360" w:lineRule="auto"/>
              <w:ind w:left="0"/>
              <w:rPr>
                <w:rFonts w:asciiTheme="minorHAnsi" w:hAnsiTheme="minorHAnsi" w:cstheme="minorHAnsi"/>
                <w:bCs/>
                <w:sz w:val="24"/>
                <w:szCs w:val="24"/>
              </w:rPr>
            </w:pPr>
            <w:r>
              <w:rPr>
                <w:rFonts w:asciiTheme="minorHAnsi" w:hAnsiTheme="minorHAnsi" w:cstheme="minorHAnsi"/>
                <w:bCs/>
                <w:sz w:val="24"/>
                <w:szCs w:val="24"/>
              </w:rPr>
              <w:t>0.042%</w:t>
            </w:r>
          </w:p>
        </w:tc>
      </w:tr>
      <w:tr w:rsidR="00DA254D" w:rsidTr="00DA254D">
        <w:tc>
          <w:tcPr>
            <w:tcW w:w="1183" w:type="dxa"/>
          </w:tcPr>
          <w:p w:rsidR="00DA254D" w:rsidRPr="003B0AA3" w:rsidRDefault="00DA254D" w:rsidP="00DA254D">
            <w:pPr>
              <w:pStyle w:val="ListParagraph"/>
              <w:spacing w:line="360" w:lineRule="auto"/>
              <w:ind w:left="0"/>
              <w:rPr>
                <w:rFonts w:asciiTheme="minorHAnsi" w:hAnsiTheme="minorHAnsi" w:cstheme="minorHAnsi"/>
                <w:bCs/>
                <w:sz w:val="24"/>
                <w:szCs w:val="24"/>
              </w:rPr>
            </w:pPr>
            <w:r>
              <w:rPr>
                <w:rFonts w:asciiTheme="minorHAnsi" w:hAnsiTheme="minorHAnsi" w:cstheme="minorHAnsi"/>
                <w:bCs/>
                <w:sz w:val="24"/>
                <w:szCs w:val="24"/>
              </w:rPr>
              <w:t>2018</w:t>
            </w:r>
          </w:p>
        </w:tc>
        <w:tc>
          <w:tcPr>
            <w:tcW w:w="1701" w:type="dxa"/>
          </w:tcPr>
          <w:p w:rsidR="00DA254D" w:rsidRDefault="00DA254D" w:rsidP="00DA254D">
            <w:pPr>
              <w:pStyle w:val="ListParagraph"/>
              <w:spacing w:line="360" w:lineRule="auto"/>
              <w:ind w:left="0"/>
              <w:rPr>
                <w:rFonts w:asciiTheme="minorHAnsi" w:hAnsiTheme="minorHAnsi" w:cstheme="minorHAnsi"/>
                <w:bCs/>
                <w:sz w:val="24"/>
                <w:szCs w:val="24"/>
              </w:rPr>
            </w:pPr>
            <w:r w:rsidRPr="007A49E7">
              <w:rPr>
                <w:rFonts w:asciiTheme="minorHAnsi" w:hAnsiTheme="minorHAnsi" w:cstheme="minorHAnsi"/>
                <w:bCs/>
                <w:sz w:val="24"/>
                <w:szCs w:val="24"/>
              </w:rPr>
              <w:t>1.6406</w:t>
            </w:r>
          </w:p>
        </w:tc>
        <w:tc>
          <w:tcPr>
            <w:tcW w:w="2552" w:type="dxa"/>
          </w:tcPr>
          <w:p w:rsidR="00DA254D" w:rsidRDefault="00DA254D" w:rsidP="00DA254D">
            <w:pPr>
              <w:pStyle w:val="ListParagraph"/>
              <w:spacing w:line="360" w:lineRule="auto"/>
              <w:ind w:left="0"/>
              <w:rPr>
                <w:rFonts w:asciiTheme="minorHAnsi" w:hAnsiTheme="minorHAnsi" w:cstheme="minorHAnsi"/>
                <w:bCs/>
                <w:sz w:val="24"/>
                <w:szCs w:val="24"/>
              </w:rPr>
            </w:pPr>
            <w:r>
              <w:rPr>
                <w:rFonts w:ascii="Arial" w:hAnsi="Arial" w:cs="Arial"/>
                <w:color w:val="000000"/>
                <w:shd w:val="clear" w:color="auto" w:fill="FFFFFF"/>
              </w:rPr>
              <w:t>2,583.00</w:t>
            </w:r>
          </w:p>
        </w:tc>
        <w:tc>
          <w:tcPr>
            <w:tcW w:w="2500" w:type="dxa"/>
          </w:tcPr>
          <w:p w:rsidR="00DA254D" w:rsidRDefault="00045BE9" w:rsidP="00045BE9">
            <w:pPr>
              <w:pStyle w:val="ListParagraph"/>
              <w:spacing w:line="360" w:lineRule="auto"/>
              <w:ind w:left="0"/>
              <w:rPr>
                <w:rFonts w:asciiTheme="minorHAnsi" w:hAnsiTheme="minorHAnsi" w:cstheme="minorHAnsi"/>
                <w:bCs/>
                <w:sz w:val="24"/>
                <w:szCs w:val="24"/>
              </w:rPr>
            </w:pPr>
            <w:r>
              <w:rPr>
                <w:rFonts w:asciiTheme="minorHAnsi" w:hAnsiTheme="minorHAnsi" w:cstheme="minorHAnsi"/>
                <w:bCs/>
                <w:sz w:val="24"/>
                <w:szCs w:val="24"/>
              </w:rPr>
              <w:t>0.064%</w:t>
            </w:r>
          </w:p>
        </w:tc>
      </w:tr>
    </w:tbl>
    <w:p w:rsidR="003B0AA3" w:rsidRPr="003B0AA3" w:rsidRDefault="003B0AA3" w:rsidP="003B0AA3">
      <w:pPr>
        <w:spacing w:line="360" w:lineRule="auto"/>
        <w:rPr>
          <w:rFonts w:asciiTheme="minorHAnsi" w:hAnsiTheme="minorHAnsi" w:cstheme="minorHAnsi"/>
          <w:bCs/>
          <w:sz w:val="24"/>
          <w:szCs w:val="24"/>
        </w:rPr>
      </w:pPr>
      <w:r w:rsidRPr="003B0AA3">
        <w:rPr>
          <w:rFonts w:asciiTheme="minorHAnsi" w:hAnsiTheme="minorHAnsi" w:cstheme="minorHAnsi"/>
          <w:bCs/>
          <w:sz w:val="24"/>
          <w:szCs w:val="24"/>
        </w:rPr>
        <w:tab/>
      </w:r>
    </w:p>
    <w:p w:rsidR="003B0AA3" w:rsidRPr="003B0AA3" w:rsidRDefault="003B0AA3" w:rsidP="003B0AA3">
      <w:pPr>
        <w:spacing w:line="360" w:lineRule="auto"/>
        <w:rPr>
          <w:rFonts w:asciiTheme="minorHAnsi" w:hAnsiTheme="minorHAnsi" w:cstheme="minorHAnsi"/>
          <w:bCs/>
          <w:sz w:val="24"/>
          <w:szCs w:val="24"/>
        </w:rPr>
      </w:pPr>
      <w:r w:rsidRPr="003B0AA3">
        <w:rPr>
          <w:rFonts w:asciiTheme="minorHAnsi" w:hAnsiTheme="minorHAnsi" w:cstheme="minorHAnsi"/>
          <w:bCs/>
          <w:sz w:val="24"/>
          <w:szCs w:val="24"/>
        </w:rPr>
        <w:t>14</w:t>
      </w:r>
      <w:r w:rsidRPr="003B0AA3">
        <w:rPr>
          <w:rFonts w:asciiTheme="minorHAnsi" w:hAnsiTheme="minorHAnsi" w:cstheme="minorHAnsi"/>
          <w:bCs/>
          <w:sz w:val="24"/>
          <w:szCs w:val="24"/>
        </w:rPr>
        <w:tab/>
        <w:t>Dividend yield = Dividends per share / Market value per share</w:t>
      </w:r>
    </w:p>
    <w:tbl>
      <w:tblPr>
        <w:tblStyle w:val="TableGrid"/>
        <w:tblW w:w="0" w:type="auto"/>
        <w:tblInd w:w="1080" w:type="dxa"/>
        <w:tblLook w:val="04A0" w:firstRow="1" w:lastRow="0" w:firstColumn="1" w:lastColumn="0" w:noHBand="0" w:noVBand="1"/>
      </w:tblPr>
      <w:tblGrid>
        <w:gridCol w:w="1183"/>
        <w:gridCol w:w="1701"/>
        <w:gridCol w:w="2552"/>
        <w:gridCol w:w="2500"/>
      </w:tblGrid>
      <w:tr w:rsidR="00DA254D" w:rsidTr="00DA254D">
        <w:tc>
          <w:tcPr>
            <w:tcW w:w="1183" w:type="dxa"/>
          </w:tcPr>
          <w:p w:rsidR="00DA254D" w:rsidRPr="003B0AA3" w:rsidRDefault="00DA254D" w:rsidP="00DA254D">
            <w:pPr>
              <w:pStyle w:val="ListParagraph"/>
              <w:spacing w:line="360" w:lineRule="auto"/>
              <w:ind w:left="0"/>
              <w:rPr>
                <w:rFonts w:asciiTheme="minorHAnsi" w:hAnsiTheme="minorHAnsi" w:cstheme="minorHAnsi"/>
                <w:bCs/>
                <w:sz w:val="24"/>
                <w:szCs w:val="24"/>
              </w:rPr>
            </w:pPr>
          </w:p>
        </w:tc>
        <w:tc>
          <w:tcPr>
            <w:tcW w:w="1701" w:type="dxa"/>
          </w:tcPr>
          <w:p w:rsidR="00DA254D" w:rsidRDefault="00DA254D" w:rsidP="00DA254D">
            <w:pPr>
              <w:pStyle w:val="ListParagraph"/>
              <w:spacing w:line="360" w:lineRule="auto"/>
              <w:ind w:left="0"/>
              <w:rPr>
                <w:rFonts w:asciiTheme="minorHAnsi" w:hAnsiTheme="minorHAnsi" w:cstheme="minorHAnsi"/>
                <w:bCs/>
                <w:sz w:val="24"/>
                <w:szCs w:val="24"/>
              </w:rPr>
            </w:pPr>
            <w:r w:rsidRPr="003B0AA3">
              <w:rPr>
                <w:rFonts w:asciiTheme="minorHAnsi" w:hAnsiTheme="minorHAnsi" w:cstheme="minorHAnsi"/>
                <w:bCs/>
                <w:sz w:val="24"/>
                <w:szCs w:val="24"/>
              </w:rPr>
              <w:t>Dividends per share</w:t>
            </w:r>
          </w:p>
        </w:tc>
        <w:tc>
          <w:tcPr>
            <w:tcW w:w="2552" w:type="dxa"/>
          </w:tcPr>
          <w:p w:rsidR="00DA254D" w:rsidRDefault="00DA254D" w:rsidP="00DA254D">
            <w:pPr>
              <w:pStyle w:val="ListParagraph"/>
              <w:spacing w:line="360" w:lineRule="auto"/>
              <w:ind w:left="0"/>
              <w:rPr>
                <w:rFonts w:asciiTheme="minorHAnsi" w:hAnsiTheme="minorHAnsi" w:cstheme="minorHAnsi"/>
                <w:bCs/>
                <w:sz w:val="24"/>
                <w:szCs w:val="24"/>
              </w:rPr>
            </w:pPr>
            <w:r w:rsidRPr="003B0AA3">
              <w:rPr>
                <w:rFonts w:asciiTheme="minorHAnsi" w:hAnsiTheme="minorHAnsi" w:cstheme="minorHAnsi"/>
                <w:bCs/>
                <w:sz w:val="24"/>
                <w:szCs w:val="24"/>
              </w:rPr>
              <w:t>Market value per share</w:t>
            </w:r>
          </w:p>
        </w:tc>
        <w:tc>
          <w:tcPr>
            <w:tcW w:w="2500" w:type="dxa"/>
          </w:tcPr>
          <w:p w:rsidR="00DA254D" w:rsidRDefault="00DA254D" w:rsidP="00DA254D">
            <w:pPr>
              <w:pStyle w:val="ListParagraph"/>
              <w:spacing w:line="360" w:lineRule="auto"/>
              <w:ind w:left="0"/>
              <w:rPr>
                <w:rFonts w:asciiTheme="minorHAnsi" w:hAnsiTheme="minorHAnsi" w:cstheme="minorHAnsi"/>
                <w:bCs/>
                <w:sz w:val="24"/>
                <w:szCs w:val="24"/>
              </w:rPr>
            </w:pPr>
            <w:r w:rsidRPr="003B0AA3">
              <w:rPr>
                <w:rFonts w:asciiTheme="minorHAnsi" w:hAnsiTheme="minorHAnsi" w:cstheme="minorHAnsi"/>
                <w:bCs/>
                <w:sz w:val="24"/>
                <w:szCs w:val="24"/>
              </w:rPr>
              <w:t>Dividend yield</w:t>
            </w:r>
          </w:p>
        </w:tc>
      </w:tr>
      <w:tr w:rsidR="00DA254D" w:rsidTr="00DA254D">
        <w:tc>
          <w:tcPr>
            <w:tcW w:w="1183" w:type="dxa"/>
          </w:tcPr>
          <w:p w:rsidR="00DA254D" w:rsidRPr="003B0AA3" w:rsidRDefault="00DA254D" w:rsidP="00DA254D">
            <w:pPr>
              <w:pStyle w:val="ListParagraph"/>
              <w:spacing w:line="360" w:lineRule="auto"/>
              <w:ind w:left="0"/>
              <w:rPr>
                <w:rFonts w:asciiTheme="minorHAnsi" w:hAnsiTheme="minorHAnsi" w:cstheme="minorHAnsi"/>
                <w:bCs/>
                <w:sz w:val="24"/>
                <w:szCs w:val="24"/>
              </w:rPr>
            </w:pPr>
            <w:r>
              <w:rPr>
                <w:rFonts w:asciiTheme="minorHAnsi" w:hAnsiTheme="minorHAnsi" w:cstheme="minorHAnsi"/>
                <w:bCs/>
                <w:sz w:val="24"/>
                <w:szCs w:val="24"/>
              </w:rPr>
              <w:t>2019</w:t>
            </w:r>
          </w:p>
        </w:tc>
        <w:tc>
          <w:tcPr>
            <w:tcW w:w="1701" w:type="dxa"/>
          </w:tcPr>
          <w:p w:rsidR="00DA254D" w:rsidRPr="007A49E7" w:rsidRDefault="00DA254D" w:rsidP="00DA254D">
            <w:pPr>
              <w:rPr>
                <w:rFonts w:asciiTheme="minorHAnsi" w:hAnsiTheme="minorHAnsi" w:cstheme="minorHAnsi"/>
                <w:sz w:val="24"/>
                <w:szCs w:val="24"/>
              </w:rPr>
            </w:pPr>
            <w:r>
              <w:rPr>
                <w:rFonts w:asciiTheme="minorHAnsi" w:hAnsiTheme="minorHAnsi" w:cstheme="minorHAnsi"/>
                <w:sz w:val="24"/>
                <w:szCs w:val="24"/>
              </w:rPr>
              <w:t>3.0p</w:t>
            </w:r>
          </w:p>
        </w:tc>
        <w:tc>
          <w:tcPr>
            <w:tcW w:w="2552" w:type="dxa"/>
          </w:tcPr>
          <w:p w:rsidR="00DA254D" w:rsidRDefault="00045BE9" w:rsidP="00DA254D">
            <w:pPr>
              <w:pStyle w:val="ListParagraph"/>
              <w:tabs>
                <w:tab w:val="left" w:pos="1245"/>
              </w:tabs>
              <w:spacing w:line="360" w:lineRule="auto"/>
              <w:ind w:left="0"/>
              <w:rPr>
                <w:rFonts w:asciiTheme="minorHAnsi" w:hAnsiTheme="minorHAnsi" w:cstheme="minorHAnsi"/>
                <w:bCs/>
                <w:sz w:val="24"/>
                <w:szCs w:val="24"/>
              </w:rPr>
            </w:pPr>
            <w:r w:rsidRPr="00045BE9">
              <w:rPr>
                <w:rFonts w:asciiTheme="minorHAnsi" w:hAnsiTheme="minorHAnsi" w:cstheme="minorHAnsi"/>
                <w:bCs/>
                <w:sz w:val="24"/>
                <w:szCs w:val="24"/>
              </w:rPr>
              <w:t>104.72p</w:t>
            </w:r>
          </w:p>
        </w:tc>
        <w:tc>
          <w:tcPr>
            <w:tcW w:w="2500" w:type="dxa"/>
          </w:tcPr>
          <w:p w:rsidR="00DA254D" w:rsidRPr="00DA254D" w:rsidRDefault="00045BE9" w:rsidP="00DA254D">
            <w:pPr>
              <w:spacing w:line="480" w:lineRule="auto"/>
              <w:rPr>
                <w:rFonts w:asciiTheme="minorHAnsi" w:hAnsiTheme="minorHAnsi" w:cstheme="minorHAnsi"/>
                <w:color w:val="000000"/>
                <w:sz w:val="24"/>
                <w:szCs w:val="24"/>
              </w:rPr>
            </w:pPr>
            <w:r w:rsidRPr="00045BE9">
              <w:rPr>
                <w:rFonts w:asciiTheme="minorHAnsi" w:hAnsiTheme="minorHAnsi" w:cstheme="minorHAnsi"/>
                <w:color w:val="000000"/>
                <w:sz w:val="24"/>
                <w:szCs w:val="24"/>
              </w:rPr>
              <w:t>2.86%</w:t>
            </w:r>
          </w:p>
        </w:tc>
      </w:tr>
      <w:tr w:rsidR="00DA254D" w:rsidTr="00DA254D">
        <w:tc>
          <w:tcPr>
            <w:tcW w:w="1183" w:type="dxa"/>
          </w:tcPr>
          <w:p w:rsidR="00DA254D" w:rsidRPr="003B0AA3" w:rsidRDefault="00DA254D" w:rsidP="00DA254D">
            <w:pPr>
              <w:pStyle w:val="ListParagraph"/>
              <w:spacing w:line="360" w:lineRule="auto"/>
              <w:ind w:left="0"/>
              <w:rPr>
                <w:rFonts w:asciiTheme="minorHAnsi" w:hAnsiTheme="minorHAnsi" w:cstheme="minorHAnsi"/>
                <w:bCs/>
                <w:sz w:val="24"/>
                <w:szCs w:val="24"/>
              </w:rPr>
            </w:pPr>
            <w:r>
              <w:rPr>
                <w:rFonts w:asciiTheme="minorHAnsi" w:hAnsiTheme="minorHAnsi" w:cstheme="minorHAnsi"/>
                <w:bCs/>
                <w:sz w:val="24"/>
                <w:szCs w:val="24"/>
              </w:rPr>
              <w:t>2018</w:t>
            </w:r>
          </w:p>
        </w:tc>
        <w:tc>
          <w:tcPr>
            <w:tcW w:w="1701" w:type="dxa"/>
          </w:tcPr>
          <w:p w:rsidR="00DA254D" w:rsidRDefault="00DA254D" w:rsidP="00DA254D">
            <w:pPr>
              <w:pStyle w:val="ListParagraph"/>
              <w:spacing w:line="360" w:lineRule="auto"/>
              <w:ind w:left="0"/>
              <w:rPr>
                <w:rFonts w:asciiTheme="minorHAnsi" w:hAnsiTheme="minorHAnsi" w:cstheme="minorHAnsi"/>
                <w:bCs/>
                <w:sz w:val="24"/>
                <w:szCs w:val="24"/>
              </w:rPr>
            </w:pPr>
            <w:r w:rsidRPr="007A49E7">
              <w:rPr>
                <w:rFonts w:asciiTheme="minorHAnsi" w:hAnsiTheme="minorHAnsi" w:cstheme="minorHAnsi"/>
                <w:bCs/>
                <w:sz w:val="24"/>
                <w:szCs w:val="24"/>
              </w:rPr>
              <w:t>4.0p</w:t>
            </w:r>
          </w:p>
        </w:tc>
        <w:tc>
          <w:tcPr>
            <w:tcW w:w="2552" w:type="dxa"/>
          </w:tcPr>
          <w:p w:rsidR="00DA254D" w:rsidRDefault="00B23F2A" w:rsidP="00DA254D">
            <w:pPr>
              <w:pStyle w:val="ListParagraph"/>
              <w:spacing w:line="360" w:lineRule="auto"/>
              <w:ind w:left="0"/>
              <w:rPr>
                <w:rFonts w:asciiTheme="minorHAnsi" w:hAnsiTheme="minorHAnsi" w:cstheme="minorHAnsi"/>
                <w:bCs/>
                <w:sz w:val="24"/>
                <w:szCs w:val="24"/>
              </w:rPr>
            </w:pPr>
            <w:r>
              <w:rPr>
                <w:rFonts w:asciiTheme="minorHAnsi" w:hAnsiTheme="minorHAnsi" w:cstheme="minorHAnsi"/>
                <w:bCs/>
                <w:sz w:val="24"/>
                <w:szCs w:val="24"/>
              </w:rPr>
              <w:t>93.00p</w:t>
            </w:r>
          </w:p>
        </w:tc>
        <w:tc>
          <w:tcPr>
            <w:tcW w:w="2500" w:type="dxa"/>
          </w:tcPr>
          <w:p w:rsidR="00DA254D" w:rsidRDefault="00DA254D" w:rsidP="00DA254D">
            <w:pPr>
              <w:pStyle w:val="ListParagraph"/>
              <w:spacing w:line="360" w:lineRule="auto"/>
              <w:ind w:left="0"/>
              <w:rPr>
                <w:rFonts w:asciiTheme="minorHAnsi" w:hAnsiTheme="minorHAnsi" w:cstheme="minorHAnsi"/>
                <w:bCs/>
                <w:sz w:val="24"/>
                <w:szCs w:val="24"/>
              </w:rPr>
            </w:pPr>
            <w:r w:rsidRPr="00DA254D">
              <w:rPr>
                <w:rFonts w:asciiTheme="minorHAnsi" w:hAnsiTheme="minorHAnsi" w:cstheme="minorHAnsi"/>
                <w:bCs/>
                <w:sz w:val="24"/>
                <w:szCs w:val="24"/>
              </w:rPr>
              <w:t>4.30%</w:t>
            </w:r>
          </w:p>
        </w:tc>
      </w:tr>
    </w:tbl>
    <w:p w:rsidR="00823608" w:rsidRPr="00254FBD" w:rsidRDefault="00823608" w:rsidP="00254FBD">
      <w:pPr>
        <w:spacing w:line="360" w:lineRule="auto"/>
        <w:rPr>
          <w:rFonts w:asciiTheme="minorHAnsi" w:hAnsiTheme="minorHAnsi" w:cstheme="minorHAnsi"/>
          <w:bCs/>
          <w:color w:val="FF0000"/>
          <w:sz w:val="24"/>
          <w:szCs w:val="24"/>
        </w:rPr>
      </w:pPr>
    </w:p>
    <w:p w:rsidR="00823608" w:rsidRPr="00254FBD" w:rsidRDefault="00823608" w:rsidP="00254FBD">
      <w:pPr>
        <w:pStyle w:val="Heading1"/>
        <w:spacing w:line="360" w:lineRule="auto"/>
        <w:rPr>
          <w:rFonts w:cstheme="minorHAnsi"/>
          <w:sz w:val="24"/>
          <w:szCs w:val="24"/>
        </w:rPr>
      </w:pPr>
      <w:bookmarkStart w:id="10" w:name="_Toc42082610"/>
      <w:r w:rsidRPr="00254FBD">
        <w:rPr>
          <w:rFonts w:cstheme="minorHAnsi"/>
          <w:sz w:val="24"/>
          <w:szCs w:val="24"/>
        </w:rPr>
        <w:t>Evaluation of ratios</w:t>
      </w:r>
      <w:bookmarkEnd w:id="10"/>
      <w:r w:rsidRPr="00254FBD">
        <w:rPr>
          <w:rFonts w:cstheme="minorHAnsi"/>
          <w:sz w:val="24"/>
          <w:szCs w:val="24"/>
        </w:rPr>
        <w:t xml:space="preserve"> </w:t>
      </w:r>
    </w:p>
    <w:p w:rsidR="00BE18A9" w:rsidRDefault="00C7480A" w:rsidP="00BE18A9">
      <w:pPr>
        <w:spacing w:line="360" w:lineRule="auto"/>
        <w:rPr>
          <w:rFonts w:asciiTheme="minorHAnsi" w:hAnsiTheme="minorHAnsi" w:cstheme="minorHAnsi"/>
          <w:bCs/>
          <w:sz w:val="24"/>
          <w:szCs w:val="24"/>
        </w:rPr>
      </w:pPr>
      <w:r>
        <w:rPr>
          <w:rFonts w:asciiTheme="minorHAnsi" w:hAnsiTheme="minorHAnsi" w:cstheme="minorHAnsi"/>
          <w:bCs/>
          <w:sz w:val="24"/>
          <w:szCs w:val="24"/>
        </w:rPr>
        <w:t xml:space="preserve">The investor ratios </w:t>
      </w:r>
      <w:r w:rsidR="00BE18A9">
        <w:rPr>
          <w:rFonts w:asciiTheme="minorHAnsi" w:hAnsiTheme="minorHAnsi" w:cstheme="minorHAnsi"/>
          <w:bCs/>
          <w:sz w:val="24"/>
          <w:szCs w:val="24"/>
        </w:rPr>
        <w:t>s</w:t>
      </w:r>
      <w:r>
        <w:rPr>
          <w:rFonts w:asciiTheme="minorHAnsi" w:hAnsiTheme="minorHAnsi" w:cstheme="minorHAnsi"/>
          <w:bCs/>
          <w:sz w:val="24"/>
          <w:szCs w:val="24"/>
        </w:rPr>
        <w:t>how</w:t>
      </w:r>
      <w:r w:rsidR="00BE18A9">
        <w:rPr>
          <w:rFonts w:asciiTheme="minorHAnsi" w:hAnsiTheme="minorHAnsi" w:cstheme="minorHAnsi"/>
          <w:bCs/>
          <w:sz w:val="24"/>
          <w:szCs w:val="24"/>
        </w:rPr>
        <w:t xml:space="preserve"> that profit before tax has been increasing</w:t>
      </w:r>
      <w:r>
        <w:rPr>
          <w:rFonts w:asciiTheme="minorHAnsi" w:hAnsiTheme="minorHAnsi" w:cstheme="minorHAnsi"/>
          <w:bCs/>
          <w:sz w:val="24"/>
          <w:szCs w:val="24"/>
        </w:rPr>
        <w:t xml:space="preserve"> at Barclays</w:t>
      </w:r>
      <w:r w:rsidR="00BE18A9">
        <w:rPr>
          <w:rFonts w:asciiTheme="minorHAnsi" w:hAnsiTheme="minorHAnsi" w:cstheme="minorHAnsi"/>
          <w:bCs/>
          <w:sz w:val="24"/>
          <w:szCs w:val="24"/>
        </w:rPr>
        <w:t xml:space="preserve"> since 2015, with a huge influx in 2016.  There was a slight dip in 2018 but Barclays saw </w:t>
      </w:r>
      <w:r w:rsidR="00BE18A9" w:rsidRPr="00BE18A9">
        <w:rPr>
          <w:rFonts w:asciiTheme="minorHAnsi" w:hAnsiTheme="minorHAnsi" w:cstheme="minorHAnsi"/>
          <w:bCs/>
          <w:sz w:val="24"/>
          <w:szCs w:val="24"/>
        </w:rPr>
        <w:t xml:space="preserve">profit before taxes </w:t>
      </w:r>
      <w:r w:rsidR="00BE18A9">
        <w:rPr>
          <w:rFonts w:asciiTheme="minorHAnsi" w:hAnsiTheme="minorHAnsi" w:cstheme="minorHAnsi"/>
          <w:bCs/>
          <w:sz w:val="24"/>
          <w:szCs w:val="24"/>
        </w:rPr>
        <w:t xml:space="preserve">increased </w:t>
      </w:r>
      <w:r w:rsidR="00BE18A9" w:rsidRPr="00BE18A9">
        <w:rPr>
          <w:rFonts w:asciiTheme="minorHAnsi" w:hAnsiTheme="minorHAnsi" w:cstheme="minorHAnsi"/>
          <w:bCs/>
          <w:sz w:val="24"/>
          <w:szCs w:val="24"/>
        </w:rPr>
        <w:t xml:space="preserve">by almost </w:t>
      </w:r>
      <w:r w:rsidR="00BE18A9">
        <w:rPr>
          <w:rFonts w:asciiTheme="minorHAnsi" w:hAnsiTheme="minorHAnsi" w:cstheme="minorHAnsi"/>
          <w:bCs/>
          <w:sz w:val="24"/>
          <w:szCs w:val="24"/>
        </w:rPr>
        <w:t xml:space="preserve">£1bn in 2019.  </w:t>
      </w:r>
    </w:p>
    <w:p w:rsidR="00C7480A" w:rsidRDefault="00C7480A" w:rsidP="00BE18A9">
      <w:pPr>
        <w:spacing w:line="360" w:lineRule="auto"/>
        <w:rPr>
          <w:rFonts w:asciiTheme="minorHAnsi" w:hAnsiTheme="minorHAnsi" w:cstheme="minorHAnsi"/>
          <w:bCs/>
          <w:sz w:val="24"/>
          <w:szCs w:val="24"/>
        </w:rPr>
      </w:pPr>
    </w:p>
    <w:p w:rsidR="00C7480A" w:rsidRDefault="006E5E29" w:rsidP="00BE18A9">
      <w:pPr>
        <w:spacing w:line="360" w:lineRule="auto"/>
        <w:rPr>
          <w:rFonts w:asciiTheme="minorHAnsi" w:hAnsiTheme="minorHAnsi" w:cstheme="minorHAnsi"/>
          <w:bCs/>
          <w:sz w:val="24"/>
          <w:szCs w:val="24"/>
        </w:rPr>
      </w:pPr>
      <w:r>
        <w:rPr>
          <w:rFonts w:asciiTheme="minorHAnsi" w:hAnsiTheme="minorHAnsi" w:cstheme="minorHAnsi"/>
          <w:bCs/>
          <w:sz w:val="24"/>
          <w:szCs w:val="24"/>
        </w:rPr>
        <w:t xml:space="preserve">Barclays saw a decrease in their profit before tax in 2015 because of the estimated </w:t>
      </w:r>
      <w:r w:rsidRPr="006E5E29">
        <w:rPr>
          <w:rFonts w:asciiTheme="minorHAnsi" w:hAnsiTheme="minorHAnsi" w:cstheme="minorHAnsi"/>
          <w:bCs/>
          <w:sz w:val="24"/>
          <w:szCs w:val="24"/>
        </w:rPr>
        <w:t xml:space="preserve">£1.1bn </w:t>
      </w:r>
      <w:r>
        <w:rPr>
          <w:rFonts w:asciiTheme="minorHAnsi" w:hAnsiTheme="minorHAnsi" w:cstheme="minorHAnsi"/>
          <w:bCs/>
          <w:sz w:val="24"/>
          <w:szCs w:val="24"/>
        </w:rPr>
        <w:t xml:space="preserve">spent </w:t>
      </w:r>
      <w:r w:rsidRPr="006E5E29">
        <w:rPr>
          <w:rFonts w:asciiTheme="minorHAnsi" w:hAnsiTheme="minorHAnsi" w:cstheme="minorHAnsi"/>
          <w:bCs/>
          <w:sz w:val="24"/>
          <w:szCs w:val="24"/>
        </w:rPr>
        <w:t>structural reforms</w:t>
      </w:r>
      <w:r>
        <w:rPr>
          <w:rFonts w:asciiTheme="minorHAnsi" w:hAnsiTheme="minorHAnsi" w:cstheme="minorHAnsi"/>
          <w:bCs/>
          <w:sz w:val="24"/>
          <w:szCs w:val="24"/>
        </w:rPr>
        <w:t xml:space="preserve"> </w:t>
      </w:r>
      <w:sdt>
        <w:sdtPr>
          <w:rPr>
            <w:rFonts w:asciiTheme="minorHAnsi" w:hAnsiTheme="minorHAnsi" w:cstheme="minorHAnsi"/>
            <w:bCs/>
            <w:sz w:val="24"/>
            <w:szCs w:val="24"/>
          </w:rPr>
          <w:id w:val="1495757405"/>
          <w:citation/>
        </w:sdtPr>
        <w:sdtContent>
          <w:r>
            <w:rPr>
              <w:rFonts w:asciiTheme="minorHAnsi" w:hAnsiTheme="minorHAnsi" w:cstheme="minorHAnsi"/>
              <w:bCs/>
              <w:sz w:val="24"/>
              <w:szCs w:val="24"/>
            </w:rPr>
            <w:fldChar w:fldCharType="begin"/>
          </w:r>
          <w:r>
            <w:rPr>
              <w:rFonts w:asciiTheme="minorHAnsi" w:hAnsiTheme="minorHAnsi" w:cstheme="minorHAnsi"/>
              <w:bCs/>
              <w:sz w:val="24"/>
              <w:szCs w:val="24"/>
            </w:rPr>
            <w:instrText xml:space="preserve"> CITATION Arn15 \l 2057 </w:instrText>
          </w:r>
          <w:r>
            <w:rPr>
              <w:rFonts w:asciiTheme="minorHAnsi" w:hAnsiTheme="minorHAnsi" w:cstheme="minorHAnsi"/>
              <w:bCs/>
              <w:sz w:val="24"/>
              <w:szCs w:val="24"/>
            </w:rPr>
            <w:fldChar w:fldCharType="separate"/>
          </w:r>
          <w:r w:rsidRPr="006E5E29">
            <w:rPr>
              <w:rFonts w:asciiTheme="minorHAnsi" w:hAnsiTheme="minorHAnsi" w:cstheme="minorHAnsi"/>
              <w:noProof/>
              <w:sz w:val="24"/>
              <w:szCs w:val="24"/>
            </w:rPr>
            <w:t>(Arnold, 2015)</w:t>
          </w:r>
          <w:r>
            <w:rPr>
              <w:rFonts w:asciiTheme="minorHAnsi" w:hAnsiTheme="minorHAnsi" w:cstheme="minorHAnsi"/>
              <w:bCs/>
              <w:sz w:val="24"/>
              <w:szCs w:val="24"/>
            </w:rPr>
            <w:fldChar w:fldCharType="end"/>
          </w:r>
        </w:sdtContent>
      </w:sdt>
      <w:r>
        <w:rPr>
          <w:rFonts w:asciiTheme="minorHAnsi" w:hAnsiTheme="minorHAnsi" w:cstheme="minorHAnsi"/>
          <w:bCs/>
          <w:sz w:val="24"/>
          <w:szCs w:val="24"/>
        </w:rPr>
        <w:t xml:space="preserve">. </w:t>
      </w:r>
      <w:r w:rsidR="00C7480A">
        <w:rPr>
          <w:rFonts w:asciiTheme="minorHAnsi" w:hAnsiTheme="minorHAnsi" w:cstheme="minorHAnsi"/>
          <w:bCs/>
          <w:sz w:val="24"/>
          <w:szCs w:val="24"/>
        </w:rPr>
        <w:t xml:space="preserve">The reason profit went back up in 2016 was that after the slump in 2015, Barclays decided to simplify their business model and cut dividends, meaning less payments to shareholders </w:t>
      </w:r>
      <w:sdt>
        <w:sdtPr>
          <w:rPr>
            <w:rFonts w:asciiTheme="minorHAnsi" w:hAnsiTheme="minorHAnsi" w:cstheme="minorHAnsi"/>
            <w:bCs/>
            <w:sz w:val="24"/>
            <w:szCs w:val="24"/>
          </w:rPr>
          <w:id w:val="-1285264177"/>
          <w:citation/>
        </w:sdtPr>
        <w:sdtContent>
          <w:r w:rsidR="00C7480A">
            <w:rPr>
              <w:rFonts w:asciiTheme="minorHAnsi" w:hAnsiTheme="minorHAnsi" w:cstheme="minorHAnsi"/>
              <w:bCs/>
              <w:sz w:val="24"/>
              <w:szCs w:val="24"/>
            </w:rPr>
            <w:fldChar w:fldCharType="begin"/>
          </w:r>
          <w:r w:rsidR="00C7480A">
            <w:rPr>
              <w:rFonts w:asciiTheme="minorHAnsi" w:hAnsiTheme="minorHAnsi" w:cstheme="minorHAnsi"/>
              <w:bCs/>
              <w:sz w:val="24"/>
              <w:szCs w:val="24"/>
            </w:rPr>
            <w:instrText xml:space="preserve"> CITATION Ell16 \l 2057 </w:instrText>
          </w:r>
          <w:r w:rsidR="00C7480A">
            <w:rPr>
              <w:rFonts w:asciiTheme="minorHAnsi" w:hAnsiTheme="minorHAnsi" w:cstheme="minorHAnsi"/>
              <w:bCs/>
              <w:sz w:val="24"/>
              <w:szCs w:val="24"/>
            </w:rPr>
            <w:fldChar w:fldCharType="separate"/>
          </w:r>
          <w:r w:rsidR="00C7480A" w:rsidRPr="00C7480A">
            <w:rPr>
              <w:rFonts w:asciiTheme="minorHAnsi" w:hAnsiTheme="minorHAnsi" w:cstheme="minorHAnsi"/>
              <w:noProof/>
              <w:sz w:val="24"/>
              <w:szCs w:val="24"/>
            </w:rPr>
            <w:t>(Ellyatt, 2016)</w:t>
          </w:r>
          <w:r w:rsidR="00C7480A">
            <w:rPr>
              <w:rFonts w:asciiTheme="minorHAnsi" w:hAnsiTheme="minorHAnsi" w:cstheme="minorHAnsi"/>
              <w:bCs/>
              <w:sz w:val="24"/>
              <w:szCs w:val="24"/>
            </w:rPr>
            <w:fldChar w:fldCharType="end"/>
          </w:r>
        </w:sdtContent>
      </w:sdt>
      <w:r w:rsidR="00C7480A">
        <w:rPr>
          <w:rFonts w:asciiTheme="minorHAnsi" w:hAnsiTheme="minorHAnsi" w:cstheme="minorHAnsi"/>
          <w:bCs/>
          <w:sz w:val="24"/>
          <w:szCs w:val="24"/>
        </w:rPr>
        <w:t xml:space="preserve">.  As a result of these changes, profit before tax almost tripled in 2016.  </w:t>
      </w:r>
      <w:r w:rsidR="003666EF">
        <w:rPr>
          <w:rFonts w:asciiTheme="minorHAnsi" w:hAnsiTheme="minorHAnsi" w:cstheme="minorHAnsi"/>
          <w:bCs/>
          <w:sz w:val="24"/>
          <w:szCs w:val="24"/>
        </w:rPr>
        <w:t xml:space="preserve">In 2018 profits slightly reduced again because of the uncertainty with Brexit </w:t>
      </w:r>
      <w:sdt>
        <w:sdtPr>
          <w:rPr>
            <w:rFonts w:asciiTheme="minorHAnsi" w:hAnsiTheme="minorHAnsi" w:cstheme="minorHAnsi"/>
            <w:bCs/>
            <w:sz w:val="24"/>
            <w:szCs w:val="24"/>
          </w:rPr>
          <w:id w:val="12585797"/>
          <w:citation/>
        </w:sdtPr>
        <w:sdtContent>
          <w:r w:rsidR="003666EF">
            <w:rPr>
              <w:rFonts w:asciiTheme="minorHAnsi" w:hAnsiTheme="minorHAnsi" w:cstheme="minorHAnsi"/>
              <w:bCs/>
              <w:sz w:val="24"/>
              <w:szCs w:val="24"/>
            </w:rPr>
            <w:fldChar w:fldCharType="begin"/>
          </w:r>
          <w:r w:rsidR="003666EF">
            <w:rPr>
              <w:rFonts w:asciiTheme="minorHAnsi" w:hAnsiTheme="minorHAnsi" w:cstheme="minorHAnsi"/>
              <w:bCs/>
              <w:sz w:val="24"/>
              <w:szCs w:val="24"/>
            </w:rPr>
            <w:instrText xml:space="preserve"> CITATION Tre19 \l 2057 </w:instrText>
          </w:r>
          <w:r w:rsidR="003666EF">
            <w:rPr>
              <w:rFonts w:asciiTheme="minorHAnsi" w:hAnsiTheme="minorHAnsi" w:cstheme="minorHAnsi"/>
              <w:bCs/>
              <w:sz w:val="24"/>
              <w:szCs w:val="24"/>
            </w:rPr>
            <w:fldChar w:fldCharType="separate"/>
          </w:r>
          <w:r w:rsidR="003666EF" w:rsidRPr="003666EF">
            <w:rPr>
              <w:rFonts w:asciiTheme="minorHAnsi" w:hAnsiTheme="minorHAnsi" w:cstheme="minorHAnsi"/>
              <w:noProof/>
              <w:sz w:val="24"/>
              <w:szCs w:val="24"/>
            </w:rPr>
            <w:t>(Trefis, 2019)</w:t>
          </w:r>
          <w:r w:rsidR="003666EF">
            <w:rPr>
              <w:rFonts w:asciiTheme="minorHAnsi" w:hAnsiTheme="minorHAnsi" w:cstheme="minorHAnsi"/>
              <w:bCs/>
              <w:sz w:val="24"/>
              <w:szCs w:val="24"/>
            </w:rPr>
            <w:fldChar w:fldCharType="end"/>
          </w:r>
        </w:sdtContent>
      </w:sdt>
      <w:r w:rsidR="003666EF">
        <w:rPr>
          <w:rFonts w:asciiTheme="minorHAnsi" w:hAnsiTheme="minorHAnsi" w:cstheme="minorHAnsi"/>
          <w:bCs/>
          <w:sz w:val="24"/>
          <w:szCs w:val="24"/>
        </w:rPr>
        <w:t>.  In addition,</w:t>
      </w:r>
      <w:r w:rsidR="003666EF" w:rsidRPr="003666EF">
        <w:rPr>
          <w:rFonts w:asciiTheme="minorHAnsi" w:hAnsiTheme="minorHAnsi" w:cstheme="minorHAnsi"/>
          <w:bCs/>
          <w:sz w:val="24"/>
          <w:szCs w:val="24"/>
        </w:rPr>
        <w:t xml:space="preserve"> operating expenses</w:t>
      </w:r>
      <w:r w:rsidR="003666EF">
        <w:rPr>
          <w:rFonts w:asciiTheme="minorHAnsi" w:hAnsiTheme="minorHAnsi" w:cstheme="minorHAnsi"/>
          <w:bCs/>
          <w:sz w:val="24"/>
          <w:szCs w:val="24"/>
        </w:rPr>
        <w:t xml:space="preserve"> increased by 6.5% in the same year</w:t>
      </w:r>
      <w:sdt>
        <w:sdtPr>
          <w:rPr>
            <w:rFonts w:asciiTheme="minorHAnsi" w:hAnsiTheme="minorHAnsi" w:cstheme="minorHAnsi"/>
            <w:bCs/>
            <w:sz w:val="24"/>
            <w:szCs w:val="24"/>
          </w:rPr>
          <w:id w:val="-1228528189"/>
          <w:citation/>
        </w:sdtPr>
        <w:sdtContent>
          <w:r w:rsidR="003666EF">
            <w:rPr>
              <w:rFonts w:asciiTheme="minorHAnsi" w:hAnsiTheme="minorHAnsi" w:cstheme="minorHAnsi"/>
              <w:bCs/>
              <w:sz w:val="24"/>
              <w:szCs w:val="24"/>
            </w:rPr>
            <w:fldChar w:fldCharType="begin"/>
          </w:r>
          <w:r w:rsidR="003666EF">
            <w:rPr>
              <w:rFonts w:asciiTheme="minorHAnsi" w:hAnsiTheme="minorHAnsi" w:cstheme="minorHAnsi"/>
              <w:bCs/>
              <w:sz w:val="24"/>
              <w:szCs w:val="24"/>
            </w:rPr>
            <w:instrText xml:space="preserve"> CITATION Tre19 \l 2057 </w:instrText>
          </w:r>
          <w:r w:rsidR="003666EF">
            <w:rPr>
              <w:rFonts w:asciiTheme="minorHAnsi" w:hAnsiTheme="minorHAnsi" w:cstheme="minorHAnsi"/>
              <w:bCs/>
              <w:sz w:val="24"/>
              <w:szCs w:val="24"/>
            </w:rPr>
            <w:fldChar w:fldCharType="separate"/>
          </w:r>
          <w:r w:rsidR="003666EF">
            <w:rPr>
              <w:rFonts w:asciiTheme="minorHAnsi" w:hAnsiTheme="minorHAnsi" w:cstheme="minorHAnsi"/>
              <w:bCs/>
              <w:noProof/>
              <w:sz w:val="24"/>
              <w:szCs w:val="24"/>
            </w:rPr>
            <w:t xml:space="preserve"> </w:t>
          </w:r>
          <w:r w:rsidR="003666EF" w:rsidRPr="003666EF">
            <w:rPr>
              <w:rFonts w:asciiTheme="minorHAnsi" w:hAnsiTheme="minorHAnsi" w:cstheme="minorHAnsi"/>
              <w:noProof/>
              <w:sz w:val="24"/>
              <w:szCs w:val="24"/>
            </w:rPr>
            <w:t>(Trefis, 2019)</w:t>
          </w:r>
          <w:r w:rsidR="003666EF">
            <w:rPr>
              <w:rFonts w:asciiTheme="minorHAnsi" w:hAnsiTheme="minorHAnsi" w:cstheme="minorHAnsi"/>
              <w:bCs/>
              <w:sz w:val="24"/>
              <w:szCs w:val="24"/>
            </w:rPr>
            <w:fldChar w:fldCharType="end"/>
          </w:r>
        </w:sdtContent>
      </w:sdt>
      <w:r w:rsidR="003666EF">
        <w:rPr>
          <w:rFonts w:asciiTheme="minorHAnsi" w:hAnsiTheme="minorHAnsi" w:cstheme="minorHAnsi"/>
          <w:bCs/>
          <w:sz w:val="24"/>
          <w:szCs w:val="24"/>
        </w:rPr>
        <w:t xml:space="preserve">.  </w:t>
      </w:r>
    </w:p>
    <w:p w:rsidR="007B283B" w:rsidRDefault="007B283B" w:rsidP="00BE18A9">
      <w:pPr>
        <w:spacing w:line="360" w:lineRule="auto"/>
        <w:rPr>
          <w:rFonts w:asciiTheme="minorHAnsi" w:hAnsiTheme="minorHAnsi" w:cstheme="minorHAnsi"/>
          <w:bCs/>
          <w:sz w:val="24"/>
          <w:szCs w:val="24"/>
        </w:rPr>
      </w:pPr>
    </w:p>
    <w:p w:rsidR="007B283B" w:rsidRPr="007B283B" w:rsidRDefault="007B283B" w:rsidP="007B283B">
      <w:pPr>
        <w:pStyle w:val="Default"/>
        <w:spacing w:line="360" w:lineRule="auto"/>
        <w:rPr>
          <w:rFonts w:asciiTheme="minorHAnsi" w:hAnsiTheme="minorHAnsi" w:cstheme="minorHAnsi"/>
          <w:bCs/>
        </w:rPr>
      </w:pPr>
      <w:r>
        <w:rPr>
          <w:rFonts w:asciiTheme="minorHAnsi" w:hAnsiTheme="minorHAnsi" w:cstheme="minorHAnsi"/>
          <w:bCs/>
        </w:rPr>
        <w:t xml:space="preserve">The calculations above show that all the performance ratios have increased in 2019 from 2018.  This includes </w:t>
      </w:r>
      <w:r w:rsidRPr="003B0AA3">
        <w:rPr>
          <w:rFonts w:asciiTheme="minorHAnsi" w:hAnsiTheme="minorHAnsi" w:cstheme="minorHAnsi"/>
          <w:bCs/>
        </w:rPr>
        <w:t>Return on investment</w:t>
      </w:r>
      <w:r>
        <w:rPr>
          <w:rFonts w:asciiTheme="minorHAnsi" w:hAnsiTheme="minorHAnsi" w:cstheme="minorHAnsi"/>
          <w:bCs/>
        </w:rPr>
        <w:t xml:space="preserve">, </w:t>
      </w:r>
      <w:r w:rsidRPr="003B0AA3">
        <w:rPr>
          <w:rFonts w:asciiTheme="minorHAnsi" w:hAnsiTheme="minorHAnsi" w:cstheme="minorHAnsi"/>
          <w:bCs/>
        </w:rPr>
        <w:t>Return on Capital Employed</w:t>
      </w:r>
      <w:r>
        <w:rPr>
          <w:rFonts w:asciiTheme="minorHAnsi" w:hAnsiTheme="minorHAnsi" w:cstheme="minorHAnsi"/>
          <w:bCs/>
        </w:rPr>
        <w:t xml:space="preserve">, </w:t>
      </w:r>
      <w:r w:rsidRPr="003B0AA3">
        <w:rPr>
          <w:rFonts w:asciiTheme="minorHAnsi" w:hAnsiTheme="minorHAnsi" w:cstheme="minorHAnsi"/>
          <w:bCs/>
        </w:rPr>
        <w:t>Gross Profit Margin</w:t>
      </w:r>
      <w:r>
        <w:rPr>
          <w:rFonts w:asciiTheme="minorHAnsi" w:hAnsiTheme="minorHAnsi" w:cstheme="minorHAnsi"/>
          <w:bCs/>
        </w:rPr>
        <w:t xml:space="preserve">, and </w:t>
      </w:r>
      <w:r w:rsidRPr="003B0AA3">
        <w:rPr>
          <w:rFonts w:asciiTheme="minorHAnsi" w:hAnsiTheme="minorHAnsi" w:cstheme="minorHAnsi"/>
          <w:bCs/>
        </w:rPr>
        <w:t>Operating profit margin</w:t>
      </w:r>
      <w:r>
        <w:rPr>
          <w:rFonts w:asciiTheme="minorHAnsi" w:hAnsiTheme="minorHAnsi" w:cstheme="minorHAnsi"/>
          <w:bCs/>
        </w:rPr>
        <w:t xml:space="preserve">.  This shows that the bank is performing well.  The liquidity ratios are also performing well, where they could be calculated but not all parts of liquidity ratios could be assessed because Barclays do not have stock, trade creditors or trade debtors.  </w:t>
      </w:r>
      <w:proofErr w:type="gramStart"/>
      <w:r>
        <w:rPr>
          <w:rFonts w:asciiTheme="minorHAnsi" w:hAnsiTheme="minorHAnsi" w:cstheme="minorHAnsi"/>
          <w:bCs/>
        </w:rPr>
        <w:t>Overall</w:t>
      </w:r>
      <w:proofErr w:type="gramEnd"/>
      <w:r>
        <w:rPr>
          <w:rFonts w:asciiTheme="minorHAnsi" w:hAnsiTheme="minorHAnsi" w:cstheme="minorHAnsi"/>
          <w:bCs/>
        </w:rPr>
        <w:t xml:space="preserve"> the liquidity ratios show that they were not losing profit in 2019.  The gearing ratio has gone downs since 2018, meaning that there is less debt in the company.  </w:t>
      </w:r>
    </w:p>
    <w:p w:rsidR="007B283B" w:rsidRDefault="007B283B" w:rsidP="00BE18A9">
      <w:pPr>
        <w:spacing w:line="360" w:lineRule="auto"/>
        <w:rPr>
          <w:rFonts w:asciiTheme="minorHAnsi" w:hAnsiTheme="minorHAnsi" w:cstheme="minorHAnsi"/>
          <w:bCs/>
          <w:sz w:val="24"/>
          <w:szCs w:val="24"/>
        </w:rPr>
      </w:pPr>
    </w:p>
    <w:p w:rsidR="007B283B" w:rsidRDefault="007B283B" w:rsidP="00BE18A9">
      <w:pPr>
        <w:spacing w:line="360" w:lineRule="auto"/>
        <w:rPr>
          <w:rFonts w:asciiTheme="minorHAnsi" w:hAnsiTheme="minorHAnsi" w:cstheme="minorHAnsi"/>
          <w:bCs/>
          <w:sz w:val="24"/>
          <w:szCs w:val="24"/>
        </w:rPr>
      </w:pPr>
    </w:p>
    <w:p w:rsidR="00095C80" w:rsidRDefault="00095C80" w:rsidP="00BE18A9">
      <w:pPr>
        <w:spacing w:line="360" w:lineRule="auto"/>
        <w:rPr>
          <w:rFonts w:asciiTheme="minorHAnsi" w:hAnsiTheme="minorHAnsi" w:cstheme="minorHAnsi"/>
          <w:bCs/>
          <w:sz w:val="24"/>
          <w:szCs w:val="24"/>
        </w:rPr>
      </w:pPr>
    </w:p>
    <w:p w:rsidR="00095C80" w:rsidRDefault="00095C80" w:rsidP="00095C80">
      <w:pPr>
        <w:spacing w:line="360" w:lineRule="auto"/>
        <w:rPr>
          <w:rFonts w:asciiTheme="minorHAnsi" w:hAnsiTheme="minorHAnsi" w:cstheme="minorHAnsi"/>
          <w:bCs/>
          <w:sz w:val="24"/>
          <w:szCs w:val="24"/>
        </w:rPr>
      </w:pPr>
      <w:r w:rsidRPr="00CB7A8E">
        <w:rPr>
          <w:rFonts w:asciiTheme="minorHAnsi" w:hAnsiTheme="minorHAnsi" w:cstheme="minorHAnsi"/>
          <w:bCs/>
          <w:sz w:val="24"/>
          <w:szCs w:val="24"/>
        </w:rPr>
        <w:lastRenderedPageBreak/>
        <w:t xml:space="preserve">Although ratio analysis is a popular method of financial analysis, there are limitations of ratio analysis.  The first limitation is </w:t>
      </w:r>
      <w:r w:rsidR="00CB7A8E" w:rsidRPr="00CB7A8E">
        <w:rPr>
          <w:rFonts w:asciiTheme="minorHAnsi" w:hAnsiTheme="minorHAnsi" w:cstheme="minorHAnsi"/>
          <w:bCs/>
          <w:sz w:val="24"/>
          <w:szCs w:val="24"/>
        </w:rPr>
        <w:t>that</w:t>
      </w:r>
      <w:r w:rsidRPr="00CB7A8E">
        <w:rPr>
          <w:rFonts w:asciiTheme="minorHAnsi" w:hAnsiTheme="minorHAnsi" w:cstheme="minorHAnsi"/>
          <w:bCs/>
          <w:sz w:val="24"/>
          <w:szCs w:val="24"/>
        </w:rPr>
        <w:t xml:space="preserve"> the </w:t>
      </w:r>
      <w:r w:rsidR="00CB7A8E" w:rsidRPr="00CB7A8E">
        <w:rPr>
          <w:rFonts w:asciiTheme="minorHAnsi" w:hAnsiTheme="minorHAnsi" w:cstheme="minorHAnsi"/>
          <w:bCs/>
          <w:sz w:val="24"/>
          <w:szCs w:val="24"/>
        </w:rPr>
        <w:t>i</w:t>
      </w:r>
      <w:r w:rsidRPr="00CB7A8E">
        <w:rPr>
          <w:rFonts w:asciiTheme="minorHAnsi" w:hAnsiTheme="minorHAnsi" w:cstheme="minorHAnsi"/>
          <w:bCs/>
          <w:sz w:val="24"/>
          <w:szCs w:val="24"/>
        </w:rPr>
        <w:t>nf</w:t>
      </w:r>
      <w:r w:rsidR="00CB7A8E" w:rsidRPr="00CB7A8E">
        <w:rPr>
          <w:rFonts w:asciiTheme="minorHAnsi" w:hAnsiTheme="minorHAnsi" w:cstheme="minorHAnsi"/>
          <w:bCs/>
          <w:sz w:val="24"/>
          <w:szCs w:val="24"/>
        </w:rPr>
        <w:t>ormation used in the analysis is based on historical information, meaning this analysis does not accurately predict the future finances of the company</w:t>
      </w:r>
      <w:sdt>
        <w:sdtPr>
          <w:rPr>
            <w:rFonts w:asciiTheme="minorHAnsi" w:hAnsiTheme="minorHAnsi" w:cstheme="minorHAnsi"/>
            <w:bCs/>
            <w:sz w:val="24"/>
            <w:szCs w:val="24"/>
          </w:rPr>
          <w:id w:val="-1174418705"/>
          <w:citation/>
        </w:sdtPr>
        <w:sdtContent>
          <w:r w:rsidR="00CB7A8E">
            <w:rPr>
              <w:rFonts w:asciiTheme="minorHAnsi" w:hAnsiTheme="minorHAnsi" w:cstheme="minorHAnsi"/>
              <w:bCs/>
              <w:sz w:val="24"/>
              <w:szCs w:val="24"/>
            </w:rPr>
            <w:fldChar w:fldCharType="begin"/>
          </w:r>
          <w:r w:rsidR="00CB7A8E">
            <w:rPr>
              <w:rFonts w:asciiTheme="minorHAnsi" w:hAnsiTheme="minorHAnsi" w:cstheme="minorHAnsi"/>
              <w:bCs/>
              <w:sz w:val="24"/>
              <w:szCs w:val="24"/>
            </w:rPr>
            <w:instrText xml:space="preserve"> CITATION CFI20 \l 2057 </w:instrText>
          </w:r>
          <w:r w:rsidR="00CB7A8E">
            <w:rPr>
              <w:rFonts w:asciiTheme="minorHAnsi" w:hAnsiTheme="minorHAnsi" w:cstheme="minorHAnsi"/>
              <w:bCs/>
              <w:sz w:val="24"/>
              <w:szCs w:val="24"/>
            </w:rPr>
            <w:fldChar w:fldCharType="separate"/>
          </w:r>
          <w:r w:rsidR="00CB7A8E">
            <w:rPr>
              <w:rFonts w:asciiTheme="minorHAnsi" w:hAnsiTheme="minorHAnsi" w:cstheme="minorHAnsi"/>
              <w:bCs/>
              <w:noProof/>
              <w:sz w:val="24"/>
              <w:szCs w:val="24"/>
            </w:rPr>
            <w:t xml:space="preserve"> </w:t>
          </w:r>
          <w:r w:rsidR="00CB7A8E" w:rsidRPr="00CB7A8E">
            <w:rPr>
              <w:rFonts w:asciiTheme="minorHAnsi" w:hAnsiTheme="minorHAnsi" w:cstheme="minorHAnsi"/>
              <w:noProof/>
              <w:sz w:val="24"/>
              <w:szCs w:val="24"/>
            </w:rPr>
            <w:t>(CFI Education Inc., 2020)</w:t>
          </w:r>
          <w:r w:rsidR="00CB7A8E">
            <w:rPr>
              <w:rFonts w:asciiTheme="minorHAnsi" w:hAnsiTheme="minorHAnsi" w:cstheme="minorHAnsi"/>
              <w:bCs/>
              <w:sz w:val="24"/>
              <w:szCs w:val="24"/>
            </w:rPr>
            <w:fldChar w:fldCharType="end"/>
          </w:r>
        </w:sdtContent>
      </w:sdt>
      <w:r w:rsidR="00CB7A8E" w:rsidRPr="00CB7A8E">
        <w:rPr>
          <w:rFonts w:asciiTheme="minorHAnsi" w:hAnsiTheme="minorHAnsi" w:cstheme="minorHAnsi"/>
          <w:bCs/>
          <w:sz w:val="24"/>
          <w:szCs w:val="24"/>
        </w:rPr>
        <w:t xml:space="preserve">.  </w:t>
      </w:r>
      <w:r w:rsidR="00CB7A8E">
        <w:rPr>
          <w:rFonts w:asciiTheme="minorHAnsi" w:hAnsiTheme="minorHAnsi" w:cstheme="minorHAnsi"/>
          <w:bCs/>
          <w:sz w:val="24"/>
          <w:szCs w:val="24"/>
        </w:rPr>
        <w:t xml:space="preserve">Another limitation is that financial statements are released at certain times, so changes are not monitored in between these releases.  </w:t>
      </w:r>
    </w:p>
    <w:p w:rsidR="00CB7A8E" w:rsidRDefault="00CB7A8E" w:rsidP="00095C80">
      <w:pPr>
        <w:spacing w:line="360" w:lineRule="auto"/>
        <w:rPr>
          <w:rFonts w:asciiTheme="minorHAnsi" w:hAnsiTheme="minorHAnsi" w:cstheme="minorHAnsi"/>
          <w:bCs/>
          <w:sz w:val="24"/>
          <w:szCs w:val="24"/>
        </w:rPr>
      </w:pPr>
    </w:p>
    <w:p w:rsidR="00823608" w:rsidRPr="00CB7A8E" w:rsidRDefault="00CB7A8E" w:rsidP="00CB7A8E">
      <w:pPr>
        <w:spacing w:line="360" w:lineRule="auto"/>
        <w:rPr>
          <w:rFonts w:asciiTheme="minorHAnsi" w:hAnsiTheme="minorHAnsi" w:cstheme="minorHAnsi"/>
          <w:bCs/>
          <w:sz w:val="24"/>
          <w:szCs w:val="24"/>
        </w:rPr>
      </w:pPr>
      <w:r>
        <w:rPr>
          <w:rFonts w:asciiTheme="minorHAnsi" w:hAnsiTheme="minorHAnsi" w:cstheme="minorHAnsi"/>
          <w:bCs/>
          <w:sz w:val="24"/>
          <w:szCs w:val="24"/>
        </w:rPr>
        <w:t>Limitation that Barclays has experienced in changes to operational costs or expenses.  This changes the ratios making comparison between previous years inaccurate and possibly misleading</w:t>
      </w:r>
      <w:sdt>
        <w:sdtPr>
          <w:rPr>
            <w:rFonts w:asciiTheme="minorHAnsi" w:hAnsiTheme="minorHAnsi" w:cstheme="minorHAnsi"/>
            <w:bCs/>
            <w:sz w:val="24"/>
            <w:szCs w:val="24"/>
          </w:rPr>
          <w:id w:val="1438176992"/>
          <w:citation/>
        </w:sdtPr>
        <w:sdtContent>
          <w:r w:rsidR="00F57ED6">
            <w:rPr>
              <w:rFonts w:asciiTheme="minorHAnsi" w:hAnsiTheme="minorHAnsi" w:cstheme="minorHAnsi"/>
              <w:bCs/>
              <w:sz w:val="24"/>
              <w:szCs w:val="24"/>
            </w:rPr>
            <w:fldChar w:fldCharType="begin"/>
          </w:r>
          <w:r w:rsidR="00F57ED6">
            <w:rPr>
              <w:rFonts w:asciiTheme="minorHAnsi" w:hAnsiTheme="minorHAnsi" w:cstheme="minorHAnsi"/>
              <w:bCs/>
              <w:sz w:val="24"/>
              <w:szCs w:val="24"/>
            </w:rPr>
            <w:instrText xml:space="preserve"> CITATION CFI20 \l 2057 </w:instrText>
          </w:r>
          <w:r w:rsidR="00F57ED6">
            <w:rPr>
              <w:rFonts w:asciiTheme="minorHAnsi" w:hAnsiTheme="minorHAnsi" w:cstheme="minorHAnsi"/>
              <w:bCs/>
              <w:sz w:val="24"/>
              <w:szCs w:val="24"/>
            </w:rPr>
            <w:fldChar w:fldCharType="separate"/>
          </w:r>
          <w:r w:rsidR="00F57ED6">
            <w:rPr>
              <w:rFonts w:asciiTheme="minorHAnsi" w:hAnsiTheme="minorHAnsi" w:cstheme="minorHAnsi"/>
              <w:bCs/>
              <w:noProof/>
              <w:sz w:val="24"/>
              <w:szCs w:val="24"/>
            </w:rPr>
            <w:t xml:space="preserve"> </w:t>
          </w:r>
          <w:r w:rsidR="00F57ED6" w:rsidRPr="00F57ED6">
            <w:rPr>
              <w:rFonts w:asciiTheme="minorHAnsi" w:hAnsiTheme="minorHAnsi" w:cstheme="minorHAnsi"/>
              <w:noProof/>
              <w:sz w:val="24"/>
              <w:szCs w:val="24"/>
            </w:rPr>
            <w:t>(CFI Education Inc., 2020)</w:t>
          </w:r>
          <w:r w:rsidR="00F57ED6">
            <w:rPr>
              <w:rFonts w:asciiTheme="minorHAnsi" w:hAnsiTheme="minorHAnsi" w:cstheme="minorHAnsi"/>
              <w:bCs/>
              <w:sz w:val="24"/>
              <w:szCs w:val="24"/>
            </w:rPr>
            <w:fldChar w:fldCharType="end"/>
          </w:r>
        </w:sdtContent>
      </w:sdt>
      <w:r>
        <w:rPr>
          <w:rFonts w:asciiTheme="minorHAnsi" w:hAnsiTheme="minorHAnsi" w:cstheme="minorHAnsi"/>
          <w:bCs/>
          <w:sz w:val="24"/>
          <w:szCs w:val="24"/>
        </w:rPr>
        <w:t xml:space="preserve">.  Another imitation seasonal effects and differences in ratios at different times of the year.  Although Barclays release annual report, they do monitor their finances quarterly, which keeps seasonality in mind.  </w:t>
      </w:r>
    </w:p>
    <w:p w:rsidR="00E672A2" w:rsidRPr="00254FBD" w:rsidRDefault="00823608" w:rsidP="00254FBD">
      <w:pPr>
        <w:pStyle w:val="Heading1"/>
        <w:spacing w:line="360" w:lineRule="auto"/>
        <w:rPr>
          <w:rFonts w:cstheme="minorHAnsi"/>
          <w:sz w:val="24"/>
          <w:szCs w:val="24"/>
        </w:rPr>
      </w:pPr>
      <w:bookmarkStart w:id="11" w:name="_Toc42082611"/>
      <w:r w:rsidRPr="00254FBD">
        <w:rPr>
          <w:rFonts w:cstheme="minorHAnsi"/>
          <w:sz w:val="24"/>
          <w:szCs w:val="24"/>
        </w:rPr>
        <w:t>Recommendations</w:t>
      </w:r>
      <w:bookmarkEnd w:id="11"/>
      <w:r w:rsidRPr="00254FBD">
        <w:rPr>
          <w:rFonts w:cstheme="minorHAnsi"/>
          <w:sz w:val="24"/>
          <w:szCs w:val="24"/>
        </w:rPr>
        <w:t xml:space="preserve"> </w:t>
      </w:r>
      <w:r w:rsidR="00B970A0" w:rsidRPr="00254FBD">
        <w:rPr>
          <w:rFonts w:cstheme="minorHAnsi"/>
          <w:sz w:val="24"/>
          <w:szCs w:val="24"/>
        </w:rPr>
        <w:t xml:space="preserve">  </w:t>
      </w:r>
    </w:p>
    <w:p w:rsidR="00B970A0" w:rsidRPr="00254FBD" w:rsidRDefault="00E672A2" w:rsidP="00254FBD">
      <w:pPr>
        <w:spacing w:line="360" w:lineRule="auto"/>
        <w:rPr>
          <w:rFonts w:asciiTheme="minorHAnsi" w:hAnsiTheme="minorHAnsi" w:cstheme="minorHAnsi"/>
          <w:bCs/>
          <w:sz w:val="24"/>
          <w:szCs w:val="24"/>
        </w:rPr>
      </w:pPr>
      <w:r w:rsidRPr="00254FBD">
        <w:rPr>
          <w:rFonts w:asciiTheme="minorHAnsi" w:hAnsiTheme="minorHAnsi" w:cstheme="minorHAnsi"/>
          <w:sz w:val="24"/>
          <w:szCs w:val="24"/>
        </w:rPr>
        <w:t>Based on the analysis above there are several recommendations</w:t>
      </w:r>
      <w:r w:rsidRPr="00254FBD">
        <w:rPr>
          <w:rFonts w:asciiTheme="minorHAnsi" w:hAnsiTheme="minorHAnsi" w:cstheme="minorHAnsi"/>
          <w:bCs/>
          <w:sz w:val="24"/>
          <w:szCs w:val="24"/>
        </w:rPr>
        <w:t xml:space="preserve"> </w:t>
      </w:r>
      <w:r w:rsidR="00B970A0" w:rsidRPr="00254FBD">
        <w:rPr>
          <w:rFonts w:asciiTheme="minorHAnsi" w:hAnsiTheme="minorHAnsi" w:cstheme="minorHAnsi"/>
          <w:bCs/>
          <w:sz w:val="24"/>
          <w:szCs w:val="24"/>
        </w:rPr>
        <w:t xml:space="preserve">to improve the financial management of </w:t>
      </w:r>
      <w:r w:rsidRPr="00254FBD">
        <w:rPr>
          <w:rFonts w:asciiTheme="minorHAnsi" w:hAnsiTheme="minorHAnsi" w:cstheme="minorHAnsi"/>
          <w:bCs/>
          <w:sz w:val="24"/>
          <w:szCs w:val="24"/>
        </w:rPr>
        <w:t xml:space="preserve">Barclays.  </w:t>
      </w:r>
    </w:p>
    <w:p w:rsidR="00E672A2" w:rsidRPr="00254FBD" w:rsidRDefault="00E672A2" w:rsidP="00254FBD">
      <w:pPr>
        <w:spacing w:line="360" w:lineRule="auto"/>
        <w:rPr>
          <w:rFonts w:asciiTheme="minorHAnsi" w:hAnsiTheme="minorHAnsi" w:cstheme="minorHAnsi"/>
          <w:bCs/>
          <w:sz w:val="24"/>
          <w:szCs w:val="24"/>
        </w:rPr>
      </w:pPr>
    </w:p>
    <w:p w:rsidR="00E672A2" w:rsidRPr="00254FBD" w:rsidRDefault="00E672A2" w:rsidP="00254FBD">
      <w:pPr>
        <w:spacing w:line="360" w:lineRule="auto"/>
        <w:rPr>
          <w:rFonts w:asciiTheme="minorHAnsi" w:hAnsiTheme="minorHAnsi" w:cstheme="minorHAnsi"/>
          <w:bCs/>
          <w:sz w:val="24"/>
          <w:szCs w:val="24"/>
        </w:rPr>
      </w:pPr>
      <w:r w:rsidRPr="00254FBD">
        <w:rPr>
          <w:rFonts w:asciiTheme="minorHAnsi" w:hAnsiTheme="minorHAnsi" w:cstheme="minorHAnsi"/>
          <w:bCs/>
          <w:sz w:val="24"/>
          <w:szCs w:val="24"/>
        </w:rPr>
        <w:t xml:space="preserve">One recommendation is to monitor their financial position.  Because the financial situation is constantly changing, Barclays need to monitor finances </w:t>
      </w:r>
      <w:proofErr w:type="gramStart"/>
      <w:r w:rsidRPr="00254FBD">
        <w:rPr>
          <w:rFonts w:asciiTheme="minorHAnsi" w:hAnsiTheme="minorHAnsi" w:cstheme="minorHAnsi"/>
          <w:bCs/>
          <w:sz w:val="24"/>
          <w:szCs w:val="24"/>
        </w:rPr>
        <w:t>on a daily basis</w:t>
      </w:r>
      <w:proofErr w:type="gramEnd"/>
      <w:r w:rsidRPr="00254FBD">
        <w:rPr>
          <w:rFonts w:asciiTheme="minorHAnsi" w:hAnsiTheme="minorHAnsi" w:cstheme="minorHAnsi"/>
          <w:bCs/>
          <w:sz w:val="24"/>
          <w:szCs w:val="24"/>
        </w:rPr>
        <w:t xml:space="preserve">.  They also need to review their position against their own </w:t>
      </w:r>
      <w:r w:rsidR="00C77A49" w:rsidRPr="00254FBD">
        <w:rPr>
          <w:rFonts w:asciiTheme="minorHAnsi" w:hAnsiTheme="minorHAnsi" w:cstheme="minorHAnsi"/>
          <w:bCs/>
          <w:sz w:val="24"/>
          <w:szCs w:val="24"/>
        </w:rPr>
        <w:t xml:space="preserve">set targets. </w:t>
      </w:r>
    </w:p>
    <w:p w:rsidR="00C77A49" w:rsidRPr="00254FBD" w:rsidRDefault="00C77A49" w:rsidP="00254FBD">
      <w:pPr>
        <w:spacing w:line="360" w:lineRule="auto"/>
        <w:rPr>
          <w:rFonts w:asciiTheme="minorHAnsi" w:hAnsiTheme="minorHAnsi" w:cstheme="minorHAnsi"/>
          <w:bCs/>
          <w:sz w:val="24"/>
          <w:szCs w:val="24"/>
        </w:rPr>
      </w:pPr>
    </w:p>
    <w:p w:rsidR="00C77A49" w:rsidRPr="00254FBD" w:rsidRDefault="00C77A49" w:rsidP="00254FBD">
      <w:pPr>
        <w:spacing w:line="360" w:lineRule="auto"/>
        <w:rPr>
          <w:rFonts w:asciiTheme="minorHAnsi" w:hAnsiTheme="minorHAnsi" w:cstheme="minorHAnsi"/>
          <w:bCs/>
          <w:sz w:val="24"/>
          <w:szCs w:val="24"/>
        </w:rPr>
      </w:pPr>
      <w:r w:rsidRPr="00254FBD">
        <w:rPr>
          <w:rFonts w:asciiTheme="minorHAnsi" w:hAnsiTheme="minorHAnsi" w:cstheme="minorHAnsi"/>
          <w:bCs/>
          <w:sz w:val="24"/>
          <w:szCs w:val="24"/>
        </w:rPr>
        <w:t xml:space="preserve">Because the financial climate is struggling, all businesses need to consider their cost efficiency.  Barclays therefore should </w:t>
      </w:r>
      <w:proofErr w:type="gramStart"/>
      <w:r w:rsidRPr="00254FBD">
        <w:rPr>
          <w:rFonts w:asciiTheme="minorHAnsi" w:hAnsiTheme="minorHAnsi" w:cstheme="minorHAnsi"/>
          <w:bCs/>
          <w:sz w:val="24"/>
          <w:szCs w:val="24"/>
        </w:rPr>
        <w:t>look into</w:t>
      </w:r>
      <w:proofErr w:type="gramEnd"/>
      <w:r w:rsidRPr="00254FBD">
        <w:rPr>
          <w:rFonts w:asciiTheme="minorHAnsi" w:hAnsiTheme="minorHAnsi" w:cstheme="minorHAnsi"/>
          <w:bCs/>
          <w:sz w:val="24"/>
          <w:szCs w:val="24"/>
        </w:rPr>
        <w:t xml:space="preserve"> to cutting costs in their offices by looking energy office efficient, lighting, heating, and air conditioning. </w:t>
      </w:r>
    </w:p>
    <w:p w:rsidR="00C77A49" w:rsidRPr="00254FBD" w:rsidRDefault="00C77A49" w:rsidP="00254FBD">
      <w:pPr>
        <w:spacing w:line="360" w:lineRule="auto"/>
        <w:rPr>
          <w:rFonts w:asciiTheme="minorHAnsi" w:hAnsiTheme="minorHAnsi" w:cstheme="minorHAnsi"/>
          <w:bCs/>
          <w:sz w:val="24"/>
          <w:szCs w:val="24"/>
        </w:rPr>
      </w:pPr>
    </w:p>
    <w:p w:rsidR="00C77A49" w:rsidRDefault="00C77A49" w:rsidP="00254FBD">
      <w:pPr>
        <w:spacing w:line="360" w:lineRule="auto"/>
        <w:rPr>
          <w:rFonts w:asciiTheme="minorHAnsi" w:hAnsiTheme="minorHAnsi" w:cstheme="minorHAnsi"/>
          <w:bCs/>
          <w:sz w:val="24"/>
          <w:szCs w:val="24"/>
        </w:rPr>
      </w:pPr>
      <w:r w:rsidRPr="00254FBD">
        <w:rPr>
          <w:rFonts w:asciiTheme="minorHAnsi" w:hAnsiTheme="minorHAnsi" w:cstheme="minorHAnsi"/>
          <w:bCs/>
          <w:sz w:val="24"/>
          <w:szCs w:val="24"/>
        </w:rPr>
        <w:t xml:space="preserve">Another recommendation is to tackle problems when they arise to minimise the impact of negative external factors. </w:t>
      </w:r>
    </w:p>
    <w:p w:rsidR="007B283B" w:rsidRDefault="007B283B" w:rsidP="00254FBD">
      <w:pPr>
        <w:spacing w:line="360" w:lineRule="auto"/>
        <w:rPr>
          <w:rFonts w:asciiTheme="minorHAnsi" w:hAnsiTheme="minorHAnsi" w:cstheme="minorHAnsi"/>
          <w:bCs/>
          <w:sz w:val="24"/>
          <w:szCs w:val="24"/>
        </w:rPr>
      </w:pPr>
    </w:p>
    <w:p w:rsidR="007B283B" w:rsidRDefault="007B283B" w:rsidP="00254FBD">
      <w:pPr>
        <w:spacing w:line="360" w:lineRule="auto"/>
        <w:rPr>
          <w:rFonts w:asciiTheme="minorHAnsi" w:hAnsiTheme="minorHAnsi" w:cstheme="minorHAnsi"/>
          <w:bCs/>
          <w:sz w:val="24"/>
          <w:szCs w:val="24"/>
        </w:rPr>
      </w:pPr>
      <w:r>
        <w:rPr>
          <w:rFonts w:asciiTheme="minorHAnsi" w:hAnsiTheme="minorHAnsi" w:cstheme="minorHAnsi"/>
          <w:bCs/>
          <w:sz w:val="24"/>
          <w:szCs w:val="24"/>
        </w:rPr>
        <w:t xml:space="preserve">A final recommendation is for the bank to continue with its existing model, as they are continuously increasing profit and reducing their debt.  </w:t>
      </w:r>
    </w:p>
    <w:p w:rsidR="003C025E" w:rsidRDefault="003C025E" w:rsidP="00254FBD">
      <w:pPr>
        <w:spacing w:line="360" w:lineRule="auto"/>
        <w:rPr>
          <w:rFonts w:asciiTheme="minorHAnsi" w:hAnsiTheme="minorHAnsi" w:cstheme="minorHAnsi"/>
          <w:bCs/>
          <w:sz w:val="24"/>
          <w:szCs w:val="24"/>
        </w:rPr>
      </w:pPr>
    </w:p>
    <w:bookmarkStart w:id="12" w:name="_Toc42082612" w:displacedByCustomXml="next"/>
    <w:sdt>
      <w:sdtPr>
        <w:rPr>
          <w:rFonts w:ascii="Times New Roman" w:eastAsia="Times New Roman" w:hAnsi="Times New Roman" w:cs="Times New Roman"/>
          <w:b w:val="0"/>
          <w:bCs w:val="0"/>
          <w:sz w:val="20"/>
          <w:szCs w:val="20"/>
          <w:lang w:eastAsia="en-GB"/>
        </w:rPr>
        <w:id w:val="-421337079"/>
        <w:docPartObj>
          <w:docPartGallery w:val="Bibliographies"/>
          <w:docPartUnique/>
        </w:docPartObj>
      </w:sdtPr>
      <w:sdtContent>
        <w:p w:rsidR="00F57ED6" w:rsidRDefault="00F57ED6">
          <w:pPr>
            <w:pStyle w:val="Heading1"/>
          </w:pPr>
          <w:r>
            <w:t>References</w:t>
          </w:r>
          <w:bookmarkEnd w:id="12"/>
        </w:p>
        <w:sdt>
          <w:sdtPr>
            <w:id w:val="-573587230"/>
            <w:bibliography/>
          </w:sdtPr>
          <w:sdtContent>
            <w:p w:rsidR="00F57ED6" w:rsidRDefault="00F57ED6" w:rsidP="00F57ED6">
              <w:pPr>
                <w:pStyle w:val="Bibliography"/>
                <w:rPr>
                  <w:rFonts w:asciiTheme="minorHAnsi" w:hAnsiTheme="minorHAnsi" w:cstheme="minorHAnsi"/>
                  <w:noProof/>
                  <w:sz w:val="24"/>
                  <w:szCs w:val="24"/>
                </w:rPr>
              </w:pPr>
              <w:r w:rsidRPr="00F57ED6">
                <w:rPr>
                  <w:rFonts w:asciiTheme="minorHAnsi" w:hAnsiTheme="minorHAnsi" w:cstheme="minorHAnsi"/>
                  <w:sz w:val="24"/>
                  <w:szCs w:val="24"/>
                </w:rPr>
                <w:fldChar w:fldCharType="begin"/>
              </w:r>
              <w:r w:rsidRPr="00F57ED6">
                <w:rPr>
                  <w:rFonts w:asciiTheme="minorHAnsi" w:hAnsiTheme="minorHAnsi" w:cstheme="minorHAnsi"/>
                  <w:sz w:val="24"/>
                  <w:szCs w:val="24"/>
                </w:rPr>
                <w:instrText xml:space="preserve"> BIBLIOGRAPHY </w:instrText>
              </w:r>
              <w:r w:rsidRPr="00F57ED6">
                <w:rPr>
                  <w:rFonts w:asciiTheme="minorHAnsi" w:hAnsiTheme="minorHAnsi" w:cstheme="minorHAnsi"/>
                  <w:sz w:val="24"/>
                  <w:szCs w:val="24"/>
                </w:rPr>
                <w:fldChar w:fldCharType="separate"/>
              </w:r>
              <w:r w:rsidRPr="00F57ED6">
                <w:rPr>
                  <w:rFonts w:asciiTheme="minorHAnsi" w:hAnsiTheme="minorHAnsi" w:cstheme="minorHAnsi"/>
                  <w:noProof/>
                  <w:sz w:val="24"/>
                  <w:szCs w:val="24"/>
                </w:rPr>
                <w:t xml:space="preserve">Academic, </w:t>
              </w:r>
              <w:r>
                <w:rPr>
                  <w:rFonts w:asciiTheme="minorHAnsi" w:hAnsiTheme="minorHAnsi" w:cstheme="minorHAnsi"/>
                  <w:noProof/>
                  <w:sz w:val="24"/>
                  <w:szCs w:val="24"/>
                </w:rPr>
                <w:t>(2020)</w:t>
              </w:r>
              <w:r w:rsidRPr="00F57ED6">
                <w:rPr>
                  <w:rFonts w:asciiTheme="minorHAnsi" w:hAnsiTheme="minorHAnsi" w:cstheme="minorHAnsi"/>
                  <w:noProof/>
                  <w:sz w:val="24"/>
                  <w:szCs w:val="24"/>
                </w:rPr>
                <w:t xml:space="preserve"> </w:t>
              </w:r>
              <w:r w:rsidRPr="00F57ED6">
                <w:rPr>
                  <w:rFonts w:asciiTheme="minorHAnsi" w:hAnsiTheme="minorHAnsi" w:cstheme="minorHAnsi"/>
                  <w:i/>
                  <w:iCs/>
                  <w:noProof/>
                  <w:sz w:val="24"/>
                  <w:szCs w:val="24"/>
                </w:rPr>
                <w:t xml:space="preserve">Gearing. </w:t>
              </w:r>
              <w:r w:rsidRPr="00F57ED6">
                <w:rPr>
                  <w:rFonts w:asciiTheme="minorHAnsi" w:hAnsiTheme="minorHAnsi" w:cstheme="minorHAnsi"/>
                  <w:noProof/>
                  <w:sz w:val="24"/>
                  <w:szCs w:val="24"/>
                </w:rPr>
                <w:t xml:space="preserve">[Online] </w:t>
              </w:r>
              <w:r w:rsidRPr="00F57ED6">
                <w:rPr>
                  <w:rFonts w:asciiTheme="minorHAnsi" w:hAnsiTheme="minorHAnsi" w:cstheme="minorHAnsi"/>
                  <w:noProof/>
                  <w:sz w:val="24"/>
                  <w:szCs w:val="24"/>
                </w:rPr>
                <w:br/>
                <w:t xml:space="preserve">Available at: </w:t>
              </w:r>
              <w:r w:rsidRPr="00F57ED6">
                <w:rPr>
                  <w:rFonts w:asciiTheme="minorHAnsi" w:hAnsiTheme="minorHAnsi" w:cstheme="minorHAnsi"/>
                  <w:noProof/>
                  <w:sz w:val="24"/>
                  <w:szCs w:val="24"/>
                  <w:u w:val="single"/>
                </w:rPr>
                <w:t>https://law.academic.ru/5309/gearing</w:t>
              </w:r>
              <w:r w:rsidRPr="00F57ED6">
                <w:rPr>
                  <w:rFonts w:asciiTheme="minorHAnsi" w:hAnsiTheme="minorHAnsi" w:cstheme="minorHAnsi"/>
                  <w:noProof/>
                  <w:sz w:val="24"/>
                  <w:szCs w:val="24"/>
                </w:rPr>
                <w:br/>
                <w:t>[Accessed 6 May 2020].</w:t>
              </w:r>
            </w:p>
            <w:p w:rsidR="00F57ED6" w:rsidRPr="00F57ED6" w:rsidRDefault="00F57ED6" w:rsidP="00F57ED6"/>
            <w:p w:rsidR="00F57ED6" w:rsidRDefault="00F57ED6" w:rsidP="00F57ED6">
              <w:pPr>
                <w:pStyle w:val="Bibliography"/>
                <w:rPr>
                  <w:rFonts w:asciiTheme="minorHAnsi" w:hAnsiTheme="minorHAnsi" w:cstheme="minorHAnsi"/>
                  <w:noProof/>
                  <w:sz w:val="24"/>
                  <w:szCs w:val="24"/>
                </w:rPr>
              </w:pPr>
              <w:r w:rsidRPr="00F57ED6">
                <w:rPr>
                  <w:rFonts w:asciiTheme="minorHAnsi" w:hAnsiTheme="minorHAnsi" w:cstheme="minorHAnsi"/>
                  <w:noProof/>
                  <w:sz w:val="24"/>
                  <w:szCs w:val="24"/>
                </w:rPr>
                <w:t xml:space="preserve">Arnold, M. </w:t>
              </w:r>
              <w:r>
                <w:rPr>
                  <w:rFonts w:asciiTheme="minorHAnsi" w:hAnsiTheme="minorHAnsi" w:cstheme="minorHAnsi"/>
                  <w:noProof/>
                  <w:sz w:val="24"/>
                  <w:szCs w:val="24"/>
                </w:rPr>
                <w:t>(2015)</w:t>
              </w:r>
              <w:r w:rsidRPr="00F57ED6">
                <w:rPr>
                  <w:rFonts w:asciiTheme="minorHAnsi" w:hAnsiTheme="minorHAnsi" w:cstheme="minorHAnsi"/>
                  <w:noProof/>
                  <w:sz w:val="24"/>
                  <w:szCs w:val="24"/>
                </w:rPr>
                <w:t xml:space="preserve"> Barclays profits drop as it abandons cost-cutting targets. </w:t>
              </w:r>
              <w:r w:rsidRPr="00F57ED6">
                <w:rPr>
                  <w:rFonts w:asciiTheme="minorHAnsi" w:hAnsiTheme="minorHAnsi" w:cstheme="minorHAnsi"/>
                  <w:i/>
                  <w:iCs/>
                  <w:noProof/>
                  <w:sz w:val="24"/>
                  <w:szCs w:val="24"/>
                </w:rPr>
                <w:t>Financial Times</w:t>
              </w:r>
              <w:r w:rsidRPr="00F57ED6">
                <w:rPr>
                  <w:rFonts w:asciiTheme="minorHAnsi" w:hAnsiTheme="minorHAnsi" w:cstheme="minorHAnsi"/>
                  <w:noProof/>
                  <w:sz w:val="24"/>
                  <w:szCs w:val="24"/>
                </w:rPr>
                <w:t>, 29 October, pp. 1-3.</w:t>
              </w:r>
            </w:p>
            <w:p w:rsidR="00F57ED6" w:rsidRPr="00F57ED6" w:rsidRDefault="00F57ED6" w:rsidP="00F57ED6"/>
            <w:p w:rsidR="00F57ED6" w:rsidRDefault="00F57ED6" w:rsidP="00F57ED6">
              <w:pPr>
                <w:pStyle w:val="Bibliography"/>
                <w:rPr>
                  <w:rFonts w:asciiTheme="minorHAnsi" w:hAnsiTheme="minorHAnsi" w:cstheme="minorHAnsi"/>
                  <w:noProof/>
                  <w:sz w:val="24"/>
                  <w:szCs w:val="24"/>
                </w:rPr>
              </w:pPr>
              <w:r w:rsidRPr="00F57ED6">
                <w:rPr>
                  <w:rFonts w:asciiTheme="minorHAnsi" w:hAnsiTheme="minorHAnsi" w:cstheme="minorHAnsi"/>
                  <w:noProof/>
                  <w:sz w:val="24"/>
                  <w:szCs w:val="24"/>
                </w:rPr>
                <w:t xml:space="preserve">Barclays PLC., </w:t>
              </w:r>
              <w:r>
                <w:rPr>
                  <w:rFonts w:asciiTheme="minorHAnsi" w:hAnsiTheme="minorHAnsi" w:cstheme="minorHAnsi"/>
                  <w:noProof/>
                  <w:sz w:val="24"/>
                  <w:szCs w:val="24"/>
                </w:rPr>
                <w:t>(2019)</w:t>
              </w:r>
              <w:r w:rsidRPr="00F57ED6">
                <w:rPr>
                  <w:rFonts w:asciiTheme="minorHAnsi" w:hAnsiTheme="minorHAnsi" w:cstheme="minorHAnsi"/>
                  <w:noProof/>
                  <w:sz w:val="24"/>
                  <w:szCs w:val="24"/>
                </w:rPr>
                <w:t xml:space="preserve"> </w:t>
              </w:r>
              <w:r w:rsidRPr="00F57ED6">
                <w:rPr>
                  <w:rFonts w:asciiTheme="minorHAnsi" w:hAnsiTheme="minorHAnsi" w:cstheme="minorHAnsi"/>
                  <w:i/>
                  <w:iCs/>
                  <w:noProof/>
                  <w:sz w:val="24"/>
                  <w:szCs w:val="24"/>
                </w:rPr>
                <w:t xml:space="preserve">Delivering for our Stakeholders: Annual Report 2019, </w:t>
              </w:r>
              <w:r>
                <w:rPr>
                  <w:rFonts w:asciiTheme="minorHAnsi" w:hAnsiTheme="minorHAnsi" w:cstheme="minorHAnsi"/>
                  <w:noProof/>
                  <w:sz w:val="24"/>
                  <w:szCs w:val="24"/>
                </w:rPr>
                <w:t>London: Barclays Plc.</w:t>
              </w:r>
            </w:p>
            <w:p w:rsidR="00F57ED6" w:rsidRPr="00F57ED6" w:rsidRDefault="00F57ED6" w:rsidP="00F57ED6"/>
            <w:p w:rsidR="00F57ED6" w:rsidRDefault="00F57ED6" w:rsidP="00F57ED6">
              <w:pPr>
                <w:pStyle w:val="Bibliography"/>
                <w:rPr>
                  <w:rFonts w:asciiTheme="minorHAnsi" w:hAnsiTheme="minorHAnsi" w:cstheme="minorHAnsi"/>
                  <w:noProof/>
                  <w:sz w:val="24"/>
                  <w:szCs w:val="24"/>
                </w:rPr>
              </w:pPr>
              <w:r>
                <w:rPr>
                  <w:rFonts w:asciiTheme="minorHAnsi" w:hAnsiTheme="minorHAnsi" w:cstheme="minorHAnsi"/>
                  <w:noProof/>
                  <w:sz w:val="24"/>
                  <w:szCs w:val="24"/>
                </w:rPr>
                <w:t>Barclays PLC, (2018)</w:t>
              </w:r>
              <w:r w:rsidRPr="00F57ED6">
                <w:rPr>
                  <w:rFonts w:asciiTheme="minorHAnsi" w:hAnsiTheme="minorHAnsi" w:cstheme="minorHAnsi"/>
                  <w:noProof/>
                  <w:sz w:val="24"/>
                  <w:szCs w:val="24"/>
                </w:rPr>
                <w:t xml:space="preserve"> </w:t>
              </w:r>
              <w:r w:rsidRPr="00F57ED6">
                <w:rPr>
                  <w:rFonts w:asciiTheme="minorHAnsi" w:hAnsiTheme="minorHAnsi" w:cstheme="minorHAnsi"/>
                  <w:i/>
                  <w:iCs/>
                  <w:noProof/>
                  <w:sz w:val="24"/>
                  <w:szCs w:val="24"/>
                </w:rPr>
                <w:t xml:space="preserve">Barclays Bank UK PLC Annual Report, </w:t>
              </w:r>
              <w:r w:rsidRPr="00F57ED6">
                <w:rPr>
                  <w:rFonts w:asciiTheme="minorHAnsi" w:hAnsiTheme="minorHAnsi" w:cstheme="minorHAnsi"/>
                  <w:noProof/>
                  <w:sz w:val="24"/>
                  <w:szCs w:val="24"/>
                </w:rPr>
                <w:t>London: Barclays PLC.</w:t>
              </w:r>
            </w:p>
            <w:p w:rsidR="00F57ED6" w:rsidRPr="00F57ED6" w:rsidRDefault="00F57ED6" w:rsidP="00F57ED6"/>
            <w:p w:rsidR="00F57ED6" w:rsidRDefault="00F57ED6" w:rsidP="00F57ED6">
              <w:pPr>
                <w:pStyle w:val="Bibliography"/>
                <w:rPr>
                  <w:rFonts w:asciiTheme="minorHAnsi" w:hAnsiTheme="minorHAnsi" w:cstheme="minorHAnsi"/>
                  <w:noProof/>
                  <w:sz w:val="24"/>
                  <w:szCs w:val="24"/>
                </w:rPr>
              </w:pPr>
              <w:r w:rsidRPr="00F57ED6">
                <w:rPr>
                  <w:rFonts w:asciiTheme="minorHAnsi" w:hAnsiTheme="minorHAnsi" w:cstheme="minorHAnsi"/>
                  <w:noProof/>
                  <w:sz w:val="24"/>
                  <w:szCs w:val="24"/>
                </w:rPr>
                <w:t xml:space="preserve">Barclays Plc, </w:t>
              </w:r>
              <w:r>
                <w:rPr>
                  <w:rFonts w:asciiTheme="minorHAnsi" w:hAnsiTheme="minorHAnsi" w:cstheme="minorHAnsi"/>
                  <w:noProof/>
                  <w:sz w:val="24"/>
                  <w:szCs w:val="24"/>
                </w:rPr>
                <w:t>(2020)</w:t>
              </w:r>
              <w:r w:rsidRPr="00F57ED6">
                <w:rPr>
                  <w:rFonts w:asciiTheme="minorHAnsi" w:hAnsiTheme="minorHAnsi" w:cstheme="minorHAnsi"/>
                  <w:noProof/>
                  <w:sz w:val="24"/>
                  <w:szCs w:val="24"/>
                </w:rPr>
                <w:t xml:space="preserve"> </w:t>
              </w:r>
              <w:r w:rsidRPr="00F57ED6">
                <w:rPr>
                  <w:rFonts w:asciiTheme="minorHAnsi" w:hAnsiTheme="minorHAnsi" w:cstheme="minorHAnsi"/>
                  <w:i/>
                  <w:iCs/>
                  <w:noProof/>
                  <w:sz w:val="24"/>
                  <w:szCs w:val="24"/>
                </w:rPr>
                <w:t xml:space="preserve">About Barclays. </w:t>
              </w:r>
              <w:r w:rsidRPr="00F57ED6">
                <w:rPr>
                  <w:rFonts w:asciiTheme="minorHAnsi" w:hAnsiTheme="minorHAnsi" w:cstheme="minorHAnsi"/>
                  <w:noProof/>
                  <w:sz w:val="24"/>
                  <w:szCs w:val="24"/>
                </w:rPr>
                <w:t xml:space="preserve">[Online] </w:t>
              </w:r>
              <w:r w:rsidRPr="00F57ED6">
                <w:rPr>
                  <w:rFonts w:asciiTheme="minorHAnsi" w:hAnsiTheme="minorHAnsi" w:cstheme="minorHAnsi"/>
                  <w:noProof/>
                  <w:sz w:val="24"/>
                  <w:szCs w:val="24"/>
                </w:rPr>
                <w:br/>
                <w:t xml:space="preserve">Available at: </w:t>
              </w:r>
              <w:r w:rsidRPr="00F57ED6">
                <w:rPr>
                  <w:rFonts w:asciiTheme="minorHAnsi" w:hAnsiTheme="minorHAnsi" w:cstheme="minorHAnsi"/>
                  <w:noProof/>
                  <w:sz w:val="24"/>
                  <w:szCs w:val="24"/>
                  <w:u w:val="single"/>
                </w:rPr>
                <w:t>https://home.barclays/content/dam/home-barclays/documents/investor-relations/ResultAnnouncements/2019FYResults/20200213-About-Barclays-Q419.pdf</w:t>
              </w:r>
              <w:r w:rsidRPr="00F57ED6">
                <w:rPr>
                  <w:rFonts w:asciiTheme="minorHAnsi" w:hAnsiTheme="minorHAnsi" w:cstheme="minorHAnsi"/>
                  <w:noProof/>
                  <w:sz w:val="24"/>
                  <w:szCs w:val="24"/>
                </w:rPr>
                <w:br/>
                <w:t>[Accessed 13 May 2020].</w:t>
              </w:r>
            </w:p>
            <w:p w:rsidR="00F57ED6" w:rsidRPr="00F57ED6" w:rsidRDefault="00F57ED6" w:rsidP="00F57ED6"/>
            <w:p w:rsidR="00F57ED6" w:rsidRDefault="00F57ED6" w:rsidP="00F57ED6">
              <w:pPr>
                <w:pStyle w:val="Bibliography"/>
                <w:rPr>
                  <w:rFonts w:asciiTheme="minorHAnsi" w:hAnsiTheme="minorHAnsi" w:cstheme="minorHAnsi"/>
                  <w:noProof/>
                  <w:sz w:val="24"/>
                  <w:szCs w:val="24"/>
                </w:rPr>
              </w:pPr>
              <w:r>
                <w:rPr>
                  <w:rFonts w:asciiTheme="minorHAnsi" w:hAnsiTheme="minorHAnsi" w:cstheme="minorHAnsi"/>
                  <w:noProof/>
                  <w:sz w:val="24"/>
                  <w:szCs w:val="24"/>
                </w:rPr>
                <w:t>Bernardo, A. &amp; Welch, I. (</w:t>
              </w:r>
              <w:r w:rsidRPr="00F57ED6">
                <w:rPr>
                  <w:rFonts w:asciiTheme="minorHAnsi" w:hAnsiTheme="minorHAnsi" w:cstheme="minorHAnsi"/>
                  <w:noProof/>
                  <w:sz w:val="24"/>
                  <w:szCs w:val="24"/>
                </w:rPr>
                <w:t>2004</w:t>
              </w:r>
              <w:r>
                <w:rPr>
                  <w:rFonts w:asciiTheme="minorHAnsi" w:hAnsiTheme="minorHAnsi" w:cstheme="minorHAnsi"/>
                  <w:noProof/>
                  <w:sz w:val="24"/>
                  <w:szCs w:val="24"/>
                </w:rPr>
                <w:t>)</w:t>
              </w:r>
              <w:r w:rsidRPr="00F57ED6">
                <w:rPr>
                  <w:rFonts w:asciiTheme="minorHAnsi" w:hAnsiTheme="minorHAnsi" w:cstheme="minorHAnsi"/>
                  <w:noProof/>
                  <w:sz w:val="24"/>
                  <w:szCs w:val="24"/>
                </w:rPr>
                <w:t xml:space="preserve"> Liquidity and Financial Market Runs. </w:t>
              </w:r>
              <w:r w:rsidRPr="00F57ED6">
                <w:rPr>
                  <w:rFonts w:asciiTheme="minorHAnsi" w:hAnsiTheme="minorHAnsi" w:cstheme="minorHAnsi"/>
                  <w:i/>
                  <w:iCs/>
                  <w:noProof/>
                  <w:sz w:val="24"/>
                  <w:szCs w:val="24"/>
                </w:rPr>
                <w:t xml:space="preserve">The Quarterly Journal of Economics, </w:t>
              </w:r>
              <w:r w:rsidRPr="00F57ED6">
                <w:rPr>
                  <w:rFonts w:asciiTheme="minorHAnsi" w:hAnsiTheme="minorHAnsi" w:cstheme="minorHAnsi"/>
                  <w:noProof/>
                  <w:sz w:val="24"/>
                  <w:szCs w:val="24"/>
                </w:rPr>
                <w:t>119(1), p. 135–158.</w:t>
              </w:r>
            </w:p>
            <w:p w:rsidR="00F57ED6" w:rsidRPr="00F57ED6" w:rsidRDefault="00F57ED6" w:rsidP="00F57ED6"/>
            <w:p w:rsidR="00F57ED6" w:rsidRDefault="00F57ED6" w:rsidP="00F57ED6">
              <w:pPr>
                <w:pStyle w:val="Bibliography"/>
                <w:rPr>
                  <w:rFonts w:asciiTheme="minorHAnsi" w:hAnsiTheme="minorHAnsi" w:cstheme="minorHAnsi"/>
                  <w:noProof/>
                  <w:sz w:val="24"/>
                  <w:szCs w:val="24"/>
                </w:rPr>
              </w:pPr>
              <w:r w:rsidRPr="00F57ED6">
                <w:rPr>
                  <w:rFonts w:asciiTheme="minorHAnsi" w:hAnsiTheme="minorHAnsi" w:cstheme="minorHAnsi"/>
                  <w:noProof/>
                  <w:sz w:val="24"/>
                  <w:szCs w:val="24"/>
                </w:rPr>
                <w:t xml:space="preserve">CFI Education Inc., </w:t>
              </w:r>
              <w:r>
                <w:rPr>
                  <w:rFonts w:asciiTheme="minorHAnsi" w:hAnsiTheme="minorHAnsi" w:cstheme="minorHAnsi"/>
                  <w:noProof/>
                  <w:sz w:val="24"/>
                  <w:szCs w:val="24"/>
                </w:rPr>
                <w:t>(2020)</w:t>
              </w:r>
              <w:r w:rsidRPr="00F57ED6">
                <w:rPr>
                  <w:rFonts w:asciiTheme="minorHAnsi" w:hAnsiTheme="minorHAnsi" w:cstheme="minorHAnsi"/>
                  <w:noProof/>
                  <w:sz w:val="24"/>
                  <w:szCs w:val="24"/>
                </w:rPr>
                <w:t xml:space="preserve"> </w:t>
              </w:r>
              <w:r w:rsidRPr="00F57ED6">
                <w:rPr>
                  <w:rFonts w:asciiTheme="minorHAnsi" w:hAnsiTheme="minorHAnsi" w:cstheme="minorHAnsi"/>
                  <w:i/>
                  <w:iCs/>
                  <w:noProof/>
                  <w:sz w:val="24"/>
                  <w:szCs w:val="24"/>
                </w:rPr>
                <w:t xml:space="preserve">Limitations of Ratio Analysis. </w:t>
              </w:r>
              <w:r w:rsidRPr="00F57ED6">
                <w:rPr>
                  <w:rFonts w:asciiTheme="minorHAnsi" w:hAnsiTheme="minorHAnsi" w:cstheme="minorHAnsi"/>
                  <w:noProof/>
                  <w:sz w:val="24"/>
                  <w:szCs w:val="24"/>
                </w:rPr>
                <w:t xml:space="preserve">[Online] </w:t>
              </w:r>
              <w:r w:rsidRPr="00F57ED6">
                <w:rPr>
                  <w:rFonts w:asciiTheme="minorHAnsi" w:hAnsiTheme="minorHAnsi" w:cstheme="minorHAnsi"/>
                  <w:noProof/>
                  <w:sz w:val="24"/>
                  <w:szCs w:val="24"/>
                </w:rPr>
                <w:br/>
                <w:t xml:space="preserve">Available at: </w:t>
              </w:r>
              <w:r w:rsidRPr="00F57ED6">
                <w:rPr>
                  <w:rFonts w:asciiTheme="minorHAnsi" w:hAnsiTheme="minorHAnsi" w:cstheme="minorHAnsi"/>
                  <w:noProof/>
                  <w:sz w:val="24"/>
                  <w:szCs w:val="24"/>
                  <w:u w:val="single"/>
                </w:rPr>
                <w:t>https://corporatefinanceinstitute.com/resources/knowledge/finance/limitations-ratio-analysis/</w:t>
              </w:r>
              <w:r w:rsidRPr="00F57ED6">
                <w:rPr>
                  <w:rFonts w:asciiTheme="minorHAnsi" w:hAnsiTheme="minorHAnsi" w:cstheme="minorHAnsi"/>
                  <w:noProof/>
                  <w:sz w:val="24"/>
                  <w:szCs w:val="24"/>
                </w:rPr>
                <w:br/>
                <w:t>[Accessed 13 May 2020].</w:t>
              </w:r>
            </w:p>
            <w:p w:rsidR="00F57ED6" w:rsidRPr="00F57ED6" w:rsidRDefault="00F57ED6" w:rsidP="00F57ED6"/>
            <w:p w:rsidR="00F57ED6" w:rsidRDefault="00F57ED6" w:rsidP="00F57ED6">
              <w:pPr>
                <w:pStyle w:val="Bibliography"/>
                <w:rPr>
                  <w:rFonts w:asciiTheme="minorHAnsi" w:hAnsiTheme="minorHAnsi" w:cstheme="minorHAnsi"/>
                  <w:noProof/>
                  <w:sz w:val="24"/>
                  <w:szCs w:val="24"/>
                </w:rPr>
              </w:pPr>
              <w:r w:rsidRPr="00F57ED6">
                <w:rPr>
                  <w:rFonts w:asciiTheme="minorHAnsi" w:hAnsiTheme="minorHAnsi" w:cstheme="minorHAnsi"/>
                  <w:noProof/>
                  <w:sz w:val="24"/>
                  <w:szCs w:val="24"/>
                </w:rPr>
                <w:t xml:space="preserve">Cherowbrier, J. </w:t>
              </w:r>
              <w:r>
                <w:rPr>
                  <w:rFonts w:asciiTheme="minorHAnsi" w:hAnsiTheme="minorHAnsi" w:cstheme="minorHAnsi"/>
                  <w:noProof/>
                  <w:sz w:val="24"/>
                  <w:szCs w:val="24"/>
                </w:rPr>
                <w:t>(2020)</w:t>
              </w:r>
              <w:r w:rsidRPr="00F57ED6">
                <w:rPr>
                  <w:rFonts w:asciiTheme="minorHAnsi" w:hAnsiTheme="minorHAnsi" w:cstheme="minorHAnsi"/>
                  <w:noProof/>
                  <w:sz w:val="24"/>
                  <w:szCs w:val="24"/>
                </w:rPr>
                <w:t xml:space="preserve"> </w:t>
              </w:r>
              <w:r w:rsidRPr="00F57ED6">
                <w:rPr>
                  <w:rFonts w:asciiTheme="minorHAnsi" w:hAnsiTheme="minorHAnsi" w:cstheme="minorHAnsi"/>
                  <w:i/>
                  <w:iCs/>
                  <w:noProof/>
                  <w:sz w:val="24"/>
                  <w:szCs w:val="24"/>
                </w:rPr>
                <w:t xml:space="preserve">Adjusted profit before tax of Barclays group 2013-2019. </w:t>
              </w:r>
              <w:r w:rsidRPr="00F57ED6">
                <w:rPr>
                  <w:rFonts w:asciiTheme="minorHAnsi" w:hAnsiTheme="minorHAnsi" w:cstheme="minorHAnsi"/>
                  <w:noProof/>
                  <w:sz w:val="24"/>
                  <w:szCs w:val="24"/>
                </w:rPr>
                <w:t xml:space="preserve">[Online] </w:t>
              </w:r>
              <w:r w:rsidRPr="00F57ED6">
                <w:rPr>
                  <w:rFonts w:asciiTheme="minorHAnsi" w:hAnsiTheme="minorHAnsi" w:cstheme="minorHAnsi"/>
                  <w:noProof/>
                  <w:sz w:val="24"/>
                  <w:szCs w:val="24"/>
                </w:rPr>
                <w:br/>
                <w:t xml:space="preserve">Available at: </w:t>
              </w:r>
              <w:r w:rsidRPr="00F57ED6">
                <w:rPr>
                  <w:rFonts w:asciiTheme="minorHAnsi" w:hAnsiTheme="minorHAnsi" w:cstheme="minorHAnsi"/>
                  <w:noProof/>
                  <w:sz w:val="24"/>
                  <w:szCs w:val="24"/>
                  <w:u w:val="single"/>
                </w:rPr>
                <w:t>https://www.statista.com/statistics/294735/barclays-insurance-profit-before-tax/</w:t>
              </w:r>
              <w:r w:rsidRPr="00F57ED6">
                <w:rPr>
                  <w:rFonts w:asciiTheme="minorHAnsi" w:hAnsiTheme="minorHAnsi" w:cstheme="minorHAnsi"/>
                  <w:noProof/>
                  <w:sz w:val="24"/>
                  <w:szCs w:val="24"/>
                </w:rPr>
                <w:br/>
                <w:t>[Accessed 13 May 2020].</w:t>
              </w:r>
            </w:p>
            <w:p w:rsidR="00F57ED6" w:rsidRPr="00F57ED6" w:rsidRDefault="00F57ED6" w:rsidP="00F57ED6"/>
            <w:p w:rsidR="00F57ED6" w:rsidRDefault="00F57ED6" w:rsidP="00F57ED6">
              <w:pPr>
                <w:pStyle w:val="Bibliography"/>
                <w:rPr>
                  <w:rFonts w:asciiTheme="minorHAnsi" w:hAnsiTheme="minorHAnsi" w:cstheme="minorHAnsi"/>
                  <w:noProof/>
                  <w:sz w:val="24"/>
                  <w:szCs w:val="24"/>
                </w:rPr>
              </w:pPr>
              <w:r w:rsidRPr="00F57ED6">
                <w:rPr>
                  <w:rFonts w:asciiTheme="minorHAnsi" w:hAnsiTheme="minorHAnsi" w:cstheme="minorHAnsi"/>
                  <w:noProof/>
                  <w:sz w:val="24"/>
                  <w:szCs w:val="24"/>
                </w:rPr>
                <w:t xml:space="preserve">Double Entry Bookkeeping, </w:t>
              </w:r>
              <w:r>
                <w:rPr>
                  <w:rFonts w:asciiTheme="minorHAnsi" w:hAnsiTheme="minorHAnsi" w:cstheme="minorHAnsi"/>
                  <w:noProof/>
                  <w:sz w:val="24"/>
                  <w:szCs w:val="24"/>
                </w:rPr>
                <w:t>(2020)</w:t>
              </w:r>
              <w:r w:rsidRPr="00F57ED6">
                <w:rPr>
                  <w:rFonts w:asciiTheme="minorHAnsi" w:hAnsiTheme="minorHAnsi" w:cstheme="minorHAnsi"/>
                  <w:i/>
                  <w:iCs/>
                  <w:noProof/>
                  <w:sz w:val="24"/>
                  <w:szCs w:val="24"/>
                </w:rPr>
                <w:t xml:space="preserve">What are Investor Ratios?. </w:t>
              </w:r>
              <w:r w:rsidRPr="00F57ED6">
                <w:rPr>
                  <w:rFonts w:asciiTheme="minorHAnsi" w:hAnsiTheme="minorHAnsi" w:cstheme="minorHAnsi"/>
                  <w:noProof/>
                  <w:sz w:val="24"/>
                  <w:szCs w:val="24"/>
                </w:rPr>
                <w:t xml:space="preserve">[Online] </w:t>
              </w:r>
              <w:r w:rsidRPr="00F57ED6">
                <w:rPr>
                  <w:rFonts w:asciiTheme="minorHAnsi" w:hAnsiTheme="minorHAnsi" w:cstheme="minorHAnsi"/>
                  <w:noProof/>
                  <w:sz w:val="24"/>
                  <w:szCs w:val="24"/>
                </w:rPr>
                <w:br/>
                <w:t xml:space="preserve">Available at: </w:t>
              </w:r>
              <w:r w:rsidRPr="00F57ED6">
                <w:rPr>
                  <w:rFonts w:asciiTheme="minorHAnsi" w:hAnsiTheme="minorHAnsi" w:cstheme="minorHAnsi"/>
                  <w:noProof/>
                  <w:sz w:val="24"/>
                  <w:szCs w:val="24"/>
                  <w:u w:val="single"/>
                </w:rPr>
                <w:t>https://www.double-entry-bookkeeping.com/investor-ratios/investor-ratio/</w:t>
              </w:r>
              <w:r w:rsidRPr="00F57ED6">
                <w:rPr>
                  <w:rFonts w:asciiTheme="minorHAnsi" w:hAnsiTheme="minorHAnsi" w:cstheme="minorHAnsi"/>
                  <w:noProof/>
                  <w:sz w:val="24"/>
                  <w:szCs w:val="24"/>
                </w:rPr>
                <w:br/>
                <w:t>[Accessed 6 May 2020].</w:t>
              </w:r>
            </w:p>
            <w:p w:rsidR="00F57ED6" w:rsidRPr="00F57ED6" w:rsidRDefault="00F57ED6" w:rsidP="00F57ED6"/>
            <w:p w:rsidR="00F57ED6" w:rsidRDefault="00F57ED6" w:rsidP="00F57ED6">
              <w:pPr>
                <w:pStyle w:val="Bibliography"/>
                <w:rPr>
                  <w:rFonts w:asciiTheme="minorHAnsi" w:hAnsiTheme="minorHAnsi" w:cstheme="minorHAnsi"/>
                  <w:noProof/>
                  <w:sz w:val="24"/>
                  <w:szCs w:val="24"/>
                </w:rPr>
              </w:pPr>
              <w:r w:rsidRPr="00F57ED6">
                <w:rPr>
                  <w:rFonts w:asciiTheme="minorHAnsi" w:hAnsiTheme="minorHAnsi" w:cstheme="minorHAnsi"/>
                  <w:noProof/>
                  <w:sz w:val="24"/>
                  <w:szCs w:val="24"/>
                </w:rPr>
                <w:t xml:space="preserve">Ellyatt, H. </w:t>
              </w:r>
              <w:r>
                <w:rPr>
                  <w:rFonts w:asciiTheme="minorHAnsi" w:hAnsiTheme="minorHAnsi" w:cstheme="minorHAnsi"/>
                  <w:noProof/>
                  <w:sz w:val="24"/>
                  <w:szCs w:val="24"/>
                </w:rPr>
                <w:t>(2016)</w:t>
              </w:r>
              <w:r w:rsidRPr="00F57ED6">
                <w:rPr>
                  <w:rFonts w:asciiTheme="minorHAnsi" w:hAnsiTheme="minorHAnsi" w:cstheme="minorHAnsi"/>
                  <w:noProof/>
                  <w:sz w:val="24"/>
                  <w:szCs w:val="24"/>
                </w:rPr>
                <w:t xml:space="preserve"> Barclays shares down 8% as profits slump. </w:t>
              </w:r>
              <w:r w:rsidRPr="00F57ED6">
                <w:rPr>
                  <w:rFonts w:asciiTheme="minorHAnsi" w:hAnsiTheme="minorHAnsi" w:cstheme="minorHAnsi"/>
                  <w:i/>
                  <w:iCs/>
                  <w:noProof/>
                  <w:sz w:val="24"/>
                  <w:szCs w:val="24"/>
                </w:rPr>
                <w:t>CNBC</w:t>
              </w:r>
              <w:r w:rsidRPr="00F57ED6">
                <w:rPr>
                  <w:rFonts w:asciiTheme="minorHAnsi" w:hAnsiTheme="minorHAnsi" w:cstheme="minorHAnsi"/>
                  <w:noProof/>
                  <w:sz w:val="24"/>
                  <w:szCs w:val="24"/>
                </w:rPr>
                <w:t>, 1 March, pp. 1-6.</w:t>
              </w:r>
            </w:p>
            <w:p w:rsidR="00F57ED6" w:rsidRPr="00F57ED6" w:rsidRDefault="00F57ED6" w:rsidP="00F57ED6"/>
            <w:p w:rsidR="00F57ED6" w:rsidRDefault="00F57ED6" w:rsidP="00F57ED6">
              <w:pPr>
                <w:pStyle w:val="Bibliography"/>
                <w:rPr>
                  <w:rFonts w:asciiTheme="minorHAnsi" w:hAnsiTheme="minorHAnsi" w:cstheme="minorHAnsi"/>
                  <w:noProof/>
                  <w:sz w:val="24"/>
                  <w:szCs w:val="24"/>
                </w:rPr>
              </w:pPr>
              <w:r>
                <w:rPr>
                  <w:rFonts w:asciiTheme="minorHAnsi" w:hAnsiTheme="minorHAnsi" w:cstheme="minorHAnsi"/>
                  <w:noProof/>
                  <w:sz w:val="24"/>
                  <w:szCs w:val="24"/>
                </w:rPr>
                <w:t>Grant, M. (2020)</w:t>
              </w:r>
              <w:r w:rsidRPr="00F57ED6">
                <w:rPr>
                  <w:rFonts w:asciiTheme="minorHAnsi" w:hAnsiTheme="minorHAnsi" w:cstheme="minorHAnsi"/>
                  <w:noProof/>
                  <w:sz w:val="24"/>
                  <w:szCs w:val="24"/>
                </w:rPr>
                <w:t xml:space="preserve"> Common Equity Tier 1 (CET1). </w:t>
              </w:r>
              <w:r w:rsidRPr="00F57ED6">
                <w:rPr>
                  <w:rFonts w:asciiTheme="minorHAnsi" w:hAnsiTheme="minorHAnsi" w:cstheme="minorHAnsi"/>
                  <w:i/>
                  <w:iCs/>
                  <w:noProof/>
                  <w:sz w:val="24"/>
                  <w:szCs w:val="24"/>
                </w:rPr>
                <w:t>Investopedia</w:t>
              </w:r>
              <w:r w:rsidRPr="00F57ED6">
                <w:rPr>
                  <w:rFonts w:asciiTheme="minorHAnsi" w:hAnsiTheme="minorHAnsi" w:cstheme="minorHAnsi"/>
                  <w:noProof/>
                  <w:sz w:val="24"/>
                  <w:szCs w:val="24"/>
                </w:rPr>
                <w:t>, 24 February, pp. 1-8.</w:t>
              </w:r>
            </w:p>
            <w:p w:rsidR="00AF2B76" w:rsidRDefault="00AF2B76" w:rsidP="00AF2B76"/>
            <w:p w:rsidR="00AF2B76" w:rsidRPr="00AF2B76" w:rsidRDefault="00AF2B76" w:rsidP="00AF2B76">
              <w:pPr>
                <w:rPr>
                  <w:rFonts w:asciiTheme="minorHAnsi" w:hAnsiTheme="minorHAnsi" w:cstheme="minorHAnsi"/>
                  <w:sz w:val="24"/>
                  <w:szCs w:val="24"/>
                </w:rPr>
              </w:pPr>
              <w:r w:rsidRPr="00AF2B76">
                <w:rPr>
                  <w:rFonts w:asciiTheme="minorHAnsi" w:hAnsiTheme="minorHAnsi" w:cstheme="minorHAnsi"/>
                  <w:sz w:val="24"/>
                  <w:szCs w:val="24"/>
                </w:rPr>
                <w:t>Hargreaves Landsown (2020) Barclays PLC [online] Available at:</w:t>
              </w:r>
              <w:r w:rsidRPr="00AF2B76">
                <w:rPr>
                  <w:rFonts w:asciiTheme="minorHAnsi" w:hAnsiTheme="minorHAnsi" w:cstheme="minorHAnsi"/>
                  <w:sz w:val="24"/>
                  <w:szCs w:val="24"/>
                  <w:u w:val="single"/>
                </w:rPr>
                <w:t xml:space="preserve"> https://www.hl.co.uk/shares/shares-search-results/b/barclays-plc-ordinary-25p/financial-statements-and-reports [Accessed 20 May 2020)</w:t>
              </w:r>
            </w:p>
            <w:p w:rsidR="00F57ED6" w:rsidRPr="00F57ED6" w:rsidRDefault="00F57ED6" w:rsidP="00F57ED6"/>
            <w:p w:rsidR="00F57ED6" w:rsidRDefault="00F57ED6" w:rsidP="00F57ED6">
              <w:pPr>
                <w:pStyle w:val="Bibliography"/>
                <w:rPr>
                  <w:rFonts w:asciiTheme="minorHAnsi" w:hAnsiTheme="minorHAnsi" w:cstheme="minorHAnsi"/>
                  <w:noProof/>
                  <w:sz w:val="24"/>
                  <w:szCs w:val="24"/>
                </w:rPr>
              </w:pPr>
              <w:r>
                <w:rPr>
                  <w:rFonts w:asciiTheme="minorHAnsi" w:hAnsiTheme="minorHAnsi" w:cstheme="minorHAnsi"/>
                  <w:noProof/>
                  <w:sz w:val="24"/>
                  <w:szCs w:val="24"/>
                </w:rPr>
                <w:t>Lesáková, L. (2007)</w:t>
              </w:r>
              <w:r w:rsidRPr="00F57ED6">
                <w:rPr>
                  <w:rFonts w:asciiTheme="minorHAnsi" w:hAnsiTheme="minorHAnsi" w:cstheme="minorHAnsi"/>
                  <w:noProof/>
                  <w:sz w:val="24"/>
                  <w:szCs w:val="24"/>
                </w:rPr>
                <w:t xml:space="preserve"> </w:t>
              </w:r>
              <w:r w:rsidRPr="00F57ED6">
                <w:rPr>
                  <w:rFonts w:asciiTheme="minorHAnsi" w:hAnsiTheme="minorHAnsi" w:cstheme="minorHAnsi"/>
                  <w:i/>
                  <w:iCs/>
                  <w:noProof/>
                  <w:sz w:val="24"/>
                  <w:szCs w:val="24"/>
                </w:rPr>
                <w:t xml:space="preserve">Uses and Limitations of Profitability Ratio. </w:t>
              </w:r>
              <w:r w:rsidRPr="00F57ED6">
                <w:rPr>
                  <w:rFonts w:asciiTheme="minorHAnsi" w:hAnsiTheme="minorHAnsi" w:cstheme="minorHAnsi"/>
                  <w:noProof/>
                  <w:sz w:val="24"/>
                  <w:szCs w:val="24"/>
                </w:rPr>
                <w:t>Budapest, 5th International Conference on Managemen</w:t>
              </w:r>
              <w:r>
                <w:rPr>
                  <w:rFonts w:asciiTheme="minorHAnsi" w:hAnsiTheme="minorHAnsi" w:cstheme="minorHAnsi"/>
                  <w:noProof/>
                  <w:sz w:val="24"/>
                  <w:szCs w:val="24"/>
                </w:rPr>
                <w:t>t, Enterprise and Benchmarking.</w:t>
              </w:r>
            </w:p>
            <w:p w:rsidR="00F57ED6" w:rsidRPr="00F57ED6" w:rsidRDefault="00F57ED6" w:rsidP="00F57ED6"/>
            <w:p w:rsidR="00F57ED6" w:rsidRDefault="00F57ED6" w:rsidP="00F57ED6">
              <w:pPr>
                <w:pStyle w:val="Bibliography"/>
                <w:rPr>
                  <w:rFonts w:asciiTheme="minorHAnsi" w:hAnsiTheme="minorHAnsi" w:cstheme="minorHAnsi"/>
                  <w:noProof/>
                  <w:sz w:val="24"/>
                  <w:szCs w:val="24"/>
                </w:rPr>
              </w:pPr>
              <w:r>
                <w:rPr>
                  <w:rFonts w:asciiTheme="minorHAnsi" w:hAnsiTheme="minorHAnsi" w:cstheme="minorHAnsi"/>
                  <w:noProof/>
                  <w:sz w:val="24"/>
                  <w:szCs w:val="24"/>
                </w:rPr>
                <w:lastRenderedPageBreak/>
                <w:t>Pilbeam, K. (2018)</w:t>
              </w:r>
              <w:r w:rsidRPr="00F57ED6">
                <w:rPr>
                  <w:rFonts w:asciiTheme="minorHAnsi" w:hAnsiTheme="minorHAnsi" w:cstheme="minorHAnsi"/>
                  <w:noProof/>
                  <w:sz w:val="24"/>
                  <w:szCs w:val="24"/>
                </w:rPr>
                <w:t xml:space="preserve"> </w:t>
              </w:r>
              <w:r w:rsidRPr="00F57ED6">
                <w:rPr>
                  <w:rFonts w:asciiTheme="minorHAnsi" w:hAnsiTheme="minorHAnsi" w:cstheme="minorHAnsi"/>
                  <w:i/>
                  <w:iCs/>
                  <w:noProof/>
                  <w:sz w:val="24"/>
                  <w:szCs w:val="24"/>
                </w:rPr>
                <w:t xml:space="preserve">Finance and Financial Markets. </w:t>
              </w:r>
              <w:r w:rsidRPr="00F57ED6">
                <w:rPr>
                  <w:rFonts w:asciiTheme="minorHAnsi" w:hAnsiTheme="minorHAnsi" w:cstheme="minorHAnsi"/>
                  <w:noProof/>
                  <w:sz w:val="24"/>
                  <w:szCs w:val="24"/>
                </w:rPr>
                <w:t>New York: Macmillan International Higher Education.</w:t>
              </w:r>
            </w:p>
            <w:p w:rsidR="00F57ED6" w:rsidRPr="00F57ED6" w:rsidRDefault="00F57ED6" w:rsidP="00F57ED6"/>
            <w:p w:rsidR="00F57ED6" w:rsidRDefault="00F57ED6" w:rsidP="00F57ED6">
              <w:pPr>
                <w:pStyle w:val="Bibliography"/>
                <w:rPr>
                  <w:rFonts w:asciiTheme="minorHAnsi" w:hAnsiTheme="minorHAnsi" w:cstheme="minorHAnsi"/>
                  <w:noProof/>
                  <w:sz w:val="24"/>
                  <w:szCs w:val="24"/>
                </w:rPr>
              </w:pPr>
              <w:r w:rsidRPr="00F57ED6">
                <w:rPr>
                  <w:rFonts w:asciiTheme="minorHAnsi" w:hAnsiTheme="minorHAnsi" w:cstheme="minorHAnsi"/>
                  <w:noProof/>
                  <w:sz w:val="24"/>
                  <w:szCs w:val="24"/>
                </w:rPr>
                <w:t xml:space="preserve">Shares Magazine, </w:t>
              </w:r>
              <w:r>
                <w:rPr>
                  <w:rFonts w:asciiTheme="minorHAnsi" w:hAnsiTheme="minorHAnsi" w:cstheme="minorHAnsi"/>
                  <w:noProof/>
                  <w:sz w:val="24"/>
                  <w:szCs w:val="24"/>
                </w:rPr>
                <w:t>(2020)</w:t>
              </w:r>
              <w:r w:rsidRPr="00F57ED6">
                <w:rPr>
                  <w:rFonts w:asciiTheme="minorHAnsi" w:hAnsiTheme="minorHAnsi" w:cstheme="minorHAnsi"/>
                  <w:noProof/>
                  <w:sz w:val="24"/>
                  <w:szCs w:val="24"/>
                </w:rPr>
                <w:t xml:space="preserve"> </w:t>
              </w:r>
              <w:r w:rsidRPr="00F57ED6">
                <w:rPr>
                  <w:rFonts w:asciiTheme="minorHAnsi" w:hAnsiTheme="minorHAnsi" w:cstheme="minorHAnsi"/>
                  <w:i/>
                  <w:iCs/>
                  <w:noProof/>
                  <w:sz w:val="24"/>
                  <w:szCs w:val="24"/>
                </w:rPr>
                <w:t xml:space="preserve">Barclays. </w:t>
              </w:r>
              <w:r w:rsidRPr="00F57ED6">
                <w:rPr>
                  <w:rFonts w:asciiTheme="minorHAnsi" w:hAnsiTheme="minorHAnsi" w:cstheme="minorHAnsi"/>
                  <w:noProof/>
                  <w:sz w:val="24"/>
                  <w:szCs w:val="24"/>
                </w:rPr>
                <w:t xml:space="preserve">[Online] </w:t>
              </w:r>
              <w:r w:rsidRPr="00F57ED6">
                <w:rPr>
                  <w:rFonts w:asciiTheme="minorHAnsi" w:hAnsiTheme="minorHAnsi" w:cstheme="minorHAnsi"/>
                  <w:noProof/>
                  <w:sz w:val="24"/>
                  <w:szCs w:val="24"/>
                </w:rPr>
                <w:br/>
                <w:t xml:space="preserve">Available at: </w:t>
              </w:r>
              <w:r w:rsidRPr="00F57ED6">
                <w:rPr>
                  <w:rFonts w:asciiTheme="minorHAnsi" w:hAnsiTheme="minorHAnsi" w:cstheme="minorHAnsi"/>
                  <w:noProof/>
                  <w:sz w:val="24"/>
                  <w:szCs w:val="24"/>
                  <w:u w:val="single"/>
                </w:rPr>
                <w:t>https://www.sharesmagazine.co.uk/shares/share/BARC/fundamentals</w:t>
              </w:r>
              <w:r w:rsidRPr="00F57ED6">
                <w:rPr>
                  <w:rFonts w:asciiTheme="minorHAnsi" w:hAnsiTheme="minorHAnsi" w:cstheme="minorHAnsi"/>
                  <w:noProof/>
                  <w:sz w:val="24"/>
                  <w:szCs w:val="24"/>
                </w:rPr>
                <w:br/>
                <w:t>[Accessed 6 May 2020].</w:t>
              </w:r>
            </w:p>
            <w:p w:rsidR="00F57ED6" w:rsidRPr="00F57ED6" w:rsidRDefault="00F57ED6" w:rsidP="00F57ED6"/>
            <w:p w:rsidR="00F57ED6" w:rsidRPr="00F57ED6" w:rsidRDefault="00F57ED6" w:rsidP="00F57ED6">
              <w:pPr>
                <w:pStyle w:val="Bibliography"/>
                <w:rPr>
                  <w:rFonts w:asciiTheme="minorHAnsi" w:hAnsiTheme="minorHAnsi" w:cstheme="minorHAnsi"/>
                  <w:noProof/>
                  <w:sz w:val="24"/>
                  <w:szCs w:val="24"/>
                </w:rPr>
              </w:pPr>
              <w:r w:rsidRPr="00F57ED6">
                <w:rPr>
                  <w:rFonts w:asciiTheme="minorHAnsi" w:hAnsiTheme="minorHAnsi" w:cstheme="minorHAnsi"/>
                  <w:noProof/>
                  <w:sz w:val="24"/>
                  <w:szCs w:val="24"/>
                </w:rPr>
                <w:t xml:space="preserve">Trefis, </w:t>
              </w:r>
              <w:r>
                <w:rPr>
                  <w:rFonts w:asciiTheme="minorHAnsi" w:hAnsiTheme="minorHAnsi" w:cstheme="minorHAnsi"/>
                  <w:noProof/>
                  <w:sz w:val="24"/>
                  <w:szCs w:val="24"/>
                </w:rPr>
                <w:t>(</w:t>
              </w:r>
              <w:r w:rsidRPr="00F57ED6">
                <w:rPr>
                  <w:rFonts w:asciiTheme="minorHAnsi" w:hAnsiTheme="minorHAnsi" w:cstheme="minorHAnsi"/>
                  <w:noProof/>
                  <w:sz w:val="24"/>
                  <w:szCs w:val="24"/>
                </w:rPr>
                <w:t>2019</w:t>
              </w:r>
              <w:r>
                <w:rPr>
                  <w:rFonts w:asciiTheme="minorHAnsi" w:hAnsiTheme="minorHAnsi" w:cstheme="minorHAnsi"/>
                  <w:noProof/>
                  <w:sz w:val="24"/>
                  <w:szCs w:val="24"/>
                </w:rPr>
                <w:t>)</w:t>
              </w:r>
              <w:r w:rsidRPr="00F57ED6">
                <w:rPr>
                  <w:rFonts w:asciiTheme="minorHAnsi" w:hAnsiTheme="minorHAnsi" w:cstheme="minorHAnsi"/>
                  <w:noProof/>
                  <w:sz w:val="24"/>
                  <w:szCs w:val="24"/>
                </w:rPr>
                <w:t xml:space="preserve"> </w:t>
              </w:r>
              <w:r w:rsidRPr="00F57ED6">
                <w:rPr>
                  <w:rFonts w:asciiTheme="minorHAnsi" w:hAnsiTheme="minorHAnsi" w:cstheme="minorHAnsi"/>
                  <w:i/>
                  <w:iCs/>
                  <w:noProof/>
                  <w:sz w:val="24"/>
                  <w:szCs w:val="24"/>
                </w:rPr>
                <w:t xml:space="preserve">Barclays’ 2018 Performance: Brexit Uncertainty Looms Over Bank. </w:t>
              </w:r>
              <w:r w:rsidRPr="00F57ED6">
                <w:rPr>
                  <w:rFonts w:asciiTheme="minorHAnsi" w:hAnsiTheme="minorHAnsi" w:cstheme="minorHAnsi"/>
                  <w:noProof/>
                  <w:sz w:val="24"/>
                  <w:szCs w:val="24"/>
                </w:rPr>
                <w:t xml:space="preserve">[Online] </w:t>
              </w:r>
              <w:r w:rsidRPr="00F57ED6">
                <w:rPr>
                  <w:rFonts w:asciiTheme="minorHAnsi" w:hAnsiTheme="minorHAnsi" w:cstheme="minorHAnsi"/>
                  <w:noProof/>
                  <w:sz w:val="24"/>
                  <w:szCs w:val="24"/>
                </w:rPr>
                <w:br/>
                <w:t xml:space="preserve">Available at: </w:t>
              </w:r>
              <w:r w:rsidRPr="00F57ED6">
                <w:rPr>
                  <w:rFonts w:asciiTheme="minorHAnsi" w:hAnsiTheme="minorHAnsi" w:cstheme="minorHAnsi"/>
                  <w:noProof/>
                  <w:sz w:val="24"/>
                  <w:szCs w:val="24"/>
                  <w:u w:val="single"/>
                </w:rPr>
                <w:t>https://www.trefis.com/stock/bcs/articles/462335/barclays-2018-performance-brexit-uncertainty-looms-over-bank/2019-02-25</w:t>
              </w:r>
              <w:r w:rsidRPr="00F57ED6">
                <w:rPr>
                  <w:rFonts w:asciiTheme="minorHAnsi" w:hAnsiTheme="minorHAnsi" w:cstheme="minorHAnsi"/>
                  <w:noProof/>
                  <w:sz w:val="24"/>
                  <w:szCs w:val="24"/>
                </w:rPr>
                <w:br/>
                <w:t>[Accessed 13 May 2020].</w:t>
              </w:r>
            </w:p>
            <w:p w:rsidR="00F57ED6" w:rsidRDefault="00F57ED6" w:rsidP="00F57ED6">
              <w:r w:rsidRPr="00F57ED6">
                <w:rPr>
                  <w:rFonts w:asciiTheme="minorHAnsi" w:hAnsiTheme="minorHAnsi" w:cstheme="minorHAnsi"/>
                  <w:b/>
                  <w:bCs/>
                  <w:noProof/>
                  <w:sz w:val="24"/>
                  <w:szCs w:val="24"/>
                </w:rPr>
                <w:fldChar w:fldCharType="end"/>
              </w:r>
            </w:p>
          </w:sdtContent>
        </w:sdt>
      </w:sdtContent>
    </w:sdt>
    <w:p w:rsidR="00F57ED6" w:rsidRPr="00254FBD" w:rsidRDefault="00F57ED6" w:rsidP="00254FBD">
      <w:pPr>
        <w:spacing w:line="360" w:lineRule="auto"/>
        <w:rPr>
          <w:rFonts w:asciiTheme="minorHAnsi" w:hAnsiTheme="minorHAnsi" w:cstheme="minorHAnsi"/>
          <w:bCs/>
          <w:sz w:val="24"/>
          <w:szCs w:val="24"/>
        </w:rPr>
      </w:pPr>
    </w:p>
    <w:p w:rsidR="00C77A49" w:rsidRPr="00254FBD" w:rsidRDefault="00C77A49" w:rsidP="00254FBD">
      <w:pPr>
        <w:spacing w:line="360" w:lineRule="auto"/>
        <w:rPr>
          <w:rFonts w:asciiTheme="minorHAnsi" w:hAnsiTheme="minorHAnsi" w:cstheme="minorHAnsi"/>
          <w:bCs/>
          <w:sz w:val="24"/>
          <w:szCs w:val="24"/>
        </w:rPr>
      </w:pPr>
    </w:p>
    <w:p w:rsidR="00C77A49" w:rsidRPr="00254FBD" w:rsidRDefault="00C77A49" w:rsidP="00254FBD">
      <w:pPr>
        <w:spacing w:line="360" w:lineRule="auto"/>
        <w:rPr>
          <w:rFonts w:asciiTheme="minorHAnsi" w:hAnsiTheme="minorHAnsi" w:cstheme="minorHAnsi"/>
          <w:bCs/>
          <w:sz w:val="24"/>
          <w:szCs w:val="24"/>
        </w:rPr>
      </w:pPr>
    </w:p>
    <w:p w:rsidR="007F09DB" w:rsidRDefault="007F09DB">
      <w:pPr>
        <w:spacing w:after="160" w:line="259" w:lineRule="auto"/>
        <w:rPr>
          <w:rFonts w:asciiTheme="minorHAnsi" w:hAnsiTheme="minorHAnsi" w:cstheme="minorHAnsi"/>
          <w:color w:val="7030A0"/>
          <w:sz w:val="24"/>
          <w:szCs w:val="24"/>
        </w:rPr>
      </w:pPr>
      <w:r>
        <w:rPr>
          <w:rFonts w:asciiTheme="minorHAnsi" w:hAnsiTheme="minorHAnsi" w:cstheme="minorHAnsi"/>
          <w:color w:val="7030A0"/>
          <w:sz w:val="24"/>
          <w:szCs w:val="24"/>
        </w:rPr>
        <w:br w:type="page"/>
      </w:r>
    </w:p>
    <w:p w:rsidR="00B970A0" w:rsidRDefault="007F09DB" w:rsidP="00154289">
      <w:pPr>
        <w:pStyle w:val="Heading1"/>
      </w:pPr>
      <w:bookmarkStart w:id="13" w:name="_Toc42082613"/>
      <w:r>
        <w:lastRenderedPageBreak/>
        <w:t>Appendix 1: Profit and Loss</w:t>
      </w:r>
      <w:bookmarkEnd w:id="13"/>
    </w:p>
    <w:tbl>
      <w:tblPr>
        <w:tblW w:w="10660" w:type="dxa"/>
        <w:tblInd w:w="-809" w:type="dxa"/>
        <w:tblLook w:val="04A0" w:firstRow="1" w:lastRow="0" w:firstColumn="1" w:lastColumn="0" w:noHBand="0" w:noVBand="1"/>
      </w:tblPr>
      <w:tblGrid>
        <w:gridCol w:w="720"/>
        <w:gridCol w:w="4960"/>
        <w:gridCol w:w="1660"/>
        <w:gridCol w:w="1660"/>
        <w:gridCol w:w="1660"/>
      </w:tblGrid>
      <w:tr w:rsidR="00EB783C" w:rsidRPr="00EB783C" w:rsidTr="00CD7E41">
        <w:trPr>
          <w:trHeight w:val="240"/>
        </w:trPr>
        <w:tc>
          <w:tcPr>
            <w:tcW w:w="720" w:type="dxa"/>
            <w:tcBorders>
              <w:top w:val="nil"/>
              <w:left w:val="nil"/>
              <w:bottom w:val="nil"/>
              <w:right w:val="nil"/>
            </w:tcBorders>
            <w:shd w:val="clear" w:color="auto" w:fill="auto"/>
            <w:noWrap/>
            <w:vAlign w:val="center"/>
            <w:hideMark/>
          </w:tcPr>
          <w:p w:rsidR="00EB783C" w:rsidRPr="00EB783C" w:rsidRDefault="00EB783C" w:rsidP="00EB783C">
            <w:pPr>
              <w:rPr>
                <w:sz w:val="24"/>
                <w:szCs w:val="24"/>
              </w:rPr>
            </w:pPr>
          </w:p>
        </w:tc>
        <w:tc>
          <w:tcPr>
            <w:tcW w:w="4960" w:type="dxa"/>
            <w:tcBorders>
              <w:top w:val="nil"/>
              <w:left w:val="nil"/>
              <w:bottom w:val="nil"/>
              <w:right w:val="nil"/>
            </w:tcBorders>
            <w:shd w:val="clear" w:color="auto" w:fill="auto"/>
            <w:noWrap/>
            <w:vAlign w:val="center"/>
            <w:hideMark/>
          </w:tcPr>
          <w:p w:rsidR="00EB783C" w:rsidRPr="00EB783C" w:rsidRDefault="00EB783C" w:rsidP="00EB783C"/>
        </w:tc>
        <w:tc>
          <w:tcPr>
            <w:tcW w:w="1660" w:type="dxa"/>
            <w:tcBorders>
              <w:top w:val="nil"/>
              <w:left w:val="nil"/>
              <w:bottom w:val="nil"/>
              <w:right w:val="nil"/>
            </w:tcBorders>
            <w:shd w:val="clear" w:color="auto" w:fill="auto"/>
            <w:noWrap/>
            <w:vAlign w:val="center"/>
            <w:hideMark/>
          </w:tcPr>
          <w:p w:rsidR="00EB783C" w:rsidRPr="00EB783C" w:rsidRDefault="00EB783C" w:rsidP="00EB783C"/>
        </w:tc>
        <w:tc>
          <w:tcPr>
            <w:tcW w:w="1660" w:type="dxa"/>
            <w:tcBorders>
              <w:top w:val="nil"/>
              <w:left w:val="nil"/>
              <w:bottom w:val="nil"/>
              <w:right w:val="nil"/>
            </w:tcBorders>
            <w:shd w:val="clear" w:color="auto" w:fill="auto"/>
            <w:noWrap/>
            <w:vAlign w:val="center"/>
            <w:hideMark/>
          </w:tcPr>
          <w:p w:rsidR="00EB783C" w:rsidRPr="00EB783C" w:rsidRDefault="00EB783C" w:rsidP="00EB783C"/>
        </w:tc>
        <w:tc>
          <w:tcPr>
            <w:tcW w:w="1660" w:type="dxa"/>
            <w:tcBorders>
              <w:top w:val="nil"/>
              <w:left w:val="nil"/>
              <w:bottom w:val="nil"/>
              <w:right w:val="nil"/>
            </w:tcBorders>
            <w:shd w:val="clear" w:color="auto" w:fill="auto"/>
            <w:vAlign w:val="center"/>
            <w:hideMark/>
          </w:tcPr>
          <w:p w:rsidR="00EB783C" w:rsidRPr="00EB783C" w:rsidRDefault="00EB783C" w:rsidP="00EB783C"/>
        </w:tc>
      </w:tr>
      <w:tr w:rsidR="00EB783C" w:rsidRPr="00EB783C" w:rsidTr="00CD7E41">
        <w:trPr>
          <w:trHeight w:val="240"/>
        </w:trPr>
        <w:tc>
          <w:tcPr>
            <w:tcW w:w="720" w:type="dxa"/>
            <w:tcBorders>
              <w:top w:val="nil"/>
              <w:left w:val="nil"/>
              <w:bottom w:val="nil"/>
              <w:right w:val="nil"/>
            </w:tcBorders>
            <w:shd w:val="clear" w:color="auto" w:fill="auto"/>
            <w:noWrap/>
            <w:vAlign w:val="center"/>
            <w:hideMark/>
          </w:tcPr>
          <w:p w:rsidR="00EB783C" w:rsidRPr="00EB783C" w:rsidRDefault="00EB783C" w:rsidP="00EB783C"/>
        </w:tc>
        <w:tc>
          <w:tcPr>
            <w:tcW w:w="4960" w:type="dxa"/>
            <w:vMerge w:val="restart"/>
            <w:tcBorders>
              <w:top w:val="nil"/>
              <w:left w:val="nil"/>
              <w:bottom w:val="nil"/>
              <w:right w:val="nil"/>
            </w:tcBorders>
            <w:shd w:val="clear" w:color="auto" w:fill="auto"/>
            <w:noWrap/>
            <w:hideMark/>
          </w:tcPr>
          <w:p w:rsidR="00EB783C" w:rsidRPr="00EB783C" w:rsidRDefault="00EB783C" w:rsidP="00EB783C">
            <w:pPr>
              <w:rPr>
                <w:rFonts w:ascii="Arial" w:hAnsi="Arial" w:cs="Arial"/>
                <w:b/>
                <w:bCs/>
                <w:color w:val="00B0F0"/>
                <w:sz w:val="24"/>
                <w:szCs w:val="24"/>
              </w:rPr>
            </w:pPr>
            <w:r w:rsidRPr="00EB783C">
              <w:rPr>
                <w:rFonts w:ascii="Arial" w:hAnsi="Arial" w:cs="Arial"/>
                <w:b/>
                <w:bCs/>
                <w:color w:val="00B0F0"/>
                <w:sz w:val="24"/>
                <w:szCs w:val="24"/>
              </w:rPr>
              <w:t xml:space="preserve">Analysis of Barclays UK </w:t>
            </w:r>
          </w:p>
        </w:tc>
        <w:tc>
          <w:tcPr>
            <w:tcW w:w="1660" w:type="dxa"/>
            <w:tcBorders>
              <w:top w:val="nil"/>
              <w:left w:val="nil"/>
              <w:bottom w:val="nil"/>
              <w:right w:val="nil"/>
            </w:tcBorders>
            <w:shd w:val="clear" w:color="000000" w:fill="FFFFFF"/>
            <w:vAlign w:val="bottom"/>
            <w:hideMark/>
          </w:tcPr>
          <w:p w:rsidR="00EB783C" w:rsidRPr="00EB783C" w:rsidRDefault="00EB783C" w:rsidP="00EB783C">
            <w:pPr>
              <w:jc w:val="right"/>
              <w:rPr>
                <w:rFonts w:ascii="Arial" w:hAnsi="Arial" w:cs="Arial"/>
                <w:b/>
                <w:bCs/>
                <w:color w:val="00B0F0"/>
                <w:sz w:val="16"/>
                <w:szCs w:val="16"/>
              </w:rPr>
            </w:pPr>
            <w:r w:rsidRPr="00EB783C">
              <w:rPr>
                <w:rFonts w:ascii="Arial" w:hAnsi="Arial" w:cs="Arial"/>
                <w:b/>
                <w:bCs/>
                <w:color w:val="00B0F0"/>
                <w:sz w:val="16"/>
                <w:szCs w:val="16"/>
              </w:rPr>
              <w:t>Year ended</w:t>
            </w:r>
          </w:p>
        </w:tc>
        <w:tc>
          <w:tcPr>
            <w:tcW w:w="1660" w:type="dxa"/>
            <w:tcBorders>
              <w:top w:val="nil"/>
              <w:left w:val="nil"/>
              <w:bottom w:val="nil"/>
              <w:right w:val="nil"/>
            </w:tcBorders>
            <w:shd w:val="clear" w:color="000000" w:fill="FFFFFF"/>
            <w:vAlign w:val="bottom"/>
            <w:hideMark/>
          </w:tcPr>
          <w:p w:rsidR="00EB783C" w:rsidRPr="00EB783C" w:rsidRDefault="00EB783C" w:rsidP="00EB783C">
            <w:pPr>
              <w:jc w:val="right"/>
              <w:rPr>
                <w:rFonts w:ascii="Arial" w:hAnsi="Arial" w:cs="Arial"/>
                <w:b/>
                <w:bCs/>
                <w:color w:val="00B0F0"/>
                <w:sz w:val="16"/>
                <w:szCs w:val="16"/>
              </w:rPr>
            </w:pPr>
            <w:r w:rsidRPr="00EB783C">
              <w:rPr>
                <w:rFonts w:ascii="Arial" w:hAnsi="Arial" w:cs="Arial"/>
                <w:b/>
                <w:bCs/>
                <w:color w:val="00B0F0"/>
                <w:sz w:val="16"/>
                <w:szCs w:val="16"/>
              </w:rPr>
              <w:t>Year ended</w:t>
            </w:r>
          </w:p>
        </w:tc>
        <w:tc>
          <w:tcPr>
            <w:tcW w:w="1660" w:type="dxa"/>
            <w:tcBorders>
              <w:top w:val="nil"/>
              <w:left w:val="nil"/>
              <w:bottom w:val="nil"/>
              <w:right w:val="nil"/>
            </w:tcBorders>
            <w:shd w:val="clear" w:color="auto" w:fill="auto"/>
            <w:vAlign w:val="bottom"/>
            <w:hideMark/>
          </w:tcPr>
          <w:p w:rsidR="00EB783C" w:rsidRPr="00EB783C" w:rsidRDefault="00EB783C" w:rsidP="00EB783C">
            <w:pPr>
              <w:jc w:val="right"/>
              <w:rPr>
                <w:rFonts w:ascii="Arial" w:hAnsi="Arial" w:cs="Arial"/>
                <w:b/>
                <w:bCs/>
                <w:color w:val="00B0F0"/>
                <w:sz w:val="16"/>
                <w:szCs w:val="16"/>
              </w:rPr>
            </w:pPr>
          </w:p>
        </w:tc>
      </w:tr>
      <w:tr w:rsidR="00EB783C" w:rsidRPr="00EB783C" w:rsidTr="00CD7E41">
        <w:trPr>
          <w:trHeight w:val="240"/>
        </w:trPr>
        <w:tc>
          <w:tcPr>
            <w:tcW w:w="720" w:type="dxa"/>
            <w:tcBorders>
              <w:top w:val="nil"/>
              <w:left w:val="nil"/>
              <w:bottom w:val="nil"/>
              <w:right w:val="nil"/>
            </w:tcBorders>
            <w:shd w:val="clear" w:color="auto" w:fill="auto"/>
            <w:noWrap/>
            <w:vAlign w:val="center"/>
            <w:hideMark/>
          </w:tcPr>
          <w:p w:rsidR="00EB783C" w:rsidRPr="00EB783C" w:rsidRDefault="00EB783C" w:rsidP="00EB783C"/>
        </w:tc>
        <w:tc>
          <w:tcPr>
            <w:tcW w:w="4960" w:type="dxa"/>
            <w:vMerge/>
            <w:tcBorders>
              <w:top w:val="nil"/>
              <w:left w:val="nil"/>
              <w:bottom w:val="nil"/>
              <w:right w:val="nil"/>
            </w:tcBorders>
            <w:vAlign w:val="center"/>
            <w:hideMark/>
          </w:tcPr>
          <w:p w:rsidR="00EB783C" w:rsidRPr="00EB783C" w:rsidRDefault="00EB783C" w:rsidP="00EB783C">
            <w:pPr>
              <w:rPr>
                <w:rFonts w:ascii="Arial" w:hAnsi="Arial" w:cs="Arial"/>
                <w:b/>
                <w:bCs/>
                <w:color w:val="00B0F0"/>
                <w:sz w:val="24"/>
                <w:szCs w:val="24"/>
              </w:rPr>
            </w:pPr>
          </w:p>
        </w:tc>
        <w:tc>
          <w:tcPr>
            <w:tcW w:w="1660" w:type="dxa"/>
            <w:tcBorders>
              <w:top w:val="nil"/>
              <w:left w:val="nil"/>
              <w:bottom w:val="nil"/>
              <w:right w:val="nil"/>
            </w:tcBorders>
            <w:shd w:val="clear" w:color="000000" w:fill="FFFFFF"/>
            <w:vAlign w:val="bottom"/>
            <w:hideMark/>
          </w:tcPr>
          <w:p w:rsidR="00EB783C" w:rsidRPr="00EB783C" w:rsidRDefault="00EB783C" w:rsidP="00EB783C">
            <w:pPr>
              <w:jc w:val="right"/>
              <w:rPr>
                <w:rFonts w:ascii="Arial" w:hAnsi="Arial" w:cs="Arial"/>
                <w:b/>
                <w:bCs/>
                <w:color w:val="00B0F0"/>
                <w:sz w:val="16"/>
                <w:szCs w:val="16"/>
              </w:rPr>
            </w:pPr>
            <w:r w:rsidRPr="00EB783C">
              <w:rPr>
                <w:rFonts w:ascii="Arial" w:hAnsi="Arial" w:cs="Arial"/>
                <w:b/>
                <w:bCs/>
                <w:color w:val="00B0F0"/>
                <w:sz w:val="16"/>
                <w:szCs w:val="16"/>
              </w:rPr>
              <w:t>31.12.19</w:t>
            </w:r>
          </w:p>
        </w:tc>
        <w:tc>
          <w:tcPr>
            <w:tcW w:w="1660" w:type="dxa"/>
            <w:tcBorders>
              <w:top w:val="nil"/>
              <w:left w:val="nil"/>
              <w:bottom w:val="nil"/>
              <w:right w:val="nil"/>
            </w:tcBorders>
            <w:shd w:val="clear" w:color="000000" w:fill="FFFFFF"/>
            <w:vAlign w:val="bottom"/>
            <w:hideMark/>
          </w:tcPr>
          <w:p w:rsidR="00EB783C" w:rsidRPr="00EB783C" w:rsidRDefault="00EB783C" w:rsidP="00EB783C">
            <w:pPr>
              <w:jc w:val="right"/>
              <w:rPr>
                <w:rFonts w:ascii="Arial" w:hAnsi="Arial" w:cs="Arial"/>
                <w:b/>
                <w:bCs/>
                <w:color w:val="00B0F0"/>
                <w:sz w:val="16"/>
                <w:szCs w:val="16"/>
              </w:rPr>
            </w:pPr>
            <w:r w:rsidRPr="00EB783C">
              <w:rPr>
                <w:rFonts w:ascii="Arial" w:hAnsi="Arial" w:cs="Arial"/>
                <w:b/>
                <w:bCs/>
                <w:color w:val="00B0F0"/>
                <w:sz w:val="16"/>
                <w:szCs w:val="16"/>
              </w:rPr>
              <w:t>31.12.18</w:t>
            </w:r>
          </w:p>
        </w:tc>
        <w:tc>
          <w:tcPr>
            <w:tcW w:w="1660" w:type="dxa"/>
            <w:tcBorders>
              <w:top w:val="nil"/>
              <w:left w:val="nil"/>
              <w:bottom w:val="nil"/>
              <w:right w:val="nil"/>
            </w:tcBorders>
            <w:shd w:val="clear" w:color="000000" w:fill="FFFFFF"/>
            <w:vAlign w:val="bottom"/>
            <w:hideMark/>
          </w:tcPr>
          <w:p w:rsidR="00EB783C" w:rsidRPr="00EB783C" w:rsidRDefault="00EB783C" w:rsidP="00EB783C">
            <w:pPr>
              <w:jc w:val="right"/>
              <w:rPr>
                <w:rFonts w:ascii="Arial" w:hAnsi="Arial" w:cs="Arial"/>
                <w:b/>
                <w:bCs/>
                <w:color w:val="00B0F0"/>
                <w:sz w:val="16"/>
                <w:szCs w:val="16"/>
              </w:rPr>
            </w:pPr>
            <w:r w:rsidRPr="00EB783C">
              <w:rPr>
                <w:rFonts w:ascii="Arial" w:hAnsi="Arial" w:cs="Arial"/>
                <w:b/>
                <w:bCs/>
                <w:color w:val="00B0F0"/>
                <w:sz w:val="16"/>
                <w:szCs w:val="16"/>
              </w:rPr>
              <w:t> </w:t>
            </w:r>
          </w:p>
        </w:tc>
      </w:tr>
      <w:tr w:rsidR="00EB783C" w:rsidRPr="00EB783C" w:rsidTr="00CD7E41">
        <w:trPr>
          <w:trHeight w:val="240"/>
        </w:trPr>
        <w:tc>
          <w:tcPr>
            <w:tcW w:w="720" w:type="dxa"/>
            <w:tcBorders>
              <w:top w:val="nil"/>
              <w:left w:val="nil"/>
              <w:bottom w:val="nil"/>
              <w:right w:val="nil"/>
            </w:tcBorders>
            <w:shd w:val="clear" w:color="auto" w:fill="auto"/>
            <w:noWrap/>
            <w:vAlign w:val="center"/>
            <w:hideMark/>
          </w:tcPr>
          <w:p w:rsidR="00EB783C" w:rsidRPr="00EB783C" w:rsidRDefault="00EB783C" w:rsidP="00EB783C">
            <w:pPr>
              <w:jc w:val="right"/>
              <w:rPr>
                <w:rFonts w:ascii="Arial" w:hAnsi="Arial" w:cs="Arial"/>
                <w:b/>
                <w:bCs/>
                <w:color w:val="00B0F0"/>
                <w:sz w:val="16"/>
                <w:szCs w:val="16"/>
              </w:rPr>
            </w:pPr>
          </w:p>
        </w:tc>
        <w:tc>
          <w:tcPr>
            <w:tcW w:w="4960" w:type="dxa"/>
            <w:tcBorders>
              <w:top w:val="nil"/>
              <w:left w:val="nil"/>
              <w:bottom w:val="single" w:sz="4" w:space="0" w:color="969696"/>
              <w:right w:val="nil"/>
            </w:tcBorders>
            <w:shd w:val="clear" w:color="auto" w:fill="auto"/>
            <w:noWrap/>
            <w:vAlign w:val="center"/>
            <w:hideMark/>
          </w:tcPr>
          <w:p w:rsidR="00EB783C" w:rsidRPr="00EB783C" w:rsidRDefault="00EB783C" w:rsidP="00EB783C">
            <w:pPr>
              <w:rPr>
                <w:rFonts w:ascii="Arial" w:hAnsi="Arial" w:cs="Arial"/>
                <w:b/>
                <w:bCs/>
                <w:sz w:val="16"/>
                <w:szCs w:val="16"/>
              </w:rPr>
            </w:pPr>
            <w:r w:rsidRPr="00EB783C">
              <w:rPr>
                <w:rFonts w:ascii="Arial" w:hAnsi="Arial" w:cs="Arial"/>
                <w:b/>
                <w:bCs/>
                <w:sz w:val="16"/>
                <w:szCs w:val="16"/>
              </w:rPr>
              <w:t xml:space="preserve">Analysis of total income </w:t>
            </w:r>
          </w:p>
        </w:tc>
        <w:tc>
          <w:tcPr>
            <w:tcW w:w="1660" w:type="dxa"/>
            <w:tcBorders>
              <w:top w:val="nil"/>
              <w:left w:val="nil"/>
              <w:bottom w:val="single" w:sz="4" w:space="0" w:color="969696"/>
              <w:right w:val="nil"/>
            </w:tcBorders>
            <w:shd w:val="clear" w:color="auto" w:fill="auto"/>
            <w:noWrap/>
            <w:vAlign w:val="bottom"/>
            <w:hideMark/>
          </w:tcPr>
          <w:p w:rsidR="00EB783C" w:rsidRPr="00EB783C" w:rsidRDefault="00EB783C" w:rsidP="00EB783C">
            <w:pPr>
              <w:jc w:val="right"/>
              <w:rPr>
                <w:rFonts w:ascii="Arial" w:hAnsi="Arial" w:cs="Arial"/>
                <w:color w:val="00B0F0"/>
                <w:sz w:val="16"/>
                <w:szCs w:val="16"/>
              </w:rPr>
            </w:pPr>
            <w:r w:rsidRPr="00EB783C">
              <w:rPr>
                <w:rFonts w:ascii="Arial" w:hAnsi="Arial" w:cs="Arial"/>
                <w:color w:val="00B0F0"/>
                <w:sz w:val="16"/>
                <w:szCs w:val="16"/>
              </w:rPr>
              <w:t>£m</w:t>
            </w:r>
          </w:p>
        </w:tc>
        <w:tc>
          <w:tcPr>
            <w:tcW w:w="1660" w:type="dxa"/>
            <w:tcBorders>
              <w:top w:val="nil"/>
              <w:left w:val="nil"/>
              <w:bottom w:val="single" w:sz="4" w:space="0" w:color="969696"/>
              <w:right w:val="nil"/>
            </w:tcBorders>
            <w:shd w:val="clear" w:color="auto" w:fill="auto"/>
            <w:noWrap/>
            <w:vAlign w:val="bottom"/>
            <w:hideMark/>
          </w:tcPr>
          <w:p w:rsidR="00EB783C" w:rsidRPr="00EB783C" w:rsidRDefault="00EB783C" w:rsidP="00EB783C">
            <w:pPr>
              <w:jc w:val="right"/>
              <w:rPr>
                <w:rFonts w:ascii="Arial" w:hAnsi="Arial" w:cs="Arial"/>
                <w:color w:val="00B0F0"/>
                <w:sz w:val="16"/>
                <w:szCs w:val="16"/>
              </w:rPr>
            </w:pPr>
            <w:r w:rsidRPr="00EB783C">
              <w:rPr>
                <w:rFonts w:ascii="Arial" w:hAnsi="Arial" w:cs="Arial"/>
                <w:color w:val="00B0F0"/>
                <w:sz w:val="16"/>
                <w:szCs w:val="16"/>
              </w:rPr>
              <w:t>£m</w:t>
            </w:r>
          </w:p>
        </w:tc>
        <w:tc>
          <w:tcPr>
            <w:tcW w:w="1660" w:type="dxa"/>
            <w:tcBorders>
              <w:top w:val="nil"/>
              <w:left w:val="nil"/>
              <w:bottom w:val="single" w:sz="4" w:space="0" w:color="969696"/>
              <w:right w:val="nil"/>
            </w:tcBorders>
            <w:shd w:val="clear" w:color="000000" w:fill="FFFFFF"/>
            <w:vAlign w:val="bottom"/>
            <w:hideMark/>
          </w:tcPr>
          <w:p w:rsidR="00EB783C" w:rsidRPr="00EB783C" w:rsidRDefault="00EB783C" w:rsidP="00EB783C">
            <w:pPr>
              <w:jc w:val="right"/>
              <w:rPr>
                <w:rFonts w:ascii="Arial" w:hAnsi="Arial" w:cs="Arial"/>
                <w:color w:val="00B0F0"/>
                <w:sz w:val="16"/>
                <w:szCs w:val="16"/>
              </w:rPr>
            </w:pPr>
            <w:r w:rsidRPr="00EB783C">
              <w:rPr>
                <w:rFonts w:ascii="Arial" w:hAnsi="Arial" w:cs="Arial"/>
                <w:color w:val="00B0F0"/>
                <w:sz w:val="16"/>
                <w:szCs w:val="16"/>
              </w:rPr>
              <w:t>% Change</w:t>
            </w:r>
          </w:p>
        </w:tc>
      </w:tr>
      <w:tr w:rsidR="00EB783C" w:rsidRPr="00EB783C" w:rsidTr="00CD7E41">
        <w:trPr>
          <w:trHeight w:val="240"/>
        </w:trPr>
        <w:tc>
          <w:tcPr>
            <w:tcW w:w="720" w:type="dxa"/>
            <w:tcBorders>
              <w:top w:val="nil"/>
              <w:left w:val="nil"/>
              <w:bottom w:val="nil"/>
              <w:right w:val="nil"/>
            </w:tcBorders>
            <w:shd w:val="clear" w:color="auto" w:fill="auto"/>
            <w:noWrap/>
            <w:vAlign w:val="center"/>
            <w:hideMark/>
          </w:tcPr>
          <w:p w:rsidR="00EB783C" w:rsidRPr="00EB783C" w:rsidRDefault="00EB783C" w:rsidP="00EB783C">
            <w:pPr>
              <w:jc w:val="right"/>
              <w:rPr>
                <w:rFonts w:ascii="Arial" w:hAnsi="Arial" w:cs="Arial"/>
                <w:color w:val="00B0F0"/>
                <w:sz w:val="16"/>
                <w:szCs w:val="16"/>
              </w:rPr>
            </w:pPr>
          </w:p>
        </w:tc>
        <w:tc>
          <w:tcPr>
            <w:tcW w:w="4960" w:type="dxa"/>
            <w:tcBorders>
              <w:top w:val="nil"/>
              <w:left w:val="nil"/>
              <w:bottom w:val="nil"/>
              <w:right w:val="nil"/>
            </w:tcBorders>
            <w:shd w:val="clear" w:color="000000" w:fill="FFFFFF"/>
            <w:noWrap/>
            <w:vAlign w:val="center"/>
            <w:hideMark/>
          </w:tcPr>
          <w:p w:rsidR="00EB783C" w:rsidRPr="00EB783C" w:rsidRDefault="00EB783C" w:rsidP="00EB783C">
            <w:pPr>
              <w:rPr>
                <w:rFonts w:ascii="Arial" w:hAnsi="Arial" w:cs="Arial"/>
                <w:sz w:val="16"/>
                <w:szCs w:val="16"/>
              </w:rPr>
            </w:pPr>
            <w:r w:rsidRPr="00EB783C">
              <w:rPr>
                <w:rFonts w:ascii="Arial" w:hAnsi="Arial" w:cs="Arial"/>
                <w:sz w:val="16"/>
                <w:szCs w:val="16"/>
              </w:rPr>
              <w:t>Personal Banking</w:t>
            </w:r>
          </w:p>
        </w:tc>
        <w:tc>
          <w:tcPr>
            <w:tcW w:w="1660" w:type="dxa"/>
            <w:tcBorders>
              <w:top w:val="nil"/>
              <w:left w:val="nil"/>
              <w:bottom w:val="nil"/>
              <w:right w:val="nil"/>
            </w:tcBorders>
            <w:shd w:val="clear" w:color="000000" w:fill="EAEAEA"/>
            <w:noWrap/>
            <w:vAlign w:val="center"/>
            <w:hideMark/>
          </w:tcPr>
          <w:p w:rsidR="00EB783C" w:rsidRPr="00EB783C" w:rsidRDefault="00EB783C" w:rsidP="00EB783C">
            <w:pPr>
              <w:jc w:val="right"/>
              <w:rPr>
                <w:rFonts w:ascii="Arial" w:hAnsi="Arial" w:cs="Arial"/>
                <w:sz w:val="16"/>
                <w:szCs w:val="16"/>
              </w:rPr>
            </w:pPr>
            <w:r w:rsidRPr="00EB783C">
              <w:rPr>
                <w:rFonts w:ascii="Arial" w:hAnsi="Arial" w:cs="Arial"/>
                <w:sz w:val="16"/>
                <w:szCs w:val="16"/>
              </w:rPr>
              <w:t>4,009</w:t>
            </w:r>
          </w:p>
        </w:tc>
        <w:tc>
          <w:tcPr>
            <w:tcW w:w="1660" w:type="dxa"/>
            <w:tcBorders>
              <w:top w:val="nil"/>
              <w:left w:val="nil"/>
              <w:bottom w:val="nil"/>
              <w:right w:val="nil"/>
            </w:tcBorders>
            <w:shd w:val="clear" w:color="auto" w:fill="auto"/>
            <w:noWrap/>
            <w:vAlign w:val="center"/>
            <w:hideMark/>
          </w:tcPr>
          <w:p w:rsidR="00EB783C" w:rsidRPr="00EB783C" w:rsidRDefault="00EB783C" w:rsidP="00EB783C">
            <w:pPr>
              <w:jc w:val="right"/>
              <w:rPr>
                <w:rFonts w:ascii="Arial" w:hAnsi="Arial" w:cs="Arial"/>
                <w:sz w:val="16"/>
                <w:szCs w:val="16"/>
              </w:rPr>
            </w:pPr>
            <w:r w:rsidRPr="00EB783C">
              <w:rPr>
                <w:rFonts w:ascii="Arial" w:hAnsi="Arial" w:cs="Arial"/>
                <w:sz w:val="16"/>
                <w:szCs w:val="16"/>
              </w:rPr>
              <w:t>4,006</w:t>
            </w:r>
          </w:p>
        </w:tc>
        <w:tc>
          <w:tcPr>
            <w:tcW w:w="1660" w:type="dxa"/>
            <w:tcBorders>
              <w:top w:val="nil"/>
              <w:left w:val="nil"/>
              <w:bottom w:val="nil"/>
              <w:right w:val="nil"/>
            </w:tcBorders>
            <w:shd w:val="clear" w:color="auto" w:fill="auto"/>
            <w:vAlign w:val="center"/>
            <w:hideMark/>
          </w:tcPr>
          <w:p w:rsidR="00EB783C" w:rsidRPr="00EB783C" w:rsidRDefault="00EB783C" w:rsidP="00EB783C">
            <w:pPr>
              <w:jc w:val="right"/>
              <w:rPr>
                <w:rFonts w:ascii="Arial" w:hAnsi="Arial" w:cs="Arial"/>
                <w:sz w:val="16"/>
                <w:szCs w:val="16"/>
              </w:rPr>
            </w:pPr>
            <w:r w:rsidRPr="00EB783C">
              <w:rPr>
                <w:rFonts w:ascii="Arial" w:hAnsi="Arial" w:cs="Arial"/>
                <w:sz w:val="16"/>
                <w:szCs w:val="16"/>
              </w:rPr>
              <w:t>-</w:t>
            </w:r>
          </w:p>
        </w:tc>
      </w:tr>
      <w:tr w:rsidR="00EB783C" w:rsidRPr="00EB783C" w:rsidTr="00CD7E41">
        <w:trPr>
          <w:trHeight w:val="240"/>
        </w:trPr>
        <w:tc>
          <w:tcPr>
            <w:tcW w:w="720" w:type="dxa"/>
            <w:tcBorders>
              <w:top w:val="nil"/>
              <w:left w:val="nil"/>
              <w:bottom w:val="nil"/>
              <w:right w:val="nil"/>
            </w:tcBorders>
            <w:shd w:val="clear" w:color="auto" w:fill="auto"/>
            <w:noWrap/>
            <w:vAlign w:val="center"/>
            <w:hideMark/>
          </w:tcPr>
          <w:p w:rsidR="00EB783C" w:rsidRPr="00EB783C" w:rsidRDefault="00EB783C" w:rsidP="00EB783C">
            <w:pPr>
              <w:jc w:val="right"/>
              <w:rPr>
                <w:rFonts w:ascii="Arial" w:hAnsi="Arial" w:cs="Arial"/>
                <w:sz w:val="16"/>
                <w:szCs w:val="16"/>
              </w:rPr>
            </w:pPr>
          </w:p>
        </w:tc>
        <w:tc>
          <w:tcPr>
            <w:tcW w:w="4960" w:type="dxa"/>
            <w:tcBorders>
              <w:top w:val="nil"/>
              <w:left w:val="nil"/>
              <w:bottom w:val="nil"/>
              <w:right w:val="nil"/>
            </w:tcBorders>
            <w:shd w:val="clear" w:color="000000" w:fill="FFFFFF"/>
            <w:noWrap/>
            <w:vAlign w:val="center"/>
            <w:hideMark/>
          </w:tcPr>
          <w:p w:rsidR="00EB783C" w:rsidRPr="00EB783C" w:rsidRDefault="00EB783C" w:rsidP="00EB783C">
            <w:pPr>
              <w:rPr>
                <w:rFonts w:ascii="Arial" w:hAnsi="Arial" w:cs="Arial"/>
                <w:sz w:val="16"/>
                <w:szCs w:val="16"/>
              </w:rPr>
            </w:pPr>
            <w:r w:rsidRPr="00EB783C">
              <w:rPr>
                <w:rFonts w:ascii="Arial" w:hAnsi="Arial" w:cs="Arial"/>
                <w:sz w:val="16"/>
                <w:szCs w:val="16"/>
              </w:rPr>
              <w:t xml:space="preserve">Barclaycard Consumer UK </w:t>
            </w:r>
          </w:p>
        </w:tc>
        <w:tc>
          <w:tcPr>
            <w:tcW w:w="1660" w:type="dxa"/>
            <w:tcBorders>
              <w:top w:val="nil"/>
              <w:left w:val="nil"/>
              <w:bottom w:val="nil"/>
              <w:right w:val="nil"/>
            </w:tcBorders>
            <w:shd w:val="clear" w:color="000000" w:fill="EAEAEA"/>
            <w:noWrap/>
            <w:vAlign w:val="center"/>
            <w:hideMark/>
          </w:tcPr>
          <w:p w:rsidR="00EB783C" w:rsidRPr="00EB783C" w:rsidRDefault="00EB783C" w:rsidP="00EB783C">
            <w:pPr>
              <w:jc w:val="right"/>
              <w:rPr>
                <w:rFonts w:ascii="Arial" w:hAnsi="Arial" w:cs="Arial"/>
                <w:sz w:val="16"/>
                <w:szCs w:val="16"/>
              </w:rPr>
            </w:pPr>
            <w:r w:rsidRPr="00EB783C">
              <w:rPr>
                <w:rFonts w:ascii="Arial" w:hAnsi="Arial" w:cs="Arial"/>
                <w:sz w:val="16"/>
                <w:szCs w:val="16"/>
              </w:rPr>
              <w:t>1,992</w:t>
            </w:r>
          </w:p>
        </w:tc>
        <w:tc>
          <w:tcPr>
            <w:tcW w:w="1660" w:type="dxa"/>
            <w:tcBorders>
              <w:top w:val="nil"/>
              <w:left w:val="nil"/>
              <w:bottom w:val="nil"/>
              <w:right w:val="nil"/>
            </w:tcBorders>
            <w:shd w:val="clear" w:color="auto" w:fill="auto"/>
            <w:noWrap/>
            <w:vAlign w:val="center"/>
            <w:hideMark/>
          </w:tcPr>
          <w:p w:rsidR="00EB783C" w:rsidRPr="00EB783C" w:rsidRDefault="00EB783C" w:rsidP="00EB783C">
            <w:pPr>
              <w:jc w:val="right"/>
              <w:rPr>
                <w:rFonts w:ascii="Arial" w:hAnsi="Arial" w:cs="Arial"/>
                <w:sz w:val="16"/>
                <w:szCs w:val="16"/>
              </w:rPr>
            </w:pPr>
            <w:r w:rsidRPr="00EB783C">
              <w:rPr>
                <w:rFonts w:ascii="Arial" w:hAnsi="Arial" w:cs="Arial"/>
                <w:sz w:val="16"/>
                <w:szCs w:val="16"/>
              </w:rPr>
              <w:t>2,104</w:t>
            </w:r>
          </w:p>
        </w:tc>
        <w:tc>
          <w:tcPr>
            <w:tcW w:w="1660" w:type="dxa"/>
            <w:tcBorders>
              <w:top w:val="nil"/>
              <w:left w:val="nil"/>
              <w:bottom w:val="nil"/>
              <w:right w:val="nil"/>
            </w:tcBorders>
            <w:shd w:val="clear" w:color="auto" w:fill="auto"/>
            <w:vAlign w:val="center"/>
            <w:hideMark/>
          </w:tcPr>
          <w:p w:rsidR="00EB783C" w:rsidRPr="00EB783C" w:rsidRDefault="00EB783C" w:rsidP="00EB783C">
            <w:pPr>
              <w:jc w:val="right"/>
              <w:rPr>
                <w:rFonts w:ascii="Arial" w:hAnsi="Arial" w:cs="Arial"/>
                <w:sz w:val="16"/>
                <w:szCs w:val="16"/>
              </w:rPr>
            </w:pPr>
            <w:r w:rsidRPr="00EB783C">
              <w:rPr>
                <w:rFonts w:ascii="Arial" w:hAnsi="Arial" w:cs="Arial"/>
                <w:sz w:val="16"/>
                <w:szCs w:val="16"/>
              </w:rPr>
              <w:t>(5)</w:t>
            </w:r>
          </w:p>
        </w:tc>
      </w:tr>
      <w:tr w:rsidR="00EB783C" w:rsidRPr="00EB783C" w:rsidTr="00CD7E41">
        <w:trPr>
          <w:trHeight w:val="240"/>
        </w:trPr>
        <w:tc>
          <w:tcPr>
            <w:tcW w:w="720" w:type="dxa"/>
            <w:tcBorders>
              <w:top w:val="nil"/>
              <w:left w:val="nil"/>
              <w:bottom w:val="nil"/>
              <w:right w:val="nil"/>
            </w:tcBorders>
            <w:shd w:val="clear" w:color="auto" w:fill="auto"/>
            <w:noWrap/>
            <w:vAlign w:val="center"/>
            <w:hideMark/>
          </w:tcPr>
          <w:p w:rsidR="00EB783C" w:rsidRPr="00EB783C" w:rsidRDefault="00EB783C" w:rsidP="00EB783C">
            <w:pPr>
              <w:jc w:val="right"/>
              <w:rPr>
                <w:rFonts w:ascii="Arial" w:hAnsi="Arial" w:cs="Arial"/>
                <w:sz w:val="16"/>
                <w:szCs w:val="16"/>
              </w:rPr>
            </w:pPr>
          </w:p>
        </w:tc>
        <w:tc>
          <w:tcPr>
            <w:tcW w:w="4960" w:type="dxa"/>
            <w:tcBorders>
              <w:top w:val="nil"/>
              <w:left w:val="nil"/>
              <w:bottom w:val="single" w:sz="4" w:space="0" w:color="969696"/>
              <w:right w:val="nil"/>
            </w:tcBorders>
            <w:shd w:val="clear" w:color="000000" w:fill="FFFFFF"/>
            <w:vAlign w:val="center"/>
            <w:hideMark/>
          </w:tcPr>
          <w:p w:rsidR="00EB783C" w:rsidRPr="00EB783C" w:rsidRDefault="00EB783C" w:rsidP="00EB783C">
            <w:pPr>
              <w:rPr>
                <w:rFonts w:ascii="Arial" w:hAnsi="Arial" w:cs="Arial"/>
                <w:sz w:val="16"/>
                <w:szCs w:val="16"/>
              </w:rPr>
            </w:pPr>
            <w:r w:rsidRPr="00EB783C">
              <w:rPr>
                <w:rFonts w:ascii="Arial" w:hAnsi="Arial" w:cs="Arial"/>
                <w:sz w:val="16"/>
                <w:szCs w:val="16"/>
              </w:rPr>
              <w:t>Business Banking</w:t>
            </w:r>
          </w:p>
        </w:tc>
        <w:tc>
          <w:tcPr>
            <w:tcW w:w="1660" w:type="dxa"/>
            <w:tcBorders>
              <w:top w:val="nil"/>
              <w:left w:val="nil"/>
              <w:bottom w:val="single" w:sz="4" w:space="0" w:color="969696"/>
              <w:right w:val="nil"/>
            </w:tcBorders>
            <w:shd w:val="clear" w:color="000000" w:fill="EAEAEA"/>
            <w:noWrap/>
            <w:vAlign w:val="center"/>
            <w:hideMark/>
          </w:tcPr>
          <w:p w:rsidR="00EB783C" w:rsidRPr="00EB783C" w:rsidRDefault="00EB783C" w:rsidP="00EB783C">
            <w:pPr>
              <w:jc w:val="right"/>
              <w:rPr>
                <w:rFonts w:ascii="Arial" w:hAnsi="Arial" w:cs="Arial"/>
                <w:sz w:val="16"/>
                <w:szCs w:val="16"/>
              </w:rPr>
            </w:pPr>
            <w:r w:rsidRPr="00EB783C">
              <w:rPr>
                <w:rFonts w:ascii="Arial" w:hAnsi="Arial" w:cs="Arial"/>
                <w:sz w:val="16"/>
                <w:szCs w:val="16"/>
              </w:rPr>
              <w:t>1,352</w:t>
            </w:r>
          </w:p>
        </w:tc>
        <w:tc>
          <w:tcPr>
            <w:tcW w:w="1660" w:type="dxa"/>
            <w:tcBorders>
              <w:top w:val="nil"/>
              <w:left w:val="nil"/>
              <w:bottom w:val="single" w:sz="4" w:space="0" w:color="969696"/>
              <w:right w:val="nil"/>
            </w:tcBorders>
            <w:shd w:val="clear" w:color="auto" w:fill="auto"/>
            <w:noWrap/>
            <w:vAlign w:val="center"/>
            <w:hideMark/>
          </w:tcPr>
          <w:p w:rsidR="00EB783C" w:rsidRPr="00EB783C" w:rsidRDefault="00EB783C" w:rsidP="00EB783C">
            <w:pPr>
              <w:jc w:val="right"/>
              <w:rPr>
                <w:rFonts w:ascii="Arial" w:hAnsi="Arial" w:cs="Arial"/>
                <w:sz w:val="16"/>
                <w:szCs w:val="16"/>
              </w:rPr>
            </w:pPr>
            <w:r w:rsidRPr="00EB783C">
              <w:rPr>
                <w:rFonts w:ascii="Arial" w:hAnsi="Arial" w:cs="Arial"/>
                <w:sz w:val="16"/>
                <w:szCs w:val="16"/>
              </w:rPr>
              <w:t>1,273</w:t>
            </w:r>
          </w:p>
        </w:tc>
        <w:tc>
          <w:tcPr>
            <w:tcW w:w="1660" w:type="dxa"/>
            <w:tcBorders>
              <w:top w:val="nil"/>
              <w:left w:val="nil"/>
              <w:bottom w:val="single" w:sz="4" w:space="0" w:color="969696"/>
              <w:right w:val="nil"/>
            </w:tcBorders>
            <w:shd w:val="clear" w:color="auto" w:fill="auto"/>
            <w:vAlign w:val="center"/>
            <w:hideMark/>
          </w:tcPr>
          <w:p w:rsidR="00EB783C" w:rsidRPr="00EB783C" w:rsidRDefault="00EB783C" w:rsidP="00EB783C">
            <w:pPr>
              <w:jc w:val="right"/>
              <w:rPr>
                <w:rFonts w:ascii="Arial" w:hAnsi="Arial" w:cs="Arial"/>
                <w:sz w:val="16"/>
                <w:szCs w:val="16"/>
              </w:rPr>
            </w:pPr>
            <w:r w:rsidRPr="00EB783C">
              <w:rPr>
                <w:rFonts w:ascii="Arial" w:hAnsi="Arial" w:cs="Arial"/>
                <w:sz w:val="16"/>
                <w:szCs w:val="16"/>
              </w:rPr>
              <w:t xml:space="preserve">6 </w:t>
            </w:r>
          </w:p>
        </w:tc>
      </w:tr>
      <w:tr w:rsidR="00EB783C" w:rsidRPr="00EB783C" w:rsidTr="00CD7E41">
        <w:trPr>
          <w:trHeight w:val="240"/>
        </w:trPr>
        <w:tc>
          <w:tcPr>
            <w:tcW w:w="720" w:type="dxa"/>
            <w:tcBorders>
              <w:top w:val="nil"/>
              <w:left w:val="nil"/>
              <w:bottom w:val="nil"/>
              <w:right w:val="nil"/>
            </w:tcBorders>
            <w:shd w:val="clear" w:color="auto" w:fill="auto"/>
            <w:noWrap/>
            <w:vAlign w:val="center"/>
            <w:hideMark/>
          </w:tcPr>
          <w:p w:rsidR="00EB783C" w:rsidRPr="00EB783C" w:rsidRDefault="00EB783C" w:rsidP="00EB783C">
            <w:pPr>
              <w:jc w:val="right"/>
              <w:rPr>
                <w:rFonts w:ascii="Arial" w:hAnsi="Arial" w:cs="Arial"/>
                <w:sz w:val="16"/>
                <w:szCs w:val="16"/>
              </w:rPr>
            </w:pPr>
          </w:p>
        </w:tc>
        <w:tc>
          <w:tcPr>
            <w:tcW w:w="4960" w:type="dxa"/>
            <w:tcBorders>
              <w:top w:val="nil"/>
              <w:left w:val="nil"/>
              <w:bottom w:val="nil"/>
              <w:right w:val="nil"/>
            </w:tcBorders>
            <w:shd w:val="clear" w:color="000000" w:fill="FFFFFF"/>
            <w:noWrap/>
            <w:vAlign w:val="center"/>
            <w:hideMark/>
          </w:tcPr>
          <w:p w:rsidR="00EB783C" w:rsidRPr="00EB783C" w:rsidRDefault="00EB783C" w:rsidP="00EB783C">
            <w:pPr>
              <w:rPr>
                <w:rFonts w:ascii="Arial" w:hAnsi="Arial" w:cs="Arial"/>
                <w:b/>
                <w:bCs/>
                <w:sz w:val="16"/>
                <w:szCs w:val="16"/>
              </w:rPr>
            </w:pPr>
            <w:r w:rsidRPr="00EB783C">
              <w:rPr>
                <w:rFonts w:ascii="Arial" w:hAnsi="Arial" w:cs="Arial"/>
                <w:b/>
                <w:bCs/>
                <w:sz w:val="16"/>
                <w:szCs w:val="16"/>
              </w:rPr>
              <w:t>Total income</w:t>
            </w:r>
          </w:p>
        </w:tc>
        <w:tc>
          <w:tcPr>
            <w:tcW w:w="1660" w:type="dxa"/>
            <w:tcBorders>
              <w:top w:val="nil"/>
              <w:left w:val="nil"/>
              <w:bottom w:val="nil"/>
              <w:right w:val="nil"/>
            </w:tcBorders>
            <w:shd w:val="clear" w:color="000000" w:fill="EAEAEA"/>
            <w:noWrap/>
            <w:vAlign w:val="center"/>
            <w:hideMark/>
          </w:tcPr>
          <w:p w:rsidR="00EB783C" w:rsidRPr="00EB783C" w:rsidRDefault="00EB783C" w:rsidP="00EB783C">
            <w:pPr>
              <w:jc w:val="right"/>
              <w:rPr>
                <w:rFonts w:ascii="Arial" w:hAnsi="Arial" w:cs="Arial"/>
                <w:b/>
                <w:bCs/>
                <w:sz w:val="16"/>
                <w:szCs w:val="16"/>
              </w:rPr>
            </w:pPr>
            <w:r w:rsidRPr="00EB783C">
              <w:rPr>
                <w:rFonts w:ascii="Arial" w:hAnsi="Arial" w:cs="Arial"/>
                <w:b/>
                <w:bCs/>
                <w:sz w:val="16"/>
                <w:szCs w:val="16"/>
              </w:rPr>
              <w:t>7,353</w:t>
            </w:r>
          </w:p>
        </w:tc>
        <w:tc>
          <w:tcPr>
            <w:tcW w:w="1660" w:type="dxa"/>
            <w:tcBorders>
              <w:top w:val="nil"/>
              <w:left w:val="nil"/>
              <w:bottom w:val="nil"/>
              <w:right w:val="nil"/>
            </w:tcBorders>
            <w:shd w:val="clear" w:color="auto" w:fill="auto"/>
            <w:noWrap/>
            <w:vAlign w:val="center"/>
            <w:hideMark/>
          </w:tcPr>
          <w:p w:rsidR="00EB783C" w:rsidRPr="00EB783C" w:rsidRDefault="00EB783C" w:rsidP="00EB783C">
            <w:pPr>
              <w:jc w:val="right"/>
              <w:rPr>
                <w:rFonts w:ascii="Arial" w:hAnsi="Arial" w:cs="Arial"/>
                <w:b/>
                <w:bCs/>
                <w:sz w:val="16"/>
                <w:szCs w:val="16"/>
              </w:rPr>
            </w:pPr>
            <w:r w:rsidRPr="00EB783C">
              <w:rPr>
                <w:rFonts w:ascii="Arial" w:hAnsi="Arial" w:cs="Arial"/>
                <w:b/>
                <w:bCs/>
                <w:sz w:val="16"/>
                <w:szCs w:val="16"/>
              </w:rPr>
              <w:t>7,383</w:t>
            </w:r>
          </w:p>
        </w:tc>
        <w:tc>
          <w:tcPr>
            <w:tcW w:w="1660" w:type="dxa"/>
            <w:tcBorders>
              <w:top w:val="nil"/>
              <w:left w:val="nil"/>
              <w:bottom w:val="nil"/>
              <w:right w:val="nil"/>
            </w:tcBorders>
            <w:shd w:val="clear" w:color="auto" w:fill="auto"/>
            <w:vAlign w:val="center"/>
            <w:hideMark/>
          </w:tcPr>
          <w:p w:rsidR="00EB783C" w:rsidRPr="00EB783C" w:rsidRDefault="00EB783C" w:rsidP="00EB783C">
            <w:pPr>
              <w:jc w:val="right"/>
              <w:rPr>
                <w:rFonts w:ascii="Arial" w:hAnsi="Arial" w:cs="Arial"/>
                <w:b/>
                <w:bCs/>
                <w:sz w:val="16"/>
                <w:szCs w:val="16"/>
              </w:rPr>
            </w:pPr>
            <w:r w:rsidRPr="00EB783C">
              <w:rPr>
                <w:rFonts w:ascii="Arial" w:hAnsi="Arial" w:cs="Arial"/>
                <w:b/>
                <w:bCs/>
                <w:sz w:val="16"/>
                <w:szCs w:val="16"/>
              </w:rPr>
              <w:t>-</w:t>
            </w:r>
          </w:p>
        </w:tc>
      </w:tr>
      <w:tr w:rsidR="00EB783C" w:rsidRPr="00EB783C" w:rsidTr="00CD7E41">
        <w:trPr>
          <w:trHeight w:val="240"/>
        </w:trPr>
        <w:tc>
          <w:tcPr>
            <w:tcW w:w="720" w:type="dxa"/>
            <w:tcBorders>
              <w:top w:val="nil"/>
              <w:left w:val="nil"/>
              <w:bottom w:val="nil"/>
              <w:right w:val="nil"/>
            </w:tcBorders>
            <w:shd w:val="clear" w:color="auto" w:fill="auto"/>
            <w:noWrap/>
            <w:vAlign w:val="center"/>
            <w:hideMark/>
          </w:tcPr>
          <w:p w:rsidR="00EB783C" w:rsidRPr="00EB783C" w:rsidRDefault="00EB783C" w:rsidP="00EB783C">
            <w:pPr>
              <w:jc w:val="right"/>
              <w:rPr>
                <w:rFonts w:ascii="Arial" w:hAnsi="Arial" w:cs="Arial"/>
                <w:b/>
                <w:bCs/>
                <w:sz w:val="16"/>
                <w:szCs w:val="16"/>
              </w:rPr>
            </w:pPr>
          </w:p>
        </w:tc>
        <w:tc>
          <w:tcPr>
            <w:tcW w:w="4960" w:type="dxa"/>
            <w:tcBorders>
              <w:top w:val="nil"/>
              <w:left w:val="nil"/>
              <w:bottom w:val="nil"/>
              <w:right w:val="nil"/>
            </w:tcBorders>
            <w:shd w:val="clear" w:color="auto" w:fill="auto"/>
            <w:noWrap/>
            <w:vAlign w:val="center"/>
            <w:hideMark/>
          </w:tcPr>
          <w:p w:rsidR="00EB783C" w:rsidRPr="00EB783C" w:rsidRDefault="00EB783C" w:rsidP="00EB783C"/>
        </w:tc>
        <w:tc>
          <w:tcPr>
            <w:tcW w:w="1660" w:type="dxa"/>
            <w:tcBorders>
              <w:top w:val="nil"/>
              <w:left w:val="nil"/>
              <w:bottom w:val="nil"/>
              <w:right w:val="nil"/>
            </w:tcBorders>
            <w:shd w:val="clear" w:color="auto" w:fill="auto"/>
            <w:noWrap/>
            <w:vAlign w:val="center"/>
            <w:hideMark/>
          </w:tcPr>
          <w:p w:rsidR="00EB783C" w:rsidRPr="00EB783C" w:rsidRDefault="00EB783C" w:rsidP="00EB783C"/>
        </w:tc>
        <w:tc>
          <w:tcPr>
            <w:tcW w:w="1660" w:type="dxa"/>
            <w:tcBorders>
              <w:top w:val="nil"/>
              <w:left w:val="nil"/>
              <w:bottom w:val="nil"/>
              <w:right w:val="nil"/>
            </w:tcBorders>
            <w:shd w:val="clear" w:color="auto" w:fill="auto"/>
            <w:noWrap/>
            <w:vAlign w:val="center"/>
            <w:hideMark/>
          </w:tcPr>
          <w:p w:rsidR="00EB783C" w:rsidRPr="00EB783C" w:rsidRDefault="00EB783C" w:rsidP="00EB783C">
            <w:pPr>
              <w:jc w:val="right"/>
            </w:pPr>
          </w:p>
        </w:tc>
        <w:tc>
          <w:tcPr>
            <w:tcW w:w="1660" w:type="dxa"/>
            <w:tcBorders>
              <w:top w:val="nil"/>
              <w:left w:val="nil"/>
              <w:bottom w:val="nil"/>
              <w:right w:val="nil"/>
            </w:tcBorders>
            <w:shd w:val="clear" w:color="auto" w:fill="auto"/>
            <w:vAlign w:val="center"/>
            <w:hideMark/>
          </w:tcPr>
          <w:p w:rsidR="00EB783C" w:rsidRPr="00EB783C" w:rsidRDefault="00EB783C" w:rsidP="00EB783C">
            <w:pPr>
              <w:jc w:val="right"/>
            </w:pPr>
          </w:p>
        </w:tc>
      </w:tr>
      <w:tr w:rsidR="00EB783C" w:rsidRPr="00EB783C" w:rsidTr="00CD7E41">
        <w:trPr>
          <w:trHeight w:val="240"/>
        </w:trPr>
        <w:tc>
          <w:tcPr>
            <w:tcW w:w="720" w:type="dxa"/>
            <w:tcBorders>
              <w:top w:val="nil"/>
              <w:left w:val="nil"/>
              <w:bottom w:val="nil"/>
              <w:right w:val="nil"/>
            </w:tcBorders>
            <w:shd w:val="clear" w:color="auto" w:fill="auto"/>
            <w:noWrap/>
            <w:vAlign w:val="center"/>
            <w:hideMark/>
          </w:tcPr>
          <w:p w:rsidR="00EB783C" w:rsidRPr="00EB783C" w:rsidRDefault="00EB783C" w:rsidP="00EB783C">
            <w:pPr>
              <w:jc w:val="right"/>
            </w:pPr>
          </w:p>
        </w:tc>
        <w:tc>
          <w:tcPr>
            <w:tcW w:w="4960" w:type="dxa"/>
            <w:tcBorders>
              <w:top w:val="nil"/>
              <w:left w:val="nil"/>
              <w:bottom w:val="single" w:sz="4" w:space="0" w:color="969696"/>
              <w:right w:val="nil"/>
            </w:tcBorders>
            <w:shd w:val="clear" w:color="auto" w:fill="auto"/>
            <w:noWrap/>
            <w:vAlign w:val="center"/>
            <w:hideMark/>
          </w:tcPr>
          <w:p w:rsidR="00EB783C" w:rsidRPr="00EB783C" w:rsidRDefault="00EB783C" w:rsidP="00EB783C">
            <w:pPr>
              <w:rPr>
                <w:rFonts w:ascii="Arial" w:hAnsi="Arial" w:cs="Arial"/>
                <w:b/>
                <w:bCs/>
                <w:sz w:val="16"/>
                <w:szCs w:val="16"/>
              </w:rPr>
            </w:pPr>
            <w:r w:rsidRPr="00EB783C">
              <w:rPr>
                <w:rFonts w:ascii="Arial" w:hAnsi="Arial" w:cs="Arial"/>
                <w:b/>
                <w:bCs/>
                <w:sz w:val="16"/>
                <w:szCs w:val="16"/>
              </w:rPr>
              <w:t>Analysis of credit impairment charges</w:t>
            </w:r>
          </w:p>
        </w:tc>
        <w:tc>
          <w:tcPr>
            <w:tcW w:w="1660" w:type="dxa"/>
            <w:tcBorders>
              <w:top w:val="nil"/>
              <w:left w:val="nil"/>
              <w:bottom w:val="single" w:sz="4" w:space="0" w:color="969696"/>
              <w:right w:val="nil"/>
            </w:tcBorders>
            <w:shd w:val="clear" w:color="auto" w:fill="auto"/>
            <w:noWrap/>
            <w:vAlign w:val="center"/>
            <w:hideMark/>
          </w:tcPr>
          <w:p w:rsidR="00EB783C" w:rsidRPr="00EB783C" w:rsidRDefault="00EB783C" w:rsidP="00EB783C">
            <w:pPr>
              <w:jc w:val="right"/>
              <w:rPr>
                <w:rFonts w:ascii="Arial" w:hAnsi="Arial" w:cs="Arial"/>
                <w:sz w:val="16"/>
                <w:szCs w:val="16"/>
              </w:rPr>
            </w:pPr>
            <w:r w:rsidRPr="00EB783C">
              <w:rPr>
                <w:rFonts w:ascii="Arial" w:hAnsi="Arial" w:cs="Arial"/>
                <w:sz w:val="16"/>
                <w:szCs w:val="16"/>
              </w:rPr>
              <w:t> </w:t>
            </w:r>
          </w:p>
        </w:tc>
        <w:tc>
          <w:tcPr>
            <w:tcW w:w="1660" w:type="dxa"/>
            <w:tcBorders>
              <w:top w:val="nil"/>
              <w:left w:val="nil"/>
              <w:bottom w:val="single" w:sz="4" w:space="0" w:color="969696"/>
              <w:right w:val="nil"/>
            </w:tcBorders>
            <w:shd w:val="clear" w:color="auto" w:fill="auto"/>
            <w:noWrap/>
            <w:vAlign w:val="bottom"/>
            <w:hideMark/>
          </w:tcPr>
          <w:p w:rsidR="00EB783C" w:rsidRPr="00EB783C" w:rsidRDefault="00EB783C" w:rsidP="00EB783C">
            <w:pPr>
              <w:rPr>
                <w:rFonts w:ascii="Arial" w:hAnsi="Arial" w:cs="Arial"/>
              </w:rPr>
            </w:pPr>
            <w:r w:rsidRPr="00EB783C">
              <w:rPr>
                <w:rFonts w:ascii="Arial" w:hAnsi="Arial" w:cs="Arial"/>
              </w:rPr>
              <w:t> </w:t>
            </w:r>
          </w:p>
        </w:tc>
        <w:tc>
          <w:tcPr>
            <w:tcW w:w="1660" w:type="dxa"/>
            <w:tcBorders>
              <w:top w:val="nil"/>
              <w:left w:val="nil"/>
              <w:bottom w:val="single" w:sz="4" w:space="0" w:color="969696"/>
              <w:right w:val="nil"/>
            </w:tcBorders>
            <w:shd w:val="clear" w:color="000000" w:fill="FFFFFF"/>
            <w:vAlign w:val="bottom"/>
            <w:hideMark/>
          </w:tcPr>
          <w:p w:rsidR="00EB783C" w:rsidRPr="00EB783C" w:rsidRDefault="00EB783C" w:rsidP="00EB783C">
            <w:pPr>
              <w:jc w:val="right"/>
              <w:rPr>
                <w:rFonts w:ascii="Arial" w:hAnsi="Arial" w:cs="Arial"/>
                <w:sz w:val="16"/>
                <w:szCs w:val="16"/>
              </w:rPr>
            </w:pPr>
            <w:r w:rsidRPr="00EB783C">
              <w:rPr>
                <w:rFonts w:ascii="Arial" w:hAnsi="Arial" w:cs="Arial"/>
                <w:sz w:val="16"/>
                <w:szCs w:val="16"/>
              </w:rPr>
              <w:t> </w:t>
            </w:r>
          </w:p>
        </w:tc>
      </w:tr>
      <w:tr w:rsidR="00EB783C" w:rsidRPr="00EB783C" w:rsidTr="00CD7E41">
        <w:trPr>
          <w:trHeight w:val="240"/>
        </w:trPr>
        <w:tc>
          <w:tcPr>
            <w:tcW w:w="720" w:type="dxa"/>
            <w:tcBorders>
              <w:top w:val="nil"/>
              <w:left w:val="nil"/>
              <w:bottom w:val="nil"/>
              <w:right w:val="nil"/>
            </w:tcBorders>
            <w:shd w:val="clear" w:color="auto" w:fill="auto"/>
            <w:noWrap/>
            <w:vAlign w:val="center"/>
            <w:hideMark/>
          </w:tcPr>
          <w:p w:rsidR="00EB783C" w:rsidRPr="00EB783C" w:rsidRDefault="00EB783C" w:rsidP="00EB783C">
            <w:pPr>
              <w:jc w:val="right"/>
              <w:rPr>
                <w:rFonts w:ascii="Arial" w:hAnsi="Arial" w:cs="Arial"/>
                <w:sz w:val="16"/>
                <w:szCs w:val="16"/>
              </w:rPr>
            </w:pPr>
          </w:p>
        </w:tc>
        <w:tc>
          <w:tcPr>
            <w:tcW w:w="4960" w:type="dxa"/>
            <w:tcBorders>
              <w:top w:val="nil"/>
              <w:left w:val="nil"/>
              <w:bottom w:val="nil"/>
              <w:right w:val="nil"/>
            </w:tcBorders>
            <w:shd w:val="clear" w:color="000000" w:fill="FFFFFF"/>
            <w:noWrap/>
            <w:vAlign w:val="center"/>
            <w:hideMark/>
          </w:tcPr>
          <w:p w:rsidR="00EB783C" w:rsidRPr="00EB783C" w:rsidRDefault="00EB783C" w:rsidP="00EB783C">
            <w:pPr>
              <w:rPr>
                <w:rFonts w:ascii="Arial" w:hAnsi="Arial" w:cs="Arial"/>
                <w:sz w:val="16"/>
                <w:szCs w:val="16"/>
              </w:rPr>
            </w:pPr>
            <w:r w:rsidRPr="00EB783C">
              <w:rPr>
                <w:rFonts w:ascii="Arial" w:hAnsi="Arial" w:cs="Arial"/>
                <w:sz w:val="16"/>
                <w:szCs w:val="16"/>
              </w:rPr>
              <w:t>Personal Banking</w:t>
            </w:r>
          </w:p>
        </w:tc>
        <w:tc>
          <w:tcPr>
            <w:tcW w:w="1660" w:type="dxa"/>
            <w:tcBorders>
              <w:top w:val="nil"/>
              <w:left w:val="nil"/>
              <w:bottom w:val="nil"/>
              <w:right w:val="nil"/>
            </w:tcBorders>
            <w:shd w:val="clear" w:color="000000" w:fill="EAEAEA"/>
            <w:noWrap/>
            <w:vAlign w:val="center"/>
            <w:hideMark/>
          </w:tcPr>
          <w:p w:rsidR="00EB783C" w:rsidRPr="00EB783C" w:rsidRDefault="00EB783C" w:rsidP="00EB783C">
            <w:pPr>
              <w:jc w:val="right"/>
              <w:rPr>
                <w:rFonts w:ascii="Arial" w:hAnsi="Arial" w:cs="Arial"/>
                <w:sz w:val="16"/>
                <w:szCs w:val="16"/>
              </w:rPr>
            </w:pPr>
            <w:r w:rsidRPr="00EB783C">
              <w:rPr>
                <w:rFonts w:ascii="Arial" w:hAnsi="Arial" w:cs="Arial"/>
                <w:sz w:val="16"/>
                <w:szCs w:val="16"/>
              </w:rPr>
              <w:t>(195)</w:t>
            </w:r>
          </w:p>
        </w:tc>
        <w:tc>
          <w:tcPr>
            <w:tcW w:w="1660" w:type="dxa"/>
            <w:tcBorders>
              <w:top w:val="nil"/>
              <w:left w:val="nil"/>
              <w:bottom w:val="nil"/>
              <w:right w:val="nil"/>
            </w:tcBorders>
            <w:shd w:val="clear" w:color="auto" w:fill="auto"/>
            <w:noWrap/>
            <w:vAlign w:val="center"/>
            <w:hideMark/>
          </w:tcPr>
          <w:p w:rsidR="00EB783C" w:rsidRPr="00EB783C" w:rsidRDefault="00EB783C" w:rsidP="00EB783C">
            <w:pPr>
              <w:jc w:val="right"/>
              <w:rPr>
                <w:rFonts w:ascii="Arial" w:hAnsi="Arial" w:cs="Arial"/>
                <w:sz w:val="16"/>
                <w:szCs w:val="16"/>
              </w:rPr>
            </w:pPr>
            <w:r w:rsidRPr="00EB783C">
              <w:rPr>
                <w:rFonts w:ascii="Arial" w:hAnsi="Arial" w:cs="Arial"/>
                <w:sz w:val="16"/>
                <w:szCs w:val="16"/>
              </w:rPr>
              <w:t>(173)</w:t>
            </w:r>
          </w:p>
        </w:tc>
        <w:tc>
          <w:tcPr>
            <w:tcW w:w="1660" w:type="dxa"/>
            <w:tcBorders>
              <w:top w:val="nil"/>
              <w:left w:val="nil"/>
              <w:bottom w:val="nil"/>
              <w:right w:val="nil"/>
            </w:tcBorders>
            <w:shd w:val="clear" w:color="auto" w:fill="auto"/>
            <w:vAlign w:val="center"/>
            <w:hideMark/>
          </w:tcPr>
          <w:p w:rsidR="00EB783C" w:rsidRPr="00EB783C" w:rsidRDefault="00EB783C" w:rsidP="00EB783C">
            <w:pPr>
              <w:jc w:val="right"/>
              <w:rPr>
                <w:rFonts w:ascii="Arial" w:hAnsi="Arial" w:cs="Arial"/>
                <w:sz w:val="16"/>
                <w:szCs w:val="16"/>
              </w:rPr>
            </w:pPr>
            <w:r w:rsidRPr="00EB783C">
              <w:rPr>
                <w:rFonts w:ascii="Arial" w:hAnsi="Arial" w:cs="Arial"/>
                <w:sz w:val="16"/>
                <w:szCs w:val="16"/>
              </w:rPr>
              <w:t>(13)</w:t>
            </w:r>
          </w:p>
        </w:tc>
      </w:tr>
      <w:tr w:rsidR="00EB783C" w:rsidRPr="00EB783C" w:rsidTr="00CD7E41">
        <w:trPr>
          <w:trHeight w:val="240"/>
        </w:trPr>
        <w:tc>
          <w:tcPr>
            <w:tcW w:w="720" w:type="dxa"/>
            <w:tcBorders>
              <w:top w:val="nil"/>
              <w:left w:val="nil"/>
              <w:bottom w:val="nil"/>
              <w:right w:val="nil"/>
            </w:tcBorders>
            <w:shd w:val="clear" w:color="auto" w:fill="auto"/>
            <w:noWrap/>
            <w:vAlign w:val="center"/>
            <w:hideMark/>
          </w:tcPr>
          <w:p w:rsidR="00EB783C" w:rsidRPr="00EB783C" w:rsidRDefault="00EB783C" w:rsidP="00EB783C">
            <w:pPr>
              <w:jc w:val="right"/>
              <w:rPr>
                <w:rFonts w:ascii="Arial" w:hAnsi="Arial" w:cs="Arial"/>
                <w:sz w:val="16"/>
                <w:szCs w:val="16"/>
              </w:rPr>
            </w:pPr>
          </w:p>
        </w:tc>
        <w:tc>
          <w:tcPr>
            <w:tcW w:w="4960" w:type="dxa"/>
            <w:tcBorders>
              <w:top w:val="nil"/>
              <w:left w:val="nil"/>
              <w:bottom w:val="nil"/>
              <w:right w:val="nil"/>
            </w:tcBorders>
            <w:shd w:val="clear" w:color="000000" w:fill="FFFFFF"/>
            <w:noWrap/>
            <w:vAlign w:val="center"/>
            <w:hideMark/>
          </w:tcPr>
          <w:p w:rsidR="00EB783C" w:rsidRPr="00EB783C" w:rsidRDefault="00EB783C" w:rsidP="00EB783C">
            <w:pPr>
              <w:rPr>
                <w:rFonts w:ascii="Arial" w:hAnsi="Arial" w:cs="Arial"/>
                <w:sz w:val="16"/>
                <w:szCs w:val="16"/>
              </w:rPr>
            </w:pPr>
            <w:r w:rsidRPr="00EB783C">
              <w:rPr>
                <w:rFonts w:ascii="Arial" w:hAnsi="Arial" w:cs="Arial"/>
                <w:sz w:val="16"/>
                <w:szCs w:val="16"/>
              </w:rPr>
              <w:t xml:space="preserve">Barclaycard Consumer UK </w:t>
            </w:r>
          </w:p>
        </w:tc>
        <w:tc>
          <w:tcPr>
            <w:tcW w:w="1660" w:type="dxa"/>
            <w:tcBorders>
              <w:top w:val="nil"/>
              <w:left w:val="nil"/>
              <w:bottom w:val="nil"/>
              <w:right w:val="nil"/>
            </w:tcBorders>
            <w:shd w:val="clear" w:color="000000" w:fill="EAEAEA"/>
            <w:noWrap/>
            <w:vAlign w:val="center"/>
            <w:hideMark/>
          </w:tcPr>
          <w:p w:rsidR="00EB783C" w:rsidRPr="00EB783C" w:rsidRDefault="00EB783C" w:rsidP="00EB783C">
            <w:pPr>
              <w:jc w:val="right"/>
              <w:rPr>
                <w:rFonts w:ascii="Arial" w:hAnsi="Arial" w:cs="Arial"/>
                <w:sz w:val="16"/>
                <w:szCs w:val="16"/>
              </w:rPr>
            </w:pPr>
            <w:r w:rsidRPr="00EB783C">
              <w:rPr>
                <w:rFonts w:ascii="Arial" w:hAnsi="Arial" w:cs="Arial"/>
                <w:sz w:val="16"/>
                <w:szCs w:val="16"/>
              </w:rPr>
              <w:t>(472)</w:t>
            </w:r>
          </w:p>
        </w:tc>
        <w:tc>
          <w:tcPr>
            <w:tcW w:w="1660" w:type="dxa"/>
            <w:tcBorders>
              <w:top w:val="nil"/>
              <w:left w:val="nil"/>
              <w:bottom w:val="nil"/>
              <w:right w:val="nil"/>
            </w:tcBorders>
            <w:shd w:val="clear" w:color="auto" w:fill="auto"/>
            <w:noWrap/>
            <w:vAlign w:val="center"/>
            <w:hideMark/>
          </w:tcPr>
          <w:p w:rsidR="00EB783C" w:rsidRPr="00EB783C" w:rsidRDefault="00EB783C" w:rsidP="00EB783C">
            <w:pPr>
              <w:jc w:val="right"/>
              <w:rPr>
                <w:rFonts w:ascii="Arial" w:hAnsi="Arial" w:cs="Arial"/>
                <w:sz w:val="16"/>
                <w:szCs w:val="16"/>
              </w:rPr>
            </w:pPr>
            <w:r w:rsidRPr="00EB783C">
              <w:rPr>
                <w:rFonts w:ascii="Arial" w:hAnsi="Arial" w:cs="Arial"/>
                <w:sz w:val="16"/>
                <w:szCs w:val="16"/>
              </w:rPr>
              <w:t>(590)</w:t>
            </w:r>
          </w:p>
        </w:tc>
        <w:tc>
          <w:tcPr>
            <w:tcW w:w="1660" w:type="dxa"/>
            <w:tcBorders>
              <w:top w:val="nil"/>
              <w:left w:val="nil"/>
              <w:bottom w:val="nil"/>
              <w:right w:val="nil"/>
            </w:tcBorders>
            <w:shd w:val="clear" w:color="auto" w:fill="auto"/>
            <w:vAlign w:val="center"/>
            <w:hideMark/>
          </w:tcPr>
          <w:p w:rsidR="00EB783C" w:rsidRPr="00EB783C" w:rsidRDefault="00EB783C" w:rsidP="00EB783C">
            <w:pPr>
              <w:jc w:val="right"/>
              <w:rPr>
                <w:rFonts w:ascii="Arial" w:hAnsi="Arial" w:cs="Arial"/>
                <w:sz w:val="16"/>
                <w:szCs w:val="16"/>
              </w:rPr>
            </w:pPr>
            <w:r w:rsidRPr="00EB783C">
              <w:rPr>
                <w:rFonts w:ascii="Arial" w:hAnsi="Arial" w:cs="Arial"/>
                <w:sz w:val="16"/>
                <w:szCs w:val="16"/>
              </w:rPr>
              <w:t xml:space="preserve">20 </w:t>
            </w:r>
          </w:p>
        </w:tc>
      </w:tr>
      <w:tr w:rsidR="00EB783C" w:rsidRPr="00EB783C" w:rsidTr="00CD7E41">
        <w:trPr>
          <w:trHeight w:val="240"/>
        </w:trPr>
        <w:tc>
          <w:tcPr>
            <w:tcW w:w="720" w:type="dxa"/>
            <w:tcBorders>
              <w:top w:val="nil"/>
              <w:left w:val="nil"/>
              <w:bottom w:val="nil"/>
              <w:right w:val="nil"/>
            </w:tcBorders>
            <w:shd w:val="clear" w:color="auto" w:fill="auto"/>
            <w:noWrap/>
            <w:vAlign w:val="center"/>
            <w:hideMark/>
          </w:tcPr>
          <w:p w:rsidR="00EB783C" w:rsidRPr="00EB783C" w:rsidRDefault="00EB783C" w:rsidP="00EB783C">
            <w:pPr>
              <w:jc w:val="right"/>
              <w:rPr>
                <w:rFonts w:ascii="Arial" w:hAnsi="Arial" w:cs="Arial"/>
                <w:sz w:val="16"/>
                <w:szCs w:val="16"/>
              </w:rPr>
            </w:pPr>
          </w:p>
        </w:tc>
        <w:tc>
          <w:tcPr>
            <w:tcW w:w="4960" w:type="dxa"/>
            <w:tcBorders>
              <w:top w:val="nil"/>
              <w:left w:val="nil"/>
              <w:bottom w:val="single" w:sz="4" w:space="0" w:color="969696"/>
              <w:right w:val="nil"/>
            </w:tcBorders>
            <w:shd w:val="clear" w:color="000000" w:fill="FFFFFF"/>
            <w:vAlign w:val="center"/>
            <w:hideMark/>
          </w:tcPr>
          <w:p w:rsidR="00EB783C" w:rsidRPr="00EB783C" w:rsidRDefault="00EB783C" w:rsidP="00EB783C">
            <w:pPr>
              <w:rPr>
                <w:rFonts w:ascii="Arial" w:hAnsi="Arial" w:cs="Arial"/>
                <w:sz w:val="16"/>
                <w:szCs w:val="16"/>
              </w:rPr>
            </w:pPr>
            <w:r w:rsidRPr="00EB783C">
              <w:rPr>
                <w:rFonts w:ascii="Arial" w:hAnsi="Arial" w:cs="Arial"/>
                <w:sz w:val="16"/>
                <w:szCs w:val="16"/>
              </w:rPr>
              <w:t>Business Banking</w:t>
            </w:r>
          </w:p>
        </w:tc>
        <w:tc>
          <w:tcPr>
            <w:tcW w:w="1660" w:type="dxa"/>
            <w:tcBorders>
              <w:top w:val="nil"/>
              <w:left w:val="nil"/>
              <w:bottom w:val="single" w:sz="4" w:space="0" w:color="969696"/>
              <w:right w:val="nil"/>
            </w:tcBorders>
            <w:shd w:val="clear" w:color="000000" w:fill="EAEAEA"/>
            <w:noWrap/>
            <w:vAlign w:val="center"/>
            <w:hideMark/>
          </w:tcPr>
          <w:p w:rsidR="00EB783C" w:rsidRPr="00EB783C" w:rsidRDefault="00EB783C" w:rsidP="00EB783C">
            <w:pPr>
              <w:jc w:val="right"/>
              <w:rPr>
                <w:rFonts w:ascii="Arial" w:hAnsi="Arial" w:cs="Arial"/>
                <w:sz w:val="16"/>
                <w:szCs w:val="16"/>
              </w:rPr>
            </w:pPr>
            <w:r w:rsidRPr="00EB783C">
              <w:rPr>
                <w:rFonts w:ascii="Arial" w:hAnsi="Arial" w:cs="Arial"/>
                <w:sz w:val="16"/>
                <w:szCs w:val="16"/>
              </w:rPr>
              <w:t>(45)</w:t>
            </w:r>
          </w:p>
        </w:tc>
        <w:tc>
          <w:tcPr>
            <w:tcW w:w="1660" w:type="dxa"/>
            <w:tcBorders>
              <w:top w:val="nil"/>
              <w:left w:val="nil"/>
              <w:bottom w:val="single" w:sz="4" w:space="0" w:color="969696"/>
              <w:right w:val="nil"/>
            </w:tcBorders>
            <w:shd w:val="clear" w:color="auto" w:fill="auto"/>
            <w:noWrap/>
            <w:vAlign w:val="center"/>
            <w:hideMark/>
          </w:tcPr>
          <w:p w:rsidR="00EB783C" w:rsidRPr="00EB783C" w:rsidRDefault="00EB783C" w:rsidP="00EB783C">
            <w:pPr>
              <w:jc w:val="right"/>
              <w:rPr>
                <w:rFonts w:ascii="Arial" w:hAnsi="Arial" w:cs="Arial"/>
                <w:sz w:val="16"/>
                <w:szCs w:val="16"/>
              </w:rPr>
            </w:pPr>
            <w:r w:rsidRPr="00EB783C">
              <w:rPr>
                <w:rFonts w:ascii="Arial" w:hAnsi="Arial" w:cs="Arial"/>
                <w:sz w:val="16"/>
                <w:szCs w:val="16"/>
              </w:rPr>
              <w:t>(63)</w:t>
            </w:r>
          </w:p>
        </w:tc>
        <w:tc>
          <w:tcPr>
            <w:tcW w:w="1660" w:type="dxa"/>
            <w:tcBorders>
              <w:top w:val="nil"/>
              <w:left w:val="nil"/>
              <w:bottom w:val="single" w:sz="4" w:space="0" w:color="969696"/>
              <w:right w:val="nil"/>
            </w:tcBorders>
            <w:shd w:val="clear" w:color="auto" w:fill="auto"/>
            <w:vAlign w:val="center"/>
            <w:hideMark/>
          </w:tcPr>
          <w:p w:rsidR="00EB783C" w:rsidRPr="00EB783C" w:rsidRDefault="00EB783C" w:rsidP="00EB783C">
            <w:pPr>
              <w:jc w:val="right"/>
              <w:rPr>
                <w:rFonts w:ascii="Arial" w:hAnsi="Arial" w:cs="Arial"/>
                <w:sz w:val="16"/>
                <w:szCs w:val="16"/>
              </w:rPr>
            </w:pPr>
            <w:r w:rsidRPr="00EB783C">
              <w:rPr>
                <w:rFonts w:ascii="Arial" w:hAnsi="Arial" w:cs="Arial"/>
                <w:sz w:val="16"/>
                <w:szCs w:val="16"/>
              </w:rPr>
              <w:t xml:space="preserve">29 </w:t>
            </w:r>
          </w:p>
        </w:tc>
      </w:tr>
      <w:tr w:rsidR="00EB783C" w:rsidRPr="00EB783C" w:rsidTr="00CD7E41">
        <w:trPr>
          <w:trHeight w:val="240"/>
        </w:trPr>
        <w:tc>
          <w:tcPr>
            <w:tcW w:w="720" w:type="dxa"/>
            <w:tcBorders>
              <w:top w:val="nil"/>
              <w:left w:val="nil"/>
              <w:bottom w:val="nil"/>
              <w:right w:val="nil"/>
            </w:tcBorders>
            <w:shd w:val="clear" w:color="auto" w:fill="auto"/>
            <w:noWrap/>
            <w:vAlign w:val="center"/>
            <w:hideMark/>
          </w:tcPr>
          <w:p w:rsidR="00EB783C" w:rsidRPr="00EB783C" w:rsidRDefault="00EB783C" w:rsidP="00EB783C">
            <w:pPr>
              <w:jc w:val="right"/>
              <w:rPr>
                <w:rFonts w:ascii="Arial" w:hAnsi="Arial" w:cs="Arial"/>
                <w:sz w:val="16"/>
                <w:szCs w:val="16"/>
              </w:rPr>
            </w:pPr>
          </w:p>
        </w:tc>
        <w:tc>
          <w:tcPr>
            <w:tcW w:w="4960" w:type="dxa"/>
            <w:tcBorders>
              <w:top w:val="nil"/>
              <w:left w:val="nil"/>
              <w:bottom w:val="nil"/>
              <w:right w:val="nil"/>
            </w:tcBorders>
            <w:shd w:val="clear" w:color="000000" w:fill="FFFFFF"/>
            <w:noWrap/>
            <w:vAlign w:val="center"/>
            <w:hideMark/>
          </w:tcPr>
          <w:p w:rsidR="00EB783C" w:rsidRPr="00EB783C" w:rsidRDefault="00EB783C" w:rsidP="00EB783C">
            <w:pPr>
              <w:rPr>
                <w:rFonts w:ascii="Arial" w:hAnsi="Arial" w:cs="Arial"/>
                <w:b/>
                <w:bCs/>
                <w:sz w:val="16"/>
                <w:szCs w:val="16"/>
              </w:rPr>
            </w:pPr>
            <w:r w:rsidRPr="00EB783C">
              <w:rPr>
                <w:rFonts w:ascii="Arial" w:hAnsi="Arial" w:cs="Arial"/>
                <w:b/>
                <w:bCs/>
                <w:sz w:val="16"/>
                <w:szCs w:val="16"/>
              </w:rPr>
              <w:t>Total credit impairment charges</w:t>
            </w:r>
          </w:p>
        </w:tc>
        <w:tc>
          <w:tcPr>
            <w:tcW w:w="1660" w:type="dxa"/>
            <w:tcBorders>
              <w:top w:val="nil"/>
              <w:left w:val="nil"/>
              <w:bottom w:val="nil"/>
              <w:right w:val="nil"/>
            </w:tcBorders>
            <w:shd w:val="clear" w:color="000000" w:fill="EAEAEA"/>
            <w:noWrap/>
            <w:vAlign w:val="center"/>
            <w:hideMark/>
          </w:tcPr>
          <w:p w:rsidR="00EB783C" w:rsidRPr="00EB783C" w:rsidRDefault="00EB783C" w:rsidP="00EB783C">
            <w:pPr>
              <w:jc w:val="right"/>
              <w:rPr>
                <w:rFonts w:ascii="Arial" w:hAnsi="Arial" w:cs="Arial"/>
                <w:b/>
                <w:bCs/>
                <w:sz w:val="16"/>
                <w:szCs w:val="16"/>
              </w:rPr>
            </w:pPr>
            <w:r w:rsidRPr="00EB783C">
              <w:rPr>
                <w:rFonts w:ascii="Arial" w:hAnsi="Arial" w:cs="Arial"/>
                <w:b/>
                <w:bCs/>
                <w:sz w:val="16"/>
                <w:szCs w:val="16"/>
              </w:rPr>
              <w:t>(712)</w:t>
            </w:r>
          </w:p>
        </w:tc>
        <w:tc>
          <w:tcPr>
            <w:tcW w:w="1660" w:type="dxa"/>
            <w:tcBorders>
              <w:top w:val="nil"/>
              <w:left w:val="nil"/>
              <w:bottom w:val="nil"/>
              <w:right w:val="nil"/>
            </w:tcBorders>
            <w:shd w:val="clear" w:color="auto" w:fill="auto"/>
            <w:noWrap/>
            <w:vAlign w:val="center"/>
            <w:hideMark/>
          </w:tcPr>
          <w:p w:rsidR="00EB783C" w:rsidRPr="00EB783C" w:rsidRDefault="00EB783C" w:rsidP="00EB783C">
            <w:pPr>
              <w:jc w:val="right"/>
              <w:rPr>
                <w:rFonts w:ascii="Arial" w:hAnsi="Arial" w:cs="Arial"/>
                <w:b/>
                <w:bCs/>
                <w:sz w:val="16"/>
                <w:szCs w:val="16"/>
              </w:rPr>
            </w:pPr>
            <w:r w:rsidRPr="00EB783C">
              <w:rPr>
                <w:rFonts w:ascii="Arial" w:hAnsi="Arial" w:cs="Arial"/>
                <w:b/>
                <w:bCs/>
                <w:sz w:val="16"/>
                <w:szCs w:val="16"/>
              </w:rPr>
              <w:t>(826)</w:t>
            </w:r>
          </w:p>
        </w:tc>
        <w:tc>
          <w:tcPr>
            <w:tcW w:w="1660" w:type="dxa"/>
            <w:tcBorders>
              <w:top w:val="nil"/>
              <w:left w:val="nil"/>
              <w:bottom w:val="nil"/>
              <w:right w:val="nil"/>
            </w:tcBorders>
            <w:shd w:val="clear" w:color="auto" w:fill="auto"/>
            <w:vAlign w:val="center"/>
            <w:hideMark/>
          </w:tcPr>
          <w:p w:rsidR="00EB783C" w:rsidRPr="00EB783C" w:rsidRDefault="00EB783C" w:rsidP="00EB783C">
            <w:pPr>
              <w:jc w:val="right"/>
              <w:rPr>
                <w:rFonts w:ascii="Arial" w:hAnsi="Arial" w:cs="Arial"/>
                <w:b/>
                <w:bCs/>
                <w:sz w:val="16"/>
                <w:szCs w:val="16"/>
              </w:rPr>
            </w:pPr>
            <w:r w:rsidRPr="00EB783C">
              <w:rPr>
                <w:rFonts w:ascii="Arial" w:hAnsi="Arial" w:cs="Arial"/>
                <w:b/>
                <w:bCs/>
                <w:sz w:val="16"/>
                <w:szCs w:val="16"/>
              </w:rPr>
              <w:t xml:space="preserve">14 </w:t>
            </w:r>
          </w:p>
        </w:tc>
      </w:tr>
      <w:tr w:rsidR="00EB783C" w:rsidRPr="00EB783C" w:rsidTr="00CD7E41">
        <w:trPr>
          <w:trHeight w:val="240"/>
        </w:trPr>
        <w:tc>
          <w:tcPr>
            <w:tcW w:w="720" w:type="dxa"/>
            <w:tcBorders>
              <w:top w:val="nil"/>
              <w:left w:val="nil"/>
              <w:bottom w:val="nil"/>
              <w:right w:val="nil"/>
            </w:tcBorders>
            <w:shd w:val="clear" w:color="auto" w:fill="auto"/>
            <w:noWrap/>
            <w:vAlign w:val="center"/>
            <w:hideMark/>
          </w:tcPr>
          <w:p w:rsidR="00EB783C" w:rsidRPr="00EB783C" w:rsidRDefault="00EB783C" w:rsidP="00EB783C">
            <w:pPr>
              <w:jc w:val="right"/>
              <w:rPr>
                <w:rFonts w:ascii="Arial" w:hAnsi="Arial" w:cs="Arial"/>
                <w:b/>
                <w:bCs/>
                <w:sz w:val="16"/>
                <w:szCs w:val="16"/>
              </w:rPr>
            </w:pPr>
          </w:p>
        </w:tc>
        <w:tc>
          <w:tcPr>
            <w:tcW w:w="4960" w:type="dxa"/>
            <w:tcBorders>
              <w:top w:val="nil"/>
              <w:left w:val="nil"/>
              <w:bottom w:val="nil"/>
              <w:right w:val="nil"/>
            </w:tcBorders>
            <w:shd w:val="clear" w:color="000000" w:fill="FFFFFF"/>
            <w:noWrap/>
            <w:vAlign w:val="center"/>
            <w:hideMark/>
          </w:tcPr>
          <w:p w:rsidR="00EB783C" w:rsidRPr="00EB783C" w:rsidRDefault="00EB783C" w:rsidP="00EB783C">
            <w:pPr>
              <w:rPr>
                <w:rFonts w:ascii="Arial" w:hAnsi="Arial" w:cs="Arial"/>
                <w:b/>
                <w:bCs/>
                <w:sz w:val="16"/>
                <w:szCs w:val="16"/>
              </w:rPr>
            </w:pPr>
            <w:r w:rsidRPr="00EB783C">
              <w:rPr>
                <w:rFonts w:ascii="Arial" w:hAnsi="Arial" w:cs="Arial"/>
                <w:b/>
                <w:bCs/>
                <w:sz w:val="16"/>
                <w:szCs w:val="16"/>
              </w:rPr>
              <w:t> </w:t>
            </w:r>
          </w:p>
        </w:tc>
        <w:tc>
          <w:tcPr>
            <w:tcW w:w="1660" w:type="dxa"/>
            <w:tcBorders>
              <w:top w:val="nil"/>
              <w:left w:val="nil"/>
              <w:bottom w:val="nil"/>
              <w:right w:val="nil"/>
            </w:tcBorders>
            <w:shd w:val="clear" w:color="auto" w:fill="auto"/>
            <w:noWrap/>
            <w:vAlign w:val="center"/>
            <w:hideMark/>
          </w:tcPr>
          <w:p w:rsidR="00EB783C" w:rsidRPr="00EB783C" w:rsidRDefault="00EB783C" w:rsidP="00EB783C">
            <w:pPr>
              <w:rPr>
                <w:rFonts w:ascii="Arial" w:hAnsi="Arial" w:cs="Arial"/>
                <w:b/>
                <w:bCs/>
                <w:sz w:val="16"/>
                <w:szCs w:val="16"/>
              </w:rPr>
            </w:pPr>
          </w:p>
        </w:tc>
        <w:tc>
          <w:tcPr>
            <w:tcW w:w="1660" w:type="dxa"/>
            <w:tcBorders>
              <w:top w:val="nil"/>
              <w:left w:val="nil"/>
              <w:bottom w:val="nil"/>
              <w:right w:val="nil"/>
            </w:tcBorders>
            <w:shd w:val="clear" w:color="auto" w:fill="auto"/>
            <w:noWrap/>
            <w:vAlign w:val="center"/>
            <w:hideMark/>
          </w:tcPr>
          <w:p w:rsidR="00EB783C" w:rsidRPr="00EB783C" w:rsidRDefault="00EB783C" w:rsidP="00EB783C">
            <w:pPr>
              <w:jc w:val="right"/>
            </w:pPr>
          </w:p>
        </w:tc>
        <w:tc>
          <w:tcPr>
            <w:tcW w:w="1660" w:type="dxa"/>
            <w:tcBorders>
              <w:top w:val="nil"/>
              <w:left w:val="nil"/>
              <w:bottom w:val="nil"/>
              <w:right w:val="nil"/>
            </w:tcBorders>
            <w:shd w:val="clear" w:color="auto" w:fill="auto"/>
            <w:noWrap/>
            <w:vAlign w:val="center"/>
            <w:hideMark/>
          </w:tcPr>
          <w:p w:rsidR="00EB783C" w:rsidRPr="00EB783C" w:rsidRDefault="00EB783C" w:rsidP="00EB783C">
            <w:pPr>
              <w:jc w:val="right"/>
            </w:pPr>
          </w:p>
        </w:tc>
      </w:tr>
      <w:tr w:rsidR="00EB783C" w:rsidRPr="00EB783C" w:rsidTr="00CD7E41">
        <w:trPr>
          <w:trHeight w:val="240"/>
        </w:trPr>
        <w:tc>
          <w:tcPr>
            <w:tcW w:w="720" w:type="dxa"/>
            <w:tcBorders>
              <w:top w:val="nil"/>
              <w:left w:val="nil"/>
              <w:bottom w:val="nil"/>
              <w:right w:val="nil"/>
            </w:tcBorders>
            <w:shd w:val="clear" w:color="auto" w:fill="auto"/>
            <w:noWrap/>
            <w:vAlign w:val="center"/>
            <w:hideMark/>
          </w:tcPr>
          <w:p w:rsidR="00EB783C" w:rsidRPr="00EB783C" w:rsidRDefault="00EB783C" w:rsidP="00EB783C">
            <w:pPr>
              <w:jc w:val="right"/>
            </w:pPr>
          </w:p>
        </w:tc>
        <w:tc>
          <w:tcPr>
            <w:tcW w:w="4960" w:type="dxa"/>
            <w:tcBorders>
              <w:top w:val="nil"/>
              <w:left w:val="nil"/>
              <w:bottom w:val="single" w:sz="4" w:space="0" w:color="969696"/>
              <w:right w:val="nil"/>
            </w:tcBorders>
            <w:shd w:val="clear" w:color="auto" w:fill="auto"/>
            <w:noWrap/>
            <w:vAlign w:val="center"/>
            <w:hideMark/>
          </w:tcPr>
          <w:p w:rsidR="00EB783C" w:rsidRPr="00EB783C" w:rsidRDefault="00EB783C" w:rsidP="00EB783C">
            <w:pPr>
              <w:rPr>
                <w:rFonts w:ascii="Arial" w:hAnsi="Arial" w:cs="Arial"/>
                <w:b/>
                <w:bCs/>
                <w:sz w:val="16"/>
                <w:szCs w:val="16"/>
              </w:rPr>
            </w:pPr>
            <w:r w:rsidRPr="00EB783C">
              <w:rPr>
                <w:rFonts w:ascii="Arial" w:hAnsi="Arial" w:cs="Arial"/>
                <w:b/>
                <w:bCs/>
                <w:sz w:val="16"/>
                <w:szCs w:val="16"/>
              </w:rPr>
              <w:t>Analysis of loans and advances to customers at amortised cost</w:t>
            </w:r>
          </w:p>
        </w:tc>
        <w:tc>
          <w:tcPr>
            <w:tcW w:w="1660" w:type="dxa"/>
            <w:tcBorders>
              <w:top w:val="nil"/>
              <w:left w:val="nil"/>
              <w:bottom w:val="single" w:sz="4" w:space="0" w:color="969696"/>
              <w:right w:val="nil"/>
            </w:tcBorders>
            <w:shd w:val="clear" w:color="auto" w:fill="auto"/>
            <w:noWrap/>
            <w:vAlign w:val="bottom"/>
            <w:hideMark/>
          </w:tcPr>
          <w:p w:rsidR="00EB783C" w:rsidRPr="00EB783C" w:rsidRDefault="00EB783C" w:rsidP="00EB783C">
            <w:pPr>
              <w:jc w:val="right"/>
              <w:rPr>
                <w:rFonts w:ascii="Arial" w:hAnsi="Arial" w:cs="Arial"/>
                <w:color w:val="00B0F0"/>
                <w:sz w:val="16"/>
                <w:szCs w:val="16"/>
              </w:rPr>
            </w:pPr>
            <w:r w:rsidRPr="00EB783C">
              <w:rPr>
                <w:rFonts w:ascii="Arial" w:hAnsi="Arial" w:cs="Arial"/>
                <w:color w:val="00B0F0"/>
                <w:sz w:val="16"/>
                <w:szCs w:val="16"/>
              </w:rPr>
              <w:t>£bn</w:t>
            </w:r>
          </w:p>
        </w:tc>
        <w:tc>
          <w:tcPr>
            <w:tcW w:w="1660" w:type="dxa"/>
            <w:tcBorders>
              <w:top w:val="nil"/>
              <w:left w:val="nil"/>
              <w:bottom w:val="single" w:sz="4" w:space="0" w:color="969696"/>
              <w:right w:val="nil"/>
            </w:tcBorders>
            <w:shd w:val="clear" w:color="auto" w:fill="auto"/>
            <w:noWrap/>
            <w:vAlign w:val="bottom"/>
            <w:hideMark/>
          </w:tcPr>
          <w:p w:rsidR="00EB783C" w:rsidRPr="00EB783C" w:rsidRDefault="00EB783C" w:rsidP="00EB783C">
            <w:pPr>
              <w:jc w:val="right"/>
              <w:rPr>
                <w:rFonts w:ascii="Arial" w:hAnsi="Arial" w:cs="Arial"/>
                <w:color w:val="00B0F0"/>
                <w:sz w:val="16"/>
                <w:szCs w:val="16"/>
              </w:rPr>
            </w:pPr>
            <w:r w:rsidRPr="00EB783C">
              <w:rPr>
                <w:rFonts w:ascii="Arial" w:hAnsi="Arial" w:cs="Arial"/>
                <w:color w:val="00B0F0"/>
                <w:sz w:val="16"/>
                <w:szCs w:val="16"/>
              </w:rPr>
              <w:t xml:space="preserve">£bn </w:t>
            </w:r>
          </w:p>
        </w:tc>
        <w:tc>
          <w:tcPr>
            <w:tcW w:w="1660" w:type="dxa"/>
            <w:tcBorders>
              <w:top w:val="nil"/>
              <w:left w:val="nil"/>
              <w:bottom w:val="single" w:sz="4" w:space="0" w:color="969696"/>
              <w:right w:val="nil"/>
            </w:tcBorders>
            <w:shd w:val="clear" w:color="000000" w:fill="FFFFFF"/>
            <w:vAlign w:val="bottom"/>
            <w:hideMark/>
          </w:tcPr>
          <w:p w:rsidR="00EB783C" w:rsidRPr="00EB783C" w:rsidRDefault="00EB783C" w:rsidP="00EB783C">
            <w:pPr>
              <w:jc w:val="right"/>
              <w:rPr>
                <w:rFonts w:ascii="Arial" w:hAnsi="Arial" w:cs="Arial"/>
                <w:b/>
                <w:bCs/>
                <w:color w:val="00B0F0"/>
                <w:sz w:val="16"/>
                <w:szCs w:val="16"/>
              </w:rPr>
            </w:pPr>
            <w:r w:rsidRPr="00EB783C">
              <w:rPr>
                <w:rFonts w:ascii="Arial" w:hAnsi="Arial" w:cs="Arial"/>
                <w:b/>
                <w:bCs/>
                <w:color w:val="00B0F0"/>
                <w:sz w:val="16"/>
                <w:szCs w:val="16"/>
              </w:rPr>
              <w:t> </w:t>
            </w:r>
          </w:p>
        </w:tc>
      </w:tr>
      <w:tr w:rsidR="00EB783C" w:rsidRPr="00EB783C" w:rsidTr="00CD7E41">
        <w:trPr>
          <w:trHeight w:val="240"/>
        </w:trPr>
        <w:tc>
          <w:tcPr>
            <w:tcW w:w="720" w:type="dxa"/>
            <w:tcBorders>
              <w:top w:val="nil"/>
              <w:left w:val="nil"/>
              <w:bottom w:val="nil"/>
              <w:right w:val="nil"/>
            </w:tcBorders>
            <w:shd w:val="clear" w:color="auto" w:fill="auto"/>
            <w:noWrap/>
            <w:vAlign w:val="center"/>
            <w:hideMark/>
          </w:tcPr>
          <w:p w:rsidR="00EB783C" w:rsidRPr="00EB783C" w:rsidRDefault="00EB783C" w:rsidP="00EB783C">
            <w:pPr>
              <w:jc w:val="right"/>
              <w:rPr>
                <w:rFonts w:ascii="Arial" w:hAnsi="Arial" w:cs="Arial"/>
                <w:b/>
                <w:bCs/>
                <w:color w:val="00B0F0"/>
                <w:sz w:val="16"/>
                <w:szCs w:val="16"/>
              </w:rPr>
            </w:pPr>
          </w:p>
        </w:tc>
        <w:tc>
          <w:tcPr>
            <w:tcW w:w="4960" w:type="dxa"/>
            <w:tcBorders>
              <w:top w:val="nil"/>
              <w:left w:val="nil"/>
              <w:bottom w:val="nil"/>
              <w:right w:val="nil"/>
            </w:tcBorders>
            <w:shd w:val="clear" w:color="000000" w:fill="FFFFFF"/>
            <w:noWrap/>
            <w:vAlign w:val="center"/>
            <w:hideMark/>
          </w:tcPr>
          <w:p w:rsidR="00EB783C" w:rsidRPr="00EB783C" w:rsidRDefault="00EB783C" w:rsidP="00EB783C">
            <w:pPr>
              <w:rPr>
                <w:rFonts w:ascii="Arial" w:hAnsi="Arial" w:cs="Arial"/>
                <w:sz w:val="16"/>
                <w:szCs w:val="16"/>
              </w:rPr>
            </w:pPr>
            <w:r w:rsidRPr="00EB783C">
              <w:rPr>
                <w:rFonts w:ascii="Arial" w:hAnsi="Arial" w:cs="Arial"/>
                <w:sz w:val="16"/>
                <w:szCs w:val="16"/>
              </w:rPr>
              <w:t>Personal Banking</w:t>
            </w:r>
          </w:p>
        </w:tc>
        <w:tc>
          <w:tcPr>
            <w:tcW w:w="1660" w:type="dxa"/>
            <w:tcBorders>
              <w:top w:val="nil"/>
              <w:left w:val="nil"/>
              <w:bottom w:val="nil"/>
              <w:right w:val="nil"/>
            </w:tcBorders>
            <w:shd w:val="clear" w:color="000000" w:fill="EAEAEA"/>
            <w:noWrap/>
            <w:vAlign w:val="center"/>
            <w:hideMark/>
          </w:tcPr>
          <w:p w:rsidR="00EB783C" w:rsidRPr="00EB783C" w:rsidRDefault="00EB783C" w:rsidP="00EB783C">
            <w:pPr>
              <w:jc w:val="right"/>
              <w:rPr>
                <w:rFonts w:ascii="Arial" w:hAnsi="Arial" w:cs="Arial"/>
                <w:sz w:val="16"/>
                <w:szCs w:val="16"/>
              </w:rPr>
            </w:pPr>
            <w:r w:rsidRPr="00EB783C">
              <w:rPr>
                <w:rFonts w:ascii="Arial" w:hAnsi="Arial" w:cs="Arial"/>
                <w:sz w:val="16"/>
                <w:szCs w:val="16"/>
              </w:rPr>
              <w:t>151.9</w:t>
            </w:r>
          </w:p>
        </w:tc>
        <w:tc>
          <w:tcPr>
            <w:tcW w:w="1660" w:type="dxa"/>
            <w:tcBorders>
              <w:top w:val="nil"/>
              <w:left w:val="nil"/>
              <w:bottom w:val="nil"/>
              <w:right w:val="nil"/>
            </w:tcBorders>
            <w:shd w:val="clear" w:color="auto" w:fill="auto"/>
            <w:noWrap/>
            <w:vAlign w:val="center"/>
            <w:hideMark/>
          </w:tcPr>
          <w:p w:rsidR="00EB783C" w:rsidRPr="00EB783C" w:rsidRDefault="00EB783C" w:rsidP="00EB783C">
            <w:pPr>
              <w:jc w:val="right"/>
              <w:rPr>
                <w:rFonts w:ascii="Arial" w:hAnsi="Arial" w:cs="Arial"/>
                <w:sz w:val="16"/>
                <w:szCs w:val="16"/>
              </w:rPr>
            </w:pPr>
            <w:r w:rsidRPr="00EB783C">
              <w:rPr>
                <w:rFonts w:ascii="Arial" w:hAnsi="Arial" w:cs="Arial"/>
                <w:sz w:val="16"/>
                <w:szCs w:val="16"/>
              </w:rPr>
              <w:t>146.0</w:t>
            </w:r>
          </w:p>
        </w:tc>
        <w:tc>
          <w:tcPr>
            <w:tcW w:w="1660" w:type="dxa"/>
            <w:tcBorders>
              <w:top w:val="nil"/>
              <w:left w:val="nil"/>
              <w:bottom w:val="nil"/>
              <w:right w:val="nil"/>
            </w:tcBorders>
            <w:shd w:val="clear" w:color="auto" w:fill="auto"/>
            <w:noWrap/>
            <w:vAlign w:val="center"/>
            <w:hideMark/>
          </w:tcPr>
          <w:p w:rsidR="00EB783C" w:rsidRPr="00EB783C" w:rsidRDefault="00EB783C" w:rsidP="00EB783C">
            <w:pPr>
              <w:jc w:val="right"/>
              <w:rPr>
                <w:rFonts w:ascii="Arial" w:hAnsi="Arial" w:cs="Arial"/>
                <w:sz w:val="16"/>
                <w:szCs w:val="16"/>
              </w:rPr>
            </w:pPr>
            <w:r w:rsidRPr="00EB783C">
              <w:rPr>
                <w:rFonts w:ascii="Arial" w:hAnsi="Arial" w:cs="Arial"/>
                <w:sz w:val="16"/>
                <w:szCs w:val="16"/>
              </w:rPr>
              <w:t> </w:t>
            </w:r>
          </w:p>
        </w:tc>
      </w:tr>
      <w:tr w:rsidR="00EB783C" w:rsidRPr="00EB783C" w:rsidTr="00CD7E41">
        <w:trPr>
          <w:trHeight w:val="240"/>
        </w:trPr>
        <w:tc>
          <w:tcPr>
            <w:tcW w:w="720" w:type="dxa"/>
            <w:tcBorders>
              <w:top w:val="nil"/>
              <w:left w:val="nil"/>
              <w:bottom w:val="nil"/>
              <w:right w:val="nil"/>
            </w:tcBorders>
            <w:shd w:val="clear" w:color="auto" w:fill="auto"/>
            <w:noWrap/>
            <w:vAlign w:val="center"/>
            <w:hideMark/>
          </w:tcPr>
          <w:p w:rsidR="00EB783C" w:rsidRPr="00EB783C" w:rsidRDefault="00EB783C" w:rsidP="00EB783C">
            <w:pPr>
              <w:jc w:val="right"/>
              <w:rPr>
                <w:rFonts w:ascii="Arial" w:hAnsi="Arial" w:cs="Arial"/>
                <w:sz w:val="16"/>
                <w:szCs w:val="16"/>
              </w:rPr>
            </w:pPr>
          </w:p>
        </w:tc>
        <w:tc>
          <w:tcPr>
            <w:tcW w:w="4960" w:type="dxa"/>
            <w:tcBorders>
              <w:top w:val="nil"/>
              <w:left w:val="nil"/>
              <w:bottom w:val="nil"/>
              <w:right w:val="nil"/>
            </w:tcBorders>
            <w:shd w:val="clear" w:color="000000" w:fill="FFFFFF"/>
            <w:noWrap/>
            <w:vAlign w:val="center"/>
            <w:hideMark/>
          </w:tcPr>
          <w:p w:rsidR="00EB783C" w:rsidRPr="00EB783C" w:rsidRDefault="00EB783C" w:rsidP="00EB783C">
            <w:pPr>
              <w:rPr>
                <w:rFonts w:ascii="Arial" w:hAnsi="Arial" w:cs="Arial"/>
                <w:sz w:val="16"/>
                <w:szCs w:val="16"/>
              </w:rPr>
            </w:pPr>
            <w:r w:rsidRPr="00EB783C">
              <w:rPr>
                <w:rFonts w:ascii="Arial" w:hAnsi="Arial" w:cs="Arial"/>
                <w:sz w:val="16"/>
                <w:szCs w:val="16"/>
              </w:rPr>
              <w:t xml:space="preserve">Barclaycard Consumer UK </w:t>
            </w:r>
          </w:p>
        </w:tc>
        <w:tc>
          <w:tcPr>
            <w:tcW w:w="1660" w:type="dxa"/>
            <w:tcBorders>
              <w:top w:val="nil"/>
              <w:left w:val="nil"/>
              <w:bottom w:val="nil"/>
              <w:right w:val="nil"/>
            </w:tcBorders>
            <w:shd w:val="clear" w:color="000000" w:fill="EAEAEA"/>
            <w:noWrap/>
            <w:vAlign w:val="center"/>
            <w:hideMark/>
          </w:tcPr>
          <w:p w:rsidR="00EB783C" w:rsidRPr="00EB783C" w:rsidRDefault="00EB783C" w:rsidP="00EB783C">
            <w:pPr>
              <w:jc w:val="right"/>
              <w:rPr>
                <w:rFonts w:ascii="Arial" w:hAnsi="Arial" w:cs="Arial"/>
                <w:sz w:val="16"/>
                <w:szCs w:val="16"/>
              </w:rPr>
            </w:pPr>
            <w:r w:rsidRPr="00EB783C">
              <w:rPr>
                <w:rFonts w:ascii="Arial" w:hAnsi="Arial" w:cs="Arial"/>
                <w:sz w:val="16"/>
                <w:szCs w:val="16"/>
              </w:rPr>
              <w:t>14.7</w:t>
            </w:r>
          </w:p>
        </w:tc>
        <w:tc>
          <w:tcPr>
            <w:tcW w:w="1660" w:type="dxa"/>
            <w:tcBorders>
              <w:top w:val="nil"/>
              <w:left w:val="nil"/>
              <w:bottom w:val="nil"/>
              <w:right w:val="nil"/>
            </w:tcBorders>
            <w:shd w:val="clear" w:color="auto" w:fill="auto"/>
            <w:noWrap/>
            <w:vAlign w:val="center"/>
            <w:hideMark/>
          </w:tcPr>
          <w:p w:rsidR="00EB783C" w:rsidRPr="00EB783C" w:rsidRDefault="00EB783C" w:rsidP="00EB783C">
            <w:pPr>
              <w:jc w:val="right"/>
              <w:rPr>
                <w:rFonts w:ascii="Arial" w:hAnsi="Arial" w:cs="Arial"/>
                <w:sz w:val="16"/>
                <w:szCs w:val="16"/>
              </w:rPr>
            </w:pPr>
            <w:r w:rsidRPr="00EB783C">
              <w:rPr>
                <w:rFonts w:ascii="Arial" w:hAnsi="Arial" w:cs="Arial"/>
                <w:sz w:val="16"/>
                <w:szCs w:val="16"/>
              </w:rPr>
              <w:t>15.3</w:t>
            </w:r>
          </w:p>
        </w:tc>
        <w:tc>
          <w:tcPr>
            <w:tcW w:w="1660" w:type="dxa"/>
            <w:tcBorders>
              <w:top w:val="nil"/>
              <w:left w:val="nil"/>
              <w:bottom w:val="nil"/>
              <w:right w:val="nil"/>
            </w:tcBorders>
            <w:shd w:val="clear" w:color="auto" w:fill="auto"/>
            <w:noWrap/>
            <w:vAlign w:val="center"/>
            <w:hideMark/>
          </w:tcPr>
          <w:p w:rsidR="00EB783C" w:rsidRPr="00EB783C" w:rsidRDefault="00EB783C" w:rsidP="00EB783C">
            <w:pPr>
              <w:jc w:val="right"/>
              <w:rPr>
                <w:rFonts w:ascii="Arial" w:hAnsi="Arial" w:cs="Arial"/>
                <w:sz w:val="16"/>
                <w:szCs w:val="16"/>
              </w:rPr>
            </w:pPr>
          </w:p>
        </w:tc>
      </w:tr>
      <w:tr w:rsidR="00EB783C" w:rsidRPr="00EB783C" w:rsidTr="00CD7E41">
        <w:trPr>
          <w:trHeight w:val="240"/>
        </w:trPr>
        <w:tc>
          <w:tcPr>
            <w:tcW w:w="720" w:type="dxa"/>
            <w:tcBorders>
              <w:top w:val="nil"/>
              <w:left w:val="nil"/>
              <w:bottom w:val="nil"/>
              <w:right w:val="nil"/>
            </w:tcBorders>
            <w:shd w:val="clear" w:color="auto" w:fill="auto"/>
            <w:noWrap/>
            <w:vAlign w:val="center"/>
            <w:hideMark/>
          </w:tcPr>
          <w:p w:rsidR="00EB783C" w:rsidRPr="00EB783C" w:rsidRDefault="00EB783C" w:rsidP="00EB783C">
            <w:pPr>
              <w:jc w:val="right"/>
            </w:pPr>
          </w:p>
        </w:tc>
        <w:tc>
          <w:tcPr>
            <w:tcW w:w="4960" w:type="dxa"/>
            <w:tcBorders>
              <w:top w:val="nil"/>
              <w:left w:val="nil"/>
              <w:bottom w:val="single" w:sz="4" w:space="0" w:color="969696"/>
              <w:right w:val="nil"/>
            </w:tcBorders>
            <w:shd w:val="clear" w:color="000000" w:fill="FFFFFF"/>
            <w:vAlign w:val="center"/>
            <w:hideMark/>
          </w:tcPr>
          <w:p w:rsidR="00EB783C" w:rsidRPr="00EB783C" w:rsidRDefault="00EB783C" w:rsidP="00EB783C">
            <w:pPr>
              <w:rPr>
                <w:rFonts w:ascii="Arial" w:hAnsi="Arial" w:cs="Arial"/>
                <w:sz w:val="16"/>
                <w:szCs w:val="16"/>
              </w:rPr>
            </w:pPr>
            <w:r w:rsidRPr="00EB783C">
              <w:rPr>
                <w:rFonts w:ascii="Arial" w:hAnsi="Arial" w:cs="Arial"/>
                <w:sz w:val="16"/>
                <w:szCs w:val="16"/>
              </w:rPr>
              <w:t>Business Banking</w:t>
            </w:r>
          </w:p>
        </w:tc>
        <w:tc>
          <w:tcPr>
            <w:tcW w:w="1660" w:type="dxa"/>
            <w:tcBorders>
              <w:top w:val="nil"/>
              <w:left w:val="nil"/>
              <w:bottom w:val="single" w:sz="4" w:space="0" w:color="969696"/>
              <w:right w:val="nil"/>
            </w:tcBorders>
            <w:shd w:val="clear" w:color="000000" w:fill="EAEAEA"/>
            <w:noWrap/>
            <w:vAlign w:val="center"/>
            <w:hideMark/>
          </w:tcPr>
          <w:p w:rsidR="00EB783C" w:rsidRPr="00EB783C" w:rsidRDefault="00EB783C" w:rsidP="00EB783C">
            <w:pPr>
              <w:jc w:val="right"/>
              <w:rPr>
                <w:rFonts w:ascii="Arial" w:hAnsi="Arial" w:cs="Arial"/>
                <w:sz w:val="16"/>
                <w:szCs w:val="16"/>
              </w:rPr>
            </w:pPr>
            <w:r w:rsidRPr="00EB783C">
              <w:rPr>
                <w:rFonts w:ascii="Arial" w:hAnsi="Arial" w:cs="Arial"/>
                <w:sz w:val="16"/>
                <w:szCs w:val="16"/>
              </w:rPr>
              <w:t>27.1</w:t>
            </w:r>
          </w:p>
        </w:tc>
        <w:tc>
          <w:tcPr>
            <w:tcW w:w="1660" w:type="dxa"/>
            <w:tcBorders>
              <w:top w:val="nil"/>
              <w:left w:val="nil"/>
              <w:bottom w:val="single" w:sz="4" w:space="0" w:color="969696"/>
              <w:right w:val="nil"/>
            </w:tcBorders>
            <w:shd w:val="clear" w:color="auto" w:fill="auto"/>
            <w:noWrap/>
            <w:vAlign w:val="center"/>
            <w:hideMark/>
          </w:tcPr>
          <w:p w:rsidR="00EB783C" w:rsidRPr="00EB783C" w:rsidRDefault="00EB783C" w:rsidP="00EB783C">
            <w:pPr>
              <w:jc w:val="right"/>
              <w:rPr>
                <w:rFonts w:ascii="Arial" w:hAnsi="Arial" w:cs="Arial"/>
                <w:sz w:val="16"/>
                <w:szCs w:val="16"/>
              </w:rPr>
            </w:pPr>
            <w:r w:rsidRPr="00EB783C">
              <w:rPr>
                <w:rFonts w:ascii="Arial" w:hAnsi="Arial" w:cs="Arial"/>
                <w:sz w:val="16"/>
                <w:szCs w:val="16"/>
              </w:rPr>
              <w:t>26.3</w:t>
            </w:r>
          </w:p>
        </w:tc>
        <w:tc>
          <w:tcPr>
            <w:tcW w:w="1660" w:type="dxa"/>
            <w:tcBorders>
              <w:top w:val="nil"/>
              <w:left w:val="nil"/>
              <w:bottom w:val="single" w:sz="4" w:space="0" w:color="969696"/>
              <w:right w:val="nil"/>
            </w:tcBorders>
            <w:shd w:val="clear" w:color="auto" w:fill="auto"/>
            <w:noWrap/>
            <w:vAlign w:val="center"/>
            <w:hideMark/>
          </w:tcPr>
          <w:p w:rsidR="00EB783C" w:rsidRPr="00EB783C" w:rsidRDefault="00EB783C" w:rsidP="00EB783C">
            <w:pPr>
              <w:jc w:val="right"/>
              <w:rPr>
                <w:rFonts w:ascii="Arial" w:hAnsi="Arial" w:cs="Arial"/>
                <w:sz w:val="16"/>
                <w:szCs w:val="16"/>
              </w:rPr>
            </w:pPr>
            <w:r w:rsidRPr="00EB783C">
              <w:rPr>
                <w:rFonts w:ascii="Arial" w:hAnsi="Arial" w:cs="Arial"/>
                <w:sz w:val="16"/>
                <w:szCs w:val="16"/>
              </w:rPr>
              <w:t> </w:t>
            </w:r>
          </w:p>
        </w:tc>
      </w:tr>
      <w:tr w:rsidR="00EB783C" w:rsidRPr="00EB783C" w:rsidTr="00CD7E41">
        <w:trPr>
          <w:trHeight w:val="240"/>
        </w:trPr>
        <w:tc>
          <w:tcPr>
            <w:tcW w:w="720" w:type="dxa"/>
            <w:tcBorders>
              <w:top w:val="nil"/>
              <w:left w:val="nil"/>
              <w:bottom w:val="nil"/>
              <w:right w:val="nil"/>
            </w:tcBorders>
            <w:shd w:val="clear" w:color="auto" w:fill="auto"/>
            <w:noWrap/>
            <w:vAlign w:val="center"/>
            <w:hideMark/>
          </w:tcPr>
          <w:p w:rsidR="00EB783C" w:rsidRPr="00EB783C" w:rsidRDefault="00EB783C" w:rsidP="00EB783C">
            <w:pPr>
              <w:jc w:val="right"/>
              <w:rPr>
                <w:rFonts w:ascii="Arial" w:hAnsi="Arial" w:cs="Arial"/>
                <w:sz w:val="16"/>
                <w:szCs w:val="16"/>
              </w:rPr>
            </w:pPr>
          </w:p>
        </w:tc>
        <w:tc>
          <w:tcPr>
            <w:tcW w:w="4960" w:type="dxa"/>
            <w:tcBorders>
              <w:top w:val="nil"/>
              <w:left w:val="nil"/>
              <w:bottom w:val="nil"/>
              <w:right w:val="nil"/>
            </w:tcBorders>
            <w:shd w:val="clear" w:color="000000" w:fill="FFFFFF"/>
            <w:noWrap/>
            <w:vAlign w:val="center"/>
            <w:hideMark/>
          </w:tcPr>
          <w:p w:rsidR="00EB783C" w:rsidRPr="00EB783C" w:rsidRDefault="00EB783C" w:rsidP="00EB783C">
            <w:pPr>
              <w:rPr>
                <w:rFonts w:ascii="Arial" w:hAnsi="Arial" w:cs="Arial"/>
                <w:b/>
                <w:bCs/>
                <w:sz w:val="16"/>
                <w:szCs w:val="16"/>
              </w:rPr>
            </w:pPr>
            <w:r w:rsidRPr="00EB783C">
              <w:rPr>
                <w:rFonts w:ascii="Arial" w:hAnsi="Arial" w:cs="Arial"/>
                <w:b/>
                <w:bCs/>
                <w:sz w:val="16"/>
                <w:szCs w:val="16"/>
              </w:rPr>
              <w:t>Total loans and advances to customers at amortised cost</w:t>
            </w:r>
          </w:p>
        </w:tc>
        <w:tc>
          <w:tcPr>
            <w:tcW w:w="1660" w:type="dxa"/>
            <w:tcBorders>
              <w:top w:val="nil"/>
              <w:left w:val="nil"/>
              <w:bottom w:val="nil"/>
              <w:right w:val="nil"/>
            </w:tcBorders>
            <w:shd w:val="clear" w:color="000000" w:fill="EAEAEA"/>
            <w:noWrap/>
            <w:vAlign w:val="center"/>
            <w:hideMark/>
          </w:tcPr>
          <w:p w:rsidR="00EB783C" w:rsidRPr="00EB783C" w:rsidRDefault="00EB783C" w:rsidP="00EB783C">
            <w:pPr>
              <w:jc w:val="right"/>
              <w:rPr>
                <w:rFonts w:ascii="Arial" w:hAnsi="Arial" w:cs="Arial"/>
                <w:b/>
                <w:bCs/>
                <w:sz w:val="16"/>
                <w:szCs w:val="16"/>
              </w:rPr>
            </w:pPr>
            <w:r w:rsidRPr="00EB783C">
              <w:rPr>
                <w:rFonts w:ascii="Arial" w:hAnsi="Arial" w:cs="Arial"/>
                <w:b/>
                <w:bCs/>
                <w:sz w:val="16"/>
                <w:szCs w:val="16"/>
              </w:rPr>
              <w:t>193.7</w:t>
            </w:r>
          </w:p>
        </w:tc>
        <w:tc>
          <w:tcPr>
            <w:tcW w:w="1660" w:type="dxa"/>
            <w:tcBorders>
              <w:top w:val="nil"/>
              <w:left w:val="nil"/>
              <w:bottom w:val="nil"/>
              <w:right w:val="nil"/>
            </w:tcBorders>
            <w:shd w:val="clear" w:color="auto" w:fill="auto"/>
            <w:noWrap/>
            <w:vAlign w:val="center"/>
            <w:hideMark/>
          </w:tcPr>
          <w:p w:rsidR="00EB783C" w:rsidRPr="00EB783C" w:rsidRDefault="00EB783C" w:rsidP="00EB783C">
            <w:pPr>
              <w:jc w:val="right"/>
              <w:rPr>
                <w:rFonts w:ascii="Arial" w:hAnsi="Arial" w:cs="Arial"/>
                <w:b/>
                <w:bCs/>
                <w:sz w:val="16"/>
                <w:szCs w:val="16"/>
              </w:rPr>
            </w:pPr>
            <w:r w:rsidRPr="00EB783C">
              <w:rPr>
                <w:rFonts w:ascii="Arial" w:hAnsi="Arial" w:cs="Arial"/>
                <w:b/>
                <w:bCs/>
                <w:sz w:val="16"/>
                <w:szCs w:val="16"/>
              </w:rPr>
              <w:t>187.6</w:t>
            </w:r>
          </w:p>
        </w:tc>
        <w:tc>
          <w:tcPr>
            <w:tcW w:w="1660" w:type="dxa"/>
            <w:tcBorders>
              <w:top w:val="nil"/>
              <w:left w:val="nil"/>
              <w:bottom w:val="nil"/>
              <w:right w:val="nil"/>
            </w:tcBorders>
            <w:shd w:val="clear" w:color="auto" w:fill="auto"/>
            <w:noWrap/>
            <w:vAlign w:val="center"/>
            <w:hideMark/>
          </w:tcPr>
          <w:p w:rsidR="00EB783C" w:rsidRPr="00EB783C" w:rsidRDefault="00EB783C" w:rsidP="00EB783C">
            <w:pPr>
              <w:jc w:val="right"/>
              <w:rPr>
                <w:rFonts w:ascii="Arial" w:hAnsi="Arial" w:cs="Arial"/>
                <w:b/>
                <w:bCs/>
                <w:sz w:val="16"/>
                <w:szCs w:val="16"/>
              </w:rPr>
            </w:pPr>
            <w:r w:rsidRPr="00EB783C">
              <w:rPr>
                <w:rFonts w:ascii="Arial" w:hAnsi="Arial" w:cs="Arial"/>
                <w:b/>
                <w:bCs/>
                <w:sz w:val="16"/>
                <w:szCs w:val="16"/>
              </w:rPr>
              <w:t> </w:t>
            </w:r>
          </w:p>
        </w:tc>
      </w:tr>
      <w:tr w:rsidR="00EB783C" w:rsidRPr="00EB783C" w:rsidTr="00CD7E41">
        <w:trPr>
          <w:trHeight w:val="240"/>
        </w:trPr>
        <w:tc>
          <w:tcPr>
            <w:tcW w:w="720" w:type="dxa"/>
            <w:tcBorders>
              <w:top w:val="nil"/>
              <w:left w:val="nil"/>
              <w:bottom w:val="nil"/>
              <w:right w:val="nil"/>
            </w:tcBorders>
            <w:shd w:val="clear" w:color="auto" w:fill="auto"/>
            <w:noWrap/>
            <w:vAlign w:val="center"/>
            <w:hideMark/>
          </w:tcPr>
          <w:p w:rsidR="00EB783C" w:rsidRPr="00EB783C" w:rsidRDefault="00EB783C" w:rsidP="00EB783C">
            <w:pPr>
              <w:jc w:val="right"/>
              <w:rPr>
                <w:rFonts w:ascii="Arial" w:hAnsi="Arial" w:cs="Arial"/>
                <w:b/>
                <w:bCs/>
                <w:sz w:val="16"/>
                <w:szCs w:val="16"/>
              </w:rPr>
            </w:pPr>
          </w:p>
        </w:tc>
        <w:tc>
          <w:tcPr>
            <w:tcW w:w="4960" w:type="dxa"/>
            <w:tcBorders>
              <w:top w:val="nil"/>
              <w:left w:val="nil"/>
              <w:bottom w:val="nil"/>
              <w:right w:val="nil"/>
            </w:tcBorders>
            <w:shd w:val="clear" w:color="000000" w:fill="FFFFFF"/>
            <w:noWrap/>
            <w:vAlign w:val="center"/>
            <w:hideMark/>
          </w:tcPr>
          <w:p w:rsidR="00EB783C" w:rsidRPr="00EB783C" w:rsidRDefault="00EB783C" w:rsidP="00EB783C">
            <w:pPr>
              <w:rPr>
                <w:rFonts w:ascii="Arial" w:hAnsi="Arial" w:cs="Arial"/>
                <w:b/>
                <w:bCs/>
                <w:sz w:val="16"/>
                <w:szCs w:val="16"/>
              </w:rPr>
            </w:pPr>
            <w:r w:rsidRPr="00EB783C">
              <w:rPr>
                <w:rFonts w:ascii="Arial" w:hAnsi="Arial" w:cs="Arial"/>
                <w:b/>
                <w:bCs/>
                <w:sz w:val="16"/>
                <w:szCs w:val="16"/>
              </w:rPr>
              <w:t> </w:t>
            </w:r>
          </w:p>
        </w:tc>
        <w:tc>
          <w:tcPr>
            <w:tcW w:w="1660" w:type="dxa"/>
            <w:tcBorders>
              <w:top w:val="nil"/>
              <w:left w:val="nil"/>
              <w:bottom w:val="nil"/>
              <w:right w:val="nil"/>
            </w:tcBorders>
            <w:shd w:val="clear" w:color="auto" w:fill="auto"/>
            <w:noWrap/>
            <w:vAlign w:val="center"/>
            <w:hideMark/>
          </w:tcPr>
          <w:p w:rsidR="00EB783C" w:rsidRPr="00EB783C" w:rsidRDefault="00EB783C" w:rsidP="00EB783C">
            <w:pPr>
              <w:rPr>
                <w:rFonts w:ascii="Arial" w:hAnsi="Arial" w:cs="Arial"/>
                <w:b/>
                <w:bCs/>
                <w:sz w:val="16"/>
                <w:szCs w:val="16"/>
              </w:rPr>
            </w:pPr>
          </w:p>
        </w:tc>
        <w:tc>
          <w:tcPr>
            <w:tcW w:w="1660" w:type="dxa"/>
            <w:tcBorders>
              <w:top w:val="nil"/>
              <w:left w:val="nil"/>
              <w:bottom w:val="nil"/>
              <w:right w:val="nil"/>
            </w:tcBorders>
            <w:shd w:val="clear" w:color="auto" w:fill="auto"/>
            <w:noWrap/>
            <w:vAlign w:val="center"/>
            <w:hideMark/>
          </w:tcPr>
          <w:p w:rsidR="00EB783C" w:rsidRPr="00EB783C" w:rsidRDefault="00EB783C" w:rsidP="00EB783C">
            <w:pPr>
              <w:jc w:val="right"/>
            </w:pPr>
          </w:p>
        </w:tc>
        <w:tc>
          <w:tcPr>
            <w:tcW w:w="1660" w:type="dxa"/>
            <w:tcBorders>
              <w:top w:val="nil"/>
              <w:left w:val="nil"/>
              <w:bottom w:val="nil"/>
              <w:right w:val="nil"/>
            </w:tcBorders>
            <w:shd w:val="clear" w:color="auto" w:fill="auto"/>
            <w:noWrap/>
            <w:vAlign w:val="center"/>
            <w:hideMark/>
          </w:tcPr>
          <w:p w:rsidR="00EB783C" w:rsidRPr="00EB783C" w:rsidRDefault="00EB783C" w:rsidP="00EB783C">
            <w:pPr>
              <w:jc w:val="right"/>
            </w:pPr>
          </w:p>
        </w:tc>
      </w:tr>
      <w:tr w:rsidR="00EB783C" w:rsidRPr="00EB783C" w:rsidTr="00CD7E41">
        <w:trPr>
          <w:trHeight w:val="240"/>
        </w:trPr>
        <w:tc>
          <w:tcPr>
            <w:tcW w:w="720" w:type="dxa"/>
            <w:tcBorders>
              <w:top w:val="nil"/>
              <w:left w:val="nil"/>
              <w:bottom w:val="nil"/>
              <w:right w:val="nil"/>
            </w:tcBorders>
            <w:shd w:val="clear" w:color="auto" w:fill="auto"/>
            <w:noWrap/>
            <w:vAlign w:val="center"/>
            <w:hideMark/>
          </w:tcPr>
          <w:p w:rsidR="00EB783C" w:rsidRPr="00EB783C" w:rsidRDefault="00EB783C" w:rsidP="00EB783C">
            <w:pPr>
              <w:jc w:val="right"/>
            </w:pPr>
          </w:p>
        </w:tc>
        <w:tc>
          <w:tcPr>
            <w:tcW w:w="4960" w:type="dxa"/>
            <w:tcBorders>
              <w:top w:val="nil"/>
              <w:left w:val="nil"/>
              <w:bottom w:val="single" w:sz="4" w:space="0" w:color="969696"/>
              <w:right w:val="nil"/>
            </w:tcBorders>
            <w:shd w:val="clear" w:color="auto" w:fill="auto"/>
            <w:noWrap/>
            <w:vAlign w:val="center"/>
            <w:hideMark/>
          </w:tcPr>
          <w:p w:rsidR="00EB783C" w:rsidRPr="00EB783C" w:rsidRDefault="00EB783C" w:rsidP="00EB783C">
            <w:pPr>
              <w:rPr>
                <w:rFonts w:ascii="Arial" w:hAnsi="Arial" w:cs="Arial"/>
                <w:b/>
                <w:bCs/>
                <w:sz w:val="16"/>
                <w:szCs w:val="16"/>
              </w:rPr>
            </w:pPr>
            <w:r w:rsidRPr="00EB783C">
              <w:rPr>
                <w:rFonts w:ascii="Arial" w:hAnsi="Arial" w:cs="Arial"/>
                <w:b/>
                <w:bCs/>
                <w:sz w:val="16"/>
                <w:szCs w:val="16"/>
              </w:rPr>
              <w:t>Analysis of customer deposits at amortised cost</w:t>
            </w:r>
          </w:p>
        </w:tc>
        <w:tc>
          <w:tcPr>
            <w:tcW w:w="1660" w:type="dxa"/>
            <w:tcBorders>
              <w:top w:val="nil"/>
              <w:left w:val="nil"/>
              <w:bottom w:val="single" w:sz="4" w:space="0" w:color="969696"/>
              <w:right w:val="nil"/>
            </w:tcBorders>
            <w:shd w:val="clear" w:color="auto" w:fill="auto"/>
            <w:noWrap/>
            <w:vAlign w:val="center"/>
            <w:hideMark/>
          </w:tcPr>
          <w:p w:rsidR="00EB783C" w:rsidRPr="00EB783C" w:rsidRDefault="00EB783C" w:rsidP="00EB783C">
            <w:pPr>
              <w:jc w:val="right"/>
              <w:rPr>
                <w:rFonts w:ascii="Arial" w:hAnsi="Arial" w:cs="Arial"/>
                <w:sz w:val="16"/>
                <w:szCs w:val="16"/>
              </w:rPr>
            </w:pPr>
            <w:r w:rsidRPr="00EB783C">
              <w:rPr>
                <w:rFonts w:ascii="Arial" w:hAnsi="Arial" w:cs="Arial"/>
                <w:sz w:val="16"/>
                <w:szCs w:val="16"/>
              </w:rPr>
              <w:t> </w:t>
            </w:r>
          </w:p>
        </w:tc>
        <w:tc>
          <w:tcPr>
            <w:tcW w:w="1660" w:type="dxa"/>
            <w:tcBorders>
              <w:top w:val="nil"/>
              <w:left w:val="nil"/>
              <w:bottom w:val="single" w:sz="4" w:space="0" w:color="969696"/>
              <w:right w:val="nil"/>
            </w:tcBorders>
            <w:shd w:val="clear" w:color="auto" w:fill="auto"/>
            <w:noWrap/>
            <w:vAlign w:val="center"/>
            <w:hideMark/>
          </w:tcPr>
          <w:p w:rsidR="00EB783C" w:rsidRPr="00EB783C" w:rsidRDefault="00EB783C" w:rsidP="00EB783C">
            <w:pPr>
              <w:jc w:val="right"/>
              <w:rPr>
                <w:rFonts w:ascii="Arial" w:hAnsi="Arial" w:cs="Arial"/>
                <w:sz w:val="16"/>
                <w:szCs w:val="16"/>
              </w:rPr>
            </w:pPr>
            <w:r w:rsidRPr="00EB783C">
              <w:rPr>
                <w:rFonts w:ascii="Arial" w:hAnsi="Arial" w:cs="Arial"/>
                <w:sz w:val="16"/>
                <w:szCs w:val="16"/>
              </w:rPr>
              <w:t> </w:t>
            </w:r>
          </w:p>
        </w:tc>
        <w:tc>
          <w:tcPr>
            <w:tcW w:w="1660" w:type="dxa"/>
            <w:tcBorders>
              <w:top w:val="nil"/>
              <w:left w:val="nil"/>
              <w:bottom w:val="single" w:sz="4" w:space="0" w:color="969696"/>
              <w:right w:val="nil"/>
            </w:tcBorders>
            <w:shd w:val="clear" w:color="auto" w:fill="auto"/>
            <w:noWrap/>
            <w:vAlign w:val="center"/>
            <w:hideMark/>
          </w:tcPr>
          <w:p w:rsidR="00EB783C" w:rsidRPr="00EB783C" w:rsidRDefault="00EB783C" w:rsidP="00EB783C">
            <w:pPr>
              <w:jc w:val="right"/>
              <w:rPr>
                <w:rFonts w:ascii="Arial" w:hAnsi="Arial" w:cs="Arial"/>
                <w:sz w:val="16"/>
                <w:szCs w:val="16"/>
              </w:rPr>
            </w:pPr>
            <w:r w:rsidRPr="00EB783C">
              <w:rPr>
                <w:rFonts w:ascii="Arial" w:hAnsi="Arial" w:cs="Arial"/>
                <w:sz w:val="16"/>
                <w:szCs w:val="16"/>
              </w:rPr>
              <w:t> </w:t>
            </w:r>
          </w:p>
        </w:tc>
      </w:tr>
      <w:tr w:rsidR="00EB783C" w:rsidRPr="00EB783C" w:rsidTr="00CD7E41">
        <w:trPr>
          <w:trHeight w:val="240"/>
        </w:trPr>
        <w:tc>
          <w:tcPr>
            <w:tcW w:w="720" w:type="dxa"/>
            <w:tcBorders>
              <w:top w:val="nil"/>
              <w:left w:val="nil"/>
              <w:bottom w:val="nil"/>
              <w:right w:val="nil"/>
            </w:tcBorders>
            <w:shd w:val="clear" w:color="auto" w:fill="auto"/>
            <w:noWrap/>
            <w:vAlign w:val="center"/>
            <w:hideMark/>
          </w:tcPr>
          <w:p w:rsidR="00EB783C" w:rsidRPr="00EB783C" w:rsidRDefault="00EB783C" w:rsidP="00EB783C">
            <w:pPr>
              <w:jc w:val="right"/>
              <w:rPr>
                <w:rFonts w:ascii="Arial" w:hAnsi="Arial" w:cs="Arial"/>
                <w:sz w:val="16"/>
                <w:szCs w:val="16"/>
              </w:rPr>
            </w:pPr>
          </w:p>
        </w:tc>
        <w:tc>
          <w:tcPr>
            <w:tcW w:w="4960" w:type="dxa"/>
            <w:tcBorders>
              <w:top w:val="nil"/>
              <w:left w:val="nil"/>
              <w:bottom w:val="nil"/>
              <w:right w:val="nil"/>
            </w:tcBorders>
            <w:shd w:val="clear" w:color="000000" w:fill="FFFFFF"/>
            <w:noWrap/>
            <w:vAlign w:val="center"/>
            <w:hideMark/>
          </w:tcPr>
          <w:p w:rsidR="00EB783C" w:rsidRPr="00EB783C" w:rsidRDefault="00EB783C" w:rsidP="00EB783C">
            <w:pPr>
              <w:rPr>
                <w:rFonts w:ascii="Arial" w:hAnsi="Arial" w:cs="Arial"/>
                <w:sz w:val="16"/>
                <w:szCs w:val="16"/>
              </w:rPr>
            </w:pPr>
            <w:r w:rsidRPr="00EB783C">
              <w:rPr>
                <w:rFonts w:ascii="Arial" w:hAnsi="Arial" w:cs="Arial"/>
                <w:sz w:val="16"/>
                <w:szCs w:val="16"/>
              </w:rPr>
              <w:t>Personal Banking</w:t>
            </w:r>
          </w:p>
        </w:tc>
        <w:tc>
          <w:tcPr>
            <w:tcW w:w="1660" w:type="dxa"/>
            <w:tcBorders>
              <w:top w:val="nil"/>
              <w:left w:val="nil"/>
              <w:bottom w:val="nil"/>
              <w:right w:val="nil"/>
            </w:tcBorders>
            <w:shd w:val="clear" w:color="000000" w:fill="EAEAEA"/>
            <w:noWrap/>
            <w:vAlign w:val="center"/>
            <w:hideMark/>
          </w:tcPr>
          <w:p w:rsidR="00EB783C" w:rsidRPr="00EB783C" w:rsidRDefault="00EB783C" w:rsidP="00EB783C">
            <w:pPr>
              <w:jc w:val="right"/>
              <w:rPr>
                <w:rFonts w:ascii="Arial" w:hAnsi="Arial" w:cs="Arial"/>
                <w:sz w:val="16"/>
                <w:szCs w:val="16"/>
              </w:rPr>
            </w:pPr>
            <w:r w:rsidRPr="00EB783C">
              <w:rPr>
                <w:rFonts w:ascii="Arial" w:hAnsi="Arial" w:cs="Arial"/>
                <w:sz w:val="16"/>
                <w:szCs w:val="16"/>
              </w:rPr>
              <w:t>159.2</w:t>
            </w:r>
          </w:p>
        </w:tc>
        <w:tc>
          <w:tcPr>
            <w:tcW w:w="1660" w:type="dxa"/>
            <w:tcBorders>
              <w:top w:val="nil"/>
              <w:left w:val="nil"/>
              <w:bottom w:val="nil"/>
              <w:right w:val="nil"/>
            </w:tcBorders>
            <w:shd w:val="clear" w:color="auto" w:fill="auto"/>
            <w:noWrap/>
            <w:vAlign w:val="center"/>
            <w:hideMark/>
          </w:tcPr>
          <w:p w:rsidR="00EB783C" w:rsidRPr="00EB783C" w:rsidRDefault="00EB783C" w:rsidP="00EB783C">
            <w:pPr>
              <w:jc w:val="right"/>
              <w:rPr>
                <w:rFonts w:ascii="Arial" w:hAnsi="Arial" w:cs="Arial"/>
                <w:sz w:val="16"/>
                <w:szCs w:val="16"/>
              </w:rPr>
            </w:pPr>
            <w:r w:rsidRPr="00EB783C">
              <w:rPr>
                <w:rFonts w:ascii="Arial" w:hAnsi="Arial" w:cs="Arial"/>
                <w:sz w:val="16"/>
                <w:szCs w:val="16"/>
              </w:rPr>
              <w:t>154.0</w:t>
            </w:r>
          </w:p>
        </w:tc>
        <w:tc>
          <w:tcPr>
            <w:tcW w:w="1660" w:type="dxa"/>
            <w:tcBorders>
              <w:top w:val="nil"/>
              <w:left w:val="nil"/>
              <w:bottom w:val="nil"/>
              <w:right w:val="nil"/>
            </w:tcBorders>
            <w:shd w:val="clear" w:color="auto" w:fill="auto"/>
            <w:noWrap/>
            <w:vAlign w:val="center"/>
            <w:hideMark/>
          </w:tcPr>
          <w:p w:rsidR="00EB783C" w:rsidRPr="00EB783C" w:rsidRDefault="00EB783C" w:rsidP="00EB783C">
            <w:pPr>
              <w:jc w:val="right"/>
              <w:rPr>
                <w:rFonts w:ascii="Arial" w:hAnsi="Arial" w:cs="Arial"/>
                <w:sz w:val="16"/>
                <w:szCs w:val="16"/>
              </w:rPr>
            </w:pPr>
            <w:r w:rsidRPr="00EB783C">
              <w:rPr>
                <w:rFonts w:ascii="Arial" w:hAnsi="Arial" w:cs="Arial"/>
                <w:sz w:val="16"/>
                <w:szCs w:val="16"/>
              </w:rPr>
              <w:t> </w:t>
            </w:r>
          </w:p>
        </w:tc>
      </w:tr>
      <w:tr w:rsidR="00EB783C" w:rsidRPr="00EB783C" w:rsidTr="00CD7E41">
        <w:trPr>
          <w:trHeight w:val="240"/>
        </w:trPr>
        <w:tc>
          <w:tcPr>
            <w:tcW w:w="720" w:type="dxa"/>
            <w:tcBorders>
              <w:top w:val="nil"/>
              <w:left w:val="nil"/>
              <w:bottom w:val="nil"/>
              <w:right w:val="nil"/>
            </w:tcBorders>
            <w:shd w:val="clear" w:color="auto" w:fill="auto"/>
            <w:noWrap/>
            <w:vAlign w:val="center"/>
            <w:hideMark/>
          </w:tcPr>
          <w:p w:rsidR="00EB783C" w:rsidRPr="00EB783C" w:rsidRDefault="00EB783C" w:rsidP="00EB783C">
            <w:pPr>
              <w:jc w:val="right"/>
              <w:rPr>
                <w:rFonts w:ascii="Arial" w:hAnsi="Arial" w:cs="Arial"/>
                <w:sz w:val="16"/>
                <w:szCs w:val="16"/>
              </w:rPr>
            </w:pPr>
          </w:p>
        </w:tc>
        <w:tc>
          <w:tcPr>
            <w:tcW w:w="4960" w:type="dxa"/>
            <w:tcBorders>
              <w:top w:val="nil"/>
              <w:left w:val="nil"/>
              <w:bottom w:val="nil"/>
              <w:right w:val="nil"/>
            </w:tcBorders>
            <w:shd w:val="clear" w:color="000000" w:fill="FFFFFF"/>
            <w:noWrap/>
            <w:vAlign w:val="center"/>
            <w:hideMark/>
          </w:tcPr>
          <w:p w:rsidR="00EB783C" w:rsidRPr="00EB783C" w:rsidRDefault="00EB783C" w:rsidP="00EB783C">
            <w:pPr>
              <w:rPr>
                <w:rFonts w:ascii="Arial" w:hAnsi="Arial" w:cs="Arial"/>
                <w:sz w:val="16"/>
                <w:szCs w:val="16"/>
              </w:rPr>
            </w:pPr>
            <w:r w:rsidRPr="00EB783C">
              <w:rPr>
                <w:rFonts w:ascii="Arial" w:hAnsi="Arial" w:cs="Arial"/>
                <w:sz w:val="16"/>
                <w:szCs w:val="16"/>
              </w:rPr>
              <w:t xml:space="preserve">Barclaycard Consumer UK </w:t>
            </w:r>
          </w:p>
        </w:tc>
        <w:tc>
          <w:tcPr>
            <w:tcW w:w="1660" w:type="dxa"/>
            <w:tcBorders>
              <w:top w:val="nil"/>
              <w:left w:val="nil"/>
              <w:bottom w:val="nil"/>
              <w:right w:val="nil"/>
            </w:tcBorders>
            <w:shd w:val="clear" w:color="000000" w:fill="EAEAEA"/>
            <w:noWrap/>
            <w:vAlign w:val="center"/>
            <w:hideMark/>
          </w:tcPr>
          <w:p w:rsidR="00EB783C" w:rsidRPr="00EB783C" w:rsidRDefault="00EB783C" w:rsidP="00EB783C">
            <w:pPr>
              <w:jc w:val="right"/>
              <w:rPr>
                <w:rFonts w:ascii="Arial" w:hAnsi="Arial" w:cs="Arial"/>
                <w:sz w:val="16"/>
                <w:szCs w:val="16"/>
              </w:rPr>
            </w:pPr>
            <w:r w:rsidRPr="00EB783C">
              <w:rPr>
                <w:rFonts w:ascii="Arial" w:hAnsi="Arial" w:cs="Arial"/>
                <w:sz w:val="16"/>
                <w:szCs w:val="16"/>
              </w:rPr>
              <w:t>-</w:t>
            </w:r>
          </w:p>
        </w:tc>
        <w:tc>
          <w:tcPr>
            <w:tcW w:w="1660" w:type="dxa"/>
            <w:tcBorders>
              <w:top w:val="nil"/>
              <w:left w:val="nil"/>
              <w:bottom w:val="nil"/>
              <w:right w:val="nil"/>
            </w:tcBorders>
            <w:shd w:val="clear" w:color="auto" w:fill="auto"/>
            <w:noWrap/>
            <w:vAlign w:val="center"/>
            <w:hideMark/>
          </w:tcPr>
          <w:p w:rsidR="00EB783C" w:rsidRPr="00EB783C" w:rsidRDefault="00EB783C" w:rsidP="00EB783C">
            <w:pPr>
              <w:jc w:val="right"/>
              <w:rPr>
                <w:rFonts w:ascii="Arial" w:hAnsi="Arial" w:cs="Arial"/>
                <w:sz w:val="16"/>
                <w:szCs w:val="16"/>
              </w:rPr>
            </w:pPr>
            <w:r w:rsidRPr="00EB783C">
              <w:rPr>
                <w:rFonts w:ascii="Arial" w:hAnsi="Arial" w:cs="Arial"/>
                <w:sz w:val="16"/>
                <w:szCs w:val="16"/>
              </w:rPr>
              <w:t>-</w:t>
            </w:r>
          </w:p>
        </w:tc>
        <w:tc>
          <w:tcPr>
            <w:tcW w:w="1660" w:type="dxa"/>
            <w:tcBorders>
              <w:top w:val="nil"/>
              <w:left w:val="nil"/>
              <w:bottom w:val="nil"/>
              <w:right w:val="nil"/>
            </w:tcBorders>
            <w:shd w:val="clear" w:color="auto" w:fill="auto"/>
            <w:noWrap/>
            <w:vAlign w:val="center"/>
            <w:hideMark/>
          </w:tcPr>
          <w:p w:rsidR="00EB783C" w:rsidRPr="00EB783C" w:rsidRDefault="00EB783C" w:rsidP="00EB783C">
            <w:pPr>
              <w:jc w:val="right"/>
              <w:rPr>
                <w:rFonts w:ascii="Arial" w:hAnsi="Arial" w:cs="Arial"/>
                <w:sz w:val="16"/>
                <w:szCs w:val="16"/>
              </w:rPr>
            </w:pPr>
          </w:p>
        </w:tc>
      </w:tr>
      <w:tr w:rsidR="00EB783C" w:rsidRPr="00EB783C" w:rsidTr="00CD7E41">
        <w:trPr>
          <w:trHeight w:val="240"/>
        </w:trPr>
        <w:tc>
          <w:tcPr>
            <w:tcW w:w="720" w:type="dxa"/>
            <w:tcBorders>
              <w:top w:val="nil"/>
              <w:left w:val="nil"/>
              <w:bottom w:val="nil"/>
              <w:right w:val="nil"/>
            </w:tcBorders>
            <w:shd w:val="clear" w:color="auto" w:fill="auto"/>
            <w:noWrap/>
            <w:vAlign w:val="center"/>
            <w:hideMark/>
          </w:tcPr>
          <w:p w:rsidR="00EB783C" w:rsidRPr="00EB783C" w:rsidRDefault="00EB783C" w:rsidP="00EB783C">
            <w:pPr>
              <w:jc w:val="right"/>
            </w:pPr>
          </w:p>
        </w:tc>
        <w:tc>
          <w:tcPr>
            <w:tcW w:w="4960" w:type="dxa"/>
            <w:tcBorders>
              <w:top w:val="nil"/>
              <w:left w:val="nil"/>
              <w:bottom w:val="single" w:sz="4" w:space="0" w:color="969696"/>
              <w:right w:val="nil"/>
            </w:tcBorders>
            <w:shd w:val="clear" w:color="000000" w:fill="FFFFFF"/>
            <w:vAlign w:val="center"/>
            <w:hideMark/>
          </w:tcPr>
          <w:p w:rsidR="00EB783C" w:rsidRPr="00EB783C" w:rsidRDefault="00EB783C" w:rsidP="00EB783C">
            <w:pPr>
              <w:rPr>
                <w:rFonts w:ascii="Arial" w:hAnsi="Arial" w:cs="Arial"/>
                <w:sz w:val="16"/>
                <w:szCs w:val="16"/>
              </w:rPr>
            </w:pPr>
            <w:r w:rsidRPr="00EB783C">
              <w:rPr>
                <w:rFonts w:ascii="Arial" w:hAnsi="Arial" w:cs="Arial"/>
                <w:sz w:val="16"/>
                <w:szCs w:val="16"/>
              </w:rPr>
              <w:t>Business Banking</w:t>
            </w:r>
          </w:p>
        </w:tc>
        <w:tc>
          <w:tcPr>
            <w:tcW w:w="1660" w:type="dxa"/>
            <w:tcBorders>
              <w:top w:val="nil"/>
              <w:left w:val="nil"/>
              <w:bottom w:val="single" w:sz="4" w:space="0" w:color="969696"/>
              <w:right w:val="nil"/>
            </w:tcBorders>
            <w:shd w:val="clear" w:color="000000" w:fill="EAEAEA"/>
            <w:noWrap/>
            <w:vAlign w:val="center"/>
            <w:hideMark/>
          </w:tcPr>
          <w:p w:rsidR="00EB783C" w:rsidRPr="00EB783C" w:rsidRDefault="00EB783C" w:rsidP="00EB783C">
            <w:pPr>
              <w:jc w:val="right"/>
              <w:rPr>
                <w:rFonts w:ascii="Arial" w:hAnsi="Arial" w:cs="Arial"/>
                <w:sz w:val="16"/>
                <w:szCs w:val="16"/>
              </w:rPr>
            </w:pPr>
            <w:r w:rsidRPr="00EB783C">
              <w:rPr>
                <w:rFonts w:ascii="Arial" w:hAnsi="Arial" w:cs="Arial"/>
                <w:sz w:val="16"/>
                <w:szCs w:val="16"/>
              </w:rPr>
              <w:t>46.3</w:t>
            </w:r>
          </w:p>
        </w:tc>
        <w:tc>
          <w:tcPr>
            <w:tcW w:w="1660" w:type="dxa"/>
            <w:tcBorders>
              <w:top w:val="nil"/>
              <w:left w:val="nil"/>
              <w:bottom w:val="single" w:sz="4" w:space="0" w:color="969696"/>
              <w:right w:val="nil"/>
            </w:tcBorders>
            <w:shd w:val="clear" w:color="auto" w:fill="auto"/>
            <w:noWrap/>
            <w:vAlign w:val="center"/>
            <w:hideMark/>
          </w:tcPr>
          <w:p w:rsidR="00EB783C" w:rsidRPr="00EB783C" w:rsidRDefault="00EB783C" w:rsidP="00EB783C">
            <w:pPr>
              <w:jc w:val="right"/>
              <w:rPr>
                <w:rFonts w:ascii="Arial" w:hAnsi="Arial" w:cs="Arial"/>
                <w:sz w:val="16"/>
                <w:szCs w:val="16"/>
              </w:rPr>
            </w:pPr>
            <w:r w:rsidRPr="00EB783C">
              <w:rPr>
                <w:rFonts w:ascii="Arial" w:hAnsi="Arial" w:cs="Arial"/>
                <w:sz w:val="16"/>
                <w:szCs w:val="16"/>
              </w:rPr>
              <w:t>43.3</w:t>
            </w:r>
          </w:p>
        </w:tc>
        <w:tc>
          <w:tcPr>
            <w:tcW w:w="1660" w:type="dxa"/>
            <w:tcBorders>
              <w:top w:val="nil"/>
              <w:left w:val="nil"/>
              <w:bottom w:val="single" w:sz="4" w:space="0" w:color="969696"/>
              <w:right w:val="nil"/>
            </w:tcBorders>
            <w:shd w:val="clear" w:color="auto" w:fill="auto"/>
            <w:noWrap/>
            <w:vAlign w:val="center"/>
            <w:hideMark/>
          </w:tcPr>
          <w:p w:rsidR="00EB783C" w:rsidRPr="00EB783C" w:rsidRDefault="00EB783C" w:rsidP="00EB783C">
            <w:pPr>
              <w:jc w:val="right"/>
              <w:rPr>
                <w:rFonts w:ascii="Arial" w:hAnsi="Arial" w:cs="Arial"/>
                <w:sz w:val="16"/>
                <w:szCs w:val="16"/>
              </w:rPr>
            </w:pPr>
            <w:r w:rsidRPr="00EB783C">
              <w:rPr>
                <w:rFonts w:ascii="Arial" w:hAnsi="Arial" w:cs="Arial"/>
                <w:sz w:val="16"/>
                <w:szCs w:val="16"/>
              </w:rPr>
              <w:t> </w:t>
            </w:r>
          </w:p>
        </w:tc>
      </w:tr>
      <w:tr w:rsidR="00EB783C" w:rsidRPr="00EB783C" w:rsidTr="00CD7E41">
        <w:trPr>
          <w:trHeight w:val="240"/>
        </w:trPr>
        <w:tc>
          <w:tcPr>
            <w:tcW w:w="720" w:type="dxa"/>
            <w:tcBorders>
              <w:top w:val="nil"/>
              <w:left w:val="nil"/>
              <w:bottom w:val="nil"/>
              <w:right w:val="nil"/>
            </w:tcBorders>
            <w:shd w:val="clear" w:color="auto" w:fill="auto"/>
            <w:noWrap/>
            <w:vAlign w:val="center"/>
            <w:hideMark/>
          </w:tcPr>
          <w:p w:rsidR="00EB783C" w:rsidRPr="00EB783C" w:rsidRDefault="00EB783C" w:rsidP="00EB783C">
            <w:pPr>
              <w:jc w:val="right"/>
              <w:rPr>
                <w:rFonts w:ascii="Arial" w:hAnsi="Arial" w:cs="Arial"/>
                <w:sz w:val="16"/>
                <w:szCs w:val="16"/>
              </w:rPr>
            </w:pPr>
          </w:p>
        </w:tc>
        <w:tc>
          <w:tcPr>
            <w:tcW w:w="4960" w:type="dxa"/>
            <w:tcBorders>
              <w:top w:val="nil"/>
              <w:left w:val="nil"/>
              <w:bottom w:val="nil"/>
              <w:right w:val="nil"/>
            </w:tcBorders>
            <w:shd w:val="clear" w:color="000000" w:fill="FFFFFF"/>
            <w:noWrap/>
            <w:vAlign w:val="center"/>
            <w:hideMark/>
          </w:tcPr>
          <w:p w:rsidR="00EB783C" w:rsidRPr="00EB783C" w:rsidRDefault="00EB783C" w:rsidP="00EB783C">
            <w:pPr>
              <w:rPr>
                <w:rFonts w:ascii="Arial" w:hAnsi="Arial" w:cs="Arial"/>
                <w:b/>
                <w:bCs/>
                <w:sz w:val="16"/>
                <w:szCs w:val="16"/>
              </w:rPr>
            </w:pPr>
            <w:r w:rsidRPr="00EB783C">
              <w:rPr>
                <w:rFonts w:ascii="Arial" w:hAnsi="Arial" w:cs="Arial"/>
                <w:b/>
                <w:bCs/>
                <w:sz w:val="16"/>
                <w:szCs w:val="16"/>
              </w:rPr>
              <w:t>Total customer deposits at amortised cost</w:t>
            </w:r>
          </w:p>
        </w:tc>
        <w:tc>
          <w:tcPr>
            <w:tcW w:w="1660" w:type="dxa"/>
            <w:tcBorders>
              <w:top w:val="nil"/>
              <w:left w:val="nil"/>
              <w:bottom w:val="nil"/>
              <w:right w:val="nil"/>
            </w:tcBorders>
            <w:shd w:val="clear" w:color="000000" w:fill="EAEAEA"/>
            <w:noWrap/>
            <w:vAlign w:val="center"/>
            <w:hideMark/>
          </w:tcPr>
          <w:p w:rsidR="00EB783C" w:rsidRPr="00EB783C" w:rsidRDefault="00EB783C" w:rsidP="00EB783C">
            <w:pPr>
              <w:jc w:val="right"/>
              <w:rPr>
                <w:rFonts w:ascii="Arial" w:hAnsi="Arial" w:cs="Arial"/>
                <w:b/>
                <w:bCs/>
                <w:sz w:val="16"/>
                <w:szCs w:val="16"/>
              </w:rPr>
            </w:pPr>
            <w:r w:rsidRPr="00EB783C">
              <w:rPr>
                <w:rFonts w:ascii="Arial" w:hAnsi="Arial" w:cs="Arial"/>
                <w:b/>
                <w:bCs/>
                <w:sz w:val="16"/>
                <w:szCs w:val="16"/>
              </w:rPr>
              <w:t>205.5</w:t>
            </w:r>
          </w:p>
        </w:tc>
        <w:tc>
          <w:tcPr>
            <w:tcW w:w="1660" w:type="dxa"/>
            <w:tcBorders>
              <w:top w:val="nil"/>
              <w:left w:val="nil"/>
              <w:bottom w:val="nil"/>
              <w:right w:val="nil"/>
            </w:tcBorders>
            <w:shd w:val="clear" w:color="auto" w:fill="auto"/>
            <w:noWrap/>
            <w:vAlign w:val="center"/>
            <w:hideMark/>
          </w:tcPr>
          <w:p w:rsidR="00EB783C" w:rsidRPr="00EB783C" w:rsidRDefault="00EB783C" w:rsidP="00EB783C">
            <w:pPr>
              <w:jc w:val="right"/>
              <w:rPr>
                <w:rFonts w:ascii="Arial" w:hAnsi="Arial" w:cs="Arial"/>
                <w:b/>
                <w:bCs/>
                <w:sz w:val="16"/>
                <w:szCs w:val="16"/>
              </w:rPr>
            </w:pPr>
            <w:r w:rsidRPr="00EB783C">
              <w:rPr>
                <w:rFonts w:ascii="Arial" w:hAnsi="Arial" w:cs="Arial"/>
                <w:b/>
                <w:bCs/>
                <w:sz w:val="16"/>
                <w:szCs w:val="16"/>
              </w:rPr>
              <w:t>197.3</w:t>
            </w:r>
          </w:p>
        </w:tc>
        <w:tc>
          <w:tcPr>
            <w:tcW w:w="1660" w:type="dxa"/>
            <w:tcBorders>
              <w:top w:val="nil"/>
              <w:left w:val="nil"/>
              <w:bottom w:val="nil"/>
              <w:right w:val="nil"/>
            </w:tcBorders>
            <w:shd w:val="clear" w:color="auto" w:fill="auto"/>
            <w:noWrap/>
            <w:vAlign w:val="center"/>
            <w:hideMark/>
          </w:tcPr>
          <w:p w:rsidR="00EB783C" w:rsidRPr="00EB783C" w:rsidRDefault="00EB783C" w:rsidP="00EB783C">
            <w:pPr>
              <w:jc w:val="right"/>
              <w:rPr>
                <w:rFonts w:ascii="Arial" w:hAnsi="Arial" w:cs="Arial"/>
                <w:b/>
                <w:bCs/>
                <w:sz w:val="16"/>
                <w:szCs w:val="16"/>
              </w:rPr>
            </w:pPr>
            <w:r w:rsidRPr="00EB783C">
              <w:rPr>
                <w:rFonts w:ascii="Arial" w:hAnsi="Arial" w:cs="Arial"/>
                <w:b/>
                <w:bCs/>
                <w:sz w:val="16"/>
                <w:szCs w:val="16"/>
              </w:rPr>
              <w:t> </w:t>
            </w:r>
          </w:p>
        </w:tc>
      </w:tr>
    </w:tbl>
    <w:p w:rsidR="00EB783C" w:rsidRPr="00EB783C" w:rsidRDefault="00EB783C" w:rsidP="00EB783C">
      <w:pPr>
        <w:rPr>
          <w:lang w:eastAsia="en-US"/>
        </w:rPr>
      </w:pPr>
    </w:p>
    <w:p w:rsidR="00EB783C" w:rsidRDefault="00EB783C">
      <w:pPr>
        <w:spacing w:after="160" w:line="259" w:lineRule="auto"/>
        <w:rPr>
          <w:rFonts w:asciiTheme="minorHAnsi" w:eastAsiaTheme="majorEastAsia" w:hAnsiTheme="minorHAnsi" w:cstheme="majorBidi"/>
          <w:b/>
          <w:bCs/>
          <w:sz w:val="28"/>
          <w:szCs w:val="28"/>
          <w:lang w:eastAsia="en-US"/>
        </w:rPr>
      </w:pPr>
      <w:r>
        <w:br w:type="page"/>
      </w:r>
    </w:p>
    <w:p w:rsidR="00154289" w:rsidRDefault="00154289" w:rsidP="00FB2599">
      <w:pPr>
        <w:pStyle w:val="Heading1"/>
      </w:pPr>
      <w:bookmarkStart w:id="14" w:name="_Toc42082614"/>
      <w:r>
        <w:lastRenderedPageBreak/>
        <w:t>Appendix 2: Balance Sheet</w:t>
      </w:r>
      <w:bookmarkEnd w:id="14"/>
    </w:p>
    <w:p w:rsidR="00154289" w:rsidRDefault="00154289" w:rsidP="00154289">
      <w:pPr>
        <w:rPr>
          <w:lang w:eastAsia="en-US"/>
        </w:rPr>
      </w:pPr>
    </w:p>
    <w:p w:rsidR="00154289" w:rsidRPr="00154289" w:rsidRDefault="00154289" w:rsidP="00154289">
      <w:pPr>
        <w:rPr>
          <w:lang w:eastAsia="en-US"/>
        </w:rPr>
      </w:pPr>
      <w:r>
        <w:rPr>
          <w:noProof/>
        </w:rPr>
        <w:drawing>
          <wp:inline distT="0" distB="0" distL="0" distR="0" wp14:anchorId="5E51720C" wp14:editId="4C69CDEC">
            <wp:extent cx="5731510" cy="4123690"/>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4123690"/>
                    </a:xfrm>
                    <a:prstGeom prst="rect">
                      <a:avLst/>
                    </a:prstGeom>
                  </pic:spPr>
                </pic:pic>
              </a:graphicData>
            </a:graphic>
          </wp:inline>
        </w:drawing>
      </w:r>
    </w:p>
    <w:p w:rsidR="007F09DB" w:rsidRDefault="00154289" w:rsidP="00254FBD">
      <w:pPr>
        <w:pStyle w:val="ListParagraph"/>
        <w:spacing w:line="360" w:lineRule="auto"/>
        <w:rPr>
          <w:rFonts w:asciiTheme="minorHAnsi" w:hAnsiTheme="minorHAnsi" w:cstheme="minorHAnsi"/>
          <w:color w:val="7030A0"/>
          <w:sz w:val="24"/>
          <w:szCs w:val="24"/>
        </w:rPr>
      </w:pPr>
      <w:r>
        <w:rPr>
          <w:noProof/>
        </w:rPr>
        <w:lastRenderedPageBreak/>
        <w:drawing>
          <wp:inline distT="0" distB="0" distL="0" distR="0" wp14:anchorId="0427510E" wp14:editId="75E8E050">
            <wp:extent cx="5731510" cy="4139565"/>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4139565"/>
                    </a:xfrm>
                    <a:prstGeom prst="rect">
                      <a:avLst/>
                    </a:prstGeom>
                  </pic:spPr>
                </pic:pic>
              </a:graphicData>
            </a:graphic>
          </wp:inline>
        </w:drawing>
      </w:r>
    </w:p>
    <w:p w:rsidR="007F09DB" w:rsidRDefault="00FB2599" w:rsidP="00254FBD">
      <w:pPr>
        <w:pStyle w:val="ListParagraph"/>
        <w:spacing w:line="360" w:lineRule="auto"/>
        <w:rPr>
          <w:rFonts w:asciiTheme="minorHAnsi" w:hAnsiTheme="minorHAnsi" w:cstheme="minorHAnsi"/>
          <w:color w:val="7030A0"/>
          <w:sz w:val="24"/>
          <w:szCs w:val="24"/>
        </w:rPr>
      </w:pPr>
      <w:r>
        <w:rPr>
          <w:noProof/>
        </w:rPr>
        <w:lastRenderedPageBreak/>
        <w:drawing>
          <wp:inline distT="0" distB="0" distL="0" distR="0" wp14:anchorId="55562251" wp14:editId="01613A09">
            <wp:extent cx="5731510" cy="4516755"/>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4516755"/>
                    </a:xfrm>
                    <a:prstGeom prst="rect">
                      <a:avLst/>
                    </a:prstGeom>
                  </pic:spPr>
                </pic:pic>
              </a:graphicData>
            </a:graphic>
          </wp:inline>
        </w:drawing>
      </w:r>
      <w:r w:rsidRPr="00FB2599">
        <w:rPr>
          <w:noProof/>
        </w:rPr>
        <w:t xml:space="preserve"> </w:t>
      </w:r>
      <w:r>
        <w:rPr>
          <w:noProof/>
        </w:rPr>
        <w:drawing>
          <wp:inline distT="0" distB="0" distL="0" distR="0" wp14:anchorId="44C024B2" wp14:editId="758DAD6D">
            <wp:extent cx="5731510" cy="3803650"/>
            <wp:effectExtent l="0" t="0" r="2540" b="635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3803650"/>
                    </a:xfrm>
                    <a:prstGeom prst="rect">
                      <a:avLst/>
                    </a:prstGeom>
                  </pic:spPr>
                </pic:pic>
              </a:graphicData>
            </a:graphic>
          </wp:inline>
        </w:drawing>
      </w:r>
      <w:r w:rsidRPr="00FB2599">
        <w:rPr>
          <w:noProof/>
        </w:rPr>
        <w:t xml:space="preserve"> </w:t>
      </w:r>
      <w:r>
        <w:rPr>
          <w:noProof/>
        </w:rPr>
        <w:lastRenderedPageBreak/>
        <w:drawing>
          <wp:inline distT="0" distB="0" distL="0" distR="0" wp14:anchorId="70F15CBA" wp14:editId="6D1E23B8">
            <wp:extent cx="5731510" cy="4615180"/>
            <wp:effectExtent l="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4615180"/>
                    </a:xfrm>
                    <a:prstGeom prst="rect">
                      <a:avLst/>
                    </a:prstGeom>
                  </pic:spPr>
                </pic:pic>
              </a:graphicData>
            </a:graphic>
          </wp:inline>
        </w:drawing>
      </w:r>
      <w:r w:rsidRPr="00FB2599">
        <w:rPr>
          <w:noProof/>
        </w:rPr>
        <w:t xml:space="preserve"> </w:t>
      </w:r>
      <w:r>
        <w:rPr>
          <w:noProof/>
        </w:rPr>
        <w:lastRenderedPageBreak/>
        <w:drawing>
          <wp:inline distT="0" distB="0" distL="0" distR="0" wp14:anchorId="2EDF457A" wp14:editId="5BB2E977">
            <wp:extent cx="5731510" cy="4571365"/>
            <wp:effectExtent l="0" t="0" r="2540" b="63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4571365"/>
                    </a:xfrm>
                    <a:prstGeom prst="rect">
                      <a:avLst/>
                    </a:prstGeom>
                  </pic:spPr>
                </pic:pic>
              </a:graphicData>
            </a:graphic>
          </wp:inline>
        </w:drawing>
      </w:r>
    </w:p>
    <w:p w:rsidR="00FB2599" w:rsidRDefault="00FB2599" w:rsidP="007F09DB">
      <w:pPr>
        <w:pStyle w:val="Default"/>
        <w:rPr>
          <w:sz w:val="22"/>
          <w:szCs w:val="22"/>
        </w:rPr>
      </w:pPr>
    </w:p>
    <w:p w:rsidR="007F09DB" w:rsidRDefault="00FB2599" w:rsidP="00FB2599">
      <w:pPr>
        <w:pStyle w:val="Heading1"/>
      </w:pPr>
      <w:bookmarkStart w:id="15" w:name="_Toc42082615"/>
      <w:r>
        <w:t>Appendix 3: Calculations</w:t>
      </w:r>
      <w:bookmarkEnd w:id="15"/>
      <w:r>
        <w:t xml:space="preserve"> </w:t>
      </w:r>
    </w:p>
    <w:p w:rsidR="00FB2599" w:rsidRPr="00FB2599" w:rsidRDefault="00FB2599" w:rsidP="00FB2599">
      <w:pPr>
        <w:rPr>
          <w:lang w:eastAsia="en-US"/>
        </w:rPr>
      </w:pPr>
    </w:p>
    <w:p w:rsidR="00FB2599" w:rsidRPr="00EB783C" w:rsidRDefault="00FB2599" w:rsidP="00FB2599">
      <w:pPr>
        <w:pStyle w:val="ListParagraph"/>
        <w:numPr>
          <w:ilvl w:val="0"/>
          <w:numId w:val="7"/>
        </w:numPr>
        <w:spacing w:line="360" w:lineRule="auto"/>
        <w:rPr>
          <w:rFonts w:asciiTheme="minorHAnsi" w:hAnsiTheme="minorHAnsi" w:cstheme="minorHAnsi"/>
          <w:sz w:val="24"/>
          <w:szCs w:val="24"/>
        </w:rPr>
      </w:pPr>
      <w:r w:rsidRPr="00EB783C">
        <w:rPr>
          <w:rFonts w:asciiTheme="minorHAnsi" w:hAnsiTheme="minorHAnsi" w:cstheme="minorHAnsi"/>
          <w:sz w:val="24"/>
          <w:szCs w:val="24"/>
        </w:rPr>
        <w:t>3,354.00 /64,429.00 x100 = 5.21%</w:t>
      </w:r>
    </w:p>
    <w:p w:rsidR="007F09DB" w:rsidRPr="00EB783C" w:rsidRDefault="00FB2599" w:rsidP="00FB2599">
      <w:pPr>
        <w:pStyle w:val="ListParagraph"/>
        <w:spacing w:line="360" w:lineRule="auto"/>
        <w:ind w:left="1080"/>
        <w:rPr>
          <w:rFonts w:asciiTheme="minorHAnsi" w:hAnsiTheme="minorHAnsi" w:cstheme="minorHAnsi"/>
          <w:sz w:val="24"/>
          <w:szCs w:val="24"/>
        </w:rPr>
      </w:pPr>
      <w:r w:rsidRPr="00EB783C">
        <w:rPr>
          <w:rFonts w:asciiTheme="minorHAnsi" w:hAnsiTheme="minorHAnsi" w:cstheme="minorHAnsi"/>
          <w:sz w:val="24"/>
          <w:szCs w:val="24"/>
        </w:rPr>
        <w:t xml:space="preserve">       2,583.00 /62,556.00 x100 = 0.41%</w:t>
      </w:r>
    </w:p>
    <w:p w:rsidR="00FB2599" w:rsidRPr="00EB783C" w:rsidRDefault="00FB2599" w:rsidP="00FB2599">
      <w:pPr>
        <w:pStyle w:val="ListParagraph"/>
        <w:spacing w:line="360" w:lineRule="auto"/>
        <w:ind w:left="1080"/>
        <w:rPr>
          <w:rFonts w:asciiTheme="minorHAnsi" w:hAnsiTheme="minorHAnsi" w:cstheme="minorHAnsi"/>
          <w:sz w:val="24"/>
          <w:szCs w:val="24"/>
        </w:rPr>
      </w:pPr>
    </w:p>
    <w:p w:rsidR="00FB2599" w:rsidRPr="00EB783C" w:rsidRDefault="00FB2599" w:rsidP="00FB2599">
      <w:pPr>
        <w:pStyle w:val="ListParagraph"/>
        <w:numPr>
          <w:ilvl w:val="0"/>
          <w:numId w:val="7"/>
        </w:numPr>
        <w:spacing w:line="360" w:lineRule="auto"/>
        <w:rPr>
          <w:rFonts w:asciiTheme="minorHAnsi" w:hAnsiTheme="minorHAnsi" w:cstheme="minorHAnsi"/>
          <w:sz w:val="24"/>
          <w:szCs w:val="24"/>
        </w:rPr>
      </w:pPr>
      <w:r w:rsidRPr="00EB783C">
        <w:rPr>
          <w:rFonts w:asciiTheme="minorHAnsi" w:hAnsiTheme="minorHAnsi" w:cstheme="minorHAnsi"/>
          <w:sz w:val="24"/>
          <w:szCs w:val="24"/>
        </w:rPr>
        <w:t>4,357.00 /(64,429.00+133.05b) x100 = 0.002%</w:t>
      </w:r>
    </w:p>
    <w:p w:rsidR="00FB2599" w:rsidRPr="00EB783C" w:rsidRDefault="00FB2599" w:rsidP="00EB783C">
      <w:pPr>
        <w:pStyle w:val="ListParagraph"/>
        <w:spacing w:line="360" w:lineRule="auto"/>
        <w:ind w:left="1440"/>
        <w:rPr>
          <w:rFonts w:asciiTheme="minorHAnsi" w:hAnsiTheme="minorHAnsi" w:cstheme="minorHAnsi"/>
          <w:sz w:val="24"/>
          <w:szCs w:val="24"/>
        </w:rPr>
      </w:pPr>
      <w:r w:rsidRPr="00EB783C">
        <w:rPr>
          <w:rFonts w:asciiTheme="minorHAnsi" w:hAnsiTheme="minorHAnsi" w:cstheme="minorHAnsi"/>
          <w:sz w:val="24"/>
          <w:szCs w:val="24"/>
        </w:rPr>
        <w:t xml:space="preserve">3,494.00 </w:t>
      </w:r>
      <w:proofErr w:type="gramStart"/>
      <w:r w:rsidRPr="00EB783C">
        <w:rPr>
          <w:rFonts w:asciiTheme="minorHAnsi" w:hAnsiTheme="minorHAnsi" w:cstheme="minorHAnsi"/>
          <w:sz w:val="24"/>
          <w:szCs w:val="24"/>
        </w:rPr>
        <w:t>/(</w:t>
      </w:r>
      <w:proofErr w:type="gramEnd"/>
      <w:r w:rsidRPr="00EB783C">
        <w:rPr>
          <w:rFonts w:asciiTheme="minorHAnsi" w:hAnsiTheme="minorHAnsi" w:cstheme="minorHAnsi"/>
          <w:sz w:val="24"/>
          <w:szCs w:val="24"/>
        </w:rPr>
        <w:t>62,556.00 + 228.07b</w:t>
      </w:r>
      <w:r w:rsidR="00EB783C" w:rsidRPr="00EB783C">
        <w:rPr>
          <w:rFonts w:asciiTheme="minorHAnsi" w:hAnsiTheme="minorHAnsi" w:cstheme="minorHAnsi"/>
          <w:sz w:val="24"/>
          <w:szCs w:val="24"/>
        </w:rPr>
        <w:t xml:space="preserve">) x100 = </w:t>
      </w:r>
      <w:r w:rsidRPr="00EB783C">
        <w:rPr>
          <w:rFonts w:asciiTheme="minorHAnsi" w:hAnsiTheme="minorHAnsi" w:cstheme="minorHAnsi"/>
          <w:sz w:val="24"/>
          <w:szCs w:val="24"/>
        </w:rPr>
        <w:t>0.000015%</w:t>
      </w:r>
    </w:p>
    <w:p w:rsidR="00EB783C" w:rsidRPr="00EB783C" w:rsidRDefault="00EB783C" w:rsidP="00EB783C">
      <w:pPr>
        <w:pStyle w:val="ListParagraph"/>
        <w:spacing w:line="360" w:lineRule="auto"/>
        <w:ind w:left="1440"/>
        <w:rPr>
          <w:rFonts w:asciiTheme="minorHAnsi" w:hAnsiTheme="minorHAnsi" w:cstheme="minorHAnsi"/>
          <w:sz w:val="24"/>
          <w:szCs w:val="24"/>
        </w:rPr>
      </w:pPr>
    </w:p>
    <w:p w:rsidR="00EB783C" w:rsidRPr="00EB783C" w:rsidRDefault="00EB783C" w:rsidP="00EB783C">
      <w:pPr>
        <w:pStyle w:val="ListParagraph"/>
        <w:numPr>
          <w:ilvl w:val="0"/>
          <w:numId w:val="8"/>
        </w:numPr>
        <w:spacing w:line="360" w:lineRule="auto"/>
        <w:rPr>
          <w:rFonts w:asciiTheme="minorHAnsi" w:hAnsiTheme="minorHAnsi" w:cstheme="minorHAnsi"/>
          <w:sz w:val="24"/>
          <w:szCs w:val="24"/>
        </w:rPr>
      </w:pPr>
      <w:r w:rsidRPr="00EB783C">
        <w:rPr>
          <w:rFonts w:asciiTheme="minorHAnsi" w:hAnsiTheme="minorHAnsi" w:cstheme="minorHAnsi"/>
          <w:sz w:val="24"/>
          <w:szCs w:val="24"/>
        </w:rPr>
        <w:t>133.05b / (64,429.00 + 133.05b) x100=</w:t>
      </w:r>
      <w:r w:rsidRPr="00EB783C">
        <w:rPr>
          <w:rFonts w:asciiTheme="minorHAnsi" w:hAnsiTheme="minorHAnsi" w:cstheme="minorHAnsi"/>
          <w:sz w:val="24"/>
          <w:szCs w:val="24"/>
        </w:rPr>
        <w:tab/>
        <w:t>67.35%</w:t>
      </w:r>
    </w:p>
    <w:p w:rsidR="00EB783C" w:rsidRPr="00EB783C" w:rsidRDefault="00EB783C" w:rsidP="00EB783C">
      <w:pPr>
        <w:spacing w:line="360" w:lineRule="auto"/>
        <w:ind w:left="1080"/>
        <w:rPr>
          <w:rFonts w:asciiTheme="minorHAnsi" w:hAnsiTheme="minorHAnsi" w:cstheme="minorHAnsi"/>
          <w:sz w:val="24"/>
          <w:szCs w:val="24"/>
        </w:rPr>
      </w:pPr>
      <w:r w:rsidRPr="00EB783C">
        <w:rPr>
          <w:rFonts w:asciiTheme="minorHAnsi" w:hAnsiTheme="minorHAnsi" w:cstheme="minorHAnsi"/>
          <w:sz w:val="24"/>
          <w:szCs w:val="24"/>
        </w:rPr>
        <w:t xml:space="preserve">      228.07b / (62,556.00 + 228.07b) x100=</w:t>
      </w:r>
      <w:r w:rsidRPr="00EB783C">
        <w:rPr>
          <w:rFonts w:asciiTheme="minorHAnsi" w:hAnsiTheme="minorHAnsi" w:cstheme="minorHAnsi"/>
          <w:sz w:val="24"/>
          <w:szCs w:val="24"/>
        </w:rPr>
        <w:tab/>
        <w:t>99.94%</w:t>
      </w:r>
    </w:p>
    <w:p w:rsidR="00EB783C" w:rsidRPr="00EB783C" w:rsidRDefault="00EB783C" w:rsidP="00EB783C">
      <w:pPr>
        <w:spacing w:line="360" w:lineRule="auto"/>
        <w:ind w:left="1080"/>
        <w:rPr>
          <w:rFonts w:asciiTheme="minorHAnsi" w:hAnsiTheme="minorHAnsi" w:cstheme="minorHAnsi"/>
          <w:sz w:val="24"/>
          <w:szCs w:val="24"/>
        </w:rPr>
      </w:pPr>
    </w:p>
    <w:p w:rsidR="00EB783C" w:rsidRPr="00EB783C" w:rsidRDefault="00EB783C" w:rsidP="00EB783C">
      <w:pPr>
        <w:spacing w:line="360" w:lineRule="auto"/>
        <w:ind w:left="1080"/>
        <w:rPr>
          <w:rFonts w:asciiTheme="minorHAnsi" w:hAnsiTheme="minorHAnsi" w:cstheme="minorHAnsi"/>
          <w:sz w:val="24"/>
          <w:szCs w:val="24"/>
        </w:rPr>
      </w:pPr>
      <w:r w:rsidRPr="00EB783C">
        <w:rPr>
          <w:rFonts w:asciiTheme="minorHAnsi" w:hAnsiTheme="minorHAnsi" w:cstheme="minorHAnsi"/>
          <w:sz w:val="24"/>
          <w:szCs w:val="24"/>
        </w:rPr>
        <w:t>12. 1.4220 /4.2 = 3.0p</w:t>
      </w:r>
    </w:p>
    <w:p w:rsidR="00EB783C" w:rsidRPr="00EB783C" w:rsidRDefault="00EB783C" w:rsidP="00EB783C">
      <w:pPr>
        <w:spacing w:line="360" w:lineRule="auto"/>
        <w:ind w:left="1080"/>
        <w:rPr>
          <w:rFonts w:asciiTheme="minorHAnsi" w:hAnsiTheme="minorHAnsi" w:cstheme="minorHAnsi"/>
          <w:sz w:val="24"/>
          <w:szCs w:val="24"/>
        </w:rPr>
      </w:pPr>
      <w:r w:rsidRPr="00EB783C">
        <w:rPr>
          <w:rFonts w:asciiTheme="minorHAnsi" w:hAnsiTheme="minorHAnsi" w:cstheme="minorHAnsi"/>
          <w:sz w:val="24"/>
          <w:szCs w:val="24"/>
        </w:rPr>
        <w:lastRenderedPageBreak/>
        <w:t xml:space="preserve">   1.6406 /6.6 = 4.0p</w:t>
      </w:r>
    </w:p>
    <w:p w:rsidR="00EB783C" w:rsidRPr="00EB783C" w:rsidRDefault="00EB783C" w:rsidP="00EB783C">
      <w:pPr>
        <w:spacing w:line="360" w:lineRule="auto"/>
        <w:ind w:left="1080"/>
        <w:rPr>
          <w:rFonts w:asciiTheme="minorHAnsi" w:hAnsiTheme="minorHAnsi" w:cstheme="minorHAnsi"/>
          <w:sz w:val="24"/>
          <w:szCs w:val="24"/>
        </w:rPr>
      </w:pPr>
    </w:p>
    <w:p w:rsidR="00EB783C" w:rsidRPr="00EB783C" w:rsidRDefault="00EB783C" w:rsidP="00EB783C">
      <w:pPr>
        <w:spacing w:line="360" w:lineRule="auto"/>
        <w:ind w:left="1080"/>
        <w:rPr>
          <w:rFonts w:asciiTheme="minorHAnsi" w:hAnsiTheme="minorHAnsi" w:cstheme="minorHAnsi"/>
          <w:sz w:val="24"/>
          <w:szCs w:val="24"/>
        </w:rPr>
      </w:pPr>
      <w:r w:rsidRPr="00EB783C">
        <w:rPr>
          <w:rFonts w:asciiTheme="minorHAnsi" w:hAnsiTheme="minorHAnsi" w:cstheme="minorHAnsi"/>
          <w:sz w:val="24"/>
          <w:szCs w:val="24"/>
        </w:rPr>
        <w:t>13. 1.4220 / 3,354.00 x100 = 0.042%</w:t>
      </w:r>
    </w:p>
    <w:p w:rsidR="00EB783C" w:rsidRPr="00EB783C" w:rsidRDefault="00EB783C" w:rsidP="00EB783C">
      <w:pPr>
        <w:spacing w:line="360" w:lineRule="auto"/>
        <w:ind w:left="1080" w:firstLine="360"/>
        <w:rPr>
          <w:rFonts w:asciiTheme="minorHAnsi" w:hAnsiTheme="minorHAnsi" w:cstheme="minorHAnsi"/>
          <w:sz w:val="24"/>
          <w:szCs w:val="24"/>
        </w:rPr>
      </w:pPr>
      <w:r w:rsidRPr="00EB783C">
        <w:rPr>
          <w:rFonts w:asciiTheme="minorHAnsi" w:hAnsiTheme="minorHAnsi" w:cstheme="minorHAnsi"/>
          <w:sz w:val="24"/>
          <w:szCs w:val="24"/>
        </w:rPr>
        <w:t>1.6406 / 2,583.00 x100 = 0.064%</w:t>
      </w:r>
    </w:p>
    <w:p w:rsidR="00EB783C" w:rsidRPr="00EB783C" w:rsidRDefault="00EB783C" w:rsidP="00EB783C">
      <w:pPr>
        <w:spacing w:line="360" w:lineRule="auto"/>
        <w:ind w:left="1080" w:firstLine="360"/>
        <w:rPr>
          <w:rFonts w:asciiTheme="minorHAnsi" w:hAnsiTheme="minorHAnsi" w:cstheme="minorHAnsi"/>
          <w:sz w:val="24"/>
          <w:szCs w:val="24"/>
        </w:rPr>
      </w:pPr>
    </w:p>
    <w:p w:rsidR="00EB783C" w:rsidRPr="00EB783C" w:rsidRDefault="00EB783C" w:rsidP="00EB783C">
      <w:pPr>
        <w:spacing w:line="360" w:lineRule="auto"/>
        <w:ind w:left="1080" w:firstLine="360"/>
        <w:rPr>
          <w:rFonts w:asciiTheme="minorHAnsi" w:hAnsiTheme="minorHAnsi" w:cstheme="minorHAnsi"/>
          <w:sz w:val="24"/>
          <w:szCs w:val="24"/>
        </w:rPr>
      </w:pPr>
    </w:p>
    <w:p w:rsidR="00EB783C" w:rsidRPr="00EB783C" w:rsidRDefault="00EB783C" w:rsidP="00EB783C">
      <w:pPr>
        <w:spacing w:line="360" w:lineRule="auto"/>
        <w:ind w:left="1080"/>
        <w:rPr>
          <w:rFonts w:asciiTheme="minorHAnsi" w:hAnsiTheme="minorHAnsi" w:cstheme="minorHAnsi"/>
          <w:sz w:val="24"/>
          <w:szCs w:val="24"/>
        </w:rPr>
      </w:pPr>
      <w:r w:rsidRPr="00EB783C">
        <w:rPr>
          <w:rFonts w:asciiTheme="minorHAnsi" w:hAnsiTheme="minorHAnsi" w:cstheme="minorHAnsi"/>
          <w:sz w:val="24"/>
          <w:szCs w:val="24"/>
        </w:rPr>
        <w:t>14. 3.0p/ 104.72p x100 =</w:t>
      </w:r>
      <w:r w:rsidRPr="00EB783C">
        <w:rPr>
          <w:rFonts w:asciiTheme="minorHAnsi" w:hAnsiTheme="minorHAnsi" w:cstheme="minorHAnsi"/>
          <w:sz w:val="24"/>
          <w:szCs w:val="24"/>
        </w:rPr>
        <w:tab/>
        <w:t>2.86%</w:t>
      </w:r>
    </w:p>
    <w:p w:rsidR="00EB783C" w:rsidRPr="00EB783C" w:rsidRDefault="00EB783C" w:rsidP="00EB783C">
      <w:pPr>
        <w:spacing w:line="360" w:lineRule="auto"/>
        <w:ind w:left="1080" w:firstLine="360"/>
        <w:rPr>
          <w:rFonts w:asciiTheme="minorHAnsi" w:hAnsiTheme="minorHAnsi" w:cstheme="minorHAnsi"/>
          <w:sz w:val="24"/>
          <w:szCs w:val="24"/>
        </w:rPr>
      </w:pPr>
      <w:r w:rsidRPr="00EB783C">
        <w:rPr>
          <w:rFonts w:asciiTheme="minorHAnsi" w:hAnsiTheme="minorHAnsi" w:cstheme="minorHAnsi"/>
          <w:sz w:val="24"/>
          <w:szCs w:val="24"/>
        </w:rPr>
        <w:t>4.0p/</w:t>
      </w:r>
      <w:r w:rsidRPr="00EB783C">
        <w:rPr>
          <w:rFonts w:asciiTheme="minorHAnsi" w:hAnsiTheme="minorHAnsi" w:cstheme="minorHAnsi"/>
          <w:sz w:val="24"/>
          <w:szCs w:val="24"/>
        </w:rPr>
        <w:tab/>
        <w:t>93.00p</w:t>
      </w:r>
      <w:r w:rsidRPr="00EB783C">
        <w:rPr>
          <w:rFonts w:asciiTheme="minorHAnsi" w:hAnsiTheme="minorHAnsi" w:cstheme="minorHAnsi"/>
          <w:sz w:val="24"/>
          <w:szCs w:val="24"/>
        </w:rPr>
        <w:tab/>
        <w:t>x100 = 30%</w:t>
      </w:r>
    </w:p>
    <w:p w:rsidR="00FB2599" w:rsidRDefault="00FB2599" w:rsidP="00FB2599">
      <w:pPr>
        <w:pStyle w:val="ListParagraph"/>
        <w:spacing w:line="360" w:lineRule="auto"/>
        <w:ind w:left="1080"/>
        <w:rPr>
          <w:rFonts w:asciiTheme="minorHAnsi" w:hAnsiTheme="minorHAnsi" w:cstheme="minorHAnsi"/>
          <w:color w:val="7030A0"/>
          <w:sz w:val="24"/>
          <w:szCs w:val="24"/>
        </w:rPr>
      </w:pPr>
    </w:p>
    <w:p w:rsidR="00FB2599" w:rsidRDefault="00FB2599" w:rsidP="00FB2599">
      <w:pPr>
        <w:pStyle w:val="ListParagraph"/>
        <w:spacing w:line="360" w:lineRule="auto"/>
        <w:ind w:left="1080"/>
        <w:rPr>
          <w:rFonts w:asciiTheme="minorHAnsi" w:hAnsiTheme="minorHAnsi" w:cstheme="minorHAnsi"/>
          <w:color w:val="7030A0"/>
          <w:sz w:val="24"/>
          <w:szCs w:val="24"/>
        </w:rPr>
      </w:pPr>
    </w:p>
    <w:p w:rsidR="003C025E" w:rsidRDefault="003C025E">
      <w:pPr>
        <w:spacing w:after="160" w:line="259" w:lineRule="auto"/>
        <w:rPr>
          <w:rFonts w:asciiTheme="minorHAnsi" w:hAnsiTheme="minorHAnsi" w:cstheme="minorHAnsi"/>
          <w:color w:val="7030A0"/>
          <w:sz w:val="24"/>
          <w:szCs w:val="24"/>
        </w:rPr>
      </w:pPr>
      <w:r>
        <w:rPr>
          <w:rFonts w:asciiTheme="minorHAnsi" w:hAnsiTheme="minorHAnsi" w:cstheme="minorHAnsi"/>
          <w:color w:val="7030A0"/>
          <w:sz w:val="24"/>
          <w:szCs w:val="24"/>
        </w:rPr>
        <w:br w:type="page"/>
      </w:r>
    </w:p>
    <w:p w:rsidR="00FB2599" w:rsidRDefault="003C025E" w:rsidP="003C025E">
      <w:pPr>
        <w:pStyle w:val="Heading1"/>
      </w:pPr>
      <w:bookmarkStart w:id="16" w:name="_Toc42082616"/>
      <w:r>
        <w:lastRenderedPageBreak/>
        <w:t>Podcast link</w:t>
      </w:r>
      <w:bookmarkEnd w:id="16"/>
      <w:r>
        <w:t xml:space="preserve"> </w:t>
      </w:r>
    </w:p>
    <w:p w:rsidR="003C025E" w:rsidRPr="003C025E" w:rsidRDefault="003C025E" w:rsidP="003C025E">
      <w:pPr>
        <w:rPr>
          <w:rFonts w:asciiTheme="minorHAnsi" w:hAnsiTheme="minorHAnsi" w:cstheme="minorHAnsi"/>
          <w:sz w:val="24"/>
          <w:szCs w:val="24"/>
          <w:lang w:eastAsia="en-US"/>
        </w:rPr>
      </w:pPr>
    </w:p>
    <w:p w:rsidR="003C025E" w:rsidRPr="003C025E" w:rsidRDefault="003C025E" w:rsidP="003C025E">
      <w:pPr>
        <w:rPr>
          <w:rFonts w:asciiTheme="minorHAnsi" w:hAnsiTheme="minorHAnsi" w:cstheme="minorHAnsi"/>
          <w:sz w:val="24"/>
          <w:szCs w:val="24"/>
          <w:lang w:eastAsia="en-US"/>
        </w:rPr>
      </w:pPr>
      <w:r w:rsidRPr="003C025E">
        <w:rPr>
          <w:rFonts w:asciiTheme="minorHAnsi" w:hAnsiTheme="minorHAnsi" w:cstheme="minorHAnsi"/>
          <w:sz w:val="24"/>
          <w:szCs w:val="24"/>
          <w:lang w:eastAsia="en-US"/>
        </w:rPr>
        <w:t xml:space="preserve">Below is a link to my podcast summing up the main findings of Barclays ratios. </w:t>
      </w:r>
    </w:p>
    <w:p w:rsidR="007F09DB" w:rsidRPr="00254FBD" w:rsidRDefault="007F09DB" w:rsidP="00254FBD">
      <w:pPr>
        <w:pStyle w:val="ListParagraph"/>
        <w:spacing w:line="360" w:lineRule="auto"/>
        <w:rPr>
          <w:rFonts w:asciiTheme="minorHAnsi" w:hAnsiTheme="minorHAnsi" w:cstheme="minorHAnsi"/>
          <w:color w:val="7030A0"/>
          <w:sz w:val="24"/>
          <w:szCs w:val="24"/>
        </w:rPr>
      </w:pPr>
    </w:p>
    <w:p w:rsidR="003C025E" w:rsidRDefault="004B05DA" w:rsidP="00254FBD">
      <w:pPr>
        <w:pStyle w:val="ListParagraph"/>
        <w:spacing w:line="360" w:lineRule="auto"/>
        <w:rPr>
          <w:rFonts w:asciiTheme="minorHAnsi" w:hAnsiTheme="minorHAnsi" w:cstheme="minorHAnsi"/>
          <w:color w:val="7030A0"/>
          <w:sz w:val="24"/>
          <w:szCs w:val="24"/>
        </w:rPr>
      </w:pPr>
      <w:hyperlink r:id="rId15" w:tgtFrame="_blank" w:tooltip="Original URL: https://youtu.be/vCKKKkHcjcY. Click or tap if you trust this link." w:history="1">
        <w:r w:rsidR="003C025E">
          <w:rPr>
            <w:rStyle w:val="Hyperlink"/>
            <w:rFonts w:ascii="Arial" w:hAnsi="Arial" w:cs="Arial"/>
            <w:sz w:val="21"/>
            <w:szCs w:val="21"/>
            <w:bdr w:val="none" w:sz="0" w:space="0" w:color="auto" w:frame="1"/>
            <w:shd w:val="clear" w:color="auto" w:fill="FFFFFF"/>
          </w:rPr>
          <w:t>https://youtu.be/vCKKKkHcjcY </w:t>
        </w:r>
      </w:hyperlink>
      <w:r w:rsidR="00B970A0" w:rsidRPr="00254FBD">
        <w:rPr>
          <w:rFonts w:asciiTheme="minorHAnsi" w:hAnsiTheme="minorHAnsi" w:cstheme="minorHAnsi"/>
          <w:color w:val="7030A0"/>
          <w:sz w:val="24"/>
          <w:szCs w:val="24"/>
        </w:rPr>
        <w:tab/>
      </w:r>
    </w:p>
    <w:p w:rsidR="003C025E" w:rsidRDefault="003C025E">
      <w:pPr>
        <w:spacing w:after="160" w:line="259" w:lineRule="auto"/>
        <w:rPr>
          <w:rFonts w:asciiTheme="minorHAnsi" w:hAnsiTheme="minorHAnsi" w:cstheme="minorHAnsi"/>
          <w:color w:val="7030A0"/>
          <w:sz w:val="24"/>
          <w:szCs w:val="24"/>
        </w:rPr>
      </w:pPr>
      <w:r>
        <w:rPr>
          <w:rFonts w:asciiTheme="minorHAnsi" w:hAnsiTheme="minorHAnsi" w:cstheme="minorHAnsi"/>
          <w:color w:val="7030A0"/>
          <w:sz w:val="24"/>
          <w:szCs w:val="24"/>
        </w:rPr>
        <w:br w:type="page"/>
      </w:r>
    </w:p>
    <w:p w:rsidR="00B970A0" w:rsidRPr="00254FBD" w:rsidRDefault="003C025E" w:rsidP="003C025E">
      <w:pPr>
        <w:pStyle w:val="Heading1"/>
      </w:pPr>
      <w:bookmarkStart w:id="17" w:name="_Toc42082617"/>
      <w:r>
        <w:lastRenderedPageBreak/>
        <w:t>Report Two: Jefferson PLC.</w:t>
      </w:r>
      <w:bookmarkEnd w:id="17"/>
      <w:r w:rsidR="00B970A0" w:rsidRPr="00254FBD">
        <w:tab/>
      </w:r>
      <w:r w:rsidR="00B970A0" w:rsidRPr="00254FBD">
        <w:tab/>
      </w:r>
      <w:r w:rsidR="00B970A0" w:rsidRPr="00254FBD">
        <w:tab/>
      </w:r>
      <w:r w:rsidR="00B970A0" w:rsidRPr="00254FBD">
        <w:tab/>
      </w:r>
      <w:r w:rsidR="00B970A0" w:rsidRPr="00254FBD">
        <w:tab/>
      </w:r>
      <w:r w:rsidR="00B970A0" w:rsidRPr="00254FBD">
        <w:tab/>
      </w:r>
      <w:r w:rsidR="00B970A0" w:rsidRPr="00254FBD">
        <w:tab/>
      </w:r>
      <w:r w:rsidR="00B970A0" w:rsidRPr="00254FBD">
        <w:tab/>
      </w:r>
      <w:r w:rsidR="00B970A0" w:rsidRPr="00254FBD">
        <w:tab/>
      </w:r>
      <w:r w:rsidR="00B970A0" w:rsidRPr="00254FBD">
        <w:tab/>
      </w:r>
      <w:r w:rsidR="00B970A0" w:rsidRPr="00254FBD">
        <w:tab/>
      </w:r>
    </w:p>
    <w:p w:rsidR="00B970A0" w:rsidRPr="00254FBD" w:rsidRDefault="00B970A0" w:rsidP="00254FBD">
      <w:pPr>
        <w:spacing w:line="360" w:lineRule="auto"/>
        <w:jc w:val="both"/>
        <w:rPr>
          <w:rFonts w:asciiTheme="minorHAnsi" w:hAnsiTheme="minorHAnsi" w:cstheme="minorHAnsi"/>
          <w:color w:val="7030A0"/>
          <w:sz w:val="24"/>
          <w:szCs w:val="24"/>
        </w:rPr>
      </w:pPr>
    </w:p>
    <w:p w:rsidR="003C025E" w:rsidRPr="00194C64" w:rsidRDefault="003C025E" w:rsidP="003C025E">
      <w:pPr>
        <w:spacing w:line="360" w:lineRule="auto"/>
        <w:jc w:val="both"/>
        <w:rPr>
          <w:rFonts w:asciiTheme="minorHAnsi" w:hAnsiTheme="minorHAnsi" w:cstheme="minorHAnsi"/>
          <w:b/>
          <w:color w:val="7030A0"/>
          <w:sz w:val="24"/>
          <w:szCs w:val="24"/>
        </w:rPr>
      </w:pPr>
      <w:bookmarkStart w:id="18" w:name="_Toc42082618"/>
      <w:r w:rsidRPr="00194C64">
        <w:rPr>
          <w:rStyle w:val="Heading1Char"/>
          <w:rFonts w:asciiTheme="minorHAnsi" w:hAnsiTheme="minorHAnsi" w:cstheme="minorHAnsi"/>
          <w:sz w:val="24"/>
          <w:szCs w:val="24"/>
        </w:rPr>
        <w:t>Introduction</w:t>
      </w:r>
      <w:bookmarkEnd w:id="18"/>
      <w:r w:rsidRPr="00194C64">
        <w:rPr>
          <w:rFonts w:asciiTheme="minorHAnsi" w:hAnsiTheme="minorHAnsi" w:cstheme="minorHAnsi"/>
          <w:b/>
          <w:color w:val="7030A0"/>
          <w:sz w:val="24"/>
          <w:szCs w:val="24"/>
        </w:rPr>
        <w:t xml:space="preserve"> </w:t>
      </w:r>
    </w:p>
    <w:p w:rsidR="003C025E" w:rsidRPr="00194C64" w:rsidRDefault="003C025E" w:rsidP="003C025E">
      <w:pPr>
        <w:spacing w:line="360" w:lineRule="auto"/>
        <w:jc w:val="both"/>
        <w:rPr>
          <w:rFonts w:asciiTheme="minorHAnsi" w:hAnsiTheme="minorHAnsi" w:cstheme="minorHAnsi"/>
          <w:b/>
          <w:color w:val="7030A0"/>
          <w:sz w:val="24"/>
          <w:szCs w:val="24"/>
        </w:rPr>
      </w:pPr>
    </w:p>
    <w:p w:rsidR="003C025E" w:rsidRPr="00194C64" w:rsidRDefault="003C025E" w:rsidP="003C025E">
      <w:pPr>
        <w:spacing w:line="360" w:lineRule="auto"/>
        <w:rPr>
          <w:rFonts w:asciiTheme="minorHAnsi" w:hAnsiTheme="minorHAnsi" w:cstheme="minorHAnsi"/>
          <w:sz w:val="24"/>
          <w:szCs w:val="24"/>
        </w:rPr>
      </w:pPr>
      <w:proofErr w:type="gramStart"/>
      <w:r w:rsidRPr="00194C64">
        <w:rPr>
          <w:rFonts w:asciiTheme="minorHAnsi" w:hAnsiTheme="minorHAnsi" w:cstheme="minorHAnsi"/>
          <w:sz w:val="24"/>
          <w:szCs w:val="24"/>
        </w:rPr>
        <w:t>Jefferson Plc,</w:t>
      </w:r>
      <w:proofErr w:type="gramEnd"/>
      <w:r w:rsidRPr="00194C64">
        <w:rPr>
          <w:rFonts w:asciiTheme="minorHAnsi" w:hAnsiTheme="minorHAnsi" w:cstheme="minorHAnsi"/>
          <w:sz w:val="24"/>
          <w:szCs w:val="24"/>
        </w:rPr>
        <w:t xml:space="preserve"> produce a variety of high quality garden furniture and associated items.  The business is considering </w:t>
      </w:r>
      <w:proofErr w:type="gramStart"/>
      <w:r w:rsidRPr="00194C64">
        <w:rPr>
          <w:rFonts w:asciiTheme="minorHAnsi" w:hAnsiTheme="minorHAnsi" w:cstheme="minorHAnsi"/>
          <w:sz w:val="24"/>
          <w:szCs w:val="24"/>
        </w:rPr>
        <w:t>whether or not</w:t>
      </w:r>
      <w:proofErr w:type="gramEnd"/>
      <w:r w:rsidRPr="00194C64">
        <w:rPr>
          <w:rFonts w:asciiTheme="minorHAnsi" w:hAnsiTheme="minorHAnsi" w:cstheme="minorHAnsi"/>
          <w:sz w:val="24"/>
          <w:szCs w:val="24"/>
        </w:rPr>
        <w:t xml:space="preserve"> to invest in the potential to expand the business.  </w:t>
      </w:r>
    </w:p>
    <w:p w:rsidR="003C025E" w:rsidRPr="00194C64" w:rsidRDefault="003C025E" w:rsidP="003C025E">
      <w:pPr>
        <w:spacing w:line="360" w:lineRule="auto"/>
        <w:rPr>
          <w:rFonts w:asciiTheme="minorHAnsi" w:hAnsiTheme="minorHAnsi" w:cstheme="minorHAnsi"/>
          <w:sz w:val="24"/>
          <w:szCs w:val="24"/>
        </w:rPr>
      </w:pPr>
    </w:p>
    <w:p w:rsidR="003C025E" w:rsidRPr="00194C64" w:rsidRDefault="003C025E" w:rsidP="003C025E">
      <w:pPr>
        <w:spacing w:line="360" w:lineRule="auto"/>
        <w:rPr>
          <w:rFonts w:asciiTheme="minorHAnsi" w:hAnsiTheme="minorHAnsi" w:cstheme="minorHAnsi"/>
          <w:sz w:val="24"/>
          <w:szCs w:val="24"/>
        </w:rPr>
      </w:pPr>
      <w:r w:rsidRPr="00194C64">
        <w:rPr>
          <w:rFonts w:asciiTheme="minorHAnsi" w:hAnsiTheme="minorHAnsi" w:cstheme="minorHAnsi"/>
          <w:sz w:val="24"/>
          <w:szCs w:val="24"/>
        </w:rPr>
        <w:t xml:space="preserve">The purpose of this report is to explain whether the company should undertake the project or look for other opportunities. This will be done by evaluating the three investment options below, using the net present value (NPV) technique and recommended the most viable option with the internal rate of return (IRR) for that option.  For the purpose of this report, it is assumed that the cost of capital is 8%. </w:t>
      </w:r>
    </w:p>
    <w:p w:rsidR="003C025E" w:rsidRPr="00194C64" w:rsidRDefault="003C025E" w:rsidP="003C025E">
      <w:pPr>
        <w:spacing w:line="360" w:lineRule="auto"/>
        <w:rPr>
          <w:rFonts w:asciiTheme="minorHAnsi" w:hAnsiTheme="minorHAnsi" w:cstheme="minorHAnsi"/>
          <w:sz w:val="24"/>
          <w:szCs w:val="24"/>
        </w:rPr>
      </w:pPr>
    </w:p>
    <w:p w:rsidR="003C025E" w:rsidRPr="00194C64" w:rsidRDefault="003C025E" w:rsidP="003C025E">
      <w:pPr>
        <w:spacing w:line="360" w:lineRule="auto"/>
        <w:rPr>
          <w:rFonts w:asciiTheme="minorHAnsi" w:hAnsiTheme="minorHAnsi" w:cstheme="minorHAnsi"/>
          <w:sz w:val="24"/>
          <w:szCs w:val="24"/>
        </w:rPr>
      </w:pPr>
      <w:r w:rsidRPr="00194C64">
        <w:rPr>
          <w:rFonts w:asciiTheme="minorHAnsi" w:hAnsiTheme="minorHAnsi" w:cstheme="minorHAnsi"/>
          <w:sz w:val="24"/>
          <w:szCs w:val="24"/>
        </w:rPr>
        <w:t>The three main investment options over the next four years are as follows:</w:t>
      </w:r>
    </w:p>
    <w:p w:rsidR="003C025E" w:rsidRPr="00194C64" w:rsidRDefault="003C025E" w:rsidP="003C025E">
      <w:pPr>
        <w:spacing w:line="360" w:lineRule="auto"/>
        <w:ind w:left="720"/>
        <w:rPr>
          <w:rFonts w:asciiTheme="minorHAnsi" w:hAnsiTheme="minorHAnsi" w:cstheme="minorHAnsi"/>
          <w:sz w:val="24"/>
          <w:szCs w:val="24"/>
        </w:rPr>
      </w:pPr>
    </w:p>
    <w:p w:rsidR="003C025E" w:rsidRPr="00194C64" w:rsidRDefault="003C025E" w:rsidP="003C025E">
      <w:pPr>
        <w:numPr>
          <w:ilvl w:val="0"/>
          <w:numId w:val="1"/>
        </w:numPr>
        <w:rPr>
          <w:rFonts w:asciiTheme="minorHAnsi" w:hAnsiTheme="minorHAnsi" w:cstheme="minorHAnsi"/>
          <w:sz w:val="24"/>
          <w:szCs w:val="24"/>
        </w:rPr>
      </w:pPr>
      <w:r w:rsidRPr="00194C64">
        <w:rPr>
          <w:rFonts w:asciiTheme="minorHAnsi" w:hAnsiTheme="minorHAnsi" w:cstheme="minorHAnsi"/>
          <w:sz w:val="24"/>
          <w:szCs w:val="24"/>
        </w:rPr>
        <w:t>Expand its flourishing retail outlet to include all products.</w:t>
      </w:r>
    </w:p>
    <w:p w:rsidR="003C025E" w:rsidRPr="00194C64" w:rsidRDefault="003C025E" w:rsidP="003C025E">
      <w:pPr>
        <w:numPr>
          <w:ilvl w:val="0"/>
          <w:numId w:val="1"/>
        </w:numPr>
        <w:rPr>
          <w:rFonts w:asciiTheme="minorHAnsi" w:hAnsiTheme="minorHAnsi" w:cstheme="minorHAnsi"/>
          <w:sz w:val="24"/>
          <w:szCs w:val="24"/>
        </w:rPr>
      </w:pPr>
      <w:r w:rsidRPr="00194C64">
        <w:rPr>
          <w:rFonts w:asciiTheme="minorHAnsi" w:hAnsiTheme="minorHAnsi" w:cstheme="minorHAnsi"/>
          <w:sz w:val="24"/>
          <w:szCs w:val="24"/>
        </w:rPr>
        <w:t>Develop into internet sales.</w:t>
      </w:r>
    </w:p>
    <w:p w:rsidR="003C025E" w:rsidRPr="00194C64" w:rsidRDefault="003C025E" w:rsidP="003C025E">
      <w:pPr>
        <w:numPr>
          <w:ilvl w:val="0"/>
          <w:numId w:val="1"/>
        </w:numPr>
        <w:rPr>
          <w:rFonts w:asciiTheme="minorHAnsi" w:hAnsiTheme="minorHAnsi" w:cstheme="minorHAnsi"/>
          <w:sz w:val="24"/>
          <w:szCs w:val="24"/>
        </w:rPr>
      </w:pPr>
      <w:r w:rsidRPr="00194C64">
        <w:rPr>
          <w:rFonts w:asciiTheme="minorHAnsi" w:hAnsiTheme="minorHAnsi" w:cstheme="minorHAnsi"/>
          <w:sz w:val="24"/>
          <w:szCs w:val="24"/>
        </w:rPr>
        <w:t>Produce greenhouses and conservatories.</w:t>
      </w:r>
    </w:p>
    <w:p w:rsidR="003C025E" w:rsidRPr="00194C64" w:rsidRDefault="003C025E" w:rsidP="003C025E">
      <w:pPr>
        <w:spacing w:line="360" w:lineRule="auto"/>
        <w:rPr>
          <w:rFonts w:asciiTheme="minorHAnsi" w:hAnsiTheme="minorHAnsi" w:cstheme="minorHAnsi"/>
          <w:color w:val="7030A0"/>
          <w:sz w:val="24"/>
          <w:szCs w:val="24"/>
        </w:rPr>
      </w:pPr>
    </w:p>
    <w:p w:rsidR="003C025E" w:rsidRPr="00194C64" w:rsidRDefault="003C025E" w:rsidP="003C025E">
      <w:pPr>
        <w:spacing w:line="360" w:lineRule="auto"/>
        <w:rPr>
          <w:rFonts w:asciiTheme="minorHAnsi" w:hAnsiTheme="minorHAnsi" w:cstheme="minorHAnsi"/>
          <w:sz w:val="24"/>
          <w:szCs w:val="24"/>
        </w:rPr>
      </w:pPr>
      <w:r w:rsidRPr="00194C64">
        <w:rPr>
          <w:rFonts w:asciiTheme="minorHAnsi" w:hAnsiTheme="minorHAnsi" w:cstheme="minorHAnsi"/>
          <w:sz w:val="24"/>
          <w:szCs w:val="24"/>
        </w:rPr>
        <w:t>These options would require initial expenditure of (A) £750,000, (B) £1,200,000, or (C) £2,000,000.  The most recent estimates on year-end cash flows is as follows:</w:t>
      </w:r>
    </w:p>
    <w:p w:rsidR="003C025E" w:rsidRPr="00194C64" w:rsidRDefault="003C025E" w:rsidP="003C025E">
      <w:pPr>
        <w:spacing w:line="360" w:lineRule="auto"/>
        <w:jc w:val="both"/>
        <w:rPr>
          <w:rFonts w:asciiTheme="minorHAnsi" w:hAnsiTheme="minorHAnsi" w:cstheme="minorHAnsi"/>
          <w:sz w:val="24"/>
          <w:szCs w:val="24"/>
        </w:rPr>
      </w:pPr>
    </w:p>
    <w:tbl>
      <w:tblPr>
        <w:tblW w:w="0" w:type="auto"/>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550"/>
        <w:gridCol w:w="1804"/>
        <w:gridCol w:w="1804"/>
        <w:gridCol w:w="1804"/>
        <w:gridCol w:w="1804"/>
      </w:tblGrid>
      <w:tr w:rsidR="003C025E" w:rsidRPr="00194C64" w:rsidTr="003C025E">
        <w:tc>
          <w:tcPr>
            <w:tcW w:w="1884" w:type="dxa"/>
            <w:shd w:val="clear" w:color="auto" w:fill="auto"/>
          </w:tcPr>
          <w:p w:rsidR="003C025E" w:rsidRPr="00194C64" w:rsidRDefault="003C025E" w:rsidP="003C025E">
            <w:pPr>
              <w:spacing w:line="360" w:lineRule="auto"/>
              <w:jc w:val="center"/>
              <w:rPr>
                <w:rFonts w:asciiTheme="minorHAnsi" w:hAnsiTheme="minorHAnsi" w:cstheme="minorHAnsi"/>
                <w:b/>
                <w:sz w:val="24"/>
                <w:szCs w:val="24"/>
              </w:rPr>
            </w:pPr>
          </w:p>
        </w:tc>
        <w:tc>
          <w:tcPr>
            <w:tcW w:w="2134" w:type="dxa"/>
            <w:shd w:val="clear" w:color="auto" w:fill="auto"/>
          </w:tcPr>
          <w:p w:rsidR="003C025E" w:rsidRPr="00194C64" w:rsidRDefault="003C025E" w:rsidP="003C025E">
            <w:pPr>
              <w:spacing w:line="360" w:lineRule="auto"/>
              <w:jc w:val="center"/>
              <w:rPr>
                <w:rFonts w:asciiTheme="minorHAnsi" w:hAnsiTheme="minorHAnsi" w:cstheme="minorHAnsi"/>
                <w:b/>
                <w:sz w:val="24"/>
                <w:szCs w:val="24"/>
              </w:rPr>
            </w:pPr>
            <w:r w:rsidRPr="00194C64">
              <w:rPr>
                <w:rFonts w:asciiTheme="minorHAnsi" w:hAnsiTheme="minorHAnsi" w:cstheme="minorHAnsi"/>
                <w:b/>
                <w:sz w:val="24"/>
                <w:szCs w:val="24"/>
              </w:rPr>
              <w:t>Year 1</w:t>
            </w:r>
          </w:p>
        </w:tc>
        <w:tc>
          <w:tcPr>
            <w:tcW w:w="2134" w:type="dxa"/>
            <w:shd w:val="clear" w:color="auto" w:fill="auto"/>
          </w:tcPr>
          <w:p w:rsidR="003C025E" w:rsidRPr="00194C64" w:rsidRDefault="003C025E" w:rsidP="003C025E">
            <w:pPr>
              <w:spacing w:line="360" w:lineRule="auto"/>
              <w:jc w:val="center"/>
              <w:rPr>
                <w:rFonts w:asciiTheme="minorHAnsi" w:hAnsiTheme="minorHAnsi" w:cstheme="minorHAnsi"/>
                <w:b/>
                <w:sz w:val="24"/>
                <w:szCs w:val="24"/>
              </w:rPr>
            </w:pPr>
            <w:r w:rsidRPr="00194C64">
              <w:rPr>
                <w:rFonts w:asciiTheme="minorHAnsi" w:hAnsiTheme="minorHAnsi" w:cstheme="minorHAnsi"/>
                <w:b/>
                <w:sz w:val="24"/>
                <w:szCs w:val="24"/>
              </w:rPr>
              <w:t>Year 2</w:t>
            </w:r>
          </w:p>
        </w:tc>
        <w:tc>
          <w:tcPr>
            <w:tcW w:w="2134" w:type="dxa"/>
            <w:shd w:val="clear" w:color="auto" w:fill="auto"/>
          </w:tcPr>
          <w:p w:rsidR="003C025E" w:rsidRPr="00194C64" w:rsidRDefault="003C025E" w:rsidP="003C025E">
            <w:pPr>
              <w:spacing w:line="360" w:lineRule="auto"/>
              <w:jc w:val="center"/>
              <w:rPr>
                <w:rFonts w:asciiTheme="minorHAnsi" w:hAnsiTheme="minorHAnsi" w:cstheme="minorHAnsi"/>
                <w:b/>
                <w:sz w:val="24"/>
                <w:szCs w:val="24"/>
              </w:rPr>
            </w:pPr>
            <w:r w:rsidRPr="00194C64">
              <w:rPr>
                <w:rFonts w:asciiTheme="minorHAnsi" w:hAnsiTheme="minorHAnsi" w:cstheme="minorHAnsi"/>
                <w:b/>
                <w:sz w:val="24"/>
                <w:szCs w:val="24"/>
              </w:rPr>
              <w:t>Year 3</w:t>
            </w:r>
          </w:p>
        </w:tc>
        <w:tc>
          <w:tcPr>
            <w:tcW w:w="2134" w:type="dxa"/>
            <w:shd w:val="clear" w:color="auto" w:fill="auto"/>
          </w:tcPr>
          <w:p w:rsidR="003C025E" w:rsidRPr="00194C64" w:rsidRDefault="003C025E" w:rsidP="003C025E">
            <w:pPr>
              <w:spacing w:line="360" w:lineRule="auto"/>
              <w:jc w:val="center"/>
              <w:rPr>
                <w:rFonts w:asciiTheme="minorHAnsi" w:hAnsiTheme="minorHAnsi" w:cstheme="minorHAnsi"/>
                <w:b/>
                <w:sz w:val="24"/>
                <w:szCs w:val="24"/>
              </w:rPr>
            </w:pPr>
            <w:r w:rsidRPr="00194C64">
              <w:rPr>
                <w:rFonts w:asciiTheme="minorHAnsi" w:hAnsiTheme="minorHAnsi" w:cstheme="minorHAnsi"/>
                <w:b/>
                <w:sz w:val="24"/>
                <w:szCs w:val="24"/>
              </w:rPr>
              <w:t>Year 4</w:t>
            </w:r>
          </w:p>
        </w:tc>
      </w:tr>
      <w:tr w:rsidR="003C025E" w:rsidRPr="00194C64" w:rsidTr="003C025E">
        <w:tc>
          <w:tcPr>
            <w:tcW w:w="1884" w:type="dxa"/>
            <w:shd w:val="clear" w:color="auto" w:fill="auto"/>
          </w:tcPr>
          <w:p w:rsidR="003C025E" w:rsidRPr="00194C64" w:rsidRDefault="003C025E" w:rsidP="003C025E">
            <w:pPr>
              <w:spacing w:line="360" w:lineRule="auto"/>
              <w:jc w:val="both"/>
              <w:rPr>
                <w:rFonts w:asciiTheme="minorHAnsi" w:hAnsiTheme="minorHAnsi" w:cstheme="minorHAnsi"/>
                <w:sz w:val="24"/>
                <w:szCs w:val="24"/>
              </w:rPr>
            </w:pPr>
          </w:p>
        </w:tc>
        <w:tc>
          <w:tcPr>
            <w:tcW w:w="2134" w:type="dxa"/>
            <w:shd w:val="clear" w:color="auto" w:fill="auto"/>
          </w:tcPr>
          <w:p w:rsidR="003C025E" w:rsidRPr="00194C64" w:rsidRDefault="003C025E" w:rsidP="003C025E">
            <w:pPr>
              <w:spacing w:line="360" w:lineRule="auto"/>
              <w:jc w:val="center"/>
              <w:rPr>
                <w:rFonts w:asciiTheme="minorHAnsi" w:hAnsiTheme="minorHAnsi" w:cstheme="minorHAnsi"/>
                <w:b/>
                <w:sz w:val="24"/>
                <w:szCs w:val="24"/>
              </w:rPr>
            </w:pPr>
            <w:r w:rsidRPr="00194C64">
              <w:rPr>
                <w:rFonts w:asciiTheme="minorHAnsi" w:hAnsiTheme="minorHAnsi" w:cstheme="minorHAnsi"/>
                <w:b/>
                <w:sz w:val="24"/>
                <w:szCs w:val="24"/>
              </w:rPr>
              <w:t>£’000</w:t>
            </w:r>
          </w:p>
        </w:tc>
        <w:tc>
          <w:tcPr>
            <w:tcW w:w="2134" w:type="dxa"/>
            <w:shd w:val="clear" w:color="auto" w:fill="auto"/>
          </w:tcPr>
          <w:p w:rsidR="003C025E" w:rsidRPr="00194C64" w:rsidRDefault="003C025E" w:rsidP="003C025E">
            <w:pPr>
              <w:spacing w:line="360" w:lineRule="auto"/>
              <w:jc w:val="center"/>
              <w:rPr>
                <w:rFonts w:asciiTheme="minorHAnsi" w:hAnsiTheme="minorHAnsi" w:cstheme="minorHAnsi"/>
                <w:b/>
                <w:sz w:val="24"/>
                <w:szCs w:val="24"/>
              </w:rPr>
            </w:pPr>
            <w:r w:rsidRPr="00194C64">
              <w:rPr>
                <w:rFonts w:asciiTheme="minorHAnsi" w:hAnsiTheme="minorHAnsi" w:cstheme="minorHAnsi"/>
                <w:b/>
                <w:sz w:val="24"/>
                <w:szCs w:val="24"/>
              </w:rPr>
              <w:t>£’000</w:t>
            </w:r>
          </w:p>
        </w:tc>
        <w:tc>
          <w:tcPr>
            <w:tcW w:w="2134" w:type="dxa"/>
            <w:shd w:val="clear" w:color="auto" w:fill="auto"/>
          </w:tcPr>
          <w:p w:rsidR="003C025E" w:rsidRPr="00194C64" w:rsidRDefault="003C025E" w:rsidP="003C025E">
            <w:pPr>
              <w:spacing w:line="360" w:lineRule="auto"/>
              <w:jc w:val="center"/>
              <w:rPr>
                <w:rFonts w:asciiTheme="minorHAnsi" w:hAnsiTheme="minorHAnsi" w:cstheme="minorHAnsi"/>
                <w:b/>
                <w:sz w:val="24"/>
                <w:szCs w:val="24"/>
              </w:rPr>
            </w:pPr>
            <w:r w:rsidRPr="00194C64">
              <w:rPr>
                <w:rFonts w:asciiTheme="minorHAnsi" w:hAnsiTheme="minorHAnsi" w:cstheme="minorHAnsi"/>
                <w:b/>
                <w:sz w:val="24"/>
                <w:szCs w:val="24"/>
              </w:rPr>
              <w:t>£’000</w:t>
            </w:r>
          </w:p>
        </w:tc>
        <w:tc>
          <w:tcPr>
            <w:tcW w:w="2134" w:type="dxa"/>
            <w:shd w:val="clear" w:color="auto" w:fill="auto"/>
          </w:tcPr>
          <w:p w:rsidR="003C025E" w:rsidRPr="00194C64" w:rsidRDefault="003C025E" w:rsidP="003C025E">
            <w:pPr>
              <w:spacing w:line="360" w:lineRule="auto"/>
              <w:jc w:val="center"/>
              <w:rPr>
                <w:rFonts w:asciiTheme="minorHAnsi" w:hAnsiTheme="minorHAnsi" w:cstheme="minorHAnsi"/>
                <w:b/>
                <w:sz w:val="24"/>
                <w:szCs w:val="24"/>
              </w:rPr>
            </w:pPr>
            <w:r w:rsidRPr="00194C64">
              <w:rPr>
                <w:rFonts w:asciiTheme="minorHAnsi" w:hAnsiTheme="minorHAnsi" w:cstheme="minorHAnsi"/>
                <w:b/>
                <w:sz w:val="24"/>
                <w:szCs w:val="24"/>
              </w:rPr>
              <w:t>£’000</w:t>
            </w:r>
          </w:p>
        </w:tc>
      </w:tr>
      <w:tr w:rsidR="003C025E" w:rsidRPr="00194C64" w:rsidTr="003C025E">
        <w:tc>
          <w:tcPr>
            <w:tcW w:w="1884" w:type="dxa"/>
            <w:shd w:val="clear" w:color="auto" w:fill="auto"/>
          </w:tcPr>
          <w:p w:rsidR="003C025E" w:rsidRPr="00194C64" w:rsidRDefault="003C025E" w:rsidP="003C025E">
            <w:pPr>
              <w:spacing w:line="360" w:lineRule="auto"/>
              <w:jc w:val="center"/>
              <w:rPr>
                <w:rFonts w:asciiTheme="minorHAnsi" w:hAnsiTheme="minorHAnsi" w:cstheme="minorHAnsi"/>
                <w:sz w:val="24"/>
                <w:szCs w:val="24"/>
              </w:rPr>
            </w:pPr>
            <w:r w:rsidRPr="00194C64">
              <w:rPr>
                <w:rFonts w:asciiTheme="minorHAnsi" w:hAnsiTheme="minorHAnsi" w:cstheme="minorHAnsi"/>
                <w:sz w:val="24"/>
                <w:szCs w:val="24"/>
              </w:rPr>
              <w:t>(A)</w:t>
            </w:r>
          </w:p>
        </w:tc>
        <w:tc>
          <w:tcPr>
            <w:tcW w:w="2134" w:type="dxa"/>
            <w:shd w:val="clear" w:color="auto" w:fill="auto"/>
          </w:tcPr>
          <w:p w:rsidR="003C025E" w:rsidRPr="00194C64" w:rsidRDefault="003C025E" w:rsidP="003C025E">
            <w:pPr>
              <w:spacing w:line="360" w:lineRule="auto"/>
              <w:jc w:val="center"/>
              <w:rPr>
                <w:rFonts w:asciiTheme="minorHAnsi" w:hAnsiTheme="minorHAnsi" w:cstheme="minorHAnsi"/>
                <w:sz w:val="24"/>
                <w:szCs w:val="24"/>
              </w:rPr>
            </w:pPr>
            <w:r w:rsidRPr="00194C64">
              <w:rPr>
                <w:rFonts w:asciiTheme="minorHAnsi" w:hAnsiTheme="minorHAnsi" w:cstheme="minorHAnsi"/>
                <w:sz w:val="24"/>
                <w:szCs w:val="24"/>
              </w:rPr>
              <w:t>400</w:t>
            </w:r>
          </w:p>
        </w:tc>
        <w:tc>
          <w:tcPr>
            <w:tcW w:w="2134" w:type="dxa"/>
            <w:shd w:val="clear" w:color="auto" w:fill="auto"/>
          </w:tcPr>
          <w:p w:rsidR="003C025E" w:rsidRPr="00194C64" w:rsidRDefault="003C025E" w:rsidP="003C025E">
            <w:pPr>
              <w:spacing w:line="360" w:lineRule="auto"/>
              <w:jc w:val="center"/>
              <w:rPr>
                <w:rFonts w:asciiTheme="minorHAnsi" w:hAnsiTheme="minorHAnsi" w:cstheme="minorHAnsi"/>
                <w:sz w:val="24"/>
                <w:szCs w:val="24"/>
              </w:rPr>
            </w:pPr>
            <w:r w:rsidRPr="00194C64">
              <w:rPr>
                <w:rFonts w:asciiTheme="minorHAnsi" w:hAnsiTheme="minorHAnsi" w:cstheme="minorHAnsi"/>
                <w:sz w:val="24"/>
                <w:szCs w:val="24"/>
              </w:rPr>
              <w:t>500</w:t>
            </w:r>
          </w:p>
        </w:tc>
        <w:tc>
          <w:tcPr>
            <w:tcW w:w="2134" w:type="dxa"/>
            <w:shd w:val="clear" w:color="auto" w:fill="auto"/>
          </w:tcPr>
          <w:p w:rsidR="003C025E" w:rsidRPr="00194C64" w:rsidRDefault="003C025E" w:rsidP="003C025E">
            <w:pPr>
              <w:spacing w:line="360" w:lineRule="auto"/>
              <w:jc w:val="center"/>
              <w:rPr>
                <w:rFonts w:asciiTheme="minorHAnsi" w:hAnsiTheme="minorHAnsi" w:cstheme="minorHAnsi"/>
                <w:sz w:val="24"/>
                <w:szCs w:val="24"/>
              </w:rPr>
            </w:pPr>
            <w:r w:rsidRPr="00194C64">
              <w:rPr>
                <w:rFonts w:asciiTheme="minorHAnsi" w:hAnsiTheme="minorHAnsi" w:cstheme="minorHAnsi"/>
                <w:sz w:val="24"/>
                <w:szCs w:val="24"/>
              </w:rPr>
              <w:t>500</w:t>
            </w:r>
          </w:p>
        </w:tc>
        <w:tc>
          <w:tcPr>
            <w:tcW w:w="2134" w:type="dxa"/>
            <w:shd w:val="clear" w:color="auto" w:fill="auto"/>
          </w:tcPr>
          <w:p w:rsidR="003C025E" w:rsidRPr="00194C64" w:rsidRDefault="003C025E" w:rsidP="003C025E">
            <w:pPr>
              <w:spacing w:line="360" w:lineRule="auto"/>
              <w:jc w:val="center"/>
              <w:rPr>
                <w:rFonts w:asciiTheme="minorHAnsi" w:hAnsiTheme="minorHAnsi" w:cstheme="minorHAnsi"/>
                <w:sz w:val="24"/>
                <w:szCs w:val="24"/>
              </w:rPr>
            </w:pPr>
            <w:r w:rsidRPr="00194C64">
              <w:rPr>
                <w:rFonts w:asciiTheme="minorHAnsi" w:hAnsiTheme="minorHAnsi" w:cstheme="minorHAnsi"/>
                <w:sz w:val="24"/>
                <w:szCs w:val="24"/>
              </w:rPr>
              <w:t>500</w:t>
            </w:r>
          </w:p>
        </w:tc>
      </w:tr>
      <w:tr w:rsidR="003C025E" w:rsidRPr="00194C64" w:rsidTr="003C025E">
        <w:tc>
          <w:tcPr>
            <w:tcW w:w="1884" w:type="dxa"/>
            <w:shd w:val="clear" w:color="auto" w:fill="auto"/>
          </w:tcPr>
          <w:p w:rsidR="003C025E" w:rsidRPr="00194C64" w:rsidRDefault="003C025E" w:rsidP="003C025E">
            <w:pPr>
              <w:spacing w:line="360" w:lineRule="auto"/>
              <w:jc w:val="center"/>
              <w:rPr>
                <w:rFonts w:asciiTheme="minorHAnsi" w:hAnsiTheme="minorHAnsi" w:cstheme="minorHAnsi"/>
                <w:sz w:val="24"/>
                <w:szCs w:val="24"/>
              </w:rPr>
            </w:pPr>
            <w:r w:rsidRPr="00194C64">
              <w:rPr>
                <w:rFonts w:asciiTheme="minorHAnsi" w:hAnsiTheme="minorHAnsi" w:cstheme="minorHAnsi"/>
                <w:sz w:val="24"/>
                <w:szCs w:val="24"/>
              </w:rPr>
              <w:t>(B)</w:t>
            </w:r>
          </w:p>
        </w:tc>
        <w:tc>
          <w:tcPr>
            <w:tcW w:w="2134" w:type="dxa"/>
            <w:shd w:val="clear" w:color="auto" w:fill="auto"/>
          </w:tcPr>
          <w:p w:rsidR="003C025E" w:rsidRPr="00194C64" w:rsidRDefault="003C025E" w:rsidP="003C025E">
            <w:pPr>
              <w:spacing w:line="360" w:lineRule="auto"/>
              <w:jc w:val="center"/>
              <w:rPr>
                <w:rFonts w:asciiTheme="minorHAnsi" w:hAnsiTheme="minorHAnsi" w:cstheme="minorHAnsi"/>
                <w:sz w:val="24"/>
                <w:szCs w:val="24"/>
              </w:rPr>
            </w:pPr>
            <w:r w:rsidRPr="00194C64">
              <w:rPr>
                <w:rFonts w:asciiTheme="minorHAnsi" w:hAnsiTheme="minorHAnsi" w:cstheme="minorHAnsi"/>
                <w:sz w:val="24"/>
                <w:szCs w:val="24"/>
              </w:rPr>
              <w:t>500</w:t>
            </w:r>
          </w:p>
        </w:tc>
        <w:tc>
          <w:tcPr>
            <w:tcW w:w="2134" w:type="dxa"/>
            <w:shd w:val="clear" w:color="auto" w:fill="auto"/>
          </w:tcPr>
          <w:p w:rsidR="003C025E" w:rsidRPr="00194C64" w:rsidRDefault="003C025E" w:rsidP="003C025E">
            <w:pPr>
              <w:spacing w:line="360" w:lineRule="auto"/>
              <w:jc w:val="center"/>
              <w:rPr>
                <w:rFonts w:asciiTheme="minorHAnsi" w:hAnsiTheme="minorHAnsi" w:cstheme="minorHAnsi"/>
                <w:sz w:val="24"/>
                <w:szCs w:val="24"/>
              </w:rPr>
            </w:pPr>
            <w:r w:rsidRPr="00194C64">
              <w:rPr>
                <w:rFonts w:asciiTheme="minorHAnsi" w:hAnsiTheme="minorHAnsi" w:cstheme="minorHAnsi"/>
                <w:sz w:val="24"/>
                <w:szCs w:val="24"/>
              </w:rPr>
              <w:t>600</w:t>
            </w:r>
          </w:p>
        </w:tc>
        <w:tc>
          <w:tcPr>
            <w:tcW w:w="2134" w:type="dxa"/>
            <w:shd w:val="clear" w:color="auto" w:fill="auto"/>
          </w:tcPr>
          <w:p w:rsidR="003C025E" w:rsidRPr="00194C64" w:rsidRDefault="003C025E" w:rsidP="003C025E">
            <w:pPr>
              <w:spacing w:line="360" w:lineRule="auto"/>
              <w:jc w:val="center"/>
              <w:rPr>
                <w:rFonts w:asciiTheme="minorHAnsi" w:hAnsiTheme="minorHAnsi" w:cstheme="minorHAnsi"/>
                <w:sz w:val="24"/>
                <w:szCs w:val="24"/>
              </w:rPr>
            </w:pPr>
            <w:r w:rsidRPr="00194C64">
              <w:rPr>
                <w:rFonts w:asciiTheme="minorHAnsi" w:hAnsiTheme="minorHAnsi" w:cstheme="minorHAnsi"/>
                <w:sz w:val="24"/>
                <w:szCs w:val="24"/>
              </w:rPr>
              <w:t>800</w:t>
            </w:r>
          </w:p>
        </w:tc>
        <w:tc>
          <w:tcPr>
            <w:tcW w:w="2134" w:type="dxa"/>
            <w:shd w:val="clear" w:color="auto" w:fill="auto"/>
          </w:tcPr>
          <w:p w:rsidR="003C025E" w:rsidRPr="00194C64" w:rsidRDefault="003C025E" w:rsidP="003C025E">
            <w:pPr>
              <w:spacing w:line="360" w:lineRule="auto"/>
              <w:jc w:val="center"/>
              <w:rPr>
                <w:rFonts w:asciiTheme="minorHAnsi" w:hAnsiTheme="minorHAnsi" w:cstheme="minorHAnsi"/>
                <w:sz w:val="24"/>
                <w:szCs w:val="24"/>
              </w:rPr>
            </w:pPr>
            <w:r w:rsidRPr="00194C64">
              <w:rPr>
                <w:rFonts w:asciiTheme="minorHAnsi" w:hAnsiTheme="minorHAnsi" w:cstheme="minorHAnsi"/>
                <w:sz w:val="24"/>
                <w:szCs w:val="24"/>
              </w:rPr>
              <w:t>1,000</w:t>
            </w:r>
          </w:p>
        </w:tc>
      </w:tr>
      <w:tr w:rsidR="003C025E" w:rsidRPr="00194C64" w:rsidTr="003C025E">
        <w:tc>
          <w:tcPr>
            <w:tcW w:w="1884" w:type="dxa"/>
            <w:shd w:val="clear" w:color="auto" w:fill="auto"/>
          </w:tcPr>
          <w:p w:rsidR="003C025E" w:rsidRPr="00194C64" w:rsidRDefault="003C025E" w:rsidP="003C025E">
            <w:pPr>
              <w:spacing w:line="360" w:lineRule="auto"/>
              <w:jc w:val="center"/>
              <w:rPr>
                <w:rFonts w:asciiTheme="minorHAnsi" w:hAnsiTheme="minorHAnsi" w:cstheme="minorHAnsi"/>
                <w:sz w:val="24"/>
                <w:szCs w:val="24"/>
              </w:rPr>
            </w:pPr>
            <w:r w:rsidRPr="00194C64">
              <w:rPr>
                <w:rFonts w:asciiTheme="minorHAnsi" w:hAnsiTheme="minorHAnsi" w:cstheme="minorHAnsi"/>
                <w:sz w:val="24"/>
                <w:szCs w:val="24"/>
              </w:rPr>
              <w:t>(C)</w:t>
            </w:r>
          </w:p>
        </w:tc>
        <w:tc>
          <w:tcPr>
            <w:tcW w:w="2134" w:type="dxa"/>
            <w:shd w:val="clear" w:color="auto" w:fill="auto"/>
          </w:tcPr>
          <w:p w:rsidR="003C025E" w:rsidRPr="00194C64" w:rsidRDefault="003C025E" w:rsidP="003C025E">
            <w:pPr>
              <w:spacing w:line="360" w:lineRule="auto"/>
              <w:jc w:val="center"/>
              <w:rPr>
                <w:rFonts w:asciiTheme="minorHAnsi" w:hAnsiTheme="minorHAnsi" w:cstheme="minorHAnsi"/>
                <w:sz w:val="24"/>
                <w:szCs w:val="24"/>
              </w:rPr>
            </w:pPr>
            <w:r w:rsidRPr="00194C64">
              <w:rPr>
                <w:rFonts w:asciiTheme="minorHAnsi" w:hAnsiTheme="minorHAnsi" w:cstheme="minorHAnsi"/>
                <w:sz w:val="24"/>
                <w:szCs w:val="24"/>
              </w:rPr>
              <w:t>500</w:t>
            </w:r>
          </w:p>
        </w:tc>
        <w:tc>
          <w:tcPr>
            <w:tcW w:w="2134" w:type="dxa"/>
            <w:shd w:val="clear" w:color="auto" w:fill="auto"/>
          </w:tcPr>
          <w:p w:rsidR="003C025E" w:rsidRPr="00194C64" w:rsidRDefault="003C025E" w:rsidP="003C025E">
            <w:pPr>
              <w:spacing w:line="360" w:lineRule="auto"/>
              <w:jc w:val="center"/>
              <w:rPr>
                <w:rFonts w:asciiTheme="minorHAnsi" w:hAnsiTheme="minorHAnsi" w:cstheme="minorHAnsi"/>
                <w:sz w:val="24"/>
                <w:szCs w:val="24"/>
              </w:rPr>
            </w:pPr>
            <w:r w:rsidRPr="00194C64">
              <w:rPr>
                <w:rFonts w:asciiTheme="minorHAnsi" w:hAnsiTheme="minorHAnsi" w:cstheme="minorHAnsi"/>
                <w:sz w:val="24"/>
                <w:szCs w:val="24"/>
              </w:rPr>
              <w:t>1,000</w:t>
            </w:r>
          </w:p>
        </w:tc>
        <w:tc>
          <w:tcPr>
            <w:tcW w:w="2134" w:type="dxa"/>
            <w:shd w:val="clear" w:color="auto" w:fill="auto"/>
          </w:tcPr>
          <w:p w:rsidR="003C025E" w:rsidRPr="00194C64" w:rsidRDefault="003C025E" w:rsidP="003C025E">
            <w:pPr>
              <w:spacing w:line="360" w:lineRule="auto"/>
              <w:jc w:val="center"/>
              <w:rPr>
                <w:rFonts w:asciiTheme="minorHAnsi" w:hAnsiTheme="minorHAnsi" w:cstheme="minorHAnsi"/>
                <w:sz w:val="24"/>
                <w:szCs w:val="24"/>
              </w:rPr>
            </w:pPr>
            <w:r w:rsidRPr="00194C64">
              <w:rPr>
                <w:rFonts w:asciiTheme="minorHAnsi" w:hAnsiTheme="minorHAnsi" w:cstheme="minorHAnsi"/>
                <w:sz w:val="24"/>
                <w:szCs w:val="24"/>
              </w:rPr>
              <w:t>1,500</w:t>
            </w:r>
          </w:p>
        </w:tc>
        <w:tc>
          <w:tcPr>
            <w:tcW w:w="2134" w:type="dxa"/>
            <w:shd w:val="clear" w:color="auto" w:fill="auto"/>
          </w:tcPr>
          <w:p w:rsidR="003C025E" w:rsidRPr="00194C64" w:rsidRDefault="003C025E" w:rsidP="003C025E">
            <w:pPr>
              <w:spacing w:line="360" w:lineRule="auto"/>
              <w:jc w:val="center"/>
              <w:rPr>
                <w:rFonts w:asciiTheme="minorHAnsi" w:hAnsiTheme="minorHAnsi" w:cstheme="minorHAnsi"/>
                <w:sz w:val="24"/>
                <w:szCs w:val="24"/>
              </w:rPr>
            </w:pPr>
            <w:r w:rsidRPr="00194C64">
              <w:rPr>
                <w:rFonts w:asciiTheme="minorHAnsi" w:hAnsiTheme="minorHAnsi" w:cstheme="minorHAnsi"/>
                <w:sz w:val="24"/>
                <w:szCs w:val="24"/>
              </w:rPr>
              <w:t>1,500</w:t>
            </w:r>
          </w:p>
        </w:tc>
      </w:tr>
    </w:tbl>
    <w:p w:rsidR="003C025E" w:rsidRPr="00194C64" w:rsidRDefault="003C025E" w:rsidP="003C025E">
      <w:pPr>
        <w:spacing w:line="360" w:lineRule="auto"/>
        <w:jc w:val="both"/>
        <w:rPr>
          <w:rFonts w:asciiTheme="minorHAnsi" w:hAnsiTheme="minorHAnsi" w:cstheme="minorHAnsi"/>
          <w:color w:val="7030A0"/>
          <w:sz w:val="24"/>
          <w:szCs w:val="24"/>
        </w:rPr>
      </w:pPr>
    </w:p>
    <w:p w:rsidR="003C025E" w:rsidRPr="00194C64" w:rsidRDefault="003C025E" w:rsidP="003C025E">
      <w:pPr>
        <w:spacing w:line="360" w:lineRule="auto"/>
        <w:rPr>
          <w:rFonts w:asciiTheme="minorHAnsi" w:hAnsiTheme="minorHAnsi" w:cstheme="minorHAnsi"/>
          <w:color w:val="7030A0"/>
          <w:sz w:val="24"/>
          <w:szCs w:val="24"/>
        </w:rPr>
      </w:pPr>
    </w:p>
    <w:p w:rsidR="003C025E" w:rsidRPr="00194C64" w:rsidRDefault="003C025E" w:rsidP="003C025E">
      <w:pPr>
        <w:spacing w:line="360" w:lineRule="auto"/>
        <w:ind w:left="360"/>
        <w:rPr>
          <w:rFonts w:asciiTheme="minorHAnsi" w:hAnsiTheme="minorHAnsi" w:cstheme="minorHAnsi"/>
          <w:b/>
          <w:color w:val="7030A0"/>
          <w:sz w:val="24"/>
          <w:szCs w:val="24"/>
        </w:rPr>
      </w:pPr>
    </w:p>
    <w:p w:rsidR="003C025E" w:rsidRPr="00194C64" w:rsidRDefault="003C025E" w:rsidP="003C025E">
      <w:pPr>
        <w:spacing w:line="360" w:lineRule="auto"/>
        <w:ind w:left="720"/>
        <w:rPr>
          <w:rFonts w:asciiTheme="minorHAnsi" w:hAnsiTheme="minorHAnsi" w:cstheme="minorHAnsi"/>
          <w:b/>
          <w:color w:val="7030A0"/>
          <w:sz w:val="24"/>
          <w:szCs w:val="24"/>
        </w:rPr>
      </w:pPr>
    </w:p>
    <w:p w:rsidR="003C025E" w:rsidRPr="00194C64" w:rsidRDefault="003C025E" w:rsidP="003C025E">
      <w:pPr>
        <w:pStyle w:val="Heading1"/>
        <w:spacing w:line="360" w:lineRule="auto"/>
        <w:rPr>
          <w:rFonts w:cstheme="minorHAnsi"/>
          <w:sz w:val="24"/>
          <w:szCs w:val="24"/>
        </w:rPr>
      </w:pPr>
      <w:bookmarkStart w:id="19" w:name="_Toc42082619"/>
      <w:r w:rsidRPr="00194C64">
        <w:rPr>
          <w:rFonts w:cstheme="minorHAnsi"/>
          <w:sz w:val="24"/>
          <w:szCs w:val="24"/>
        </w:rPr>
        <w:lastRenderedPageBreak/>
        <w:t>Evaluation: Option 1</w:t>
      </w:r>
      <w:bookmarkEnd w:id="19"/>
    </w:p>
    <w:p w:rsidR="003C025E" w:rsidRPr="00194C64" w:rsidRDefault="003C025E" w:rsidP="003C025E">
      <w:pPr>
        <w:spacing w:line="360" w:lineRule="auto"/>
        <w:rPr>
          <w:rFonts w:asciiTheme="minorHAnsi" w:hAnsiTheme="minorHAnsi" w:cstheme="minorHAnsi"/>
          <w:sz w:val="24"/>
          <w:szCs w:val="24"/>
          <w:lang w:eastAsia="en-US"/>
        </w:rPr>
      </w:pPr>
      <w:r w:rsidRPr="00194C64">
        <w:rPr>
          <w:rFonts w:asciiTheme="minorHAnsi" w:hAnsiTheme="minorHAnsi" w:cstheme="minorHAnsi"/>
          <w:sz w:val="24"/>
          <w:szCs w:val="24"/>
          <w:lang w:eastAsia="en-US"/>
        </w:rPr>
        <w:t>A retail outlet is “a store that sells smaller quantities of products or services to the general public</w:t>
      </w:r>
      <w:r>
        <w:rPr>
          <w:rFonts w:asciiTheme="minorHAnsi" w:hAnsiTheme="minorHAnsi" w:cstheme="minorHAnsi"/>
          <w:sz w:val="24"/>
          <w:szCs w:val="24"/>
          <w:lang w:eastAsia="en-US"/>
        </w:rPr>
        <w:t xml:space="preserve">” </w:t>
      </w:r>
      <w:sdt>
        <w:sdtPr>
          <w:rPr>
            <w:rFonts w:asciiTheme="minorHAnsi" w:hAnsiTheme="minorHAnsi" w:cstheme="minorHAnsi"/>
            <w:sz w:val="24"/>
            <w:szCs w:val="24"/>
            <w:lang w:eastAsia="en-US"/>
          </w:rPr>
          <w:id w:val="419770714"/>
          <w:citation/>
        </w:sdtPr>
        <w:sdtContent>
          <w:r>
            <w:rPr>
              <w:rFonts w:asciiTheme="minorHAnsi" w:hAnsiTheme="minorHAnsi" w:cstheme="minorHAnsi"/>
              <w:sz w:val="24"/>
              <w:szCs w:val="24"/>
              <w:lang w:eastAsia="en-US"/>
            </w:rPr>
            <w:fldChar w:fldCharType="begin"/>
          </w:r>
          <w:r>
            <w:rPr>
              <w:rFonts w:asciiTheme="minorHAnsi" w:hAnsiTheme="minorHAnsi" w:cstheme="minorHAnsi"/>
              <w:sz w:val="24"/>
              <w:szCs w:val="24"/>
              <w:lang w:eastAsia="en-US"/>
            </w:rPr>
            <w:instrText xml:space="preserve"> CITATION Bus20 \l 2057 </w:instrText>
          </w:r>
          <w:r>
            <w:rPr>
              <w:rFonts w:asciiTheme="minorHAnsi" w:hAnsiTheme="minorHAnsi" w:cstheme="minorHAnsi"/>
              <w:sz w:val="24"/>
              <w:szCs w:val="24"/>
              <w:lang w:eastAsia="en-US"/>
            </w:rPr>
            <w:fldChar w:fldCharType="separate"/>
          </w:r>
          <w:r w:rsidRPr="00194C64">
            <w:rPr>
              <w:rFonts w:asciiTheme="minorHAnsi" w:hAnsiTheme="minorHAnsi" w:cstheme="minorHAnsi"/>
              <w:noProof/>
              <w:sz w:val="24"/>
              <w:szCs w:val="24"/>
              <w:lang w:eastAsia="en-US"/>
            </w:rPr>
            <w:t>(Business Dictionary, 2020)</w:t>
          </w:r>
          <w:r>
            <w:rPr>
              <w:rFonts w:asciiTheme="minorHAnsi" w:hAnsiTheme="minorHAnsi" w:cstheme="minorHAnsi"/>
              <w:sz w:val="24"/>
              <w:szCs w:val="24"/>
              <w:lang w:eastAsia="en-US"/>
            </w:rPr>
            <w:fldChar w:fldCharType="end"/>
          </w:r>
        </w:sdtContent>
      </w:sdt>
      <w:r>
        <w:rPr>
          <w:rFonts w:asciiTheme="minorHAnsi" w:hAnsiTheme="minorHAnsi" w:cstheme="minorHAnsi"/>
          <w:sz w:val="24"/>
          <w:szCs w:val="24"/>
          <w:lang w:eastAsia="en-US"/>
        </w:rPr>
        <w:t xml:space="preserve">. </w:t>
      </w:r>
    </w:p>
    <w:p w:rsidR="003C025E" w:rsidRPr="00194C64" w:rsidRDefault="003C025E" w:rsidP="003C025E">
      <w:pPr>
        <w:spacing w:line="360" w:lineRule="auto"/>
        <w:rPr>
          <w:rFonts w:asciiTheme="minorHAnsi" w:hAnsiTheme="minorHAnsi" w:cstheme="minorHAnsi"/>
          <w:sz w:val="24"/>
          <w:szCs w:val="24"/>
        </w:rPr>
      </w:pPr>
    </w:p>
    <w:p w:rsidR="003C025E" w:rsidRPr="00194C64" w:rsidRDefault="003C025E" w:rsidP="003C025E">
      <w:pPr>
        <w:spacing w:line="360" w:lineRule="auto"/>
        <w:rPr>
          <w:rFonts w:asciiTheme="minorHAnsi" w:hAnsiTheme="minorHAnsi" w:cstheme="minorHAnsi"/>
          <w:sz w:val="24"/>
          <w:szCs w:val="24"/>
        </w:rPr>
      </w:pPr>
      <w:r w:rsidRPr="00194C64">
        <w:rPr>
          <w:rFonts w:asciiTheme="minorHAnsi" w:hAnsiTheme="minorHAnsi" w:cstheme="minorHAnsi"/>
          <w:sz w:val="24"/>
          <w:szCs w:val="24"/>
        </w:rPr>
        <w:t xml:space="preserve">Investment option 1 is to expand the retail outlet to include </w:t>
      </w:r>
      <w:proofErr w:type="gramStart"/>
      <w:r w:rsidRPr="00194C64">
        <w:rPr>
          <w:rFonts w:asciiTheme="minorHAnsi" w:hAnsiTheme="minorHAnsi" w:cstheme="minorHAnsi"/>
          <w:sz w:val="24"/>
          <w:szCs w:val="24"/>
        </w:rPr>
        <w:t>all of</w:t>
      </w:r>
      <w:proofErr w:type="gramEnd"/>
      <w:r w:rsidRPr="00194C64">
        <w:rPr>
          <w:rFonts w:asciiTheme="minorHAnsi" w:hAnsiTheme="minorHAnsi" w:cstheme="minorHAnsi"/>
          <w:sz w:val="24"/>
          <w:szCs w:val="24"/>
        </w:rPr>
        <w:t xml:space="preserve"> the products in the range.  The retail outlets current sell</w:t>
      </w:r>
      <w:r>
        <w:rPr>
          <w:rFonts w:asciiTheme="minorHAnsi" w:hAnsiTheme="minorHAnsi" w:cstheme="minorHAnsi"/>
          <w:sz w:val="24"/>
          <w:szCs w:val="24"/>
        </w:rPr>
        <w:t>s</w:t>
      </w:r>
      <w:r w:rsidRPr="00194C64">
        <w:rPr>
          <w:rFonts w:asciiTheme="minorHAnsi" w:hAnsiTheme="minorHAnsi" w:cstheme="minorHAnsi"/>
          <w:sz w:val="24"/>
          <w:szCs w:val="24"/>
        </w:rPr>
        <w:t xml:space="preserve"> </w:t>
      </w:r>
      <w:r>
        <w:rPr>
          <w:rFonts w:asciiTheme="minorHAnsi" w:hAnsiTheme="minorHAnsi" w:cstheme="minorHAnsi"/>
          <w:sz w:val="24"/>
          <w:szCs w:val="24"/>
        </w:rPr>
        <w:t xml:space="preserve">a select range </w:t>
      </w:r>
      <w:r w:rsidRPr="00194C64">
        <w:rPr>
          <w:rFonts w:asciiTheme="minorHAnsi" w:hAnsiTheme="minorHAnsi" w:cstheme="minorHAnsi"/>
          <w:sz w:val="24"/>
          <w:szCs w:val="24"/>
        </w:rPr>
        <w:t xml:space="preserve">of the products that the business sells, but as these outlets are becoming more popular, the business is considering </w:t>
      </w:r>
      <w:r>
        <w:rPr>
          <w:rFonts w:asciiTheme="minorHAnsi" w:hAnsiTheme="minorHAnsi" w:cstheme="minorHAnsi"/>
          <w:sz w:val="24"/>
          <w:szCs w:val="24"/>
        </w:rPr>
        <w:t xml:space="preserve">offering </w:t>
      </w:r>
      <w:r w:rsidRPr="00194C64">
        <w:rPr>
          <w:rFonts w:asciiTheme="minorHAnsi" w:hAnsiTheme="minorHAnsi" w:cstheme="minorHAnsi"/>
          <w:sz w:val="24"/>
          <w:szCs w:val="24"/>
        </w:rPr>
        <w:t>all their products at these outlets</w:t>
      </w:r>
      <w:r>
        <w:rPr>
          <w:rFonts w:asciiTheme="minorHAnsi" w:hAnsiTheme="minorHAnsi" w:cstheme="minorHAnsi"/>
          <w:sz w:val="24"/>
          <w:szCs w:val="24"/>
        </w:rPr>
        <w:t xml:space="preserve">.  </w:t>
      </w:r>
    </w:p>
    <w:p w:rsidR="003C025E" w:rsidRPr="00194C64" w:rsidRDefault="003C025E" w:rsidP="003C025E">
      <w:pPr>
        <w:spacing w:line="360" w:lineRule="auto"/>
        <w:rPr>
          <w:rFonts w:asciiTheme="minorHAnsi" w:hAnsiTheme="minorHAnsi" w:cstheme="minorHAnsi"/>
          <w:sz w:val="24"/>
          <w:szCs w:val="24"/>
        </w:rPr>
      </w:pPr>
    </w:p>
    <w:p w:rsidR="003C025E" w:rsidRPr="003C025E" w:rsidRDefault="003C025E" w:rsidP="003C025E">
      <w:pPr>
        <w:spacing w:line="360" w:lineRule="auto"/>
        <w:rPr>
          <w:rFonts w:asciiTheme="minorHAnsi" w:hAnsiTheme="minorHAnsi" w:cstheme="minorHAnsi"/>
          <w:sz w:val="24"/>
          <w:szCs w:val="24"/>
        </w:rPr>
      </w:pPr>
      <w:r w:rsidRPr="003C025E">
        <w:rPr>
          <w:rFonts w:asciiTheme="minorHAnsi" w:hAnsiTheme="minorHAnsi" w:cstheme="minorHAnsi"/>
          <w:sz w:val="24"/>
          <w:szCs w:val="24"/>
        </w:rPr>
        <w:t>The initial cash expenditure for this option is £750,000.  The estimates on year-end cash flows is as follows:</w:t>
      </w:r>
    </w:p>
    <w:tbl>
      <w:tblPr>
        <w:tblW w:w="0" w:type="auto"/>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34"/>
        <w:gridCol w:w="2134"/>
        <w:gridCol w:w="2134"/>
        <w:gridCol w:w="2134"/>
      </w:tblGrid>
      <w:tr w:rsidR="003C025E" w:rsidRPr="003C025E" w:rsidTr="003C025E">
        <w:tc>
          <w:tcPr>
            <w:tcW w:w="2134" w:type="dxa"/>
            <w:shd w:val="clear" w:color="auto" w:fill="auto"/>
          </w:tcPr>
          <w:p w:rsidR="003C025E" w:rsidRPr="003C025E" w:rsidRDefault="003C025E" w:rsidP="003C025E">
            <w:pPr>
              <w:spacing w:line="360" w:lineRule="auto"/>
              <w:jc w:val="center"/>
              <w:rPr>
                <w:rFonts w:asciiTheme="minorHAnsi" w:hAnsiTheme="minorHAnsi" w:cstheme="minorHAnsi"/>
                <w:b/>
                <w:sz w:val="24"/>
                <w:szCs w:val="24"/>
              </w:rPr>
            </w:pPr>
            <w:r w:rsidRPr="003C025E">
              <w:rPr>
                <w:rFonts w:asciiTheme="minorHAnsi" w:hAnsiTheme="minorHAnsi" w:cstheme="minorHAnsi"/>
                <w:b/>
                <w:sz w:val="24"/>
                <w:szCs w:val="24"/>
              </w:rPr>
              <w:t>Year 1</w:t>
            </w:r>
          </w:p>
        </w:tc>
        <w:tc>
          <w:tcPr>
            <w:tcW w:w="2134" w:type="dxa"/>
            <w:shd w:val="clear" w:color="auto" w:fill="auto"/>
          </w:tcPr>
          <w:p w:rsidR="003C025E" w:rsidRPr="003C025E" w:rsidRDefault="003C025E" w:rsidP="003C025E">
            <w:pPr>
              <w:spacing w:line="360" w:lineRule="auto"/>
              <w:jc w:val="center"/>
              <w:rPr>
                <w:rFonts w:asciiTheme="minorHAnsi" w:hAnsiTheme="minorHAnsi" w:cstheme="minorHAnsi"/>
                <w:b/>
                <w:sz w:val="24"/>
                <w:szCs w:val="24"/>
              </w:rPr>
            </w:pPr>
            <w:r w:rsidRPr="003C025E">
              <w:rPr>
                <w:rFonts w:asciiTheme="minorHAnsi" w:hAnsiTheme="minorHAnsi" w:cstheme="minorHAnsi"/>
                <w:b/>
                <w:sz w:val="24"/>
                <w:szCs w:val="24"/>
              </w:rPr>
              <w:t>Year 2</w:t>
            </w:r>
          </w:p>
        </w:tc>
        <w:tc>
          <w:tcPr>
            <w:tcW w:w="2134" w:type="dxa"/>
            <w:shd w:val="clear" w:color="auto" w:fill="auto"/>
          </w:tcPr>
          <w:p w:rsidR="003C025E" w:rsidRPr="003C025E" w:rsidRDefault="003C025E" w:rsidP="003C025E">
            <w:pPr>
              <w:spacing w:line="360" w:lineRule="auto"/>
              <w:jc w:val="center"/>
              <w:rPr>
                <w:rFonts w:asciiTheme="minorHAnsi" w:hAnsiTheme="minorHAnsi" w:cstheme="minorHAnsi"/>
                <w:b/>
                <w:sz w:val="24"/>
                <w:szCs w:val="24"/>
              </w:rPr>
            </w:pPr>
            <w:r w:rsidRPr="003C025E">
              <w:rPr>
                <w:rFonts w:asciiTheme="minorHAnsi" w:hAnsiTheme="minorHAnsi" w:cstheme="minorHAnsi"/>
                <w:b/>
                <w:sz w:val="24"/>
                <w:szCs w:val="24"/>
              </w:rPr>
              <w:t>Year 3</w:t>
            </w:r>
          </w:p>
        </w:tc>
        <w:tc>
          <w:tcPr>
            <w:tcW w:w="2134" w:type="dxa"/>
            <w:shd w:val="clear" w:color="auto" w:fill="auto"/>
          </w:tcPr>
          <w:p w:rsidR="003C025E" w:rsidRPr="003C025E" w:rsidRDefault="003C025E" w:rsidP="003C025E">
            <w:pPr>
              <w:spacing w:line="360" w:lineRule="auto"/>
              <w:jc w:val="center"/>
              <w:rPr>
                <w:rFonts w:asciiTheme="minorHAnsi" w:hAnsiTheme="minorHAnsi" w:cstheme="minorHAnsi"/>
                <w:b/>
                <w:sz w:val="24"/>
                <w:szCs w:val="24"/>
              </w:rPr>
            </w:pPr>
            <w:r w:rsidRPr="003C025E">
              <w:rPr>
                <w:rFonts w:asciiTheme="minorHAnsi" w:hAnsiTheme="minorHAnsi" w:cstheme="minorHAnsi"/>
                <w:b/>
                <w:sz w:val="24"/>
                <w:szCs w:val="24"/>
              </w:rPr>
              <w:t>Year 4</w:t>
            </w:r>
          </w:p>
        </w:tc>
      </w:tr>
      <w:tr w:rsidR="003C025E" w:rsidRPr="003C025E" w:rsidTr="003C025E">
        <w:tc>
          <w:tcPr>
            <w:tcW w:w="2134" w:type="dxa"/>
            <w:shd w:val="clear" w:color="auto" w:fill="auto"/>
          </w:tcPr>
          <w:p w:rsidR="003C025E" w:rsidRPr="003C025E" w:rsidRDefault="003C025E" w:rsidP="003C025E">
            <w:pPr>
              <w:spacing w:line="360" w:lineRule="auto"/>
              <w:jc w:val="center"/>
              <w:rPr>
                <w:rFonts w:asciiTheme="minorHAnsi" w:hAnsiTheme="minorHAnsi" w:cstheme="minorHAnsi"/>
                <w:sz w:val="24"/>
                <w:szCs w:val="24"/>
              </w:rPr>
            </w:pPr>
            <w:r w:rsidRPr="003C025E">
              <w:rPr>
                <w:rFonts w:asciiTheme="minorHAnsi" w:hAnsiTheme="minorHAnsi" w:cstheme="minorHAnsi"/>
                <w:sz w:val="24"/>
                <w:szCs w:val="24"/>
              </w:rPr>
              <w:t>£400,000</w:t>
            </w:r>
          </w:p>
        </w:tc>
        <w:tc>
          <w:tcPr>
            <w:tcW w:w="2134" w:type="dxa"/>
            <w:shd w:val="clear" w:color="auto" w:fill="auto"/>
          </w:tcPr>
          <w:p w:rsidR="003C025E" w:rsidRPr="003C025E" w:rsidRDefault="003C025E" w:rsidP="003C025E">
            <w:pPr>
              <w:spacing w:line="360" w:lineRule="auto"/>
              <w:jc w:val="center"/>
              <w:rPr>
                <w:rFonts w:asciiTheme="minorHAnsi" w:hAnsiTheme="minorHAnsi" w:cstheme="minorHAnsi"/>
                <w:sz w:val="24"/>
                <w:szCs w:val="24"/>
              </w:rPr>
            </w:pPr>
            <w:r w:rsidRPr="003C025E">
              <w:rPr>
                <w:rFonts w:asciiTheme="minorHAnsi" w:hAnsiTheme="minorHAnsi" w:cstheme="minorHAnsi"/>
                <w:sz w:val="24"/>
                <w:szCs w:val="24"/>
              </w:rPr>
              <w:t>£500,000</w:t>
            </w:r>
          </w:p>
        </w:tc>
        <w:tc>
          <w:tcPr>
            <w:tcW w:w="2134" w:type="dxa"/>
            <w:shd w:val="clear" w:color="auto" w:fill="auto"/>
          </w:tcPr>
          <w:p w:rsidR="003C025E" w:rsidRPr="003C025E" w:rsidRDefault="003C025E" w:rsidP="003C025E">
            <w:pPr>
              <w:spacing w:line="360" w:lineRule="auto"/>
              <w:jc w:val="center"/>
              <w:rPr>
                <w:rFonts w:asciiTheme="minorHAnsi" w:hAnsiTheme="minorHAnsi" w:cstheme="minorHAnsi"/>
                <w:sz w:val="24"/>
                <w:szCs w:val="24"/>
              </w:rPr>
            </w:pPr>
            <w:r w:rsidRPr="003C025E">
              <w:rPr>
                <w:rFonts w:asciiTheme="minorHAnsi" w:hAnsiTheme="minorHAnsi" w:cstheme="minorHAnsi"/>
                <w:sz w:val="24"/>
                <w:szCs w:val="24"/>
              </w:rPr>
              <w:t>£500,000</w:t>
            </w:r>
          </w:p>
        </w:tc>
        <w:tc>
          <w:tcPr>
            <w:tcW w:w="2134" w:type="dxa"/>
            <w:shd w:val="clear" w:color="auto" w:fill="auto"/>
          </w:tcPr>
          <w:p w:rsidR="003C025E" w:rsidRPr="003C025E" w:rsidRDefault="003C025E" w:rsidP="003C025E">
            <w:pPr>
              <w:spacing w:line="360" w:lineRule="auto"/>
              <w:jc w:val="center"/>
              <w:rPr>
                <w:rFonts w:asciiTheme="minorHAnsi" w:hAnsiTheme="minorHAnsi" w:cstheme="minorHAnsi"/>
                <w:sz w:val="24"/>
                <w:szCs w:val="24"/>
              </w:rPr>
            </w:pPr>
            <w:r w:rsidRPr="003C025E">
              <w:rPr>
                <w:rFonts w:asciiTheme="minorHAnsi" w:hAnsiTheme="minorHAnsi" w:cstheme="minorHAnsi"/>
                <w:sz w:val="24"/>
                <w:szCs w:val="24"/>
              </w:rPr>
              <w:t>£500,000</w:t>
            </w:r>
          </w:p>
        </w:tc>
      </w:tr>
    </w:tbl>
    <w:p w:rsidR="003C025E" w:rsidRPr="003C025E" w:rsidRDefault="003C025E" w:rsidP="003C025E">
      <w:pPr>
        <w:spacing w:line="360" w:lineRule="auto"/>
        <w:rPr>
          <w:rFonts w:asciiTheme="minorHAnsi" w:hAnsiTheme="minorHAnsi" w:cstheme="minorHAnsi"/>
          <w:sz w:val="24"/>
          <w:szCs w:val="24"/>
        </w:rPr>
      </w:pPr>
    </w:p>
    <w:p w:rsidR="003C025E" w:rsidRDefault="003C025E" w:rsidP="003C025E">
      <w:pPr>
        <w:spacing w:line="360" w:lineRule="auto"/>
        <w:rPr>
          <w:rFonts w:asciiTheme="minorHAnsi" w:hAnsiTheme="minorHAnsi" w:cstheme="minorHAnsi"/>
          <w:sz w:val="24"/>
          <w:szCs w:val="24"/>
        </w:rPr>
      </w:pPr>
      <w:r w:rsidRPr="003C025E">
        <w:rPr>
          <w:rFonts w:asciiTheme="minorHAnsi" w:hAnsiTheme="minorHAnsi" w:cstheme="minorHAnsi"/>
          <w:sz w:val="24"/>
          <w:szCs w:val="24"/>
        </w:rPr>
        <w:t>This means that over the next four years, the total additional profit from option A would be £1,900,000, which equals £150,000 after the initial expenditure.</w:t>
      </w:r>
      <w:r>
        <w:rPr>
          <w:rFonts w:asciiTheme="minorHAnsi" w:hAnsiTheme="minorHAnsi" w:cstheme="minorHAnsi"/>
          <w:sz w:val="24"/>
          <w:szCs w:val="24"/>
        </w:rPr>
        <w:t xml:space="preserve">  </w:t>
      </w:r>
    </w:p>
    <w:p w:rsidR="003C025E" w:rsidRDefault="003C025E" w:rsidP="003C025E">
      <w:pPr>
        <w:spacing w:line="360" w:lineRule="auto"/>
        <w:rPr>
          <w:rFonts w:asciiTheme="minorHAnsi" w:hAnsiTheme="minorHAnsi" w:cstheme="minorHAnsi"/>
          <w:sz w:val="24"/>
          <w:szCs w:val="24"/>
        </w:rPr>
      </w:pPr>
    </w:p>
    <w:p w:rsidR="003C025E" w:rsidRPr="003C025E" w:rsidRDefault="003C025E" w:rsidP="003C025E">
      <w:pPr>
        <w:spacing w:line="360" w:lineRule="auto"/>
        <w:rPr>
          <w:rFonts w:asciiTheme="minorHAnsi" w:hAnsiTheme="minorHAnsi" w:cstheme="minorHAnsi"/>
          <w:sz w:val="24"/>
          <w:szCs w:val="24"/>
        </w:rPr>
      </w:pPr>
      <w:r>
        <w:rPr>
          <w:rFonts w:asciiTheme="minorHAnsi" w:hAnsiTheme="minorHAnsi" w:cstheme="minorHAnsi"/>
          <w:sz w:val="24"/>
          <w:szCs w:val="24"/>
        </w:rPr>
        <w:t xml:space="preserve">The below equation shows the </w:t>
      </w:r>
      <w:r w:rsidRPr="003C025E">
        <w:rPr>
          <w:rFonts w:asciiTheme="minorHAnsi" w:hAnsiTheme="minorHAnsi" w:cstheme="minorHAnsi"/>
          <w:sz w:val="24"/>
          <w:szCs w:val="24"/>
        </w:rPr>
        <w:t>net present value (NPV) technique, assuming the cost of capital to be 8%</w:t>
      </w:r>
    </w:p>
    <w:p w:rsidR="003C025E" w:rsidRDefault="004B05DA" w:rsidP="003C025E">
      <w:pPr>
        <w:spacing w:line="360" w:lineRule="auto"/>
        <w:rPr>
          <w:rFonts w:asciiTheme="minorHAnsi" w:hAnsiTheme="minorHAnsi" w:cstheme="minorHAnsi"/>
          <w:sz w:val="40"/>
          <w:szCs w:val="40"/>
        </w:rPr>
      </w:pPr>
      <m:oMath>
        <m:f>
          <m:fPr>
            <m:ctrlPr>
              <w:rPr>
                <w:rFonts w:ascii="Cambria Math" w:hAnsi="Cambria Math" w:cstheme="minorHAnsi"/>
                <w:sz w:val="40"/>
                <w:szCs w:val="40"/>
              </w:rPr>
            </m:ctrlPr>
          </m:fPr>
          <m:num>
            <m:r>
              <m:rPr>
                <m:sty m:val="p"/>
              </m:rPr>
              <w:rPr>
                <w:rFonts w:ascii="Cambria Math" w:hAnsi="Cambria Math" w:cs="Cambria Math"/>
                <w:sz w:val="40"/>
                <w:szCs w:val="40"/>
              </w:rPr>
              <m:t>400,000</m:t>
            </m:r>
          </m:num>
          <m:den>
            <m:r>
              <m:rPr>
                <m:sty m:val="p"/>
              </m:rPr>
              <w:rPr>
                <w:rFonts w:ascii="Cambria Math" w:hAnsi="Cambria Math" w:cs="Cambria Math"/>
                <w:sz w:val="40"/>
                <w:szCs w:val="40"/>
              </w:rPr>
              <m:t>1+</m:t>
            </m:r>
            <m:sSup>
              <m:sSupPr>
                <m:ctrlPr>
                  <w:rPr>
                    <w:rFonts w:ascii="Cambria Math" w:hAnsi="Cambria Math" w:cs="Cambria Math"/>
                    <w:sz w:val="40"/>
                    <w:szCs w:val="40"/>
                  </w:rPr>
                </m:ctrlPr>
              </m:sSupPr>
              <m:e>
                <m:r>
                  <w:rPr>
                    <w:rFonts w:ascii="Cambria Math" w:hAnsi="Cambria Math" w:cs="Cambria Math"/>
                    <w:sz w:val="40"/>
                    <w:szCs w:val="40"/>
                  </w:rPr>
                  <m:t>(0.08)</m:t>
                </m:r>
              </m:e>
              <m:sup>
                <m:r>
                  <w:rPr>
                    <w:rFonts w:ascii="Cambria Math" w:hAnsi="Cambria Math" w:cs="Cambria Math"/>
                    <w:sz w:val="40"/>
                    <w:szCs w:val="40"/>
                  </w:rPr>
                  <m:t>1</m:t>
                </m:r>
              </m:sup>
            </m:sSup>
          </m:den>
        </m:f>
      </m:oMath>
      <w:r w:rsidR="003C025E" w:rsidRPr="00B83EFD">
        <w:rPr>
          <w:rFonts w:asciiTheme="minorHAnsi" w:hAnsiTheme="minorHAnsi" w:cstheme="minorHAnsi"/>
          <w:sz w:val="40"/>
          <w:szCs w:val="40"/>
        </w:rPr>
        <w:t xml:space="preserve"> + </w:t>
      </w:r>
      <m:oMath>
        <m:f>
          <m:fPr>
            <m:ctrlPr>
              <w:rPr>
                <w:rFonts w:ascii="Cambria Math" w:hAnsi="Cambria Math" w:cstheme="minorHAnsi"/>
                <w:sz w:val="40"/>
                <w:szCs w:val="40"/>
              </w:rPr>
            </m:ctrlPr>
          </m:fPr>
          <m:num>
            <m:r>
              <m:rPr>
                <m:sty m:val="p"/>
              </m:rPr>
              <w:rPr>
                <w:rFonts w:ascii="Cambria Math" w:hAnsi="Cambria Math" w:cs="Cambria Math"/>
                <w:sz w:val="40"/>
                <w:szCs w:val="40"/>
              </w:rPr>
              <m:t>500,000</m:t>
            </m:r>
          </m:num>
          <m:den>
            <m:r>
              <m:rPr>
                <m:sty m:val="p"/>
              </m:rPr>
              <w:rPr>
                <w:rFonts w:ascii="Cambria Math" w:hAnsi="Cambria Math" w:cs="Cambria Math"/>
                <w:sz w:val="40"/>
                <w:szCs w:val="40"/>
              </w:rPr>
              <m:t>1+</m:t>
            </m:r>
            <m:sSup>
              <m:sSupPr>
                <m:ctrlPr>
                  <w:rPr>
                    <w:rFonts w:ascii="Cambria Math" w:hAnsi="Cambria Math" w:cs="Cambria Math"/>
                    <w:sz w:val="40"/>
                    <w:szCs w:val="40"/>
                  </w:rPr>
                </m:ctrlPr>
              </m:sSupPr>
              <m:e>
                <m:r>
                  <w:rPr>
                    <w:rFonts w:ascii="Cambria Math" w:hAnsi="Cambria Math" w:cs="Cambria Math"/>
                    <w:sz w:val="40"/>
                    <w:szCs w:val="40"/>
                  </w:rPr>
                  <m:t>(0.08)</m:t>
                </m:r>
              </m:e>
              <m:sup>
                <m:r>
                  <w:rPr>
                    <w:rFonts w:ascii="Cambria Math" w:hAnsi="Cambria Math" w:cs="Cambria Math"/>
                    <w:sz w:val="40"/>
                    <w:szCs w:val="40"/>
                  </w:rPr>
                  <m:t>2</m:t>
                </m:r>
              </m:sup>
            </m:sSup>
          </m:den>
        </m:f>
      </m:oMath>
      <w:r w:rsidR="003C025E" w:rsidRPr="00B83EFD">
        <w:rPr>
          <w:rFonts w:asciiTheme="minorHAnsi" w:hAnsiTheme="minorHAnsi" w:cstheme="minorHAnsi"/>
          <w:sz w:val="40"/>
          <w:szCs w:val="40"/>
        </w:rPr>
        <w:t xml:space="preserve"> + </w:t>
      </w:r>
      <m:oMath>
        <m:f>
          <m:fPr>
            <m:ctrlPr>
              <w:rPr>
                <w:rFonts w:ascii="Cambria Math" w:hAnsi="Cambria Math" w:cstheme="minorHAnsi"/>
                <w:sz w:val="40"/>
                <w:szCs w:val="40"/>
              </w:rPr>
            </m:ctrlPr>
          </m:fPr>
          <m:num>
            <m:r>
              <m:rPr>
                <m:sty m:val="p"/>
              </m:rPr>
              <w:rPr>
                <w:rFonts w:ascii="Cambria Math" w:hAnsi="Cambria Math" w:cs="Cambria Math"/>
                <w:sz w:val="40"/>
                <w:szCs w:val="40"/>
              </w:rPr>
              <m:t>500,000</m:t>
            </m:r>
          </m:num>
          <m:den>
            <m:r>
              <m:rPr>
                <m:sty m:val="p"/>
              </m:rPr>
              <w:rPr>
                <w:rFonts w:ascii="Cambria Math" w:hAnsi="Cambria Math" w:cs="Cambria Math"/>
                <w:sz w:val="40"/>
                <w:szCs w:val="40"/>
              </w:rPr>
              <m:t>1+</m:t>
            </m:r>
            <m:sSup>
              <m:sSupPr>
                <m:ctrlPr>
                  <w:rPr>
                    <w:rFonts w:ascii="Cambria Math" w:hAnsi="Cambria Math" w:cs="Cambria Math"/>
                    <w:sz w:val="40"/>
                    <w:szCs w:val="40"/>
                  </w:rPr>
                </m:ctrlPr>
              </m:sSupPr>
              <m:e>
                <m:r>
                  <w:rPr>
                    <w:rFonts w:ascii="Cambria Math" w:hAnsi="Cambria Math" w:cs="Cambria Math"/>
                    <w:sz w:val="40"/>
                    <w:szCs w:val="40"/>
                  </w:rPr>
                  <m:t>(0.08)</m:t>
                </m:r>
              </m:e>
              <m:sup>
                <m:r>
                  <w:rPr>
                    <w:rFonts w:ascii="Cambria Math" w:hAnsi="Cambria Math" w:cs="Cambria Math"/>
                    <w:sz w:val="40"/>
                    <w:szCs w:val="40"/>
                  </w:rPr>
                  <m:t>3</m:t>
                </m:r>
              </m:sup>
            </m:sSup>
          </m:den>
        </m:f>
      </m:oMath>
      <w:r w:rsidR="003C025E" w:rsidRPr="00B83EFD">
        <w:rPr>
          <w:rFonts w:asciiTheme="minorHAnsi" w:hAnsiTheme="minorHAnsi" w:cstheme="minorHAnsi"/>
          <w:sz w:val="40"/>
          <w:szCs w:val="40"/>
        </w:rPr>
        <w:t xml:space="preserve"> + </w:t>
      </w:r>
      <m:oMath>
        <m:f>
          <m:fPr>
            <m:ctrlPr>
              <w:rPr>
                <w:rFonts w:ascii="Cambria Math" w:hAnsi="Cambria Math" w:cstheme="minorHAnsi"/>
                <w:sz w:val="40"/>
                <w:szCs w:val="40"/>
              </w:rPr>
            </m:ctrlPr>
          </m:fPr>
          <m:num>
            <m:r>
              <m:rPr>
                <m:sty m:val="p"/>
              </m:rPr>
              <w:rPr>
                <w:rFonts w:ascii="Cambria Math" w:hAnsi="Cambria Math" w:cs="Cambria Math"/>
                <w:sz w:val="40"/>
                <w:szCs w:val="40"/>
              </w:rPr>
              <m:t>500,000</m:t>
            </m:r>
          </m:num>
          <m:den>
            <m:r>
              <m:rPr>
                <m:sty m:val="p"/>
              </m:rPr>
              <w:rPr>
                <w:rFonts w:ascii="Cambria Math" w:hAnsi="Cambria Math" w:cs="Cambria Math"/>
                <w:sz w:val="40"/>
                <w:szCs w:val="40"/>
              </w:rPr>
              <m:t>1+</m:t>
            </m:r>
            <m:sSup>
              <m:sSupPr>
                <m:ctrlPr>
                  <w:rPr>
                    <w:rFonts w:ascii="Cambria Math" w:hAnsi="Cambria Math" w:cs="Cambria Math"/>
                    <w:sz w:val="40"/>
                    <w:szCs w:val="40"/>
                  </w:rPr>
                </m:ctrlPr>
              </m:sSupPr>
              <m:e>
                <m:r>
                  <w:rPr>
                    <w:rFonts w:ascii="Cambria Math" w:hAnsi="Cambria Math" w:cs="Cambria Math"/>
                    <w:sz w:val="40"/>
                    <w:szCs w:val="40"/>
                  </w:rPr>
                  <m:t>(0.08)</m:t>
                </m:r>
              </m:e>
              <m:sup>
                <m:r>
                  <w:rPr>
                    <w:rFonts w:ascii="Cambria Math" w:hAnsi="Cambria Math" w:cs="Cambria Math"/>
                    <w:sz w:val="40"/>
                    <w:szCs w:val="40"/>
                  </w:rPr>
                  <m:t>4</m:t>
                </m:r>
              </m:sup>
            </m:sSup>
          </m:den>
        </m:f>
      </m:oMath>
      <w:r w:rsidR="003C025E">
        <w:rPr>
          <w:rFonts w:asciiTheme="minorHAnsi" w:hAnsiTheme="minorHAnsi" w:cstheme="minorHAnsi"/>
          <w:sz w:val="40"/>
          <w:szCs w:val="40"/>
        </w:rPr>
        <w:t xml:space="preserve"> – </w:t>
      </w:r>
      <w:r w:rsidR="003C025E" w:rsidRPr="00BB634E">
        <w:rPr>
          <w:rFonts w:asciiTheme="minorHAnsi" w:hAnsiTheme="minorHAnsi" w:cstheme="minorHAnsi"/>
          <w:sz w:val="32"/>
          <w:szCs w:val="32"/>
        </w:rPr>
        <w:t>750,000</w:t>
      </w:r>
    </w:p>
    <w:p w:rsidR="003C025E" w:rsidRDefault="003C025E" w:rsidP="003C025E">
      <w:pPr>
        <w:spacing w:line="360" w:lineRule="auto"/>
        <w:rPr>
          <w:rFonts w:asciiTheme="minorHAnsi" w:hAnsiTheme="minorHAnsi" w:cstheme="minorHAnsi"/>
          <w:sz w:val="28"/>
          <w:szCs w:val="28"/>
        </w:rPr>
      </w:pPr>
      <w:r w:rsidRPr="00BB634E">
        <w:rPr>
          <w:rFonts w:asciiTheme="minorHAnsi" w:hAnsiTheme="minorHAnsi" w:cstheme="minorHAnsi"/>
          <w:sz w:val="28"/>
          <w:szCs w:val="28"/>
        </w:rPr>
        <w:t>=£</w:t>
      </w:r>
      <w:r w:rsidR="00B01C79">
        <w:rPr>
          <w:rFonts w:asciiTheme="minorHAnsi" w:hAnsiTheme="minorHAnsi" w:cstheme="minorHAnsi"/>
          <w:sz w:val="28"/>
          <w:szCs w:val="28"/>
        </w:rPr>
        <w:t>148,437</w:t>
      </w:r>
    </w:p>
    <w:p w:rsidR="003C025E" w:rsidRPr="00877F73" w:rsidRDefault="003363AC" w:rsidP="003C025E">
      <w:pPr>
        <w:spacing w:line="360" w:lineRule="auto"/>
        <w:rPr>
          <w:rFonts w:asciiTheme="minorHAnsi" w:hAnsiTheme="minorHAnsi" w:cstheme="minorHAnsi"/>
          <w:sz w:val="24"/>
          <w:szCs w:val="24"/>
        </w:rPr>
      </w:pPr>
      <w:r w:rsidRPr="00877F73">
        <w:rPr>
          <w:rFonts w:asciiTheme="minorHAnsi" w:hAnsiTheme="minorHAnsi" w:cstheme="minorHAnsi"/>
          <w:sz w:val="24"/>
          <w:szCs w:val="24"/>
        </w:rPr>
        <w:t xml:space="preserve">By using the NPV method, it determines the current value of future cash flows if the company expands the range of products sold in their outlets. By including the initial cash </w:t>
      </w:r>
      <w:proofErr w:type="gramStart"/>
      <w:r w:rsidRPr="00877F73">
        <w:rPr>
          <w:rFonts w:asciiTheme="minorHAnsi" w:hAnsiTheme="minorHAnsi" w:cstheme="minorHAnsi"/>
          <w:sz w:val="24"/>
          <w:szCs w:val="24"/>
        </w:rPr>
        <w:t>expenditure</w:t>
      </w:r>
      <w:proofErr w:type="gramEnd"/>
      <w:r w:rsidRPr="00877F73">
        <w:rPr>
          <w:rFonts w:asciiTheme="minorHAnsi" w:hAnsiTheme="minorHAnsi" w:cstheme="minorHAnsi"/>
          <w:sz w:val="24"/>
          <w:szCs w:val="24"/>
        </w:rPr>
        <w:t xml:space="preserve"> the NPV calculation has shown that the value of future cash flow will be £266, 204.</w:t>
      </w:r>
    </w:p>
    <w:p w:rsidR="009A7089" w:rsidRDefault="009A7089">
      <w:pPr>
        <w:spacing w:after="160" w:line="259" w:lineRule="auto"/>
        <w:rPr>
          <w:rFonts w:asciiTheme="minorHAnsi" w:eastAsiaTheme="majorEastAsia" w:hAnsiTheme="minorHAnsi" w:cstheme="minorHAnsi"/>
          <w:b/>
          <w:bCs/>
          <w:sz w:val="24"/>
          <w:szCs w:val="24"/>
          <w:lang w:eastAsia="en-US"/>
        </w:rPr>
      </w:pPr>
      <w:bookmarkStart w:id="20" w:name="_Toc42082620"/>
      <w:r>
        <w:rPr>
          <w:rFonts w:cstheme="minorHAnsi"/>
          <w:sz w:val="24"/>
          <w:szCs w:val="24"/>
        </w:rPr>
        <w:br w:type="page"/>
      </w:r>
    </w:p>
    <w:p w:rsidR="003C025E" w:rsidRDefault="003C025E" w:rsidP="003C025E">
      <w:pPr>
        <w:pStyle w:val="Heading1"/>
        <w:spacing w:line="360" w:lineRule="auto"/>
        <w:rPr>
          <w:rFonts w:cstheme="minorHAnsi"/>
          <w:sz w:val="24"/>
          <w:szCs w:val="24"/>
        </w:rPr>
      </w:pPr>
      <w:r w:rsidRPr="00194C64">
        <w:rPr>
          <w:rFonts w:cstheme="minorHAnsi"/>
          <w:sz w:val="24"/>
          <w:szCs w:val="24"/>
        </w:rPr>
        <w:lastRenderedPageBreak/>
        <w:t>Evaluation: Option 2</w:t>
      </w:r>
      <w:bookmarkEnd w:id="20"/>
      <w:r w:rsidRPr="00194C64">
        <w:rPr>
          <w:rFonts w:cstheme="minorHAnsi"/>
          <w:sz w:val="24"/>
          <w:szCs w:val="24"/>
        </w:rPr>
        <w:t xml:space="preserve"> </w:t>
      </w:r>
    </w:p>
    <w:p w:rsidR="003363AC" w:rsidRDefault="003363AC" w:rsidP="003363AC">
      <w:pPr>
        <w:rPr>
          <w:lang w:eastAsia="en-US"/>
        </w:rPr>
      </w:pPr>
    </w:p>
    <w:p w:rsidR="004438DF" w:rsidRPr="00877F73" w:rsidRDefault="003363AC" w:rsidP="00877F73">
      <w:pPr>
        <w:spacing w:line="360" w:lineRule="auto"/>
        <w:rPr>
          <w:rFonts w:asciiTheme="minorHAnsi" w:hAnsiTheme="minorHAnsi" w:cstheme="minorHAnsi"/>
          <w:sz w:val="24"/>
          <w:szCs w:val="24"/>
        </w:rPr>
      </w:pPr>
      <w:r w:rsidRPr="00877F73">
        <w:rPr>
          <w:rFonts w:asciiTheme="minorHAnsi" w:hAnsiTheme="minorHAnsi" w:cstheme="minorHAnsi"/>
          <w:sz w:val="24"/>
          <w:szCs w:val="24"/>
          <w:lang w:eastAsia="en-US"/>
        </w:rPr>
        <w:t xml:space="preserve">Option two is for the company to </w:t>
      </w:r>
      <w:r w:rsidRPr="00877F73">
        <w:rPr>
          <w:rFonts w:asciiTheme="minorHAnsi" w:hAnsiTheme="minorHAnsi" w:cstheme="minorHAnsi"/>
          <w:sz w:val="24"/>
          <w:szCs w:val="24"/>
        </w:rPr>
        <w:t xml:space="preserve">Develop into internet sales. There are many benefits to internet sales as more and more people are shopping online.  </w:t>
      </w:r>
      <w:r w:rsidR="004438DF" w:rsidRPr="00877F73">
        <w:rPr>
          <w:rFonts w:asciiTheme="minorHAnsi" w:hAnsiTheme="minorHAnsi" w:cstheme="minorHAnsi"/>
          <w:sz w:val="24"/>
          <w:szCs w:val="24"/>
        </w:rPr>
        <w:t xml:space="preserve">Many competitors in the garden furniture industry already have online shops, so getting into this area can help keep customers loyal to the company rather than moving away to other shops that offer online sales.  This is even more pertinent at the current time of writing because with the Covid-19 pandemic, most retailers are relying more on online shoppers or click and collect, which itself requires an online shop.  According to Marr (2020) businesses are not only relying on their digital strategy to cope with the pandemic, but having a good online presence will also determine if they are going to survive afterwards  </w:t>
      </w:r>
    </w:p>
    <w:p w:rsidR="004438DF" w:rsidRPr="00877F73" w:rsidRDefault="004438DF" w:rsidP="00877F73">
      <w:pPr>
        <w:spacing w:line="360" w:lineRule="auto"/>
        <w:rPr>
          <w:rFonts w:asciiTheme="minorHAnsi" w:hAnsiTheme="minorHAnsi" w:cstheme="minorHAnsi"/>
          <w:sz w:val="24"/>
          <w:szCs w:val="24"/>
        </w:rPr>
      </w:pPr>
    </w:p>
    <w:p w:rsidR="003363AC" w:rsidRPr="00877F73" w:rsidRDefault="004438DF" w:rsidP="00877F73">
      <w:pPr>
        <w:spacing w:line="360" w:lineRule="auto"/>
        <w:rPr>
          <w:rFonts w:asciiTheme="minorHAnsi" w:hAnsiTheme="minorHAnsi" w:cstheme="minorHAnsi"/>
          <w:sz w:val="24"/>
          <w:szCs w:val="24"/>
        </w:rPr>
      </w:pPr>
      <w:r w:rsidRPr="00877F73">
        <w:rPr>
          <w:rFonts w:asciiTheme="minorHAnsi" w:hAnsiTheme="minorHAnsi" w:cstheme="minorHAnsi"/>
          <w:sz w:val="24"/>
          <w:szCs w:val="24"/>
        </w:rPr>
        <w:t xml:space="preserve">There are more options open to customers when selling online as they can shop at any time, rather than be restricted to shop opening hours.  </w:t>
      </w:r>
      <w:r w:rsidR="00DE4F5C" w:rsidRPr="00877F73">
        <w:rPr>
          <w:rFonts w:asciiTheme="minorHAnsi" w:hAnsiTheme="minorHAnsi" w:cstheme="minorHAnsi"/>
          <w:sz w:val="24"/>
          <w:szCs w:val="24"/>
        </w:rPr>
        <w:t xml:space="preserve">On top of this E-commerce websites can help a business evaluate which products are selling successfully, which can help them ensure the stock levels of these products are increased.  This can help the sales of these products grow (Williamson, 2020).  </w:t>
      </w:r>
    </w:p>
    <w:p w:rsidR="00DE4F5C" w:rsidRPr="00877F73" w:rsidRDefault="00DE4F5C" w:rsidP="00877F73">
      <w:pPr>
        <w:spacing w:line="360" w:lineRule="auto"/>
        <w:rPr>
          <w:rFonts w:asciiTheme="minorHAnsi" w:hAnsiTheme="minorHAnsi" w:cstheme="minorHAnsi"/>
          <w:sz w:val="24"/>
          <w:szCs w:val="24"/>
        </w:rPr>
      </w:pPr>
    </w:p>
    <w:p w:rsidR="00DE4F5C" w:rsidRPr="00877F73" w:rsidRDefault="00225C31" w:rsidP="00877F73">
      <w:pPr>
        <w:spacing w:line="360" w:lineRule="auto"/>
        <w:rPr>
          <w:rFonts w:asciiTheme="minorHAnsi" w:hAnsiTheme="minorHAnsi" w:cstheme="minorHAnsi"/>
          <w:sz w:val="24"/>
          <w:szCs w:val="24"/>
        </w:rPr>
      </w:pPr>
      <w:r w:rsidRPr="00877F73">
        <w:rPr>
          <w:rFonts w:asciiTheme="minorHAnsi" w:hAnsiTheme="minorHAnsi" w:cstheme="minorHAnsi"/>
          <w:sz w:val="24"/>
          <w:szCs w:val="24"/>
        </w:rPr>
        <w:t xml:space="preserve">The initial cash expenditure for this option is £1,200,000 </w:t>
      </w:r>
      <w:r w:rsidR="00DE4F5C" w:rsidRPr="00877F73">
        <w:rPr>
          <w:rFonts w:asciiTheme="minorHAnsi" w:hAnsiTheme="minorHAnsi" w:cstheme="minorHAnsi"/>
          <w:sz w:val="24"/>
          <w:szCs w:val="24"/>
        </w:rPr>
        <w:t xml:space="preserve">The estimated cash flow for option </w:t>
      </w:r>
      <w:r w:rsidRPr="00877F73">
        <w:rPr>
          <w:rFonts w:asciiTheme="minorHAnsi" w:hAnsiTheme="minorHAnsi" w:cstheme="minorHAnsi"/>
          <w:sz w:val="24"/>
          <w:szCs w:val="24"/>
        </w:rPr>
        <w:t>two</w:t>
      </w:r>
      <w:r w:rsidR="00DE4F5C" w:rsidRPr="00877F73">
        <w:rPr>
          <w:rFonts w:asciiTheme="minorHAnsi" w:hAnsiTheme="minorHAnsi" w:cstheme="minorHAnsi"/>
          <w:sz w:val="24"/>
          <w:szCs w:val="24"/>
        </w:rPr>
        <w:t xml:space="preserve"> is as follows:</w:t>
      </w:r>
    </w:p>
    <w:p w:rsidR="003C025E" w:rsidRPr="00194C64" w:rsidRDefault="003C025E" w:rsidP="003C025E">
      <w:pPr>
        <w:spacing w:line="360" w:lineRule="auto"/>
        <w:rPr>
          <w:rFonts w:asciiTheme="minorHAnsi" w:hAnsiTheme="minorHAnsi" w:cstheme="minorHAnsi"/>
          <w:color w:val="FF0000"/>
          <w:sz w:val="24"/>
          <w:szCs w:val="24"/>
        </w:rPr>
      </w:pPr>
    </w:p>
    <w:tbl>
      <w:tblPr>
        <w:tblW w:w="0" w:type="auto"/>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34"/>
        <w:gridCol w:w="2134"/>
        <w:gridCol w:w="2134"/>
        <w:gridCol w:w="2134"/>
      </w:tblGrid>
      <w:tr w:rsidR="003C025E" w:rsidRPr="00225C31" w:rsidTr="003C025E">
        <w:tc>
          <w:tcPr>
            <w:tcW w:w="2134" w:type="dxa"/>
            <w:shd w:val="clear" w:color="auto" w:fill="auto"/>
          </w:tcPr>
          <w:p w:rsidR="003C025E" w:rsidRPr="00225C31" w:rsidRDefault="003C025E" w:rsidP="003C025E">
            <w:pPr>
              <w:spacing w:line="360" w:lineRule="auto"/>
              <w:jc w:val="center"/>
              <w:rPr>
                <w:rFonts w:asciiTheme="minorHAnsi" w:hAnsiTheme="minorHAnsi" w:cstheme="minorHAnsi"/>
                <w:b/>
                <w:sz w:val="24"/>
                <w:szCs w:val="24"/>
              </w:rPr>
            </w:pPr>
            <w:r w:rsidRPr="00225C31">
              <w:rPr>
                <w:rFonts w:asciiTheme="minorHAnsi" w:hAnsiTheme="minorHAnsi" w:cstheme="minorHAnsi"/>
                <w:b/>
                <w:sz w:val="24"/>
                <w:szCs w:val="24"/>
              </w:rPr>
              <w:t>Year 1</w:t>
            </w:r>
          </w:p>
        </w:tc>
        <w:tc>
          <w:tcPr>
            <w:tcW w:w="2134" w:type="dxa"/>
            <w:shd w:val="clear" w:color="auto" w:fill="auto"/>
          </w:tcPr>
          <w:p w:rsidR="003C025E" w:rsidRPr="00225C31" w:rsidRDefault="003C025E" w:rsidP="003C025E">
            <w:pPr>
              <w:spacing w:line="360" w:lineRule="auto"/>
              <w:jc w:val="center"/>
              <w:rPr>
                <w:rFonts w:asciiTheme="minorHAnsi" w:hAnsiTheme="minorHAnsi" w:cstheme="minorHAnsi"/>
                <w:b/>
                <w:sz w:val="24"/>
                <w:szCs w:val="24"/>
              </w:rPr>
            </w:pPr>
            <w:r w:rsidRPr="00225C31">
              <w:rPr>
                <w:rFonts w:asciiTheme="minorHAnsi" w:hAnsiTheme="minorHAnsi" w:cstheme="minorHAnsi"/>
                <w:b/>
                <w:sz w:val="24"/>
                <w:szCs w:val="24"/>
              </w:rPr>
              <w:t>Year 2</w:t>
            </w:r>
          </w:p>
        </w:tc>
        <w:tc>
          <w:tcPr>
            <w:tcW w:w="2134" w:type="dxa"/>
            <w:shd w:val="clear" w:color="auto" w:fill="auto"/>
          </w:tcPr>
          <w:p w:rsidR="003C025E" w:rsidRPr="00225C31" w:rsidRDefault="003C025E" w:rsidP="003C025E">
            <w:pPr>
              <w:spacing w:line="360" w:lineRule="auto"/>
              <w:jc w:val="center"/>
              <w:rPr>
                <w:rFonts w:asciiTheme="minorHAnsi" w:hAnsiTheme="minorHAnsi" w:cstheme="minorHAnsi"/>
                <w:b/>
                <w:sz w:val="24"/>
                <w:szCs w:val="24"/>
              </w:rPr>
            </w:pPr>
            <w:r w:rsidRPr="00225C31">
              <w:rPr>
                <w:rFonts w:asciiTheme="minorHAnsi" w:hAnsiTheme="minorHAnsi" w:cstheme="minorHAnsi"/>
                <w:b/>
                <w:sz w:val="24"/>
                <w:szCs w:val="24"/>
              </w:rPr>
              <w:t>Year 3</w:t>
            </w:r>
          </w:p>
        </w:tc>
        <w:tc>
          <w:tcPr>
            <w:tcW w:w="2134" w:type="dxa"/>
            <w:shd w:val="clear" w:color="auto" w:fill="auto"/>
          </w:tcPr>
          <w:p w:rsidR="003C025E" w:rsidRPr="00225C31" w:rsidRDefault="003C025E" w:rsidP="003C025E">
            <w:pPr>
              <w:spacing w:line="360" w:lineRule="auto"/>
              <w:jc w:val="center"/>
              <w:rPr>
                <w:rFonts w:asciiTheme="minorHAnsi" w:hAnsiTheme="minorHAnsi" w:cstheme="minorHAnsi"/>
                <w:b/>
                <w:sz w:val="24"/>
                <w:szCs w:val="24"/>
              </w:rPr>
            </w:pPr>
            <w:r w:rsidRPr="00225C31">
              <w:rPr>
                <w:rFonts w:asciiTheme="minorHAnsi" w:hAnsiTheme="minorHAnsi" w:cstheme="minorHAnsi"/>
                <w:b/>
                <w:sz w:val="24"/>
                <w:szCs w:val="24"/>
              </w:rPr>
              <w:t>Year 4</w:t>
            </w:r>
          </w:p>
        </w:tc>
      </w:tr>
      <w:tr w:rsidR="003C025E" w:rsidRPr="00225C31" w:rsidTr="003C025E">
        <w:tc>
          <w:tcPr>
            <w:tcW w:w="2134" w:type="dxa"/>
            <w:shd w:val="clear" w:color="auto" w:fill="auto"/>
          </w:tcPr>
          <w:p w:rsidR="003C025E" w:rsidRPr="00225C31" w:rsidRDefault="003C025E" w:rsidP="003C025E">
            <w:pPr>
              <w:spacing w:line="360" w:lineRule="auto"/>
              <w:jc w:val="center"/>
              <w:rPr>
                <w:rFonts w:asciiTheme="minorHAnsi" w:hAnsiTheme="minorHAnsi" w:cstheme="minorHAnsi"/>
                <w:sz w:val="24"/>
                <w:szCs w:val="24"/>
              </w:rPr>
            </w:pPr>
            <w:r w:rsidRPr="00225C31">
              <w:rPr>
                <w:rFonts w:asciiTheme="minorHAnsi" w:hAnsiTheme="minorHAnsi" w:cstheme="minorHAnsi"/>
                <w:sz w:val="24"/>
                <w:szCs w:val="24"/>
              </w:rPr>
              <w:t>500,000</w:t>
            </w:r>
          </w:p>
        </w:tc>
        <w:tc>
          <w:tcPr>
            <w:tcW w:w="2134" w:type="dxa"/>
            <w:shd w:val="clear" w:color="auto" w:fill="auto"/>
          </w:tcPr>
          <w:p w:rsidR="003C025E" w:rsidRPr="00225C31" w:rsidRDefault="003C025E" w:rsidP="003C025E">
            <w:pPr>
              <w:spacing w:line="360" w:lineRule="auto"/>
              <w:jc w:val="center"/>
              <w:rPr>
                <w:rFonts w:asciiTheme="minorHAnsi" w:hAnsiTheme="minorHAnsi" w:cstheme="minorHAnsi"/>
                <w:sz w:val="24"/>
                <w:szCs w:val="24"/>
              </w:rPr>
            </w:pPr>
            <w:r w:rsidRPr="00225C31">
              <w:rPr>
                <w:rFonts w:asciiTheme="minorHAnsi" w:hAnsiTheme="minorHAnsi" w:cstheme="minorHAnsi"/>
                <w:sz w:val="24"/>
                <w:szCs w:val="24"/>
              </w:rPr>
              <w:t>£600,000</w:t>
            </w:r>
          </w:p>
        </w:tc>
        <w:tc>
          <w:tcPr>
            <w:tcW w:w="2134" w:type="dxa"/>
            <w:shd w:val="clear" w:color="auto" w:fill="auto"/>
          </w:tcPr>
          <w:p w:rsidR="003C025E" w:rsidRPr="00225C31" w:rsidRDefault="003C025E" w:rsidP="003C025E">
            <w:pPr>
              <w:spacing w:line="360" w:lineRule="auto"/>
              <w:jc w:val="center"/>
              <w:rPr>
                <w:rFonts w:asciiTheme="minorHAnsi" w:hAnsiTheme="minorHAnsi" w:cstheme="minorHAnsi"/>
                <w:sz w:val="24"/>
                <w:szCs w:val="24"/>
              </w:rPr>
            </w:pPr>
            <w:r w:rsidRPr="00225C31">
              <w:rPr>
                <w:rFonts w:asciiTheme="minorHAnsi" w:hAnsiTheme="minorHAnsi" w:cstheme="minorHAnsi"/>
                <w:sz w:val="24"/>
                <w:szCs w:val="24"/>
              </w:rPr>
              <w:t>£800,000</w:t>
            </w:r>
          </w:p>
        </w:tc>
        <w:tc>
          <w:tcPr>
            <w:tcW w:w="2134" w:type="dxa"/>
            <w:shd w:val="clear" w:color="auto" w:fill="auto"/>
          </w:tcPr>
          <w:p w:rsidR="003C025E" w:rsidRPr="00225C31" w:rsidRDefault="003C025E" w:rsidP="003C025E">
            <w:pPr>
              <w:spacing w:line="360" w:lineRule="auto"/>
              <w:jc w:val="center"/>
              <w:rPr>
                <w:rFonts w:asciiTheme="minorHAnsi" w:hAnsiTheme="minorHAnsi" w:cstheme="minorHAnsi"/>
                <w:sz w:val="24"/>
                <w:szCs w:val="24"/>
              </w:rPr>
            </w:pPr>
            <w:r w:rsidRPr="00225C31">
              <w:rPr>
                <w:rFonts w:asciiTheme="minorHAnsi" w:hAnsiTheme="minorHAnsi" w:cstheme="minorHAnsi"/>
                <w:sz w:val="24"/>
                <w:szCs w:val="24"/>
              </w:rPr>
              <w:t>£100,000</w:t>
            </w:r>
          </w:p>
        </w:tc>
      </w:tr>
    </w:tbl>
    <w:p w:rsidR="00DE4F5C" w:rsidRDefault="00DE4F5C" w:rsidP="00DE4F5C"/>
    <w:p w:rsidR="00DE4F5C" w:rsidRDefault="00DE4F5C" w:rsidP="00DE4F5C"/>
    <w:p w:rsidR="00DE4F5C" w:rsidRPr="00877F73" w:rsidRDefault="00DE4F5C" w:rsidP="00DE4F5C">
      <w:pPr>
        <w:rPr>
          <w:rFonts w:asciiTheme="minorHAnsi" w:hAnsiTheme="minorHAnsi" w:cstheme="minorHAnsi"/>
          <w:sz w:val="24"/>
          <w:szCs w:val="24"/>
        </w:rPr>
      </w:pPr>
      <w:r w:rsidRPr="00877F73">
        <w:rPr>
          <w:rFonts w:asciiTheme="minorHAnsi" w:hAnsiTheme="minorHAnsi" w:cstheme="minorHAnsi"/>
          <w:sz w:val="24"/>
          <w:szCs w:val="24"/>
        </w:rPr>
        <w:t>This means that over the next four years, the total additional profit from option b would be £20,000,000 which equals £</w:t>
      </w:r>
      <w:r w:rsidR="00225C31" w:rsidRPr="00877F73">
        <w:rPr>
          <w:rFonts w:asciiTheme="minorHAnsi" w:hAnsiTheme="minorHAnsi" w:cstheme="minorHAnsi"/>
          <w:sz w:val="24"/>
          <w:szCs w:val="24"/>
        </w:rPr>
        <w:t>18, 800, 000</w:t>
      </w:r>
      <w:r w:rsidRPr="00877F73">
        <w:rPr>
          <w:rFonts w:asciiTheme="minorHAnsi" w:hAnsiTheme="minorHAnsi" w:cstheme="minorHAnsi"/>
          <w:sz w:val="24"/>
          <w:szCs w:val="24"/>
        </w:rPr>
        <w:t xml:space="preserve"> after the initial expenditure. </w:t>
      </w:r>
    </w:p>
    <w:p w:rsidR="00DE4F5C" w:rsidRPr="00877F73" w:rsidRDefault="00DE4F5C" w:rsidP="00DE4F5C">
      <w:pPr>
        <w:rPr>
          <w:rFonts w:asciiTheme="minorHAnsi" w:hAnsiTheme="minorHAnsi" w:cstheme="minorHAnsi"/>
          <w:sz w:val="24"/>
          <w:szCs w:val="24"/>
        </w:rPr>
      </w:pPr>
    </w:p>
    <w:p w:rsidR="00225C31" w:rsidRDefault="00225C31" w:rsidP="00225C31">
      <w:pPr>
        <w:spacing w:line="360" w:lineRule="auto"/>
        <w:rPr>
          <w:rFonts w:asciiTheme="minorHAnsi" w:hAnsiTheme="minorHAnsi" w:cstheme="minorHAnsi"/>
          <w:sz w:val="24"/>
          <w:szCs w:val="24"/>
        </w:rPr>
      </w:pPr>
      <w:r w:rsidRPr="00877F73">
        <w:rPr>
          <w:rFonts w:asciiTheme="minorHAnsi" w:hAnsiTheme="minorHAnsi" w:cstheme="minorHAnsi"/>
          <w:sz w:val="24"/>
          <w:szCs w:val="24"/>
        </w:rPr>
        <w:t>The below equation shows the net present value (NPV) technique, assuming the cost of capital to be 8%</w:t>
      </w:r>
    </w:p>
    <w:p w:rsidR="00877F73" w:rsidRPr="00877F73" w:rsidRDefault="00877F73" w:rsidP="00225C31">
      <w:pPr>
        <w:spacing w:line="360" w:lineRule="auto"/>
        <w:rPr>
          <w:rFonts w:asciiTheme="minorHAnsi" w:hAnsiTheme="minorHAnsi" w:cstheme="minorHAnsi"/>
          <w:sz w:val="24"/>
          <w:szCs w:val="24"/>
        </w:rPr>
      </w:pPr>
    </w:p>
    <w:p w:rsidR="00225C31" w:rsidRDefault="004B05DA" w:rsidP="00225C31">
      <w:pPr>
        <w:spacing w:line="360" w:lineRule="auto"/>
        <w:rPr>
          <w:rFonts w:asciiTheme="minorHAnsi" w:hAnsiTheme="minorHAnsi" w:cstheme="minorHAnsi"/>
          <w:sz w:val="40"/>
          <w:szCs w:val="40"/>
        </w:rPr>
      </w:pPr>
      <m:oMath>
        <m:f>
          <m:fPr>
            <m:ctrlPr>
              <w:rPr>
                <w:rFonts w:ascii="Cambria Math" w:hAnsi="Cambria Math" w:cstheme="minorHAnsi"/>
                <w:sz w:val="40"/>
                <w:szCs w:val="40"/>
              </w:rPr>
            </m:ctrlPr>
          </m:fPr>
          <m:num>
            <m:r>
              <m:rPr>
                <m:sty m:val="p"/>
              </m:rPr>
              <w:rPr>
                <w:rFonts w:ascii="Cambria Math" w:hAnsi="Cambria Math" w:cs="Cambria Math"/>
                <w:sz w:val="40"/>
                <w:szCs w:val="40"/>
              </w:rPr>
              <m:t>500,000</m:t>
            </m:r>
          </m:num>
          <m:den>
            <m:r>
              <m:rPr>
                <m:sty m:val="p"/>
              </m:rPr>
              <w:rPr>
                <w:rFonts w:ascii="Cambria Math" w:hAnsi="Cambria Math" w:cs="Cambria Math"/>
                <w:sz w:val="40"/>
                <w:szCs w:val="40"/>
              </w:rPr>
              <m:t>1+</m:t>
            </m:r>
            <m:sSup>
              <m:sSupPr>
                <m:ctrlPr>
                  <w:rPr>
                    <w:rFonts w:ascii="Cambria Math" w:hAnsi="Cambria Math" w:cs="Cambria Math"/>
                    <w:sz w:val="40"/>
                    <w:szCs w:val="40"/>
                  </w:rPr>
                </m:ctrlPr>
              </m:sSupPr>
              <m:e>
                <m:r>
                  <w:rPr>
                    <w:rFonts w:ascii="Cambria Math" w:hAnsi="Cambria Math" w:cs="Cambria Math"/>
                    <w:sz w:val="40"/>
                    <w:szCs w:val="40"/>
                  </w:rPr>
                  <m:t>(0.08)</m:t>
                </m:r>
              </m:e>
              <m:sup>
                <m:r>
                  <w:rPr>
                    <w:rFonts w:ascii="Cambria Math" w:hAnsi="Cambria Math" w:cs="Cambria Math"/>
                    <w:sz w:val="40"/>
                    <w:szCs w:val="40"/>
                  </w:rPr>
                  <m:t>1</m:t>
                </m:r>
              </m:sup>
            </m:sSup>
          </m:den>
        </m:f>
      </m:oMath>
      <w:r w:rsidR="00225C31" w:rsidRPr="00B83EFD">
        <w:rPr>
          <w:rFonts w:asciiTheme="minorHAnsi" w:hAnsiTheme="minorHAnsi" w:cstheme="minorHAnsi"/>
          <w:sz w:val="40"/>
          <w:szCs w:val="40"/>
        </w:rPr>
        <w:t xml:space="preserve"> + </w:t>
      </w:r>
      <m:oMath>
        <m:f>
          <m:fPr>
            <m:ctrlPr>
              <w:rPr>
                <w:rFonts w:ascii="Cambria Math" w:hAnsi="Cambria Math" w:cstheme="minorHAnsi"/>
                <w:sz w:val="40"/>
                <w:szCs w:val="40"/>
              </w:rPr>
            </m:ctrlPr>
          </m:fPr>
          <m:num>
            <m:r>
              <m:rPr>
                <m:sty m:val="p"/>
              </m:rPr>
              <w:rPr>
                <w:rFonts w:ascii="Cambria Math" w:hAnsi="Cambria Math" w:cs="Cambria Math"/>
                <w:sz w:val="40"/>
                <w:szCs w:val="40"/>
              </w:rPr>
              <m:t>600,000</m:t>
            </m:r>
          </m:num>
          <m:den>
            <m:r>
              <m:rPr>
                <m:sty m:val="p"/>
              </m:rPr>
              <w:rPr>
                <w:rFonts w:ascii="Cambria Math" w:hAnsi="Cambria Math" w:cs="Cambria Math"/>
                <w:sz w:val="40"/>
                <w:szCs w:val="40"/>
              </w:rPr>
              <m:t>1+</m:t>
            </m:r>
            <m:sSup>
              <m:sSupPr>
                <m:ctrlPr>
                  <w:rPr>
                    <w:rFonts w:ascii="Cambria Math" w:hAnsi="Cambria Math" w:cs="Cambria Math"/>
                    <w:sz w:val="40"/>
                    <w:szCs w:val="40"/>
                  </w:rPr>
                </m:ctrlPr>
              </m:sSupPr>
              <m:e>
                <m:r>
                  <w:rPr>
                    <w:rFonts w:ascii="Cambria Math" w:hAnsi="Cambria Math" w:cs="Cambria Math"/>
                    <w:sz w:val="40"/>
                    <w:szCs w:val="40"/>
                  </w:rPr>
                  <m:t>(0.08)</m:t>
                </m:r>
              </m:e>
              <m:sup>
                <m:r>
                  <w:rPr>
                    <w:rFonts w:ascii="Cambria Math" w:hAnsi="Cambria Math" w:cs="Cambria Math"/>
                    <w:sz w:val="40"/>
                    <w:szCs w:val="40"/>
                  </w:rPr>
                  <m:t>2</m:t>
                </m:r>
              </m:sup>
            </m:sSup>
          </m:den>
        </m:f>
      </m:oMath>
      <w:r w:rsidR="00225C31" w:rsidRPr="00B83EFD">
        <w:rPr>
          <w:rFonts w:asciiTheme="minorHAnsi" w:hAnsiTheme="minorHAnsi" w:cstheme="minorHAnsi"/>
          <w:sz w:val="40"/>
          <w:szCs w:val="40"/>
        </w:rPr>
        <w:t xml:space="preserve"> + </w:t>
      </w:r>
      <m:oMath>
        <m:f>
          <m:fPr>
            <m:ctrlPr>
              <w:rPr>
                <w:rFonts w:ascii="Cambria Math" w:hAnsi="Cambria Math" w:cstheme="minorHAnsi"/>
                <w:sz w:val="40"/>
                <w:szCs w:val="40"/>
              </w:rPr>
            </m:ctrlPr>
          </m:fPr>
          <m:num>
            <m:r>
              <m:rPr>
                <m:sty m:val="p"/>
              </m:rPr>
              <w:rPr>
                <w:rFonts w:ascii="Cambria Math" w:hAnsi="Cambria Math" w:cs="Cambria Math"/>
                <w:sz w:val="40"/>
                <w:szCs w:val="40"/>
              </w:rPr>
              <m:t>800,000</m:t>
            </m:r>
          </m:num>
          <m:den>
            <m:r>
              <m:rPr>
                <m:sty m:val="p"/>
              </m:rPr>
              <w:rPr>
                <w:rFonts w:ascii="Cambria Math" w:hAnsi="Cambria Math" w:cs="Cambria Math"/>
                <w:sz w:val="40"/>
                <w:szCs w:val="40"/>
              </w:rPr>
              <m:t>1+</m:t>
            </m:r>
            <m:sSup>
              <m:sSupPr>
                <m:ctrlPr>
                  <w:rPr>
                    <w:rFonts w:ascii="Cambria Math" w:hAnsi="Cambria Math" w:cs="Cambria Math"/>
                    <w:sz w:val="40"/>
                    <w:szCs w:val="40"/>
                  </w:rPr>
                </m:ctrlPr>
              </m:sSupPr>
              <m:e>
                <m:r>
                  <w:rPr>
                    <w:rFonts w:ascii="Cambria Math" w:hAnsi="Cambria Math" w:cs="Cambria Math"/>
                    <w:sz w:val="40"/>
                    <w:szCs w:val="40"/>
                  </w:rPr>
                  <m:t>(0.08)</m:t>
                </m:r>
              </m:e>
              <m:sup>
                <m:r>
                  <w:rPr>
                    <w:rFonts w:ascii="Cambria Math" w:hAnsi="Cambria Math" w:cs="Cambria Math"/>
                    <w:sz w:val="40"/>
                    <w:szCs w:val="40"/>
                  </w:rPr>
                  <m:t>3</m:t>
                </m:r>
              </m:sup>
            </m:sSup>
          </m:den>
        </m:f>
      </m:oMath>
      <w:r w:rsidR="00225C31" w:rsidRPr="00B83EFD">
        <w:rPr>
          <w:rFonts w:asciiTheme="minorHAnsi" w:hAnsiTheme="minorHAnsi" w:cstheme="minorHAnsi"/>
          <w:sz w:val="40"/>
          <w:szCs w:val="40"/>
        </w:rPr>
        <w:t xml:space="preserve"> + </w:t>
      </w:r>
      <m:oMath>
        <m:f>
          <m:fPr>
            <m:ctrlPr>
              <w:rPr>
                <w:rFonts w:ascii="Cambria Math" w:hAnsi="Cambria Math" w:cstheme="minorHAnsi"/>
                <w:sz w:val="40"/>
                <w:szCs w:val="40"/>
              </w:rPr>
            </m:ctrlPr>
          </m:fPr>
          <m:num>
            <m:r>
              <m:rPr>
                <m:sty m:val="p"/>
              </m:rPr>
              <w:rPr>
                <w:rFonts w:ascii="Cambria Math" w:hAnsi="Cambria Math" w:cs="Cambria Math"/>
                <w:sz w:val="40"/>
                <w:szCs w:val="40"/>
              </w:rPr>
              <m:t>100,000</m:t>
            </m:r>
          </m:num>
          <m:den>
            <m:r>
              <m:rPr>
                <m:sty m:val="p"/>
              </m:rPr>
              <w:rPr>
                <w:rFonts w:ascii="Cambria Math" w:hAnsi="Cambria Math" w:cs="Cambria Math"/>
                <w:sz w:val="40"/>
                <w:szCs w:val="40"/>
              </w:rPr>
              <m:t>1+</m:t>
            </m:r>
            <m:sSup>
              <m:sSupPr>
                <m:ctrlPr>
                  <w:rPr>
                    <w:rFonts w:ascii="Cambria Math" w:hAnsi="Cambria Math" w:cs="Cambria Math"/>
                    <w:sz w:val="40"/>
                    <w:szCs w:val="40"/>
                  </w:rPr>
                </m:ctrlPr>
              </m:sSupPr>
              <m:e>
                <m:r>
                  <w:rPr>
                    <w:rFonts w:ascii="Cambria Math" w:hAnsi="Cambria Math" w:cs="Cambria Math"/>
                    <w:sz w:val="40"/>
                    <w:szCs w:val="40"/>
                  </w:rPr>
                  <m:t>(0.08)</m:t>
                </m:r>
              </m:e>
              <m:sup>
                <m:r>
                  <w:rPr>
                    <w:rFonts w:ascii="Cambria Math" w:hAnsi="Cambria Math" w:cs="Cambria Math"/>
                    <w:sz w:val="40"/>
                    <w:szCs w:val="40"/>
                  </w:rPr>
                  <m:t>4</m:t>
                </m:r>
              </m:sup>
            </m:sSup>
          </m:den>
        </m:f>
      </m:oMath>
      <w:r w:rsidR="00225C31">
        <w:rPr>
          <w:rFonts w:asciiTheme="minorHAnsi" w:hAnsiTheme="minorHAnsi" w:cstheme="minorHAnsi"/>
          <w:sz w:val="40"/>
          <w:szCs w:val="40"/>
        </w:rPr>
        <w:t xml:space="preserve"> – </w:t>
      </w:r>
      <w:r w:rsidR="00225C31">
        <w:rPr>
          <w:rFonts w:asciiTheme="minorHAnsi" w:hAnsiTheme="minorHAnsi" w:cstheme="minorHAnsi"/>
          <w:sz w:val="32"/>
          <w:szCs w:val="32"/>
        </w:rPr>
        <w:t>1,200,000</w:t>
      </w:r>
    </w:p>
    <w:p w:rsidR="00DE4F5C" w:rsidRPr="00225C31" w:rsidRDefault="00225C31" w:rsidP="00225C31">
      <w:pPr>
        <w:spacing w:line="360" w:lineRule="auto"/>
        <w:rPr>
          <w:rFonts w:asciiTheme="minorHAnsi" w:hAnsiTheme="minorHAnsi" w:cstheme="minorHAnsi"/>
          <w:sz w:val="28"/>
          <w:szCs w:val="28"/>
        </w:rPr>
      </w:pPr>
      <w:r w:rsidRPr="00BB634E">
        <w:rPr>
          <w:rFonts w:asciiTheme="minorHAnsi" w:hAnsiTheme="minorHAnsi" w:cstheme="minorHAnsi"/>
          <w:sz w:val="28"/>
          <w:szCs w:val="28"/>
        </w:rPr>
        <w:lastRenderedPageBreak/>
        <w:t>=£</w:t>
      </w:r>
      <w:r>
        <w:rPr>
          <w:rFonts w:asciiTheme="minorHAnsi" w:hAnsiTheme="minorHAnsi" w:cstheme="minorHAnsi"/>
          <w:sz w:val="28"/>
          <w:szCs w:val="28"/>
        </w:rPr>
        <w:t>14,687,500</w:t>
      </w:r>
    </w:p>
    <w:p w:rsidR="003C025E" w:rsidRPr="00194C64" w:rsidRDefault="003C025E" w:rsidP="003C025E">
      <w:pPr>
        <w:pStyle w:val="Heading1"/>
        <w:spacing w:line="360" w:lineRule="auto"/>
        <w:rPr>
          <w:rFonts w:cstheme="minorHAnsi"/>
          <w:sz w:val="24"/>
          <w:szCs w:val="24"/>
        </w:rPr>
      </w:pPr>
      <w:bookmarkStart w:id="21" w:name="_Toc42082621"/>
      <w:r w:rsidRPr="00194C64">
        <w:rPr>
          <w:rFonts w:cstheme="minorHAnsi"/>
          <w:sz w:val="24"/>
          <w:szCs w:val="24"/>
        </w:rPr>
        <w:t>Evaluation: Option 3</w:t>
      </w:r>
      <w:bookmarkEnd w:id="21"/>
      <w:r w:rsidRPr="00194C64">
        <w:rPr>
          <w:rFonts w:cstheme="minorHAnsi"/>
          <w:sz w:val="24"/>
          <w:szCs w:val="24"/>
        </w:rPr>
        <w:t xml:space="preserve"> </w:t>
      </w:r>
    </w:p>
    <w:p w:rsidR="003C025E" w:rsidRDefault="00225C31" w:rsidP="00877F73">
      <w:pPr>
        <w:spacing w:line="360" w:lineRule="auto"/>
        <w:rPr>
          <w:rFonts w:asciiTheme="minorHAnsi" w:hAnsiTheme="minorHAnsi" w:cstheme="minorHAnsi"/>
          <w:sz w:val="24"/>
          <w:szCs w:val="24"/>
        </w:rPr>
      </w:pPr>
      <w:r w:rsidRPr="00225C31">
        <w:rPr>
          <w:rFonts w:asciiTheme="minorHAnsi" w:hAnsiTheme="minorHAnsi" w:cstheme="minorHAnsi"/>
          <w:sz w:val="24"/>
          <w:szCs w:val="24"/>
        </w:rPr>
        <w:t xml:space="preserve">Option three is to expand into producing greenhouses and conservatories as well as their existing garden furniture.  </w:t>
      </w:r>
      <w:r>
        <w:rPr>
          <w:rFonts w:asciiTheme="minorHAnsi" w:hAnsiTheme="minorHAnsi" w:cstheme="minorHAnsi"/>
          <w:sz w:val="24"/>
          <w:szCs w:val="24"/>
        </w:rPr>
        <w:t xml:space="preserve">This would give them more sales whilst keeping themselves within the garden furniture and garden improvement industry.  </w:t>
      </w:r>
    </w:p>
    <w:p w:rsidR="00225C31" w:rsidRDefault="00225C31" w:rsidP="00877F73">
      <w:pPr>
        <w:spacing w:line="360" w:lineRule="auto"/>
        <w:rPr>
          <w:rFonts w:asciiTheme="minorHAnsi" w:hAnsiTheme="minorHAnsi" w:cstheme="minorHAnsi"/>
          <w:sz w:val="24"/>
          <w:szCs w:val="24"/>
        </w:rPr>
      </w:pPr>
    </w:p>
    <w:p w:rsidR="00225C31" w:rsidRDefault="00225C31" w:rsidP="00877F73">
      <w:pPr>
        <w:spacing w:line="360" w:lineRule="auto"/>
        <w:rPr>
          <w:rFonts w:asciiTheme="minorHAnsi" w:hAnsiTheme="minorHAnsi" w:cstheme="minorHAnsi"/>
          <w:sz w:val="24"/>
          <w:szCs w:val="24"/>
        </w:rPr>
      </w:pPr>
      <w:r>
        <w:rPr>
          <w:rFonts w:asciiTheme="minorHAnsi" w:hAnsiTheme="minorHAnsi" w:cstheme="minorHAnsi"/>
          <w:sz w:val="24"/>
          <w:szCs w:val="24"/>
        </w:rPr>
        <w:t>The initial cash expenditure for this option is £</w:t>
      </w:r>
      <w:r w:rsidRPr="00194C64">
        <w:rPr>
          <w:rFonts w:asciiTheme="minorHAnsi" w:hAnsiTheme="minorHAnsi" w:cstheme="minorHAnsi"/>
          <w:sz w:val="24"/>
          <w:szCs w:val="24"/>
        </w:rPr>
        <w:t>2,000,000</w:t>
      </w:r>
      <w:r>
        <w:rPr>
          <w:rFonts w:asciiTheme="minorHAnsi" w:hAnsiTheme="minorHAnsi" w:cstheme="minorHAnsi"/>
          <w:sz w:val="24"/>
          <w:szCs w:val="24"/>
        </w:rPr>
        <w:t>. The estimated cash flow for option three is as follows:</w:t>
      </w:r>
    </w:p>
    <w:p w:rsidR="00225C31" w:rsidRPr="00225C31" w:rsidRDefault="00225C31" w:rsidP="003C025E">
      <w:pPr>
        <w:spacing w:line="360" w:lineRule="auto"/>
        <w:rPr>
          <w:rFonts w:asciiTheme="minorHAnsi" w:hAnsiTheme="minorHAnsi" w:cstheme="minorHAnsi"/>
          <w:sz w:val="24"/>
          <w:szCs w:val="24"/>
        </w:rPr>
      </w:pPr>
    </w:p>
    <w:tbl>
      <w:tblPr>
        <w:tblW w:w="0" w:type="auto"/>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34"/>
        <w:gridCol w:w="2134"/>
        <w:gridCol w:w="2134"/>
        <w:gridCol w:w="2134"/>
      </w:tblGrid>
      <w:tr w:rsidR="003C025E" w:rsidRPr="00225C31" w:rsidTr="003C025E">
        <w:tc>
          <w:tcPr>
            <w:tcW w:w="2134" w:type="dxa"/>
            <w:shd w:val="clear" w:color="auto" w:fill="auto"/>
          </w:tcPr>
          <w:p w:rsidR="003C025E" w:rsidRPr="00225C31" w:rsidRDefault="003C025E" w:rsidP="003C025E">
            <w:pPr>
              <w:spacing w:line="360" w:lineRule="auto"/>
              <w:jc w:val="center"/>
              <w:rPr>
                <w:rFonts w:asciiTheme="minorHAnsi" w:hAnsiTheme="minorHAnsi" w:cstheme="minorHAnsi"/>
                <w:b/>
                <w:sz w:val="24"/>
                <w:szCs w:val="24"/>
              </w:rPr>
            </w:pPr>
            <w:r w:rsidRPr="00225C31">
              <w:rPr>
                <w:rFonts w:asciiTheme="minorHAnsi" w:hAnsiTheme="minorHAnsi" w:cstheme="minorHAnsi"/>
                <w:b/>
                <w:sz w:val="24"/>
                <w:szCs w:val="24"/>
              </w:rPr>
              <w:t>Year 1</w:t>
            </w:r>
          </w:p>
        </w:tc>
        <w:tc>
          <w:tcPr>
            <w:tcW w:w="2134" w:type="dxa"/>
            <w:shd w:val="clear" w:color="auto" w:fill="auto"/>
          </w:tcPr>
          <w:p w:rsidR="003C025E" w:rsidRPr="00225C31" w:rsidRDefault="003C025E" w:rsidP="003C025E">
            <w:pPr>
              <w:spacing w:line="360" w:lineRule="auto"/>
              <w:jc w:val="center"/>
              <w:rPr>
                <w:rFonts w:asciiTheme="minorHAnsi" w:hAnsiTheme="minorHAnsi" w:cstheme="minorHAnsi"/>
                <w:b/>
                <w:sz w:val="24"/>
                <w:szCs w:val="24"/>
              </w:rPr>
            </w:pPr>
            <w:r w:rsidRPr="00225C31">
              <w:rPr>
                <w:rFonts w:asciiTheme="minorHAnsi" w:hAnsiTheme="minorHAnsi" w:cstheme="minorHAnsi"/>
                <w:b/>
                <w:sz w:val="24"/>
                <w:szCs w:val="24"/>
              </w:rPr>
              <w:t>Year 2</w:t>
            </w:r>
          </w:p>
        </w:tc>
        <w:tc>
          <w:tcPr>
            <w:tcW w:w="2134" w:type="dxa"/>
            <w:shd w:val="clear" w:color="auto" w:fill="auto"/>
          </w:tcPr>
          <w:p w:rsidR="003C025E" w:rsidRPr="00225C31" w:rsidRDefault="003C025E" w:rsidP="003C025E">
            <w:pPr>
              <w:spacing w:line="360" w:lineRule="auto"/>
              <w:jc w:val="center"/>
              <w:rPr>
                <w:rFonts w:asciiTheme="minorHAnsi" w:hAnsiTheme="minorHAnsi" w:cstheme="minorHAnsi"/>
                <w:b/>
                <w:sz w:val="24"/>
                <w:szCs w:val="24"/>
              </w:rPr>
            </w:pPr>
            <w:r w:rsidRPr="00225C31">
              <w:rPr>
                <w:rFonts w:asciiTheme="minorHAnsi" w:hAnsiTheme="minorHAnsi" w:cstheme="minorHAnsi"/>
                <w:b/>
                <w:sz w:val="24"/>
                <w:szCs w:val="24"/>
              </w:rPr>
              <w:t>Year 3</w:t>
            </w:r>
          </w:p>
        </w:tc>
        <w:tc>
          <w:tcPr>
            <w:tcW w:w="2134" w:type="dxa"/>
            <w:shd w:val="clear" w:color="auto" w:fill="auto"/>
          </w:tcPr>
          <w:p w:rsidR="003C025E" w:rsidRPr="00225C31" w:rsidRDefault="003C025E" w:rsidP="003C025E">
            <w:pPr>
              <w:spacing w:line="360" w:lineRule="auto"/>
              <w:jc w:val="center"/>
              <w:rPr>
                <w:rFonts w:asciiTheme="minorHAnsi" w:hAnsiTheme="minorHAnsi" w:cstheme="minorHAnsi"/>
                <w:b/>
                <w:sz w:val="24"/>
                <w:szCs w:val="24"/>
              </w:rPr>
            </w:pPr>
            <w:r w:rsidRPr="00225C31">
              <w:rPr>
                <w:rFonts w:asciiTheme="minorHAnsi" w:hAnsiTheme="minorHAnsi" w:cstheme="minorHAnsi"/>
                <w:b/>
                <w:sz w:val="24"/>
                <w:szCs w:val="24"/>
              </w:rPr>
              <w:t>Year 4</w:t>
            </w:r>
          </w:p>
        </w:tc>
      </w:tr>
      <w:tr w:rsidR="003C025E" w:rsidRPr="00B87B4D" w:rsidTr="003C025E">
        <w:tc>
          <w:tcPr>
            <w:tcW w:w="2134" w:type="dxa"/>
            <w:shd w:val="clear" w:color="auto" w:fill="auto"/>
          </w:tcPr>
          <w:p w:rsidR="003C025E" w:rsidRPr="00225C31" w:rsidRDefault="003C025E" w:rsidP="003C025E">
            <w:pPr>
              <w:spacing w:line="360" w:lineRule="auto"/>
              <w:jc w:val="center"/>
              <w:rPr>
                <w:rFonts w:asciiTheme="minorHAnsi" w:hAnsiTheme="minorHAnsi" w:cstheme="minorHAnsi"/>
                <w:sz w:val="24"/>
                <w:szCs w:val="24"/>
              </w:rPr>
            </w:pPr>
            <w:r w:rsidRPr="00225C31">
              <w:rPr>
                <w:rFonts w:asciiTheme="minorHAnsi" w:hAnsiTheme="minorHAnsi" w:cstheme="minorHAnsi"/>
                <w:sz w:val="24"/>
                <w:szCs w:val="24"/>
              </w:rPr>
              <w:t>£500,000</w:t>
            </w:r>
          </w:p>
        </w:tc>
        <w:tc>
          <w:tcPr>
            <w:tcW w:w="2134" w:type="dxa"/>
            <w:shd w:val="clear" w:color="auto" w:fill="auto"/>
          </w:tcPr>
          <w:p w:rsidR="003C025E" w:rsidRPr="00225C31" w:rsidRDefault="003C025E" w:rsidP="003C025E">
            <w:pPr>
              <w:spacing w:line="360" w:lineRule="auto"/>
              <w:jc w:val="center"/>
              <w:rPr>
                <w:rFonts w:asciiTheme="minorHAnsi" w:hAnsiTheme="minorHAnsi" w:cstheme="minorHAnsi"/>
                <w:sz w:val="24"/>
                <w:szCs w:val="24"/>
              </w:rPr>
            </w:pPr>
            <w:r w:rsidRPr="00225C31">
              <w:rPr>
                <w:rFonts w:asciiTheme="minorHAnsi" w:hAnsiTheme="minorHAnsi" w:cstheme="minorHAnsi"/>
                <w:sz w:val="24"/>
                <w:szCs w:val="24"/>
              </w:rPr>
              <w:t>£100,000</w:t>
            </w:r>
          </w:p>
        </w:tc>
        <w:tc>
          <w:tcPr>
            <w:tcW w:w="2134" w:type="dxa"/>
            <w:shd w:val="clear" w:color="auto" w:fill="auto"/>
          </w:tcPr>
          <w:p w:rsidR="003C025E" w:rsidRPr="00225C31" w:rsidRDefault="003C025E" w:rsidP="003C025E">
            <w:pPr>
              <w:spacing w:line="360" w:lineRule="auto"/>
              <w:jc w:val="center"/>
              <w:rPr>
                <w:rFonts w:asciiTheme="minorHAnsi" w:hAnsiTheme="minorHAnsi" w:cstheme="minorHAnsi"/>
                <w:sz w:val="24"/>
                <w:szCs w:val="24"/>
              </w:rPr>
            </w:pPr>
            <w:r w:rsidRPr="00225C31">
              <w:rPr>
                <w:rFonts w:asciiTheme="minorHAnsi" w:hAnsiTheme="minorHAnsi" w:cstheme="minorHAnsi"/>
                <w:sz w:val="24"/>
                <w:szCs w:val="24"/>
              </w:rPr>
              <w:t>£1500,000</w:t>
            </w:r>
          </w:p>
        </w:tc>
        <w:tc>
          <w:tcPr>
            <w:tcW w:w="2134" w:type="dxa"/>
            <w:shd w:val="clear" w:color="auto" w:fill="auto"/>
          </w:tcPr>
          <w:p w:rsidR="003C025E" w:rsidRPr="00225C31" w:rsidRDefault="003C025E" w:rsidP="003C025E">
            <w:pPr>
              <w:spacing w:line="360" w:lineRule="auto"/>
              <w:jc w:val="center"/>
              <w:rPr>
                <w:rFonts w:asciiTheme="minorHAnsi" w:hAnsiTheme="minorHAnsi" w:cstheme="minorHAnsi"/>
                <w:sz w:val="24"/>
                <w:szCs w:val="24"/>
              </w:rPr>
            </w:pPr>
            <w:r w:rsidRPr="00225C31">
              <w:rPr>
                <w:rFonts w:asciiTheme="minorHAnsi" w:hAnsiTheme="minorHAnsi" w:cstheme="minorHAnsi"/>
                <w:sz w:val="24"/>
                <w:szCs w:val="24"/>
              </w:rPr>
              <w:t>£1500,000</w:t>
            </w:r>
          </w:p>
        </w:tc>
      </w:tr>
    </w:tbl>
    <w:p w:rsidR="003C025E" w:rsidRDefault="003C025E" w:rsidP="003C025E">
      <w:pPr>
        <w:spacing w:line="360" w:lineRule="auto"/>
        <w:rPr>
          <w:rFonts w:asciiTheme="minorHAnsi" w:hAnsiTheme="minorHAnsi" w:cstheme="minorHAnsi"/>
          <w:color w:val="FF0000"/>
          <w:sz w:val="24"/>
          <w:szCs w:val="24"/>
        </w:rPr>
      </w:pPr>
    </w:p>
    <w:p w:rsidR="00B01C79" w:rsidRPr="00877F73" w:rsidRDefault="00B01C79" w:rsidP="00B01C79">
      <w:pPr>
        <w:rPr>
          <w:rFonts w:asciiTheme="minorHAnsi" w:hAnsiTheme="minorHAnsi" w:cstheme="minorHAnsi"/>
          <w:sz w:val="24"/>
          <w:szCs w:val="24"/>
        </w:rPr>
      </w:pPr>
      <w:r w:rsidRPr="00877F73">
        <w:rPr>
          <w:rFonts w:asciiTheme="minorHAnsi" w:hAnsiTheme="minorHAnsi" w:cstheme="minorHAnsi"/>
          <w:sz w:val="24"/>
          <w:szCs w:val="24"/>
        </w:rPr>
        <w:t xml:space="preserve">This means that over the next four years, the total additional profit from option b would be £4,500,000 which equals £2,500,000 after the initial expenditure. </w:t>
      </w:r>
    </w:p>
    <w:p w:rsidR="00B01C79" w:rsidRPr="00877F73" w:rsidRDefault="00B01C79" w:rsidP="00B01C79">
      <w:pPr>
        <w:rPr>
          <w:rFonts w:asciiTheme="minorHAnsi" w:hAnsiTheme="minorHAnsi" w:cstheme="minorHAnsi"/>
          <w:sz w:val="24"/>
          <w:szCs w:val="24"/>
        </w:rPr>
      </w:pPr>
    </w:p>
    <w:p w:rsidR="00B01C79" w:rsidRDefault="00B01C79" w:rsidP="00B01C79">
      <w:pPr>
        <w:spacing w:line="360" w:lineRule="auto"/>
        <w:rPr>
          <w:rFonts w:asciiTheme="minorHAnsi" w:hAnsiTheme="minorHAnsi" w:cstheme="minorHAnsi"/>
          <w:sz w:val="24"/>
          <w:szCs w:val="24"/>
        </w:rPr>
      </w:pPr>
      <w:r w:rsidRPr="00877F73">
        <w:rPr>
          <w:rFonts w:asciiTheme="minorHAnsi" w:hAnsiTheme="minorHAnsi" w:cstheme="minorHAnsi"/>
          <w:sz w:val="24"/>
          <w:szCs w:val="24"/>
        </w:rPr>
        <w:t>The below equation shows the net present value (NPV) technique, assuming the cost of capital to be 8%</w:t>
      </w:r>
    </w:p>
    <w:p w:rsidR="00877F73" w:rsidRPr="00877F73" w:rsidRDefault="00877F73" w:rsidP="00B01C79">
      <w:pPr>
        <w:spacing w:line="360" w:lineRule="auto"/>
        <w:rPr>
          <w:rFonts w:asciiTheme="minorHAnsi" w:hAnsiTheme="minorHAnsi" w:cstheme="minorHAnsi"/>
          <w:sz w:val="24"/>
          <w:szCs w:val="24"/>
        </w:rPr>
      </w:pPr>
    </w:p>
    <w:p w:rsidR="00B01C79" w:rsidRDefault="004B05DA" w:rsidP="00B01C79">
      <w:pPr>
        <w:spacing w:line="360" w:lineRule="auto"/>
        <w:rPr>
          <w:rFonts w:asciiTheme="minorHAnsi" w:hAnsiTheme="minorHAnsi" w:cstheme="minorHAnsi"/>
          <w:sz w:val="40"/>
          <w:szCs w:val="40"/>
        </w:rPr>
      </w:pPr>
      <m:oMath>
        <m:f>
          <m:fPr>
            <m:ctrlPr>
              <w:rPr>
                <w:rFonts w:ascii="Cambria Math" w:hAnsi="Cambria Math" w:cstheme="minorHAnsi"/>
                <w:sz w:val="40"/>
                <w:szCs w:val="40"/>
              </w:rPr>
            </m:ctrlPr>
          </m:fPr>
          <m:num>
            <m:r>
              <m:rPr>
                <m:sty m:val="p"/>
              </m:rPr>
              <w:rPr>
                <w:rFonts w:ascii="Cambria Math" w:hAnsi="Cambria Math" w:cs="Cambria Math"/>
                <w:sz w:val="40"/>
                <w:szCs w:val="40"/>
              </w:rPr>
              <m:t>500,000</m:t>
            </m:r>
          </m:num>
          <m:den>
            <m:r>
              <m:rPr>
                <m:sty m:val="p"/>
              </m:rPr>
              <w:rPr>
                <w:rFonts w:ascii="Cambria Math" w:hAnsi="Cambria Math" w:cs="Cambria Math"/>
                <w:sz w:val="40"/>
                <w:szCs w:val="40"/>
              </w:rPr>
              <m:t>1+</m:t>
            </m:r>
            <m:sSup>
              <m:sSupPr>
                <m:ctrlPr>
                  <w:rPr>
                    <w:rFonts w:ascii="Cambria Math" w:hAnsi="Cambria Math" w:cs="Cambria Math"/>
                    <w:sz w:val="40"/>
                    <w:szCs w:val="40"/>
                  </w:rPr>
                </m:ctrlPr>
              </m:sSupPr>
              <m:e>
                <m:r>
                  <w:rPr>
                    <w:rFonts w:ascii="Cambria Math" w:hAnsi="Cambria Math" w:cs="Cambria Math"/>
                    <w:sz w:val="40"/>
                    <w:szCs w:val="40"/>
                  </w:rPr>
                  <m:t>(0.08)</m:t>
                </m:r>
              </m:e>
              <m:sup>
                <m:r>
                  <w:rPr>
                    <w:rFonts w:ascii="Cambria Math" w:hAnsi="Cambria Math" w:cs="Cambria Math"/>
                    <w:sz w:val="40"/>
                    <w:szCs w:val="40"/>
                  </w:rPr>
                  <m:t>1</m:t>
                </m:r>
              </m:sup>
            </m:sSup>
          </m:den>
        </m:f>
      </m:oMath>
      <w:r w:rsidR="00B01C79" w:rsidRPr="00B83EFD">
        <w:rPr>
          <w:rFonts w:asciiTheme="minorHAnsi" w:hAnsiTheme="minorHAnsi" w:cstheme="minorHAnsi"/>
          <w:sz w:val="40"/>
          <w:szCs w:val="40"/>
        </w:rPr>
        <w:t xml:space="preserve"> + </w:t>
      </w:r>
      <m:oMath>
        <m:f>
          <m:fPr>
            <m:ctrlPr>
              <w:rPr>
                <w:rFonts w:ascii="Cambria Math" w:hAnsi="Cambria Math" w:cstheme="minorHAnsi"/>
                <w:sz w:val="40"/>
                <w:szCs w:val="40"/>
              </w:rPr>
            </m:ctrlPr>
          </m:fPr>
          <m:num>
            <m:r>
              <m:rPr>
                <m:sty m:val="p"/>
              </m:rPr>
              <w:rPr>
                <w:rFonts w:ascii="Cambria Math" w:hAnsi="Cambria Math" w:cs="Cambria Math"/>
                <w:sz w:val="40"/>
                <w:szCs w:val="40"/>
              </w:rPr>
              <m:t>100,000</m:t>
            </m:r>
          </m:num>
          <m:den>
            <m:r>
              <m:rPr>
                <m:sty m:val="p"/>
              </m:rPr>
              <w:rPr>
                <w:rFonts w:ascii="Cambria Math" w:hAnsi="Cambria Math" w:cs="Cambria Math"/>
                <w:sz w:val="40"/>
                <w:szCs w:val="40"/>
              </w:rPr>
              <m:t>1+</m:t>
            </m:r>
            <m:sSup>
              <m:sSupPr>
                <m:ctrlPr>
                  <w:rPr>
                    <w:rFonts w:ascii="Cambria Math" w:hAnsi="Cambria Math" w:cs="Cambria Math"/>
                    <w:sz w:val="40"/>
                    <w:szCs w:val="40"/>
                  </w:rPr>
                </m:ctrlPr>
              </m:sSupPr>
              <m:e>
                <m:r>
                  <w:rPr>
                    <w:rFonts w:ascii="Cambria Math" w:hAnsi="Cambria Math" w:cs="Cambria Math"/>
                    <w:sz w:val="40"/>
                    <w:szCs w:val="40"/>
                  </w:rPr>
                  <m:t>(0.08)</m:t>
                </m:r>
              </m:e>
              <m:sup>
                <m:r>
                  <w:rPr>
                    <w:rFonts w:ascii="Cambria Math" w:hAnsi="Cambria Math" w:cs="Cambria Math"/>
                    <w:sz w:val="40"/>
                    <w:szCs w:val="40"/>
                  </w:rPr>
                  <m:t>2</m:t>
                </m:r>
              </m:sup>
            </m:sSup>
          </m:den>
        </m:f>
      </m:oMath>
      <w:r w:rsidR="00B01C79" w:rsidRPr="00B83EFD">
        <w:rPr>
          <w:rFonts w:asciiTheme="minorHAnsi" w:hAnsiTheme="minorHAnsi" w:cstheme="minorHAnsi"/>
          <w:sz w:val="40"/>
          <w:szCs w:val="40"/>
        </w:rPr>
        <w:t xml:space="preserve"> + </w:t>
      </w:r>
      <m:oMath>
        <m:f>
          <m:fPr>
            <m:ctrlPr>
              <w:rPr>
                <w:rFonts w:ascii="Cambria Math" w:hAnsi="Cambria Math" w:cstheme="minorHAnsi"/>
                <w:sz w:val="40"/>
                <w:szCs w:val="40"/>
              </w:rPr>
            </m:ctrlPr>
          </m:fPr>
          <m:num>
            <m:r>
              <m:rPr>
                <m:sty m:val="p"/>
              </m:rPr>
              <w:rPr>
                <w:rFonts w:ascii="Cambria Math" w:hAnsi="Cambria Math" w:cs="Cambria Math"/>
                <w:sz w:val="40"/>
                <w:szCs w:val="40"/>
              </w:rPr>
              <m:t>1500,000</m:t>
            </m:r>
          </m:num>
          <m:den>
            <m:r>
              <m:rPr>
                <m:sty m:val="p"/>
              </m:rPr>
              <w:rPr>
                <w:rFonts w:ascii="Cambria Math" w:hAnsi="Cambria Math" w:cs="Cambria Math"/>
                <w:sz w:val="40"/>
                <w:szCs w:val="40"/>
              </w:rPr>
              <m:t>1+</m:t>
            </m:r>
            <m:sSup>
              <m:sSupPr>
                <m:ctrlPr>
                  <w:rPr>
                    <w:rFonts w:ascii="Cambria Math" w:hAnsi="Cambria Math" w:cs="Cambria Math"/>
                    <w:sz w:val="40"/>
                    <w:szCs w:val="40"/>
                  </w:rPr>
                </m:ctrlPr>
              </m:sSupPr>
              <m:e>
                <m:r>
                  <w:rPr>
                    <w:rFonts w:ascii="Cambria Math" w:hAnsi="Cambria Math" w:cs="Cambria Math"/>
                    <w:sz w:val="40"/>
                    <w:szCs w:val="40"/>
                  </w:rPr>
                  <m:t>(0.08)</m:t>
                </m:r>
              </m:e>
              <m:sup>
                <m:r>
                  <w:rPr>
                    <w:rFonts w:ascii="Cambria Math" w:hAnsi="Cambria Math" w:cs="Cambria Math"/>
                    <w:sz w:val="40"/>
                    <w:szCs w:val="40"/>
                  </w:rPr>
                  <m:t>3</m:t>
                </m:r>
              </m:sup>
            </m:sSup>
          </m:den>
        </m:f>
      </m:oMath>
      <w:r w:rsidR="00B01C79" w:rsidRPr="00B83EFD">
        <w:rPr>
          <w:rFonts w:asciiTheme="minorHAnsi" w:hAnsiTheme="minorHAnsi" w:cstheme="minorHAnsi"/>
          <w:sz w:val="40"/>
          <w:szCs w:val="40"/>
        </w:rPr>
        <w:t xml:space="preserve"> + </w:t>
      </w:r>
      <m:oMath>
        <m:f>
          <m:fPr>
            <m:ctrlPr>
              <w:rPr>
                <w:rFonts w:ascii="Cambria Math" w:hAnsi="Cambria Math" w:cstheme="minorHAnsi"/>
                <w:sz w:val="40"/>
                <w:szCs w:val="40"/>
              </w:rPr>
            </m:ctrlPr>
          </m:fPr>
          <m:num>
            <m:r>
              <m:rPr>
                <m:sty m:val="p"/>
              </m:rPr>
              <w:rPr>
                <w:rFonts w:ascii="Cambria Math" w:hAnsi="Cambria Math" w:cs="Cambria Math"/>
                <w:sz w:val="40"/>
                <w:szCs w:val="40"/>
              </w:rPr>
              <m:t>1500,000</m:t>
            </m:r>
          </m:num>
          <m:den>
            <m:r>
              <m:rPr>
                <m:sty m:val="p"/>
              </m:rPr>
              <w:rPr>
                <w:rFonts w:ascii="Cambria Math" w:hAnsi="Cambria Math" w:cs="Cambria Math"/>
                <w:sz w:val="40"/>
                <w:szCs w:val="40"/>
              </w:rPr>
              <m:t>1+</m:t>
            </m:r>
            <m:sSup>
              <m:sSupPr>
                <m:ctrlPr>
                  <w:rPr>
                    <w:rFonts w:ascii="Cambria Math" w:hAnsi="Cambria Math" w:cs="Cambria Math"/>
                    <w:sz w:val="40"/>
                    <w:szCs w:val="40"/>
                  </w:rPr>
                </m:ctrlPr>
              </m:sSupPr>
              <m:e>
                <m:r>
                  <w:rPr>
                    <w:rFonts w:ascii="Cambria Math" w:hAnsi="Cambria Math" w:cs="Cambria Math"/>
                    <w:sz w:val="40"/>
                    <w:szCs w:val="40"/>
                  </w:rPr>
                  <m:t>(0.08)</m:t>
                </m:r>
              </m:e>
              <m:sup>
                <m:r>
                  <w:rPr>
                    <w:rFonts w:ascii="Cambria Math" w:hAnsi="Cambria Math" w:cs="Cambria Math"/>
                    <w:sz w:val="40"/>
                    <w:szCs w:val="40"/>
                  </w:rPr>
                  <m:t>4</m:t>
                </m:r>
              </m:sup>
            </m:sSup>
          </m:den>
        </m:f>
      </m:oMath>
      <w:r w:rsidR="00B01C79">
        <w:rPr>
          <w:rFonts w:asciiTheme="minorHAnsi" w:hAnsiTheme="minorHAnsi" w:cstheme="minorHAnsi"/>
          <w:sz w:val="40"/>
          <w:szCs w:val="40"/>
        </w:rPr>
        <w:t xml:space="preserve"> – </w:t>
      </w:r>
      <w:r w:rsidR="00B01C79">
        <w:rPr>
          <w:rFonts w:asciiTheme="minorHAnsi" w:hAnsiTheme="minorHAnsi" w:cstheme="minorHAnsi"/>
          <w:sz w:val="32"/>
          <w:szCs w:val="32"/>
        </w:rPr>
        <w:t>2,000,000</w:t>
      </w:r>
    </w:p>
    <w:p w:rsidR="00B01C79" w:rsidRPr="00225C31" w:rsidRDefault="00B01C79" w:rsidP="00B01C79">
      <w:pPr>
        <w:spacing w:line="360" w:lineRule="auto"/>
        <w:rPr>
          <w:rFonts w:asciiTheme="minorHAnsi" w:hAnsiTheme="minorHAnsi" w:cstheme="minorHAnsi"/>
          <w:sz w:val="28"/>
          <w:szCs w:val="28"/>
        </w:rPr>
      </w:pPr>
      <w:r w:rsidRPr="00BB634E">
        <w:rPr>
          <w:rFonts w:asciiTheme="minorHAnsi" w:hAnsiTheme="minorHAnsi" w:cstheme="minorHAnsi"/>
          <w:sz w:val="28"/>
          <w:szCs w:val="28"/>
        </w:rPr>
        <w:t>=£</w:t>
      </w:r>
      <w:r>
        <w:rPr>
          <w:rFonts w:asciiTheme="minorHAnsi" w:hAnsiTheme="minorHAnsi" w:cstheme="minorHAnsi"/>
          <w:sz w:val="28"/>
          <w:szCs w:val="28"/>
        </w:rPr>
        <w:t>8,928,571</w:t>
      </w:r>
    </w:p>
    <w:p w:rsidR="00B01C79" w:rsidRDefault="00B01C79" w:rsidP="003C025E">
      <w:pPr>
        <w:spacing w:line="360" w:lineRule="auto"/>
        <w:rPr>
          <w:rFonts w:asciiTheme="minorHAnsi" w:hAnsiTheme="minorHAnsi" w:cstheme="minorHAnsi"/>
          <w:color w:val="FF0000"/>
          <w:sz w:val="24"/>
          <w:szCs w:val="24"/>
        </w:rPr>
      </w:pPr>
    </w:p>
    <w:p w:rsidR="003C025E" w:rsidRDefault="00B01C79" w:rsidP="00FD16EC">
      <w:pPr>
        <w:pStyle w:val="Heading2"/>
      </w:pPr>
      <w:bookmarkStart w:id="22" w:name="_Toc42082622"/>
      <w:r>
        <w:t>I</w:t>
      </w:r>
      <w:r w:rsidR="003C025E" w:rsidRPr="00194C64">
        <w:t>nternal Rate of Return</w:t>
      </w:r>
      <w:bookmarkEnd w:id="22"/>
      <w:r w:rsidR="003C025E" w:rsidRPr="00194C64">
        <w:t xml:space="preserve"> </w:t>
      </w:r>
    </w:p>
    <w:p w:rsidR="00B01C79" w:rsidRPr="00877F73" w:rsidRDefault="00B01C79" w:rsidP="00B01C79">
      <w:pPr>
        <w:rPr>
          <w:rFonts w:asciiTheme="minorHAnsi" w:hAnsiTheme="minorHAnsi" w:cstheme="minorHAnsi"/>
          <w:sz w:val="24"/>
          <w:szCs w:val="24"/>
          <w:lang w:eastAsia="en-US"/>
        </w:rPr>
      </w:pPr>
    </w:p>
    <w:p w:rsidR="00B01C79" w:rsidRPr="00877F73" w:rsidRDefault="00B01C79" w:rsidP="00B01C79">
      <w:pPr>
        <w:rPr>
          <w:rFonts w:asciiTheme="minorHAnsi" w:hAnsiTheme="minorHAnsi" w:cstheme="minorHAnsi"/>
          <w:sz w:val="24"/>
          <w:szCs w:val="24"/>
          <w:lang w:eastAsia="en-US"/>
        </w:rPr>
      </w:pPr>
      <w:r w:rsidRPr="00877F73">
        <w:rPr>
          <w:rFonts w:asciiTheme="minorHAnsi" w:hAnsiTheme="minorHAnsi" w:cstheme="minorHAnsi"/>
          <w:sz w:val="24"/>
          <w:szCs w:val="24"/>
          <w:lang w:eastAsia="en-US"/>
        </w:rPr>
        <w:t>By following the NPV technique, the value of future cash flows for the three options are as follows:</w:t>
      </w:r>
    </w:p>
    <w:p w:rsidR="00B01C79" w:rsidRDefault="00B01C79" w:rsidP="00B01C79">
      <w:pPr>
        <w:rPr>
          <w:lang w:eastAsia="en-US"/>
        </w:rPr>
      </w:pPr>
    </w:p>
    <w:tbl>
      <w:tblPr>
        <w:tblStyle w:val="TableGrid"/>
        <w:tblW w:w="0" w:type="auto"/>
        <w:tblLook w:val="04A0" w:firstRow="1" w:lastRow="0" w:firstColumn="1" w:lastColumn="0" w:noHBand="0" w:noVBand="1"/>
      </w:tblPr>
      <w:tblGrid>
        <w:gridCol w:w="5949"/>
        <w:gridCol w:w="3067"/>
      </w:tblGrid>
      <w:tr w:rsidR="00B01C79" w:rsidTr="00B01C79">
        <w:tc>
          <w:tcPr>
            <w:tcW w:w="5949" w:type="dxa"/>
          </w:tcPr>
          <w:p w:rsidR="00B01C79" w:rsidRDefault="00B01C79" w:rsidP="00B01C79">
            <w:pPr>
              <w:rPr>
                <w:lang w:eastAsia="en-US"/>
              </w:rPr>
            </w:pPr>
            <w:r>
              <w:rPr>
                <w:lang w:eastAsia="en-US"/>
              </w:rPr>
              <w:t xml:space="preserve">Option 1: </w:t>
            </w:r>
            <w:r w:rsidRPr="00194C64">
              <w:rPr>
                <w:rFonts w:asciiTheme="minorHAnsi" w:hAnsiTheme="minorHAnsi" w:cstheme="minorHAnsi"/>
                <w:sz w:val="24"/>
                <w:szCs w:val="24"/>
              </w:rPr>
              <w:t xml:space="preserve">Expand its flourishing retail </w:t>
            </w:r>
            <w:r>
              <w:rPr>
                <w:rFonts w:asciiTheme="minorHAnsi" w:hAnsiTheme="minorHAnsi" w:cstheme="minorHAnsi"/>
                <w:sz w:val="24"/>
                <w:szCs w:val="24"/>
              </w:rPr>
              <w:t>outlet to include all products</w:t>
            </w:r>
          </w:p>
        </w:tc>
        <w:tc>
          <w:tcPr>
            <w:tcW w:w="3067" w:type="dxa"/>
          </w:tcPr>
          <w:p w:rsidR="005C28A5" w:rsidRDefault="005C28A5" w:rsidP="005C28A5">
            <w:pPr>
              <w:spacing w:line="360" w:lineRule="auto"/>
              <w:rPr>
                <w:rFonts w:asciiTheme="minorHAnsi" w:hAnsiTheme="minorHAnsi" w:cstheme="minorHAnsi"/>
                <w:sz w:val="28"/>
                <w:szCs w:val="28"/>
              </w:rPr>
            </w:pPr>
            <w:r w:rsidRPr="00BB634E">
              <w:rPr>
                <w:rFonts w:asciiTheme="minorHAnsi" w:hAnsiTheme="minorHAnsi" w:cstheme="minorHAnsi"/>
                <w:sz w:val="28"/>
                <w:szCs w:val="28"/>
              </w:rPr>
              <w:t>£</w:t>
            </w:r>
            <w:r>
              <w:rPr>
                <w:rFonts w:asciiTheme="minorHAnsi" w:hAnsiTheme="minorHAnsi" w:cstheme="minorHAnsi"/>
                <w:sz w:val="28"/>
                <w:szCs w:val="28"/>
              </w:rPr>
              <w:t>148,437</w:t>
            </w:r>
          </w:p>
          <w:p w:rsidR="00B01C79" w:rsidRDefault="00B01C79" w:rsidP="00B01C79">
            <w:pPr>
              <w:rPr>
                <w:lang w:eastAsia="en-US"/>
              </w:rPr>
            </w:pPr>
          </w:p>
        </w:tc>
      </w:tr>
      <w:tr w:rsidR="00B01C79" w:rsidTr="00B01C79">
        <w:tc>
          <w:tcPr>
            <w:tcW w:w="5949" w:type="dxa"/>
          </w:tcPr>
          <w:p w:rsidR="00B01C79" w:rsidRDefault="00B01C79" w:rsidP="00B01C79">
            <w:pPr>
              <w:rPr>
                <w:rFonts w:asciiTheme="minorHAnsi" w:hAnsiTheme="minorHAnsi" w:cstheme="minorHAnsi"/>
                <w:sz w:val="24"/>
                <w:szCs w:val="24"/>
              </w:rPr>
            </w:pPr>
            <w:r>
              <w:rPr>
                <w:lang w:eastAsia="en-US"/>
              </w:rPr>
              <w:t xml:space="preserve">Option 2: </w:t>
            </w:r>
            <w:r w:rsidRPr="00194C64">
              <w:rPr>
                <w:rFonts w:asciiTheme="minorHAnsi" w:hAnsiTheme="minorHAnsi" w:cstheme="minorHAnsi"/>
                <w:sz w:val="24"/>
                <w:szCs w:val="24"/>
              </w:rPr>
              <w:t>Develop into internet sales</w:t>
            </w:r>
          </w:p>
          <w:p w:rsidR="00B01C79" w:rsidRDefault="00B01C79" w:rsidP="00B01C79">
            <w:pPr>
              <w:rPr>
                <w:lang w:eastAsia="en-US"/>
              </w:rPr>
            </w:pPr>
          </w:p>
        </w:tc>
        <w:tc>
          <w:tcPr>
            <w:tcW w:w="3067" w:type="dxa"/>
          </w:tcPr>
          <w:p w:rsidR="00B01C79" w:rsidRPr="00225C31" w:rsidRDefault="00B01C79" w:rsidP="00B01C79">
            <w:pPr>
              <w:spacing w:line="360" w:lineRule="auto"/>
              <w:rPr>
                <w:rFonts w:asciiTheme="minorHAnsi" w:hAnsiTheme="minorHAnsi" w:cstheme="minorHAnsi"/>
                <w:sz w:val="28"/>
                <w:szCs w:val="28"/>
              </w:rPr>
            </w:pPr>
            <w:r w:rsidRPr="00BB634E">
              <w:rPr>
                <w:rFonts w:asciiTheme="minorHAnsi" w:hAnsiTheme="minorHAnsi" w:cstheme="minorHAnsi"/>
                <w:sz w:val="28"/>
                <w:szCs w:val="28"/>
              </w:rPr>
              <w:t>£</w:t>
            </w:r>
            <w:r>
              <w:rPr>
                <w:rFonts w:asciiTheme="minorHAnsi" w:hAnsiTheme="minorHAnsi" w:cstheme="minorHAnsi"/>
                <w:sz w:val="28"/>
                <w:szCs w:val="28"/>
              </w:rPr>
              <w:t>14,687,500</w:t>
            </w:r>
          </w:p>
          <w:p w:rsidR="00B01C79" w:rsidRDefault="00B01C79" w:rsidP="00B01C79">
            <w:pPr>
              <w:rPr>
                <w:lang w:eastAsia="en-US"/>
              </w:rPr>
            </w:pPr>
          </w:p>
        </w:tc>
      </w:tr>
      <w:tr w:rsidR="00B01C79" w:rsidTr="00B01C79">
        <w:tc>
          <w:tcPr>
            <w:tcW w:w="5949" w:type="dxa"/>
          </w:tcPr>
          <w:p w:rsidR="00B01C79" w:rsidRDefault="00B01C79" w:rsidP="00B01C79">
            <w:pPr>
              <w:rPr>
                <w:rFonts w:asciiTheme="minorHAnsi" w:hAnsiTheme="minorHAnsi" w:cstheme="minorHAnsi"/>
                <w:sz w:val="24"/>
                <w:szCs w:val="24"/>
              </w:rPr>
            </w:pPr>
            <w:r>
              <w:rPr>
                <w:lang w:eastAsia="en-US"/>
              </w:rPr>
              <w:lastRenderedPageBreak/>
              <w:t xml:space="preserve">Option 3: </w:t>
            </w:r>
            <w:r w:rsidRPr="00194C64">
              <w:rPr>
                <w:rFonts w:asciiTheme="minorHAnsi" w:hAnsiTheme="minorHAnsi" w:cstheme="minorHAnsi"/>
                <w:sz w:val="24"/>
                <w:szCs w:val="24"/>
              </w:rPr>
              <w:t>Produce greenhouses and conservatories</w:t>
            </w:r>
          </w:p>
          <w:p w:rsidR="00B01C79" w:rsidRDefault="00B01C79" w:rsidP="00B01C79">
            <w:pPr>
              <w:rPr>
                <w:lang w:eastAsia="en-US"/>
              </w:rPr>
            </w:pPr>
          </w:p>
        </w:tc>
        <w:tc>
          <w:tcPr>
            <w:tcW w:w="3067" w:type="dxa"/>
          </w:tcPr>
          <w:p w:rsidR="00B01C79" w:rsidRPr="00225C31" w:rsidRDefault="00B01C79" w:rsidP="00B01C79">
            <w:pPr>
              <w:spacing w:line="360" w:lineRule="auto"/>
              <w:rPr>
                <w:rFonts w:asciiTheme="minorHAnsi" w:hAnsiTheme="minorHAnsi" w:cstheme="minorHAnsi"/>
                <w:sz w:val="28"/>
                <w:szCs w:val="28"/>
              </w:rPr>
            </w:pPr>
            <w:r w:rsidRPr="00BB634E">
              <w:rPr>
                <w:rFonts w:asciiTheme="minorHAnsi" w:hAnsiTheme="minorHAnsi" w:cstheme="minorHAnsi"/>
                <w:sz w:val="28"/>
                <w:szCs w:val="28"/>
              </w:rPr>
              <w:t>£</w:t>
            </w:r>
            <w:r>
              <w:rPr>
                <w:rFonts w:asciiTheme="minorHAnsi" w:hAnsiTheme="minorHAnsi" w:cstheme="minorHAnsi"/>
                <w:sz w:val="28"/>
                <w:szCs w:val="28"/>
              </w:rPr>
              <w:t>8,928,571</w:t>
            </w:r>
          </w:p>
          <w:p w:rsidR="00B01C79" w:rsidRDefault="00B01C79" w:rsidP="00B01C79">
            <w:pPr>
              <w:rPr>
                <w:lang w:eastAsia="en-US"/>
              </w:rPr>
            </w:pPr>
          </w:p>
        </w:tc>
      </w:tr>
    </w:tbl>
    <w:p w:rsidR="00B01C79" w:rsidRPr="00B01C79" w:rsidRDefault="00B01C79" w:rsidP="00B01C79">
      <w:pPr>
        <w:rPr>
          <w:lang w:eastAsia="en-US"/>
        </w:rPr>
      </w:pPr>
    </w:p>
    <w:p w:rsidR="003C025E" w:rsidRPr="00194C64" w:rsidRDefault="003C025E" w:rsidP="003C025E">
      <w:pPr>
        <w:spacing w:line="360" w:lineRule="auto"/>
        <w:rPr>
          <w:rFonts w:asciiTheme="minorHAnsi" w:hAnsiTheme="minorHAnsi" w:cstheme="minorHAnsi"/>
          <w:sz w:val="24"/>
          <w:szCs w:val="24"/>
          <w:lang w:eastAsia="en-US"/>
        </w:rPr>
      </w:pPr>
    </w:p>
    <w:p w:rsidR="005C28A5" w:rsidRDefault="005C28A5" w:rsidP="003C025E">
      <w:pPr>
        <w:spacing w:line="360" w:lineRule="auto"/>
        <w:rPr>
          <w:rFonts w:asciiTheme="minorHAnsi" w:hAnsiTheme="minorHAnsi" w:cstheme="minorHAnsi"/>
          <w:sz w:val="24"/>
          <w:szCs w:val="24"/>
        </w:rPr>
      </w:pPr>
      <w:r w:rsidRPr="005C28A5">
        <w:rPr>
          <w:rFonts w:asciiTheme="minorHAnsi" w:hAnsiTheme="minorHAnsi" w:cstheme="minorHAnsi"/>
          <w:sz w:val="24"/>
          <w:szCs w:val="24"/>
        </w:rPr>
        <w:t xml:space="preserve">This shows that option two will be the most </w:t>
      </w:r>
      <w:r>
        <w:rPr>
          <w:rFonts w:asciiTheme="minorHAnsi" w:hAnsiTheme="minorHAnsi" w:cstheme="minorHAnsi"/>
          <w:sz w:val="24"/>
          <w:szCs w:val="24"/>
        </w:rPr>
        <w:t>viable</w:t>
      </w:r>
      <w:r w:rsidRPr="005C28A5">
        <w:rPr>
          <w:rFonts w:asciiTheme="minorHAnsi" w:hAnsiTheme="minorHAnsi" w:cstheme="minorHAnsi"/>
          <w:sz w:val="24"/>
          <w:szCs w:val="24"/>
        </w:rPr>
        <w:t xml:space="preserve">.  Furthermore, it is the option that has the most impact of the future success of the company.  </w:t>
      </w:r>
      <w:r>
        <w:rPr>
          <w:rFonts w:asciiTheme="minorHAnsi" w:hAnsiTheme="minorHAnsi" w:cstheme="minorHAnsi"/>
          <w:sz w:val="24"/>
          <w:szCs w:val="24"/>
        </w:rPr>
        <w:t xml:space="preserve">For these reasons, option two is the favoured choice for the company. </w:t>
      </w:r>
    </w:p>
    <w:p w:rsidR="005C28A5" w:rsidRDefault="005C28A5" w:rsidP="003C025E">
      <w:pPr>
        <w:spacing w:line="360" w:lineRule="auto"/>
        <w:rPr>
          <w:rFonts w:asciiTheme="minorHAnsi" w:hAnsiTheme="minorHAnsi" w:cstheme="minorHAnsi"/>
          <w:sz w:val="24"/>
          <w:szCs w:val="24"/>
        </w:rPr>
      </w:pPr>
    </w:p>
    <w:p w:rsidR="005C28A5" w:rsidRPr="005C28A5" w:rsidRDefault="005C28A5" w:rsidP="005C28A5">
      <w:pPr>
        <w:spacing w:line="360" w:lineRule="auto"/>
        <w:jc w:val="both"/>
        <w:rPr>
          <w:rStyle w:val="Heading1Char"/>
          <w:rFonts w:asciiTheme="minorHAnsi" w:hAnsiTheme="minorHAnsi" w:cstheme="minorHAnsi"/>
          <w:sz w:val="24"/>
          <w:szCs w:val="24"/>
        </w:rPr>
      </w:pPr>
      <w:r w:rsidRPr="005C28A5">
        <w:rPr>
          <w:rFonts w:asciiTheme="minorHAnsi" w:hAnsiTheme="minorHAnsi" w:cstheme="minorHAnsi"/>
          <w:sz w:val="24"/>
          <w:szCs w:val="24"/>
        </w:rPr>
        <w:t xml:space="preserve">The </w:t>
      </w:r>
      <w:r w:rsidR="003C025E" w:rsidRPr="005C28A5">
        <w:rPr>
          <w:rFonts w:asciiTheme="minorHAnsi" w:hAnsiTheme="minorHAnsi" w:cstheme="minorHAnsi"/>
          <w:sz w:val="24"/>
          <w:szCs w:val="24"/>
        </w:rPr>
        <w:t xml:space="preserve">approximate internal rate of return (IRR) </w:t>
      </w:r>
      <w:r w:rsidRPr="005C28A5">
        <w:rPr>
          <w:rFonts w:asciiTheme="minorHAnsi" w:hAnsiTheme="minorHAnsi" w:cstheme="minorHAnsi"/>
          <w:sz w:val="24"/>
          <w:szCs w:val="24"/>
        </w:rPr>
        <w:t xml:space="preserve">is a metric used in capital budgeting to estimate the profitability of potential investments </w:t>
      </w:r>
      <w:sdt>
        <w:sdtPr>
          <w:rPr>
            <w:rStyle w:val="Heading1Char"/>
            <w:rFonts w:asciiTheme="minorHAnsi" w:hAnsiTheme="minorHAnsi" w:cstheme="minorHAnsi"/>
            <w:sz w:val="24"/>
            <w:szCs w:val="24"/>
          </w:rPr>
          <w:id w:val="-872067579"/>
          <w:citation/>
        </w:sdtPr>
        <w:sdtContent>
          <w:r w:rsidRPr="005C28A5">
            <w:rPr>
              <w:rStyle w:val="Heading1Char"/>
              <w:rFonts w:asciiTheme="minorHAnsi" w:hAnsiTheme="minorHAnsi" w:cstheme="minorHAnsi"/>
              <w:sz w:val="24"/>
              <w:szCs w:val="24"/>
            </w:rPr>
            <w:fldChar w:fldCharType="begin"/>
          </w:r>
          <w:r w:rsidRPr="005C28A5">
            <w:rPr>
              <w:rStyle w:val="Heading1Char"/>
              <w:rFonts w:asciiTheme="minorHAnsi" w:hAnsiTheme="minorHAnsi" w:cstheme="minorHAnsi"/>
              <w:sz w:val="24"/>
              <w:szCs w:val="24"/>
            </w:rPr>
            <w:instrText xml:space="preserve"> CITATION Hay20 \l 2057 </w:instrText>
          </w:r>
          <w:r w:rsidRPr="005C28A5">
            <w:rPr>
              <w:rStyle w:val="Heading1Char"/>
              <w:rFonts w:asciiTheme="minorHAnsi" w:hAnsiTheme="minorHAnsi" w:cstheme="minorHAnsi"/>
              <w:sz w:val="24"/>
              <w:szCs w:val="24"/>
            </w:rPr>
            <w:fldChar w:fldCharType="separate"/>
          </w:r>
          <w:r w:rsidRPr="005C28A5">
            <w:rPr>
              <w:rFonts w:asciiTheme="minorHAnsi" w:eastAsiaTheme="majorEastAsia" w:hAnsiTheme="minorHAnsi" w:cstheme="minorHAnsi"/>
              <w:noProof/>
              <w:sz w:val="24"/>
              <w:szCs w:val="24"/>
            </w:rPr>
            <w:t>(Hayes &amp; Mansa, 2020)</w:t>
          </w:r>
          <w:r w:rsidRPr="005C28A5">
            <w:rPr>
              <w:rStyle w:val="Heading1Char"/>
              <w:rFonts w:asciiTheme="minorHAnsi" w:hAnsiTheme="minorHAnsi" w:cstheme="minorHAnsi"/>
              <w:sz w:val="24"/>
              <w:szCs w:val="24"/>
            </w:rPr>
            <w:fldChar w:fldCharType="end"/>
          </w:r>
        </w:sdtContent>
      </w:sdt>
      <w:r>
        <w:rPr>
          <w:rStyle w:val="Heading1Char"/>
          <w:rFonts w:asciiTheme="minorHAnsi" w:hAnsiTheme="minorHAnsi" w:cstheme="minorHAnsi"/>
          <w:sz w:val="24"/>
          <w:szCs w:val="24"/>
        </w:rPr>
        <w:t xml:space="preserve">.  </w:t>
      </w:r>
    </w:p>
    <w:p w:rsidR="005C28A5" w:rsidRDefault="005C28A5" w:rsidP="003C025E">
      <w:pPr>
        <w:spacing w:line="360" w:lineRule="auto"/>
        <w:rPr>
          <w:rFonts w:asciiTheme="minorHAnsi" w:hAnsiTheme="minorHAnsi" w:cstheme="minorHAnsi"/>
          <w:color w:val="FF0000"/>
          <w:sz w:val="24"/>
          <w:szCs w:val="24"/>
        </w:rPr>
      </w:pPr>
    </w:p>
    <w:p w:rsidR="009A7089" w:rsidRDefault="005C28A5" w:rsidP="003C025E">
      <w:pPr>
        <w:spacing w:line="360" w:lineRule="auto"/>
        <w:rPr>
          <w:rFonts w:asciiTheme="minorHAnsi" w:hAnsiTheme="minorHAnsi" w:cstheme="minorHAnsi"/>
          <w:sz w:val="24"/>
          <w:szCs w:val="24"/>
        </w:rPr>
      </w:pPr>
      <w:r w:rsidRPr="005C28A5">
        <w:rPr>
          <w:rFonts w:asciiTheme="minorHAnsi" w:hAnsiTheme="minorHAnsi" w:cstheme="minorHAnsi"/>
          <w:sz w:val="24"/>
          <w:szCs w:val="24"/>
        </w:rPr>
        <w:t xml:space="preserve">The IRR </w:t>
      </w:r>
      <w:r w:rsidR="009A7089">
        <w:rPr>
          <w:rFonts w:asciiTheme="minorHAnsi" w:hAnsiTheme="minorHAnsi" w:cstheme="minorHAnsi"/>
          <w:sz w:val="24"/>
          <w:szCs w:val="24"/>
        </w:rPr>
        <w:t xml:space="preserve">can be calculated in the following way: </w:t>
      </w:r>
    </w:p>
    <w:p w:rsidR="005C28A5" w:rsidRDefault="009A7089" w:rsidP="003C025E">
      <w:pPr>
        <w:spacing w:line="360" w:lineRule="auto"/>
        <w:rPr>
          <w:rFonts w:asciiTheme="minorHAnsi" w:hAnsiTheme="minorHAnsi" w:cstheme="minorHAnsi"/>
          <w:sz w:val="24"/>
          <w:szCs w:val="24"/>
        </w:rPr>
      </w:pPr>
      <w:r>
        <w:rPr>
          <w:rFonts w:asciiTheme="minorHAnsi" w:hAnsiTheme="minorHAnsi" w:cstheme="minorHAnsi"/>
          <w:noProof/>
          <w:sz w:val="24"/>
          <w:szCs w:val="24"/>
        </w:rPr>
        <w:drawing>
          <wp:inline distT="0" distB="0" distL="0" distR="0">
            <wp:extent cx="5731510" cy="2692400"/>
            <wp:effectExtent l="0" t="0" r="254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Screen-Shot-2017-07-16-at-11.27.16-PM-1024x481 (1).png"/>
                    <pic:cNvPicPr/>
                  </pic:nvPicPr>
                  <pic:blipFill>
                    <a:blip r:embed="rId16">
                      <a:extLst>
                        <a:ext uri="{28A0092B-C50C-407E-A947-70E740481C1C}">
                          <a14:useLocalDpi xmlns:a14="http://schemas.microsoft.com/office/drawing/2010/main" val="0"/>
                        </a:ext>
                      </a:extLst>
                    </a:blip>
                    <a:stretch>
                      <a:fillRect/>
                    </a:stretch>
                  </pic:blipFill>
                  <pic:spPr>
                    <a:xfrm>
                      <a:off x="0" y="0"/>
                      <a:ext cx="5731510" cy="2692400"/>
                    </a:xfrm>
                    <a:prstGeom prst="rect">
                      <a:avLst/>
                    </a:prstGeom>
                  </pic:spPr>
                </pic:pic>
              </a:graphicData>
            </a:graphic>
          </wp:inline>
        </w:drawing>
      </w:r>
      <w:r w:rsidR="005C28A5" w:rsidRPr="005C28A5">
        <w:rPr>
          <w:rFonts w:asciiTheme="minorHAnsi" w:hAnsiTheme="minorHAnsi" w:cstheme="minorHAnsi"/>
          <w:sz w:val="24"/>
          <w:szCs w:val="24"/>
        </w:rPr>
        <w:t xml:space="preserve"> </w:t>
      </w:r>
    </w:p>
    <w:p w:rsidR="005C28A5" w:rsidRDefault="005C28A5" w:rsidP="003C025E">
      <w:pPr>
        <w:spacing w:line="360" w:lineRule="auto"/>
        <w:rPr>
          <w:rFonts w:asciiTheme="minorHAnsi" w:hAnsiTheme="minorHAnsi" w:cstheme="minorHAnsi"/>
          <w:color w:val="FF0000"/>
          <w:sz w:val="24"/>
          <w:szCs w:val="24"/>
        </w:rPr>
      </w:pPr>
    </w:p>
    <w:p w:rsidR="005C28A5" w:rsidRDefault="005C28A5" w:rsidP="003C025E">
      <w:pPr>
        <w:spacing w:line="360" w:lineRule="auto"/>
        <w:rPr>
          <w:rFonts w:asciiTheme="minorHAnsi" w:hAnsiTheme="minorHAnsi" w:cstheme="minorHAnsi"/>
          <w:color w:val="FF0000"/>
          <w:sz w:val="24"/>
          <w:szCs w:val="24"/>
        </w:rPr>
      </w:pPr>
    </w:p>
    <w:p w:rsidR="003C025E" w:rsidRPr="00194C64" w:rsidRDefault="003C025E" w:rsidP="00FD16EC">
      <w:pPr>
        <w:pStyle w:val="Heading2"/>
      </w:pPr>
      <w:bookmarkStart w:id="23" w:name="_Toc42082623"/>
      <w:r w:rsidRPr="00194C64">
        <w:t>Arguments for choice</w:t>
      </w:r>
      <w:bookmarkEnd w:id="23"/>
      <w:r w:rsidRPr="00194C64">
        <w:t xml:space="preserve"> </w:t>
      </w:r>
    </w:p>
    <w:p w:rsidR="005D367A" w:rsidRDefault="005D367A" w:rsidP="005D367A">
      <w:pPr>
        <w:spacing w:line="360" w:lineRule="auto"/>
        <w:rPr>
          <w:rFonts w:asciiTheme="minorHAnsi" w:hAnsiTheme="minorHAnsi" w:cstheme="minorHAnsi"/>
          <w:sz w:val="24"/>
          <w:szCs w:val="24"/>
        </w:rPr>
      </w:pPr>
      <w:r w:rsidRPr="005D367A">
        <w:rPr>
          <w:rFonts w:asciiTheme="minorHAnsi" w:hAnsiTheme="minorHAnsi" w:cstheme="minorHAnsi"/>
          <w:sz w:val="24"/>
          <w:szCs w:val="24"/>
        </w:rPr>
        <w:t>The NPV technique is the choice for best method of investment appraisal</w:t>
      </w:r>
      <w:r>
        <w:rPr>
          <w:rFonts w:asciiTheme="minorHAnsi" w:hAnsiTheme="minorHAnsi" w:cstheme="minorHAnsi"/>
          <w:sz w:val="24"/>
          <w:szCs w:val="24"/>
        </w:rPr>
        <w:t>, over IRR</w:t>
      </w:r>
      <w:r w:rsidRPr="005D367A">
        <w:rPr>
          <w:rFonts w:asciiTheme="minorHAnsi" w:hAnsiTheme="minorHAnsi" w:cstheme="minorHAnsi"/>
          <w:sz w:val="24"/>
          <w:szCs w:val="24"/>
        </w:rPr>
        <w:t xml:space="preserve"> </w:t>
      </w:r>
      <w:r>
        <w:rPr>
          <w:rFonts w:asciiTheme="minorHAnsi" w:hAnsiTheme="minorHAnsi" w:cstheme="minorHAnsi"/>
          <w:sz w:val="24"/>
          <w:szCs w:val="24"/>
        </w:rPr>
        <w:t xml:space="preserve">for several reasons.  </w:t>
      </w:r>
      <w:proofErr w:type="gramStart"/>
      <w:r>
        <w:rPr>
          <w:rFonts w:asciiTheme="minorHAnsi" w:hAnsiTheme="minorHAnsi" w:cstheme="minorHAnsi"/>
          <w:sz w:val="24"/>
          <w:szCs w:val="24"/>
        </w:rPr>
        <w:t>Firstly</w:t>
      </w:r>
      <w:proofErr w:type="gramEnd"/>
      <w:r>
        <w:rPr>
          <w:rFonts w:asciiTheme="minorHAnsi" w:hAnsiTheme="minorHAnsi" w:cstheme="minorHAnsi"/>
          <w:sz w:val="24"/>
          <w:szCs w:val="24"/>
        </w:rPr>
        <w:t xml:space="preserve"> the IRR is expressed as a percentage whereas NPV shows the projected value in actual figures, making them easier to understand.  </w:t>
      </w:r>
    </w:p>
    <w:p w:rsidR="005D367A" w:rsidRDefault="005D367A" w:rsidP="005D367A">
      <w:pPr>
        <w:spacing w:line="360" w:lineRule="auto"/>
        <w:rPr>
          <w:rFonts w:asciiTheme="minorHAnsi" w:hAnsiTheme="minorHAnsi" w:cstheme="minorHAnsi"/>
          <w:sz w:val="24"/>
          <w:szCs w:val="24"/>
        </w:rPr>
      </w:pPr>
    </w:p>
    <w:p w:rsidR="003C025E" w:rsidRPr="00194C64" w:rsidRDefault="005D367A" w:rsidP="005D367A">
      <w:pPr>
        <w:spacing w:line="360" w:lineRule="auto"/>
        <w:jc w:val="both"/>
        <w:rPr>
          <w:rFonts w:asciiTheme="minorHAnsi" w:hAnsiTheme="minorHAnsi" w:cstheme="minorHAnsi"/>
          <w:color w:val="FF0000"/>
          <w:sz w:val="24"/>
          <w:szCs w:val="24"/>
        </w:rPr>
      </w:pPr>
      <w:r>
        <w:rPr>
          <w:rFonts w:asciiTheme="minorHAnsi" w:hAnsiTheme="minorHAnsi" w:cstheme="minorHAnsi"/>
          <w:sz w:val="24"/>
          <w:szCs w:val="24"/>
        </w:rPr>
        <w:t xml:space="preserve">The NVP method assumes the cash flows will go back into the company near the current cost of initial expenditure, whereas IRR assumes it can be reinvested at the projects IRR </w:t>
      </w:r>
      <w:sdt>
        <w:sdtPr>
          <w:rPr>
            <w:rStyle w:val="Heading1Char"/>
            <w:rFonts w:asciiTheme="minorHAnsi" w:hAnsiTheme="minorHAnsi" w:cstheme="minorHAnsi"/>
            <w:sz w:val="24"/>
            <w:szCs w:val="24"/>
          </w:rPr>
          <w:id w:val="-1066338865"/>
          <w:citation/>
        </w:sdtPr>
        <w:sdtContent>
          <w:r>
            <w:rPr>
              <w:rStyle w:val="Heading1Char"/>
              <w:rFonts w:asciiTheme="minorHAnsi" w:hAnsiTheme="minorHAnsi" w:cstheme="minorHAnsi"/>
              <w:sz w:val="24"/>
              <w:szCs w:val="24"/>
            </w:rPr>
            <w:fldChar w:fldCharType="begin"/>
          </w:r>
          <w:r>
            <w:rPr>
              <w:rStyle w:val="Heading1Char"/>
              <w:rFonts w:asciiTheme="minorHAnsi" w:hAnsiTheme="minorHAnsi" w:cstheme="minorHAnsi"/>
              <w:sz w:val="24"/>
              <w:szCs w:val="24"/>
            </w:rPr>
            <w:instrText xml:space="preserve"> CITATION Key13 \l 2057 </w:instrText>
          </w:r>
          <w:r>
            <w:rPr>
              <w:rStyle w:val="Heading1Char"/>
              <w:rFonts w:asciiTheme="minorHAnsi" w:hAnsiTheme="minorHAnsi" w:cstheme="minorHAnsi"/>
              <w:sz w:val="24"/>
              <w:szCs w:val="24"/>
            </w:rPr>
            <w:fldChar w:fldCharType="separate"/>
          </w:r>
          <w:r w:rsidRPr="005C61E6">
            <w:rPr>
              <w:rFonts w:asciiTheme="minorHAnsi" w:eastAsiaTheme="majorEastAsia" w:hAnsiTheme="minorHAnsi" w:cstheme="minorHAnsi"/>
              <w:noProof/>
              <w:sz w:val="24"/>
              <w:szCs w:val="24"/>
            </w:rPr>
            <w:t>(Key Logic, 2013)</w:t>
          </w:r>
          <w:r>
            <w:rPr>
              <w:rStyle w:val="Heading1Char"/>
              <w:rFonts w:asciiTheme="minorHAnsi" w:hAnsiTheme="minorHAnsi" w:cstheme="minorHAnsi"/>
              <w:sz w:val="24"/>
              <w:szCs w:val="24"/>
            </w:rPr>
            <w:fldChar w:fldCharType="end"/>
          </w:r>
        </w:sdtContent>
      </w:sdt>
      <w:r>
        <w:rPr>
          <w:rFonts w:asciiTheme="minorHAnsi" w:hAnsiTheme="minorHAnsi" w:cstheme="minorHAnsi"/>
          <w:sz w:val="24"/>
          <w:szCs w:val="24"/>
        </w:rPr>
        <w:t xml:space="preserve">.  The NPV is more of a realistic expectation that the IRR because it is close to the current </w:t>
      </w:r>
      <w:r>
        <w:rPr>
          <w:rFonts w:asciiTheme="minorHAnsi" w:hAnsiTheme="minorHAnsi" w:cstheme="minorHAnsi"/>
          <w:sz w:val="24"/>
          <w:szCs w:val="24"/>
        </w:rPr>
        <w:lastRenderedPageBreak/>
        <w:t xml:space="preserve">cost of capital.  </w:t>
      </w:r>
      <w:r w:rsidR="007D5853">
        <w:rPr>
          <w:rFonts w:asciiTheme="minorHAnsi" w:hAnsiTheme="minorHAnsi" w:cstheme="minorHAnsi"/>
          <w:sz w:val="24"/>
          <w:szCs w:val="24"/>
        </w:rPr>
        <w:t>Therefore,</w:t>
      </w:r>
      <w:r>
        <w:rPr>
          <w:rFonts w:asciiTheme="minorHAnsi" w:hAnsiTheme="minorHAnsi" w:cstheme="minorHAnsi"/>
          <w:sz w:val="24"/>
          <w:szCs w:val="24"/>
        </w:rPr>
        <w:t xml:space="preserve"> </w:t>
      </w:r>
      <w:r w:rsidRPr="005D367A">
        <w:rPr>
          <w:rFonts w:asciiTheme="minorHAnsi" w:hAnsiTheme="minorHAnsi" w:cstheme="minorHAnsi"/>
          <w:sz w:val="24"/>
          <w:szCs w:val="24"/>
        </w:rPr>
        <w:t>NPV is a better method for evaluating projects</w:t>
      </w:r>
      <w:r>
        <w:rPr>
          <w:rFonts w:asciiTheme="minorHAnsi" w:hAnsiTheme="minorHAnsi" w:cstheme="minorHAnsi"/>
          <w:sz w:val="24"/>
          <w:szCs w:val="24"/>
        </w:rPr>
        <w:t xml:space="preserve"> as it is a good </w:t>
      </w:r>
      <w:r w:rsidRPr="005D367A">
        <w:rPr>
          <w:rFonts w:asciiTheme="minorHAnsi" w:hAnsiTheme="minorHAnsi" w:cstheme="minorHAnsi"/>
          <w:sz w:val="24"/>
          <w:szCs w:val="24"/>
        </w:rPr>
        <w:t>indicator of profitability</w:t>
      </w:r>
      <w:r>
        <w:rPr>
          <w:rFonts w:asciiTheme="minorHAnsi" w:hAnsiTheme="minorHAnsi" w:cstheme="minorHAnsi"/>
          <w:sz w:val="24"/>
          <w:szCs w:val="24"/>
        </w:rPr>
        <w:t xml:space="preserve"> than IRR.  </w:t>
      </w:r>
    </w:p>
    <w:p w:rsidR="003C025E" w:rsidRPr="00194C64" w:rsidRDefault="003C025E" w:rsidP="003C025E">
      <w:pPr>
        <w:spacing w:line="360" w:lineRule="auto"/>
        <w:rPr>
          <w:rFonts w:asciiTheme="minorHAnsi" w:hAnsiTheme="minorHAnsi" w:cstheme="minorHAnsi"/>
          <w:color w:val="FF0000"/>
          <w:sz w:val="24"/>
          <w:szCs w:val="24"/>
        </w:rPr>
      </w:pPr>
    </w:p>
    <w:p w:rsidR="003C025E" w:rsidRDefault="003C025E" w:rsidP="00FD16EC">
      <w:pPr>
        <w:pStyle w:val="Heading2"/>
      </w:pPr>
      <w:bookmarkStart w:id="24" w:name="_Toc42082624"/>
      <w:r w:rsidRPr="00194C64">
        <w:t>Non-discounting me</w:t>
      </w:r>
      <w:r w:rsidR="005D367A">
        <w:t>thods of investment appraisals</w:t>
      </w:r>
      <w:bookmarkEnd w:id="24"/>
    </w:p>
    <w:p w:rsidR="00877F73" w:rsidRPr="00877F73" w:rsidRDefault="00877F73" w:rsidP="00877F73"/>
    <w:p w:rsidR="0068187C" w:rsidRDefault="005D367A" w:rsidP="0068187C">
      <w:pPr>
        <w:spacing w:line="360" w:lineRule="auto"/>
        <w:jc w:val="both"/>
        <w:rPr>
          <w:rFonts w:asciiTheme="minorHAnsi" w:hAnsiTheme="minorHAnsi" w:cstheme="minorHAnsi"/>
          <w:sz w:val="24"/>
          <w:szCs w:val="24"/>
        </w:rPr>
      </w:pPr>
      <w:r w:rsidRPr="0068187C">
        <w:rPr>
          <w:rFonts w:asciiTheme="minorHAnsi" w:hAnsiTheme="minorHAnsi" w:cstheme="minorHAnsi"/>
          <w:sz w:val="24"/>
          <w:szCs w:val="24"/>
        </w:rPr>
        <w:t xml:space="preserve">Non-discount methods of capital budgeting are popular </w:t>
      </w:r>
      <w:r w:rsidR="0068187C" w:rsidRPr="0068187C">
        <w:rPr>
          <w:rFonts w:asciiTheme="minorHAnsi" w:hAnsiTheme="minorHAnsi" w:cstheme="minorHAnsi"/>
          <w:sz w:val="24"/>
          <w:szCs w:val="24"/>
        </w:rPr>
        <w:t xml:space="preserve">as a </w:t>
      </w:r>
      <w:r w:rsidR="007D5853" w:rsidRPr="0068187C">
        <w:rPr>
          <w:rFonts w:asciiTheme="minorHAnsi" w:hAnsiTheme="minorHAnsi" w:cstheme="minorHAnsi"/>
          <w:sz w:val="24"/>
          <w:szCs w:val="24"/>
        </w:rPr>
        <w:t>decision-making</w:t>
      </w:r>
      <w:r w:rsidR="0068187C" w:rsidRPr="0068187C">
        <w:rPr>
          <w:rFonts w:asciiTheme="minorHAnsi" w:hAnsiTheme="minorHAnsi" w:cstheme="minorHAnsi"/>
          <w:sz w:val="24"/>
          <w:szCs w:val="24"/>
        </w:rPr>
        <w:t xml:space="preserve"> tool of investment appraisal.</w:t>
      </w:r>
      <w:r w:rsidR="0068187C">
        <w:rPr>
          <w:rFonts w:asciiTheme="minorHAnsi" w:hAnsiTheme="minorHAnsi" w:cstheme="minorHAnsi"/>
          <w:sz w:val="24"/>
          <w:szCs w:val="24"/>
        </w:rPr>
        <w:t xml:space="preserve">  These methods do not consider </w:t>
      </w:r>
      <w:r w:rsidR="0068187C" w:rsidRPr="0068187C">
        <w:rPr>
          <w:rFonts w:asciiTheme="minorHAnsi" w:hAnsiTheme="minorHAnsi" w:cstheme="minorHAnsi"/>
          <w:sz w:val="24"/>
          <w:szCs w:val="24"/>
        </w:rPr>
        <w:t>the time value of money</w:t>
      </w:r>
      <w:r w:rsidR="0068187C">
        <w:rPr>
          <w:rFonts w:asciiTheme="minorHAnsi" w:hAnsiTheme="minorHAnsi" w:cstheme="minorHAnsi"/>
          <w:sz w:val="24"/>
          <w:szCs w:val="24"/>
        </w:rPr>
        <w:t>, or how the money earned in the future does not necessarily have the same value year after year</w:t>
      </w:r>
      <w:r w:rsidR="0068187C" w:rsidRPr="0068187C">
        <w:rPr>
          <w:rStyle w:val="Heading1Char"/>
          <w:rFonts w:asciiTheme="minorHAnsi" w:hAnsiTheme="minorHAnsi" w:cstheme="minorHAnsi"/>
          <w:sz w:val="24"/>
          <w:szCs w:val="24"/>
        </w:rPr>
        <w:t xml:space="preserve"> </w:t>
      </w:r>
      <w:sdt>
        <w:sdtPr>
          <w:rPr>
            <w:rStyle w:val="Heading1Char"/>
            <w:rFonts w:asciiTheme="minorHAnsi" w:hAnsiTheme="minorHAnsi" w:cstheme="minorHAnsi"/>
            <w:sz w:val="24"/>
            <w:szCs w:val="24"/>
          </w:rPr>
          <w:id w:val="278843050"/>
          <w:citation/>
        </w:sdtPr>
        <w:sdtContent>
          <w:r w:rsidR="0068187C">
            <w:rPr>
              <w:rStyle w:val="Heading1Char"/>
              <w:rFonts w:asciiTheme="minorHAnsi" w:hAnsiTheme="minorHAnsi" w:cstheme="minorHAnsi"/>
              <w:sz w:val="24"/>
              <w:szCs w:val="24"/>
            </w:rPr>
            <w:fldChar w:fldCharType="begin"/>
          </w:r>
          <w:r w:rsidR="0068187C">
            <w:rPr>
              <w:rStyle w:val="Heading1Char"/>
              <w:rFonts w:asciiTheme="minorHAnsi" w:hAnsiTheme="minorHAnsi" w:cstheme="minorHAnsi"/>
              <w:sz w:val="24"/>
              <w:szCs w:val="24"/>
            </w:rPr>
            <w:instrText xml:space="preserve"> CITATION Ave20 \l 2057 </w:instrText>
          </w:r>
          <w:r w:rsidR="0068187C">
            <w:rPr>
              <w:rStyle w:val="Heading1Char"/>
              <w:rFonts w:asciiTheme="minorHAnsi" w:hAnsiTheme="minorHAnsi" w:cstheme="minorHAnsi"/>
              <w:sz w:val="24"/>
              <w:szCs w:val="24"/>
            </w:rPr>
            <w:fldChar w:fldCharType="separate"/>
          </w:r>
          <w:r w:rsidR="0068187C" w:rsidRPr="00CB2B74">
            <w:rPr>
              <w:rFonts w:asciiTheme="minorHAnsi" w:eastAsiaTheme="majorEastAsia" w:hAnsiTheme="minorHAnsi" w:cstheme="minorHAnsi"/>
              <w:noProof/>
              <w:sz w:val="24"/>
              <w:szCs w:val="24"/>
            </w:rPr>
            <w:t>(Averkamp, 2020)</w:t>
          </w:r>
          <w:r w:rsidR="0068187C">
            <w:rPr>
              <w:rStyle w:val="Heading1Char"/>
              <w:rFonts w:asciiTheme="minorHAnsi" w:hAnsiTheme="minorHAnsi" w:cstheme="minorHAnsi"/>
              <w:sz w:val="24"/>
              <w:szCs w:val="24"/>
            </w:rPr>
            <w:fldChar w:fldCharType="end"/>
          </w:r>
        </w:sdtContent>
      </w:sdt>
      <w:r w:rsidR="0068187C">
        <w:rPr>
          <w:rFonts w:asciiTheme="minorHAnsi" w:hAnsiTheme="minorHAnsi" w:cstheme="minorHAnsi"/>
          <w:sz w:val="24"/>
          <w:szCs w:val="24"/>
        </w:rPr>
        <w:t>.  This only considers h</w:t>
      </w:r>
      <w:r w:rsidR="0068187C" w:rsidRPr="0068187C">
        <w:rPr>
          <w:rFonts w:asciiTheme="minorHAnsi" w:hAnsiTheme="minorHAnsi" w:cstheme="minorHAnsi"/>
          <w:sz w:val="24"/>
          <w:szCs w:val="24"/>
        </w:rPr>
        <w:t>ow long befor</w:t>
      </w:r>
      <w:r w:rsidR="0068187C">
        <w:rPr>
          <w:rFonts w:asciiTheme="minorHAnsi" w:hAnsiTheme="minorHAnsi" w:cstheme="minorHAnsi"/>
          <w:sz w:val="24"/>
          <w:szCs w:val="24"/>
        </w:rPr>
        <w:t xml:space="preserve">e the cash invested is returned, rather than how much it will be worth.  </w:t>
      </w:r>
    </w:p>
    <w:p w:rsidR="0068187C" w:rsidRDefault="0068187C" w:rsidP="0068187C">
      <w:pPr>
        <w:spacing w:line="360" w:lineRule="auto"/>
        <w:jc w:val="both"/>
        <w:rPr>
          <w:rFonts w:asciiTheme="minorHAnsi" w:hAnsiTheme="minorHAnsi" w:cstheme="minorHAnsi"/>
          <w:sz w:val="24"/>
          <w:szCs w:val="24"/>
        </w:rPr>
      </w:pPr>
    </w:p>
    <w:p w:rsidR="0068187C" w:rsidRDefault="00FD16EC" w:rsidP="0068187C">
      <w:pPr>
        <w:spacing w:line="360" w:lineRule="auto"/>
        <w:jc w:val="both"/>
        <w:rPr>
          <w:rFonts w:asciiTheme="minorHAnsi" w:eastAsiaTheme="majorEastAsia" w:hAnsiTheme="minorHAnsi" w:cstheme="minorHAnsi"/>
          <w:bCs/>
          <w:sz w:val="24"/>
          <w:szCs w:val="24"/>
        </w:rPr>
      </w:pPr>
      <w:r w:rsidRPr="00FD16EC">
        <w:rPr>
          <w:rFonts w:asciiTheme="minorHAnsi" w:eastAsiaTheme="majorEastAsia" w:hAnsiTheme="minorHAnsi" w:cstheme="minorHAnsi"/>
          <w:bCs/>
          <w:sz w:val="24"/>
          <w:szCs w:val="24"/>
        </w:rPr>
        <w:t xml:space="preserve">These methods are popular because they are relatively easy to calculate. One of the most popular methods is the Payback period, which looks at how many years before the initial expenditure is returned. This is easy to calculate but does not always take tax into consideration.  Because </w:t>
      </w:r>
      <w:r>
        <w:rPr>
          <w:rFonts w:asciiTheme="minorHAnsi" w:eastAsiaTheme="majorEastAsia" w:hAnsiTheme="minorHAnsi" w:cstheme="minorHAnsi"/>
          <w:bCs/>
          <w:sz w:val="24"/>
          <w:szCs w:val="24"/>
        </w:rPr>
        <w:t xml:space="preserve">of this, the payback period technique is more of a measure of liquidity </w:t>
      </w:r>
      <w:r w:rsidRPr="00FD16EC">
        <w:rPr>
          <w:rFonts w:asciiTheme="minorHAnsi" w:eastAsiaTheme="majorEastAsia" w:hAnsiTheme="minorHAnsi" w:cstheme="minorHAnsi"/>
          <w:bCs/>
          <w:sz w:val="24"/>
          <w:szCs w:val="24"/>
        </w:rPr>
        <w:t xml:space="preserve">than </w:t>
      </w:r>
      <w:r w:rsidR="0068187C" w:rsidRPr="00FD16EC">
        <w:rPr>
          <w:rFonts w:asciiTheme="minorHAnsi" w:eastAsiaTheme="majorEastAsia" w:hAnsiTheme="minorHAnsi" w:cstheme="minorHAnsi"/>
          <w:bCs/>
          <w:sz w:val="24"/>
          <w:szCs w:val="24"/>
        </w:rPr>
        <w:t>profitability</w:t>
      </w:r>
      <w:r>
        <w:rPr>
          <w:rFonts w:asciiTheme="minorHAnsi" w:eastAsiaTheme="majorEastAsia" w:hAnsiTheme="minorHAnsi" w:cstheme="minorHAnsi"/>
          <w:bCs/>
          <w:sz w:val="24"/>
          <w:szCs w:val="24"/>
        </w:rPr>
        <w:t xml:space="preserve"> (</w:t>
      </w:r>
      <w:proofErr w:type="spellStart"/>
      <w:r>
        <w:rPr>
          <w:rFonts w:ascii="Verdana" w:hAnsi="Verdana"/>
          <w:color w:val="000000"/>
          <w:shd w:val="clear" w:color="auto" w:fill="FFFFFF"/>
        </w:rPr>
        <w:t>OpenLearningWorld</w:t>
      </w:r>
      <w:proofErr w:type="spellEnd"/>
      <w:r>
        <w:rPr>
          <w:rFonts w:ascii="Verdana" w:hAnsi="Verdana"/>
          <w:color w:val="000000"/>
          <w:shd w:val="clear" w:color="auto" w:fill="FFFFFF"/>
        </w:rPr>
        <w:t>, 2011)</w:t>
      </w:r>
      <w:r w:rsidR="0068187C" w:rsidRPr="00FD16EC">
        <w:rPr>
          <w:rFonts w:asciiTheme="minorHAnsi" w:eastAsiaTheme="majorEastAsia" w:hAnsiTheme="minorHAnsi" w:cstheme="minorHAnsi"/>
          <w:bCs/>
          <w:sz w:val="24"/>
          <w:szCs w:val="24"/>
        </w:rPr>
        <w:t>.</w:t>
      </w:r>
    </w:p>
    <w:p w:rsidR="00FD16EC" w:rsidRDefault="00FD16EC" w:rsidP="0068187C">
      <w:pPr>
        <w:spacing w:line="360" w:lineRule="auto"/>
        <w:jc w:val="both"/>
        <w:rPr>
          <w:rFonts w:asciiTheme="minorHAnsi" w:eastAsiaTheme="majorEastAsia" w:hAnsiTheme="minorHAnsi" w:cstheme="minorHAnsi"/>
          <w:bCs/>
          <w:sz w:val="24"/>
          <w:szCs w:val="24"/>
        </w:rPr>
      </w:pPr>
    </w:p>
    <w:p w:rsidR="00FD16EC" w:rsidRPr="00FD16EC" w:rsidRDefault="00FD16EC" w:rsidP="0068187C">
      <w:pPr>
        <w:spacing w:line="360" w:lineRule="auto"/>
        <w:jc w:val="both"/>
        <w:rPr>
          <w:rFonts w:asciiTheme="minorHAnsi" w:eastAsiaTheme="majorEastAsia" w:hAnsiTheme="minorHAnsi" w:cstheme="minorHAnsi"/>
          <w:bCs/>
          <w:sz w:val="24"/>
          <w:szCs w:val="24"/>
        </w:rPr>
      </w:pPr>
      <w:r>
        <w:rPr>
          <w:rFonts w:asciiTheme="minorHAnsi" w:eastAsiaTheme="majorEastAsia" w:hAnsiTheme="minorHAnsi" w:cstheme="minorHAnsi"/>
          <w:bCs/>
          <w:sz w:val="24"/>
          <w:szCs w:val="24"/>
        </w:rPr>
        <w:t xml:space="preserve">When deciding on a project using the payback period method, the shorter the time to have the initial expenditure returned, the more desirable the project.  Projects with long payback periods are usually involved in long-range planning. </w:t>
      </w:r>
    </w:p>
    <w:p w:rsidR="0068187C" w:rsidRPr="0068187C" w:rsidRDefault="0068187C" w:rsidP="0068187C">
      <w:pPr>
        <w:spacing w:line="360" w:lineRule="auto"/>
        <w:jc w:val="both"/>
        <w:rPr>
          <w:rFonts w:asciiTheme="minorHAnsi" w:eastAsiaTheme="majorEastAsia" w:hAnsiTheme="minorHAnsi" w:cstheme="minorHAnsi"/>
          <w:b/>
          <w:bCs/>
          <w:sz w:val="24"/>
          <w:szCs w:val="24"/>
        </w:rPr>
      </w:pPr>
    </w:p>
    <w:p w:rsidR="0068187C" w:rsidRPr="00FD16EC" w:rsidRDefault="0068187C" w:rsidP="00FD16EC">
      <w:pPr>
        <w:spacing w:line="360" w:lineRule="auto"/>
        <w:jc w:val="both"/>
        <w:rPr>
          <w:rFonts w:asciiTheme="minorHAnsi" w:eastAsiaTheme="majorEastAsia" w:hAnsiTheme="minorHAnsi" w:cstheme="minorHAnsi"/>
          <w:b/>
          <w:bCs/>
          <w:sz w:val="24"/>
          <w:szCs w:val="24"/>
        </w:rPr>
      </w:pPr>
    </w:p>
    <w:p w:rsidR="005D367A" w:rsidRPr="00194C64" w:rsidRDefault="005D367A" w:rsidP="003C025E">
      <w:pPr>
        <w:spacing w:line="360" w:lineRule="auto"/>
        <w:rPr>
          <w:rFonts w:asciiTheme="minorHAnsi" w:hAnsiTheme="minorHAnsi" w:cstheme="minorHAnsi"/>
          <w:color w:val="FF0000"/>
          <w:sz w:val="24"/>
          <w:szCs w:val="24"/>
        </w:rPr>
      </w:pPr>
    </w:p>
    <w:p w:rsidR="003C025E" w:rsidRPr="00194C64" w:rsidRDefault="003C025E" w:rsidP="003C025E">
      <w:pPr>
        <w:pStyle w:val="Heading2"/>
        <w:spacing w:line="360" w:lineRule="auto"/>
        <w:rPr>
          <w:rFonts w:asciiTheme="minorHAnsi" w:hAnsiTheme="minorHAnsi" w:cstheme="minorHAnsi"/>
          <w:sz w:val="24"/>
          <w:szCs w:val="24"/>
        </w:rPr>
      </w:pPr>
      <w:bookmarkStart w:id="25" w:name="_Toc42082625"/>
      <w:r w:rsidRPr="00194C64">
        <w:rPr>
          <w:rFonts w:asciiTheme="minorHAnsi" w:hAnsiTheme="minorHAnsi" w:cstheme="minorHAnsi"/>
          <w:sz w:val="24"/>
          <w:szCs w:val="24"/>
        </w:rPr>
        <w:t>Important factors</w:t>
      </w:r>
      <w:bookmarkEnd w:id="25"/>
      <w:r w:rsidRPr="00194C64">
        <w:rPr>
          <w:rFonts w:asciiTheme="minorHAnsi" w:hAnsiTheme="minorHAnsi" w:cstheme="minorHAnsi"/>
          <w:sz w:val="24"/>
          <w:szCs w:val="24"/>
        </w:rPr>
        <w:t xml:space="preserve"> </w:t>
      </w:r>
    </w:p>
    <w:p w:rsidR="003C025E" w:rsidRDefault="003C025E" w:rsidP="003C025E">
      <w:pPr>
        <w:spacing w:line="360" w:lineRule="auto"/>
        <w:rPr>
          <w:rFonts w:asciiTheme="minorHAnsi" w:hAnsiTheme="minorHAnsi" w:cstheme="minorHAnsi"/>
          <w:color w:val="FF0000"/>
          <w:sz w:val="24"/>
          <w:szCs w:val="24"/>
        </w:rPr>
      </w:pPr>
    </w:p>
    <w:p w:rsidR="000B54B8" w:rsidRDefault="00FD16EC" w:rsidP="000B54B8">
      <w:pPr>
        <w:spacing w:line="360" w:lineRule="auto"/>
        <w:jc w:val="both"/>
        <w:rPr>
          <w:rStyle w:val="Heading1Char"/>
          <w:rFonts w:asciiTheme="minorHAnsi" w:hAnsiTheme="minorHAnsi" w:cstheme="minorHAnsi"/>
          <w:b w:val="0"/>
          <w:sz w:val="24"/>
          <w:szCs w:val="24"/>
        </w:rPr>
      </w:pPr>
      <w:r w:rsidRPr="00FD16EC">
        <w:rPr>
          <w:rFonts w:asciiTheme="minorHAnsi" w:hAnsiTheme="minorHAnsi" w:cstheme="minorHAnsi"/>
          <w:sz w:val="24"/>
          <w:szCs w:val="24"/>
        </w:rPr>
        <w:t xml:space="preserve">There are other factors that </w:t>
      </w:r>
      <w:r w:rsidR="003C025E" w:rsidRPr="00FD16EC">
        <w:rPr>
          <w:rFonts w:asciiTheme="minorHAnsi" w:hAnsiTheme="minorHAnsi" w:cstheme="minorHAnsi"/>
          <w:sz w:val="24"/>
          <w:szCs w:val="24"/>
        </w:rPr>
        <w:t>should be considered before an investment decision is made.</w:t>
      </w:r>
      <w:r>
        <w:rPr>
          <w:rFonts w:asciiTheme="minorHAnsi" w:hAnsiTheme="minorHAnsi" w:cstheme="minorHAnsi"/>
          <w:sz w:val="24"/>
          <w:szCs w:val="24"/>
        </w:rPr>
        <w:t xml:space="preserve"> These include </w:t>
      </w:r>
      <w:r w:rsidR="000B54B8">
        <w:rPr>
          <w:rFonts w:asciiTheme="minorHAnsi" w:hAnsiTheme="minorHAnsi" w:cstheme="minorHAnsi"/>
          <w:sz w:val="24"/>
          <w:szCs w:val="24"/>
        </w:rPr>
        <w:t xml:space="preserve">interest rates on borrowing, economic growth, depreciation, and inflation </w:t>
      </w:r>
      <w:sdt>
        <w:sdtPr>
          <w:rPr>
            <w:rStyle w:val="Heading1Char"/>
            <w:rFonts w:asciiTheme="minorHAnsi" w:hAnsiTheme="minorHAnsi" w:cstheme="minorHAnsi"/>
            <w:sz w:val="24"/>
            <w:szCs w:val="24"/>
          </w:rPr>
          <w:id w:val="-707336051"/>
          <w:citation/>
        </w:sdtPr>
        <w:sdtContent>
          <w:r w:rsidR="000B54B8">
            <w:rPr>
              <w:rStyle w:val="Heading1Char"/>
              <w:rFonts w:asciiTheme="minorHAnsi" w:hAnsiTheme="minorHAnsi" w:cstheme="minorHAnsi"/>
              <w:sz w:val="24"/>
              <w:szCs w:val="24"/>
            </w:rPr>
            <w:fldChar w:fldCharType="begin"/>
          </w:r>
          <w:r w:rsidR="000B54B8">
            <w:rPr>
              <w:rStyle w:val="Heading1Char"/>
              <w:rFonts w:asciiTheme="minorHAnsi" w:hAnsiTheme="minorHAnsi" w:cstheme="minorHAnsi"/>
              <w:sz w:val="24"/>
              <w:szCs w:val="24"/>
            </w:rPr>
            <w:instrText xml:space="preserve"> CITATION Pet19 \l 2057 </w:instrText>
          </w:r>
          <w:r w:rsidR="000B54B8">
            <w:rPr>
              <w:rStyle w:val="Heading1Char"/>
              <w:rFonts w:asciiTheme="minorHAnsi" w:hAnsiTheme="minorHAnsi" w:cstheme="minorHAnsi"/>
              <w:sz w:val="24"/>
              <w:szCs w:val="24"/>
            </w:rPr>
            <w:fldChar w:fldCharType="separate"/>
          </w:r>
          <w:r w:rsidR="000B54B8" w:rsidRPr="007A45DD">
            <w:rPr>
              <w:rFonts w:asciiTheme="minorHAnsi" w:eastAsiaTheme="majorEastAsia" w:hAnsiTheme="minorHAnsi" w:cstheme="minorHAnsi"/>
              <w:noProof/>
              <w:sz w:val="24"/>
              <w:szCs w:val="24"/>
            </w:rPr>
            <w:t>(Pettinger, 2019)</w:t>
          </w:r>
          <w:r w:rsidR="000B54B8">
            <w:rPr>
              <w:rStyle w:val="Heading1Char"/>
              <w:rFonts w:asciiTheme="minorHAnsi" w:hAnsiTheme="minorHAnsi" w:cstheme="minorHAnsi"/>
              <w:sz w:val="24"/>
              <w:szCs w:val="24"/>
            </w:rPr>
            <w:fldChar w:fldCharType="end"/>
          </w:r>
        </w:sdtContent>
      </w:sdt>
      <w:r w:rsidR="000B54B8">
        <w:rPr>
          <w:rStyle w:val="Heading1Char"/>
          <w:rFonts w:asciiTheme="minorHAnsi" w:hAnsiTheme="minorHAnsi" w:cstheme="minorHAnsi"/>
          <w:sz w:val="24"/>
          <w:szCs w:val="24"/>
        </w:rPr>
        <w:t xml:space="preserve">. </w:t>
      </w:r>
      <w:r w:rsidR="000B54B8" w:rsidRPr="000B54B8">
        <w:rPr>
          <w:rStyle w:val="Heading1Char"/>
          <w:rFonts w:asciiTheme="minorHAnsi" w:hAnsiTheme="minorHAnsi" w:cstheme="minorHAnsi"/>
          <w:b w:val="0"/>
          <w:sz w:val="24"/>
          <w:szCs w:val="24"/>
        </w:rPr>
        <w:t>These are all economic factors</w:t>
      </w:r>
      <w:r w:rsidR="000B54B8">
        <w:rPr>
          <w:rStyle w:val="Heading1Char"/>
          <w:rFonts w:asciiTheme="minorHAnsi" w:hAnsiTheme="minorHAnsi" w:cstheme="minorHAnsi"/>
          <w:b w:val="0"/>
          <w:sz w:val="24"/>
          <w:szCs w:val="24"/>
        </w:rPr>
        <w:t xml:space="preserve"> that need to be considered when deciding to invest in a business growth option because these could make a different when calculating projected finances.  </w:t>
      </w:r>
    </w:p>
    <w:p w:rsidR="000B54B8" w:rsidRDefault="000B54B8" w:rsidP="000B54B8">
      <w:pPr>
        <w:spacing w:line="360" w:lineRule="auto"/>
        <w:jc w:val="both"/>
        <w:rPr>
          <w:rStyle w:val="Heading1Char"/>
          <w:rFonts w:asciiTheme="minorHAnsi" w:hAnsiTheme="minorHAnsi" w:cstheme="minorHAnsi"/>
          <w:b w:val="0"/>
          <w:sz w:val="24"/>
          <w:szCs w:val="24"/>
        </w:rPr>
      </w:pPr>
    </w:p>
    <w:p w:rsidR="000B54B8" w:rsidRPr="009A7089" w:rsidRDefault="000B54B8" w:rsidP="009A7089">
      <w:pPr>
        <w:spacing w:line="360" w:lineRule="auto"/>
        <w:rPr>
          <w:rStyle w:val="Heading1Char"/>
          <w:rFonts w:asciiTheme="minorHAnsi" w:hAnsiTheme="minorHAnsi" w:cstheme="minorHAnsi"/>
          <w:sz w:val="24"/>
          <w:szCs w:val="24"/>
        </w:rPr>
      </w:pPr>
      <w:bookmarkStart w:id="26" w:name="_Toc42082626"/>
      <w:r w:rsidRPr="009A7089">
        <w:rPr>
          <w:rStyle w:val="Heading1Char"/>
          <w:rFonts w:asciiTheme="minorHAnsi" w:hAnsiTheme="minorHAnsi" w:cstheme="minorHAnsi"/>
          <w:b w:val="0"/>
          <w:sz w:val="24"/>
          <w:szCs w:val="24"/>
        </w:rPr>
        <w:lastRenderedPageBreak/>
        <w:t xml:space="preserve">Other important factors are non-economic factors.  These can include meeting legislation requirements, matching industry standards and good practice, improving relationships with customers, suppliers, and the local community, improving the reputation of the company, strengthening management systems and anticipating and dealing with future threats </w:t>
      </w:r>
      <w:sdt>
        <w:sdtPr>
          <w:rPr>
            <w:rStyle w:val="Heading1Char"/>
            <w:rFonts w:asciiTheme="minorHAnsi" w:hAnsiTheme="minorHAnsi" w:cstheme="minorHAnsi"/>
            <w:sz w:val="24"/>
            <w:szCs w:val="24"/>
          </w:rPr>
          <w:id w:val="1464083163"/>
          <w:citation/>
        </w:sdtPr>
        <w:sdtContent>
          <w:bookmarkEnd w:id="26"/>
          <w:r w:rsidRPr="009A7089">
            <w:rPr>
              <w:rStyle w:val="Heading1Char"/>
              <w:rFonts w:asciiTheme="minorHAnsi" w:hAnsiTheme="minorHAnsi" w:cstheme="minorHAnsi"/>
              <w:sz w:val="24"/>
              <w:szCs w:val="24"/>
            </w:rPr>
            <w:fldChar w:fldCharType="begin"/>
          </w:r>
          <w:r w:rsidRPr="009A7089">
            <w:rPr>
              <w:rStyle w:val="Heading1Char"/>
              <w:rFonts w:asciiTheme="minorHAnsi" w:hAnsiTheme="minorHAnsi" w:cstheme="minorHAnsi"/>
              <w:sz w:val="24"/>
              <w:szCs w:val="24"/>
            </w:rPr>
            <w:instrText xml:space="preserve"> CITATION NIB20 \l 2057 </w:instrText>
          </w:r>
          <w:r w:rsidRPr="009A7089">
            <w:rPr>
              <w:rStyle w:val="Heading1Char"/>
              <w:rFonts w:asciiTheme="minorHAnsi" w:hAnsiTheme="minorHAnsi" w:cstheme="minorHAnsi"/>
              <w:sz w:val="24"/>
              <w:szCs w:val="24"/>
            </w:rPr>
            <w:fldChar w:fldCharType="separate"/>
          </w:r>
          <w:r w:rsidRPr="009A7089">
            <w:rPr>
              <w:rFonts w:asciiTheme="minorHAnsi" w:eastAsiaTheme="majorEastAsia" w:hAnsiTheme="minorHAnsi" w:cstheme="minorHAnsi"/>
              <w:noProof/>
              <w:sz w:val="24"/>
              <w:szCs w:val="24"/>
            </w:rPr>
            <w:t>(NI Business Info, 2020)</w:t>
          </w:r>
          <w:r w:rsidRPr="009A7089">
            <w:rPr>
              <w:rStyle w:val="Heading1Char"/>
              <w:rFonts w:asciiTheme="minorHAnsi" w:hAnsiTheme="minorHAnsi" w:cstheme="minorHAnsi"/>
              <w:sz w:val="24"/>
              <w:szCs w:val="24"/>
            </w:rPr>
            <w:fldChar w:fldCharType="end"/>
          </w:r>
        </w:sdtContent>
      </w:sdt>
      <w:r w:rsidRPr="009A7089">
        <w:rPr>
          <w:rStyle w:val="Heading1Char"/>
          <w:rFonts w:asciiTheme="minorHAnsi" w:hAnsiTheme="minorHAnsi" w:cstheme="minorHAnsi"/>
          <w:sz w:val="24"/>
          <w:szCs w:val="24"/>
        </w:rPr>
        <w:t xml:space="preserve">. </w:t>
      </w:r>
    </w:p>
    <w:p w:rsidR="000B54B8" w:rsidRDefault="000B54B8" w:rsidP="000B54B8">
      <w:pPr>
        <w:spacing w:line="360" w:lineRule="auto"/>
        <w:jc w:val="both"/>
        <w:rPr>
          <w:rStyle w:val="Heading1Char"/>
          <w:rFonts w:asciiTheme="minorHAnsi" w:hAnsiTheme="minorHAnsi" w:cstheme="minorHAnsi"/>
          <w:sz w:val="24"/>
          <w:szCs w:val="24"/>
        </w:rPr>
      </w:pPr>
    </w:p>
    <w:p w:rsidR="000B54B8" w:rsidRPr="000B54B8" w:rsidRDefault="000B54B8" w:rsidP="009A7089">
      <w:pPr>
        <w:pStyle w:val="NoSpacing"/>
        <w:spacing w:line="360" w:lineRule="auto"/>
        <w:rPr>
          <w:rStyle w:val="Heading1Char"/>
          <w:rFonts w:cstheme="minorHAnsi"/>
          <w:b w:val="0"/>
          <w:sz w:val="24"/>
          <w:szCs w:val="24"/>
        </w:rPr>
      </w:pPr>
      <w:bookmarkStart w:id="27" w:name="_Toc42082627"/>
      <w:r w:rsidRPr="000B54B8">
        <w:rPr>
          <w:rStyle w:val="Heading1Char"/>
          <w:rFonts w:cstheme="minorHAnsi"/>
          <w:b w:val="0"/>
          <w:sz w:val="24"/>
          <w:szCs w:val="24"/>
        </w:rPr>
        <w:t xml:space="preserve">For Jefferson Plc. they need to consider </w:t>
      </w:r>
      <w:r>
        <w:rPr>
          <w:rStyle w:val="Heading1Char"/>
          <w:rFonts w:cstheme="minorHAnsi"/>
          <w:b w:val="0"/>
          <w:sz w:val="24"/>
          <w:szCs w:val="24"/>
        </w:rPr>
        <w:t xml:space="preserve">the </w:t>
      </w:r>
      <w:r w:rsidR="00877F73">
        <w:rPr>
          <w:rStyle w:val="Heading1Char"/>
          <w:rFonts w:cstheme="minorHAnsi"/>
          <w:b w:val="0"/>
          <w:sz w:val="24"/>
          <w:szCs w:val="24"/>
        </w:rPr>
        <w:t xml:space="preserve">environmental factors of developing an online shop.  This is because the energy and carbon footprint of using an increased </w:t>
      </w:r>
      <w:proofErr w:type="gramStart"/>
      <w:r w:rsidR="00877F73">
        <w:rPr>
          <w:rStyle w:val="Heading1Char"/>
          <w:rFonts w:cstheme="minorHAnsi"/>
          <w:b w:val="0"/>
          <w:sz w:val="24"/>
          <w:szCs w:val="24"/>
        </w:rPr>
        <w:t>amount</w:t>
      </w:r>
      <w:proofErr w:type="gramEnd"/>
      <w:r w:rsidR="00877F73">
        <w:rPr>
          <w:rStyle w:val="Heading1Char"/>
          <w:rFonts w:cstheme="minorHAnsi"/>
          <w:b w:val="0"/>
          <w:sz w:val="24"/>
          <w:szCs w:val="24"/>
        </w:rPr>
        <w:t xml:space="preserve"> of computers to deal with online shopping could harm their reputation as an environmentally friendly garden furniture company.  They also need to consider the cost of hiring new staff to deal with </w:t>
      </w:r>
      <w:r w:rsidR="007D5853">
        <w:rPr>
          <w:rStyle w:val="Heading1Char"/>
          <w:rFonts w:cstheme="minorHAnsi"/>
          <w:b w:val="0"/>
          <w:sz w:val="24"/>
          <w:szCs w:val="24"/>
        </w:rPr>
        <w:t>ecommerce or</w:t>
      </w:r>
      <w:r w:rsidR="00877F73">
        <w:rPr>
          <w:rStyle w:val="Heading1Char"/>
          <w:rFonts w:cstheme="minorHAnsi"/>
          <w:b w:val="0"/>
          <w:sz w:val="24"/>
          <w:szCs w:val="24"/>
        </w:rPr>
        <w:t xml:space="preserve"> training up staff to deal with the digital side of the business.</w:t>
      </w:r>
      <w:bookmarkEnd w:id="27"/>
      <w:r w:rsidR="00877F73">
        <w:rPr>
          <w:rStyle w:val="Heading1Char"/>
          <w:rFonts w:cstheme="minorHAnsi"/>
          <w:b w:val="0"/>
          <w:sz w:val="24"/>
          <w:szCs w:val="24"/>
        </w:rPr>
        <w:t xml:space="preserve">  </w:t>
      </w:r>
    </w:p>
    <w:p w:rsidR="000B54B8" w:rsidRDefault="000B54B8" w:rsidP="009A7089">
      <w:pPr>
        <w:pStyle w:val="NoSpacing"/>
        <w:spacing w:line="360" w:lineRule="auto"/>
        <w:rPr>
          <w:rStyle w:val="Heading1Char"/>
          <w:rFonts w:cstheme="minorHAnsi"/>
          <w:sz w:val="24"/>
          <w:szCs w:val="24"/>
        </w:rPr>
      </w:pPr>
    </w:p>
    <w:p w:rsidR="003C025E" w:rsidRPr="00194C64" w:rsidRDefault="003C025E" w:rsidP="009A7089">
      <w:pPr>
        <w:pStyle w:val="NoSpacing"/>
        <w:spacing w:line="360" w:lineRule="auto"/>
        <w:rPr>
          <w:color w:val="7030A0"/>
        </w:rPr>
      </w:pPr>
    </w:p>
    <w:p w:rsidR="003C025E" w:rsidRPr="00194C64" w:rsidRDefault="003C025E" w:rsidP="009A7089">
      <w:pPr>
        <w:pStyle w:val="NoSpacing"/>
        <w:spacing w:line="360" w:lineRule="auto"/>
        <w:rPr>
          <w:color w:val="7030A0"/>
        </w:rPr>
      </w:pPr>
    </w:p>
    <w:p w:rsidR="003C025E" w:rsidRPr="00194C64" w:rsidRDefault="003C025E" w:rsidP="003C025E">
      <w:pPr>
        <w:pStyle w:val="Heading1"/>
        <w:spacing w:line="360" w:lineRule="auto"/>
        <w:rPr>
          <w:rFonts w:cstheme="minorHAnsi"/>
          <w:sz w:val="24"/>
          <w:szCs w:val="24"/>
        </w:rPr>
      </w:pPr>
      <w:bookmarkStart w:id="28" w:name="_Toc42082628"/>
      <w:r w:rsidRPr="00194C64">
        <w:rPr>
          <w:rFonts w:cstheme="minorHAnsi"/>
          <w:sz w:val="24"/>
          <w:szCs w:val="24"/>
        </w:rPr>
        <w:t>Proposed Investment</w:t>
      </w:r>
      <w:bookmarkEnd w:id="28"/>
      <w:r w:rsidRPr="00194C64">
        <w:rPr>
          <w:rFonts w:cstheme="minorHAnsi"/>
          <w:sz w:val="24"/>
          <w:szCs w:val="24"/>
        </w:rPr>
        <w:t xml:space="preserve"> </w:t>
      </w:r>
    </w:p>
    <w:p w:rsidR="00877F73" w:rsidRDefault="003C025E" w:rsidP="00877F73">
      <w:pPr>
        <w:spacing w:line="360" w:lineRule="auto"/>
        <w:rPr>
          <w:rFonts w:asciiTheme="minorHAnsi" w:hAnsiTheme="minorHAnsi" w:cstheme="minorHAnsi"/>
          <w:sz w:val="24"/>
          <w:szCs w:val="24"/>
        </w:rPr>
      </w:pPr>
      <w:r w:rsidRPr="00877F73">
        <w:rPr>
          <w:rFonts w:asciiTheme="minorHAnsi" w:hAnsiTheme="minorHAnsi" w:cstheme="minorHAnsi"/>
          <w:sz w:val="24"/>
          <w:szCs w:val="24"/>
        </w:rPr>
        <w:t xml:space="preserve">In conclusion, </w:t>
      </w:r>
      <w:r w:rsidR="00877F73" w:rsidRPr="00877F73">
        <w:rPr>
          <w:rFonts w:asciiTheme="minorHAnsi" w:hAnsiTheme="minorHAnsi" w:cstheme="minorHAnsi"/>
          <w:sz w:val="24"/>
          <w:szCs w:val="24"/>
        </w:rPr>
        <w:t xml:space="preserve">the advice to the </w:t>
      </w:r>
      <w:r w:rsidRPr="00877F73">
        <w:rPr>
          <w:rFonts w:asciiTheme="minorHAnsi" w:hAnsiTheme="minorHAnsi" w:cstheme="minorHAnsi"/>
          <w:sz w:val="24"/>
          <w:szCs w:val="24"/>
        </w:rPr>
        <w:t>Board of J</w:t>
      </w:r>
      <w:r w:rsidR="00877F73" w:rsidRPr="00877F73">
        <w:rPr>
          <w:rFonts w:asciiTheme="minorHAnsi" w:hAnsiTheme="minorHAnsi" w:cstheme="minorHAnsi"/>
          <w:sz w:val="24"/>
          <w:szCs w:val="24"/>
        </w:rPr>
        <w:t>efferson</w:t>
      </w:r>
      <w:r w:rsidRPr="00877F73">
        <w:rPr>
          <w:rFonts w:asciiTheme="minorHAnsi" w:hAnsiTheme="minorHAnsi" w:cstheme="minorHAnsi"/>
          <w:sz w:val="24"/>
          <w:szCs w:val="24"/>
        </w:rPr>
        <w:t xml:space="preserve"> plc</w:t>
      </w:r>
      <w:r w:rsidR="00877F73" w:rsidRPr="00877F73">
        <w:rPr>
          <w:rFonts w:asciiTheme="minorHAnsi" w:hAnsiTheme="minorHAnsi" w:cstheme="minorHAnsi"/>
          <w:sz w:val="24"/>
          <w:szCs w:val="24"/>
        </w:rPr>
        <w:t xml:space="preserve"> is to develop the company by developing an online shop.  </w:t>
      </w:r>
      <w:r w:rsidRPr="00877F73">
        <w:rPr>
          <w:rFonts w:asciiTheme="minorHAnsi" w:hAnsiTheme="minorHAnsi" w:cstheme="minorHAnsi"/>
          <w:sz w:val="24"/>
          <w:szCs w:val="24"/>
        </w:rPr>
        <w:t xml:space="preserve"> </w:t>
      </w:r>
      <w:r w:rsidR="00877F73">
        <w:rPr>
          <w:rFonts w:asciiTheme="minorHAnsi" w:hAnsiTheme="minorHAnsi" w:cstheme="minorHAnsi"/>
          <w:sz w:val="24"/>
          <w:szCs w:val="24"/>
        </w:rPr>
        <w:t xml:space="preserve">This could be financed through bank loans or government grants.  The advantage of government funds is that eligible companies can get a grant without having to pay it back, but this is unlikely to cover the full amount, furthermore, there is strict criteria for eligibility. </w:t>
      </w:r>
    </w:p>
    <w:p w:rsidR="00877F73" w:rsidRDefault="00877F73" w:rsidP="00877F73">
      <w:pPr>
        <w:spacing w:line="360" w:lineRule="auto"/>
        <w:rPr>
          <w:rFonts w:asciiTheme="minorHAnsi" w:hAnsiTheme="minorHAnsi" w:cstheme="minorHAnsi"/>
          <w:sz w:val="24"/>
          <w:szCs w:val="24"/>
        </w:rPr>
      </w:pPr>
    </w:p>
    <w:p w:rsidR="00877F73" w:rsidRDefault="00877F73" w:rsidP="00877F73">
      <w:pPr>
        <w:spacing w:line="360" w:lineRule="auto"/>
        <w:rPr>
          <w:rFonts w:asciiTheme="minorHAnsi" w:hAnsiTheme="minorHAnsi" w:cstheme="minorHAnsi"/>
          <w:sz w:val="24"/>
          <w:szCs w:val="24"/>
        </w:rPr>
      </w:pPr>
      <w:r>
        <w:rPr>
          <w:rFonts w:asciiTheme="minorHAnsi" w:hAnsiTheme="minorHAnsi" w:cstheme="minorHAnsi"/>
          <w:sz w:val="24"/>
          <w:szCs w:val="24"/>
        </w:rPr>
        <w:t xml:space="preserve">A bank loan is more feasible, but the interests would have to be weighed up against the profit. A better financing option would be to use the company’s profits as an investment for growth. </w:t>
      </w:r>
    </w:p>
    <w:p w:rsidR="00877F73" w:rsidRDefault="00877F73" w:rsidP="00877F73">
      <w:pPr>
        <w:spacing w:line="360" w:lineRule="auto"/>
        <w:rPr>
          <w:rFonts w:asciiTheme="minorHAnsi" w:hAnsiTheme="minorHAnsi" w:cstheme="minorHAnsi"/>
          <w:sz w:val="24"/>
          <w:szCs w:val="24"/>
        </w:rPr>
      </w:pPr>
    </w:p>
    <w:p w:rsidR="003C025E" w:rsidRPr="00194C64" w:rsidRDefault="003C025E" w:rsidP="003C025E">
      <w:pPr>
        <w:spacing w:line="360" w:lineRule="auto"/>
        <w:jc w:val="both"/>
        <w:rPr>
          <w:rFonts w:asciiTheme="minorHAnsi" w:hAnsiTheme="minorHAnsi" w:cstheme="minorHAnsi"/>
          <w:b/>
          <w:color w:val="7030A0"/>
          <w:sz w:val="24"/>
          <w:szCs w:val="24"/>
        </w:rPr>
      </w:pPr>
    </w:p>
    <w:p w:rsidR="003C025E" w:rsidRPr="00194C64" w:rsidRDefault="003C025E" w:rsidP="00877F73">
      <w:pPr>
        <w:spacing w:line="360" w:lineRule="auto"/>
        <w:jc w:val="both"/>
        <w:rPr>
          <w:rFonts w:asciiTheme="minorHAnsi" w:hAnsiTheme="minorHAnsi" w:cstheme="minorHAnsi"/>
          <w:color w:val="7030A0"/>
          <w:sz w:val="24"/>
          <w:szCs w:val="24"/>
        </w:rPr>
      </w:pPr>
      <w:r w:rsidRPr="00194C64">
        <w:rPr>
          <w:rFonts w:asciiTheme="minorHAnsi" w:hAnsiTheme="minorHAnsi" w:cstheme="minorHAnsi"/>
          <w:color w:val="7030A0"/>
          <w:sz w:val="24"/>
          <w:szCs w:val="24"/>
        </w:rPr>
        <w:tab/>
      </w:r>
      <w:r w:rsidRPr="00194C64">
        <w:rPr>
          <w:rFonts w:asciiTheme="minorHAnsi" w:hAnsiTheme="minorHAnsi" w:cstheme="minorHAnsi"/>
          <w:color w:val="7030A0"/>
          <w:sz w:val="24"/>
          <w:szCs w:val="24"/>
        </w:rPr>
        <w:tab/>
      </w:r>
      <w:r w:rsidRPr="00194C64">
        <w:rPr>
          <w:rFonts w:asciiTheme="minorHAnsi" w:hAnsiTheme="minorHAnsi" w:cstheme="minorHAnsi"/>
          <w:color w:val="7030A0"/>
          <w:sz w:val="24"/>
          <w:szCs w:val="24"/>
        </w:rPr>
        <w:tab/>
      </w:r>
      <w:r w:rsidRPr="00194C64">
        <w:rPr>
          <w:rFonts w:asciiTheme="minorHAnsi" w:hAnsiTheme="minorHAnsi" w:cstheme="minorHAnsi"/>
          <w:color w:val="7030A0"/>
          <w:sz w:val="24"/>
          <w:szCs w:val="24"/>
        </w:rPr>
        <w:tab/>
      </w:r>
      <w:r w:rsidRPr="00194C64">
        <w:rPr>
          <w:rFonts w:asciiTheme="minorHAnsi" w:hAnsiTheme="minorHAnsi" w:cstheme="minorHAnsi"/>
          <w:color w:val="7030A0"/>
          <w:sz w:val="24"/>
          <w:szCs w:val="24"/>
        </w:rPr>
        <w:tab/>
      </w:r>
      <w:r w:rsidRPr="00194C64">
        <w:rPr>
          <w:rFonts w:asciiTheme="minorHAnsi" w:hAnsiTheme="minorHAnsi" w:cstheme="minorHAnsi"/>
          <w:color w:val="7030A0"/>
          <w:sz w:val="24"/>
          <w:szCs w:val="24"/>
        </w:rPr>
        <w:tab/>
      </w:r>
      <w:r w:rsidRPr="00194C64">
        <w:rPr>
          <w:rFonts w:asciiTheme="minorHAnsi" w:hAnsiTheme="minorHAnsi" w:cstheme="minorHAnsi"/>
          <w:color w:val="7030A0"/>
          <w:sz w:val="24"/>
          <w:szCs w:val="24"/>
        </w:rPr>
        <w:tab/>
      </w:r>
      <w:r w:rsidRPr="00194C64">
        <w:rPr>
          <w:rFonts w:asciiTheme="minorHAnsi" w:hAnsiTheme="minorHAnsi" w:cstheme="minorHAnsi"/>
          <w:color w:val="7030A0"/>
          <w:sz w:val="24"/>
          <w:szCs w:val="24"/>
        </w:rPr>
        <w:tab/>
      </w:r>
      <w:r w:rsidRPr="00194C64">
        <w:rPr>
          <w:rFonts w:asciiTheme="minorHAnsi" w:hAnsiTheme="minorHAnsi" w:cstheme="minorHAnsi"/>
          <w:color w:val="7030A0"/>
          <w:sz w:val="24"/>
          <w:szCs w:val="24"/>
        </w:rPr>
        <w:tab/>
      </w:r>
      <w:r w:rsidRPr="00194C64">
        <w:rPr>
          <w:rFonts w:asciiTheme="minorHAnsi" w:hAnsiTheme="minorHAnsi" w:cstheme="minorHAnsi"/>
          <w:color w:val="7030A0"/>
          <w:sz w:val="24"/>
          <w:szCs w:val="24"/>
        </w:rPr>
        <w:tab/>
      </w:r>
      <w:r w:rsidRPr="00194C64">
        <w:rPr>
          <w:rFonts w:asciiTheme="minorHAnsi" w:hAnsiTheme="minorHAnsi" w:cstheme="minorHAnsi"/>
          <w:color w:val="7030A0"/>
          <w:sz w:val="24"/>
          <w:szCs w:val="24"/>
        </w:rPr>
        <w:tab/>
      </w:r>
      <w:r w:rsidRPr="00194C64">
        <w:rPr>
          <w:rFonts w:asciiTheme="minorHAnsi" w:hAnsiTheme="minorHAnsi" w:cstheme="minorHAnsi"/>
          <w:color w:val="7030A0"/>
          <w:sz w:val="24"/>
          <w:szCs w:val="24"/>
        </w:rPr>
        <w:tab/>
        <w:t xml:space="preserve">       </w:t>
      </w:r>
    </w:p>
    <w:p w:rsidR="00877F73" w:rsidRDefault="00877F73">
      <w:pPr>
        <w:spacing w:after="160" w:line="259" w:lineRule="auto"/>
        <w:rPr>
          <w:rFonts w:asciiTheme="minorHAnsi" w:hAnsiTheme="minorHAnsi" w:cstheme="minorHAnsi"/>
          <w:color w:val="7030A0"/>
          <w:sz w:val="24"/>
          <w:szCs w:val="24"/>
        </w:rPr>
      </w:pPr>
      <w:r>
        <w:rPr>
          <w:rFonts w:asciiTheme="minorHAnsi" w:hAnsiTheme="minorHAnsi" w:cstheme="minorHAnsi"/>
          <w:color w:val="7030A0"/>
          <w:sz w:val="24"/>
          <w:szCs w:val="24"/>
        </w:rPr>
        <w:br w:type="page"/>
      </w:r>
    </w:p>
    <w:p w:rsidR="003C025E" w:rsidRPr="00194C64" w:rsidRDefault="00877F73" w:rsidP="00877F73">
      <w:pPr>
        <w:pStyle w:val="Heading1"/>
      </w:pPr>
      <w:bookmarkStart w:id="29" w:name="_Toc42082629"/>
      <w:r>
        <w:lastRenderedPageBreak/>
        <w:t>References</w:t>
      </w:r>
      <w:bookmarkEnd w:id="29"/>
      <w:r>
        <w:t xml:space="preserve"> </w:t>
      </w:r>
    </w:p>
    <w:p w:rsidR="00877F73" w:rsidRDefault="00877F73" w:rsidP="00877F73">
      <w:pPr>
        <w:pStyle w:val="Bibliography"/>
        <w:rPr>
          <w:rFonts w:asciiTheme="minorHAnsi" w:hAnsiTheme="minorHAnsi" w:cstheme="minorHAnsi"/>
          <w:noProof/>
          <w:sz w:val="24"/>
          <w:szCs w:val="24"/>
        </w:rPr>
      </w:pPr>
      <w:r w:rsidRPr="00877F73">
        <w:rPr>
          <w:rFonts w:asciiTheme="minorHAnsi" w:hAnsiTheme="minorHAnsi" w:cstheme="minorHAnsi"/>
          <w:noProof/>
          <w:sz w:val="24"/>
          <w:szCs w:val="24"/>
        </w:rPr>
        <w:t>Averkamp, H</w:t>
      </w:r>
      <w:r>
        <w:rPr>
          <w:rFonts w:asciiTheme="minorHAnsi" w:hAnsiTheme="minorHAnsi" w:cstheme="minorHAnsi"/>
          <w:noProof/>
          <w:sz w:val="24"/>
          <w:szCs w:val="24"/>
        </w:rPr>
        <w:t>. (2020)</w:t>
      </w:r>
      <w:r w:rsidRPr="00877F73">
        <w:rPr>
          <w:rFonts w:asciiTheme="minorHAnsi" w:hAnsiTheme="minorHAnsi" w:cstheme="minorHAnsi"/>
          <w:noProof/>
          <w:sz w:val="24"/>
          <w:szCs w:val="24"/>
        </w:rPr>
        <w:t xml:space="preserve"> </w:t>
      </w:r>
      <w:r w:rsidRPr="00877F73">
        <w:rPr>
          <w:rFonts w:asciiTheme="minorHAnsi" w:hAnsiTheme="minorHAnsi" w:cstheme="minorHAnsi"/>
          <w:i/>
          <w:iCs/>
          <w:noProof/>
          <w:sz w:val="24"/>
          <w:szCs w:val="24"/>
        </w:rPr>
        <w:t xml:space="preserve">What is a non-discount method in capital budgeting?. </w:t>
      </w:r>
      <w:r w:rsidRPr="00877F73">
        <w:rPr>
          <w:rFonts w:asciiTheme="minorHAnsi" w:hAnsiTheme="minorHAnsi" w:cstheme="minorHAnsi"/>
          <w:noProof/>
          <w:sz w:val="24"/>
          <w:szCs w:val="24"/>
        </w:rPr>
        <w:t xml:space="preserve">[Online] </w:t>
      </w:r>
      <w:r w:rsidRPr="00877F73">
        <w:rPr>
          <w:rFonts w:asciiTheme="minorHAnsi" w:hAnsiTheme="minorHAnsi" w:cstheme="minorHAnsi"/>
          <w:noProof/>
          <w:sz w:val="24"/>
          <w:szCs w:val="24"/>
        </w:rPr>
        <w:br/>
        <w:t xml:space="preserve">Available at: </w:t>
      </w:r>
      <w:r w:rsidRPr="00877F73">
        <w:rPr>
          <w:rFonts w:asciiTheme="minorHAnsi" w:hAnsiTheme="minorHAnsi" w:cstheme="minorHAnsi"/>
          <w:noProof/>
          <w:sz w:val="24"/>
          <w:szCs w:val="24"/>
          <w:u w:val="single"/>
        </w:rPr>
        <w:t>https://www.accountingcoach.com/blog/payback-nondiscounted-capital-budgeting</w:t>
      </w:r>
      <w:r w:rsidRPr="00877F73">
        <w:rPr>
          <w:rFonts w:asciiTheme="minorHAnsi" w:hAnsiTheme="minorHAnsi" w:cstheme="minorHAnsi"/>
          <w:noProof/>
          <w:sz w:val="24"/>
          <w:szCs w:val="24"/>
        </w:rPr>
        <w:br/>
        <w:t>[Accessed 28 May 2020].</w:t>
      </w:r>
    </w:p>
    <w:p w:rsidR="00877F73" w:rsidRPr="00877F73" w:rsidRDefault="00877F73" w:rsidP="00877F73"/>
    <w:p w:rsidR="00877F73" w:rsidRDefault="00877F73" w:rsidP="00877F73">
      <w:pPr>
        <w:pStyle w:val="Bibliography"/>
        <w:rPr>
          <w:rFonts w:asciiTheme="minorHAnsi" w:hAnsiTheme="minorHAnsi" w:cstheme="minorHAnsi"/>
          <w:noProof/>
          <w:sz w:val="24"/>
          <w:szCs w:val="24"/>
        </w:rPr>
      </w:pPr>
      <w:r w:rsidRPr="00877F73">
        <w:rPr>
          <w:rFonts w:asciiTheme="minorHAnsi" w:hAnsiTheme="minorHAnsi" w:cstheme="minorHAnsi"/>
          <w:noProof/>
          <w:sz w:val="24"/>
          <w:szCs w:val="24"/>
        </w:rPr>
        <w:t xml:space="preserve">Business Dictionary, </w:t>
      </w:r>
      <w:r>
        <w:rPr>
          <w:rFonts w:asciiTheme="minorHAnsi" w:hAnsiTheme="minorHAnsi" w:cstheme="minorHAnsi"/>
          <w:noProof/>
          <w:sz w:val="24"/>
          <w:szCs w:val="24"/>
        </w:rPr>
        <w:t>(2020)</w:t>
      </w:r>
      <w:r w:rsidRPr="00877F73">
        <w:rPr>
          <w:rFonts w:asciiTheme="minorHAnsi" w:hAnsiTheme="minorHAnsi" w:cstheme="minorHAnsi"/>
          <w:noProof/>
          <w:sz w:val="24"/>
          <w:szCs w:val="24"/>
        </w:rPr>
        <w:t xml:space="preserve"> </w:t>
      </w:r>
      <w:r w:rsidRPr="00877F73">
        <w:rPr>
          <w:rFonts w:asciiTheme="minorHAnsi" w:hAnsiTheme="minorHAnsi" w:cstheme="minorHAnsi"/>
          <w:i/>
          <w:iCs/>
          <w:noProof/>
          <w:sz w:val="24"/>
          <w:szCs w:val="24"/>
        </w:rPr>
        <w:t xml:space="preserve">Retail Outlet. </w:t>
      </w:r>
      <w:r w:rsidRPr="00877F73">
        <w:rPr>
          <w:rFonts w:asciiTheme="minorHAnsi" w:hAnsiTheme="minorHAnsi" w:cstheme="minorHAnsi"/>
          <w:noProof/>
          <w:sz w:val="24"/>
          <w:szCs w:val="24"/>
        </w:rPr>
        <w:t xml:space="preserve">[Online] </w:t>
      </w:r>
      <w:r w:rsidRPr="00877F73">
        <w:rPr>
          <w:rFonts w:asciiTheme="minorHAnsi" w:hAnsiTheme="minorHAnsi" w:cstheme="minorHAnsi"/>
          <w:noProof/>
          <w:sz w:val="24"/>
          <w:szCs w:val="24"/>
        </w:rPr>
        <w:br/>
        <w:t xml:space="preserve">Available at: </w:t>
      </w:r>
      <w:r w:rsidRPr="00877F73">
        <w:rPr>
          <w:rFonts w:asciiTheme="minorHAnsi" w:hAnsiTheme="minorHAnsi" w:cstheme="minorHAnsi"/>
          <w:noProof/>
          <w:sz w:val="24"/>
          <w:szCs w:val="24"/>
          <w:u w:val="single"/>
        </w:rPr>
        <w:t>http://www.businessdictionary.com/definition/retail-outlet.html</w:t>
      </w:r>
      <w:r w:rsidRPr="00877F73">
        <w:rPr>
          <w:rFonts w:asciiTheme="minorHAnsi" w:hAnsiTheme="minorHAnsi" w:cstheme="minorHAnsi"/>
          <w:noProof/>
          <w:sz w:val="24"/>
          <w:szCs w:val="24"/>
        </w:rPr>
        <w:br/>
        <w:t>[Accessed 13 May 2020].</w:t>
      </w:r>
    </w:p>
    <w:p w:rsidR="00877F73" w:rsidRPr="00877F73" w:rsidRDefault="00877F73" w:rsidP="00877F73"/>
    <w:p w:rsidR="00877F73" w:rsidRDefault="00877F73" w:rsidP="00877F73">
      <w:pPr>
        <w:pStyle w:val="Bibliography"/>
        <w:rPr>
          <w:rFonts w:asciiTheme="minorHAnsi" w:hAnsiTheme="minorHAnsi" w:cstheme="minorHAnsi"/>
          <w:noProof/>
          <w:sz w:val="24"/>
          <w:szCs w:val="24"/>
        </w:rPr>
      </w:pPr>
      <w:r>
        <w:rPr>
          <w:rFonts w:asciiTheme="minorHAnsi" w:hAnsiTheme="minorHAnsi" w:cstheme="minorHAnsi"/>
          <w:noProof/>
          <w:sz w:val="24"/>
          <w:szCs w:val="24"/>
        </w:rPr>
        <w:t>Hayes, A. &amp; Mansa, J.</w:t>
      </w:r>
      <w:r w:rsidRPr="00877F73">
        <w:rPr>
          <w:rFonts w:asciiTheme="minorHAnsi" w:hAnsiTheme="minorHAnsi" w:cstheme="minorHAnsi"/>
          <w:noProof/>
          <w:sz w:val="24"/>
          <w:szCs w:val="24"/>
        </w:rPr>
        <w:t xml:space="preserve"> </w:t>
      </w:r>
      <w:r>
        <w:rPr>
          <w:rFonts w:asciiTheme="minorHAnsi" w:hAnsiTheme="minorHAnsi" w:cstheme="minorHAnsi"/>
          <w:noProof/>
          <w:sz w:val="24"/>
          <w:szCs w:val="24"/>
        </w:rPr>
        <w:t>(2020</w:t>
      </w:r>
      <w:bookmarkStart w:id="30" w:name="_GoBack"/>
      <w:bookmarkEnd w:id="30"/>
      <w:r>
        <w:rPr>
          <w:rFonts w:asciiTheme="minorHAnsi" w:hAnsiTheme="minorHAnsi" w:cstheme="minorHAnsi"/>
          <w:noProof/>
          <w:sz w:val="24"/>
          <w:szCs w:val="24"/>
        </w:rPr>
        <w:t>)</w:t>
      </w:r>
      <w:r w:rsidRPr="00877F73">
        <w:rPr>
          <w:rFonts w:asciiTheme="minorHAnsi" w:hAnsiTheme="minorHAnsi" w:cstheme="minorHAnsi"/>
          <w:noProof/>
          <w:sz w:val="24"/>
          <w:szCs w:val="24"/>
        </w:rPr>
        <w:t xml:space="preserve">  </w:t>
      </w:r>
      <w:r w:rsidRPr="00877F73">
        <w:rPr>
          <w:rFonts w:asciiTheme="minorHAnsi" w:hAnsiTheme="minorHAnsi" w:cstheme="minorHAnsi"/>
          <w:i/>
          <w:iCs/>
          <w:noProof/>
          <w:sz w:val="24"/>
          <w:szCs w:val="24"/>
        </w:rPr>
        <w:t xml:space="preserve">Internal Rate of Return – IRR. </w:t>
      </w:r>
      <w:r w:rsidRPr="00877F73">
        <w:rPr>
          <w:rFonts w:asciiTheme="minorHAnsi" w:hAnsiTheme="minorHAnsi" w:cstheme="minorHAnsi"/>
          <w:noProof/>
          <w:sz w:val="24"/>
          <w:szCs w:val="24"/>
        </w:rPr>
        <w:t xml:space="preserve">[Online] </w:t>
      </w:r>
      <w:r w:rsidRPr="00877F73">
        <w:rPr>
          <w:rFonts w:asciiTheme="minorHAnsi" w:hAnsiTheme="minorHAnsi" w:cstheme="minorHAnsi"/>
          <w:noProof/>
          <w:sz w:val="24"/>
          <w:szCs w:val="24"/>
        </w:rPr>
        <w:br/>
        <w:t xml:space="preserve">Available at: </w:t>
      </w:r>
      <w:r w:rsidRPr="00877F73">
        <w:rPr>
          <w:rFonts w:asciiTheme="minorHAnsi" w:hAnsiTheme="minorHAnsi" w:cstheme="minorHAnsi"/>
          <w:noProof/>
          <w:sz w:val="24"/>
          <w:szCs w:val="24"/>
          <w:u w:val="single"/>
        </w:rPr>
        <w:t>https://www.investopedia.com/terms/i/irr.asp</w:t>
      </w:r>
      <w:r w:rsidRPr="00877F73">
        <w:rPr>
          <w:rFonts w:asciiTheme="minorHAnsi" w:hAnsiTheme="minorHAnsi" w:cstheme="minorHAnsi"/>
          <w:noProof/>
          <w:sz w:val="24"/>
          <w:szCs w:val="24"/>
        </w:rPr>
        <w:br/>
        <w:t>[Accessed 29 May 2020].</w:t>
      </w:r>
    </w:p>
    <w:p w:rsidR="00877F73" w:rsidRPr="00877F73" w:rsidRDefault="00877F73" w:rsidP="00877F73"/>
    <w:p w:rsidR="00877F73" w:rsidRDefault="00877F73" w:rsidP="00877F73">
      <w:pPr>
        <w:pStyle w:val="Bibliography"/>
        <w:rPr>
          <w:rFonts w:asciiTheme="minorHAnsi" w:hAnsiTheme="minorHAnsi" w:cstheme="minorHAnsi"/>
          <w:noProof/>
          <w:sz w:val="24"/>
          <w:szCs w:val="24"/>
        </w:rPr>
      </w:pPr>
      <w:r w:rsidRPr="00877F73">
        <w:rPr>
          <w:rFonts w:asciiTheme="minorHAnsi" w:hAnsiTheme="minorHAnsi" w:cstheme="minorHAnsi"/>
          <w:noProof/>
          <w:sz w:val="24"/>
          <w:szCs w:val="24"/>
        </w:rPr>
        <w:t xml:space="preserve">Key Logic, </w:t>
      </w:r>
      <w:r>
        <w:rPr>
          <w:rFonts w:asciiTheme="minorHAnsi" w:hAnsiTheme="minorHAnsi" w:cstheme="minorHAnsi"/>
          <w:noProof/>
          <w:sz w:val="24"/>
          <w:szCs w:val="24"/>
        </w:rPr>
        <w:t>(</w:t>
      </w:r>
      <w:r w:rsidRPr="00877F73">
        <w:rPr>
          <w:rFonts w:asciiTheme="minorHAnsi" w:hAnsiTheme="minorHAnsi" w:cstheme="minorHAnsi"/>
          <w:noProof/>
          <w:sz w:val="24"/>
          <w:szCs w:val="24"/>
        </w:rPr>
        <w:t>2013</w:t>
      </w:r>
      <w:r>
        <w:rPr>
          <w:rFonts w:asciiTheme="minorHAnsi" w:hAnsiTheme="minorHAnsi" w:cstheme="minorHAnsi"/>
          <w:noProof/>
          <w:sz w:val="24"/>
          <w:szCs w:val="24"/>
        </w:rPr>
        <w:t>)</w:t>
      </w:r>
      <w:r w:rsidRPr="00877F73">
        <w:rPr>
          <w:rFonts w:asciiTheme="minorHAnsi" w:hAnsiTheme="minorHAnsi" w:cstheme="minorHAnsi"/>
          <w:noProof/>
          <w:sz w:val="24"/>
          <w:szCs w:val="24"/>
        </w:rPr>
        <w:t xml:space="preserve"> </w:t>
      </w:r>
      <w:r w:rsidRPr="00877F73">
        <w:rPr>
          <w:rFonts w:asciiTheme="minorHAnsi" w:hAnsiTheme="minorHAnsi" w:cstheme="minorHAnsi"/>
          <w:i/>
          <w:iCs/>
          <w:noProof/>
          <w:sz w:val="24"/>
          <w:szCs w:val="24"/>
        </w:rPr>
        <w:t xml:space="preserve">Which financial evaluation technique, NPV or IRR, is better to use when selecting the best project among a number of mutually exclusive projects, and why?. </w:t>
      </w:r>
      <w:r w:rsidRPr="00877F73">
        <w:rPr>
          <w:rFonts w:asciiTheme="minorHAnsi" w:hAnsiTheme="minorHAnsi" w:cstheme="minorHAnsi"/>
          <w:noProof/>
          <w:sz w:val="24"/>
          <w:szCs w:val="24"/>
        </w:rPr>
        <w:t xml:space="preserve">[Online] </w:t>
      </w:r>
      <w:r w:rsidRPr="00877F73">
        <w:rPr>
          <w:rFonts w:asciiTheme="minorHAnsi" w:hAnsiTheme="minorHAnsi" w:cstheme="minorHAnsi"/>
          <w:noProof/>
          <w:sz w:val="24"/>
          <w:szCs w:val="24"/>
        </w:rPr>
        <w:br/>
        <w:t xml:space="preserve">Available at: </w:t>
      </w:r>
      <w:r w:rsidRPr="00877F73">
        <w:rPr>
          <w:rFonts w:asciiTheme="minorHAnsi" w:hAnsiTheme="minorHAnsi" w:cstheme="minorHAnsi"/>
          <w:noProof/>
          <w:sz w:val="24"/>
          <w:szCs w:val="24"/>
          <w:u w:val="single"/>
        </w:rPr>
        <w:t>http://www.keylogic.com/blog/blog/2013/08/27/which-financial-evaluation-technique-npv-or-irr-is-better-to-use-when-selecting-the-best-project-among-a-number-of-mutually-exclusive-projects-and-why-#:~:text=Net%20Present%20Value%20Method&amp;text=When%20NPV%20i</w:t>
      </w:r>
      <w:r w:rsidRPr="00877F73">
        <w:rPr>
          <w:rFonts w:asciiTheme="minorHAnsi" w:hAnsiTheme="minorHAnsi" w:cstheme="minorHAnsi"/>
          <w:noProof/>
          <w:sz w:val="24"/>
          <w:szCs w:val="24"/>
        </w:rPr>
        <w:br/>
        <w:t>[Accessed 28 May 2020].</w:t>
      </w:r>
    </w:p>
    <w:p w:rsidR="00877F73" w:rsidRPr="00877F73" w:rsidRDefault="00877F73" w:rsidP="00877F73"/>
    <w:p w:rsidR="00877F73" w:rsidRDefault="00877F73" w:rsidP="00877F73">
      <w:pPr>
        <w:pStyle w:val="Bibliography"/>
        <w:rPr>
          <w:rFonts w:asciiTheme="minorHAnsi" w:hAnsiTheme="minorHAnsi" w:cstheme="minorHAnsi"/>
          <w:noProof/>
          <w:sz w:val="24"/>
          <w:szCs w:val="24"/>
        </w:rPr>
      </w:pPr>
      <w:r>
        <w:rPr>
          <w:rFonts w:asciiTheme="minorHAnsi" w:hAnsiTheme="minorHAnsi" w:cstheme="minorHAnsi"/>
          <w:noProof/>
          <w:sz w:val="24"/>
          <w:szCs w:val="24"/>
        </w:rPr>
        <w:t>Marr, B.</w:t>
      </w:r>
      <w:r w:rsidRPr="00877F73">
        <w:rPr>
          <w:rFonts w:asciiTheme="minorHAnsi" w:hAnsiTheme="minorHAnsi" w:cstheme="minorHAnsi"/>
          <w:noProof/>
          <w:sz w:val="24"/>
          <w:szCs w:val="24"/>
        </w:rPr>
        <w:t xml:space="preserve"> </w:t>
      </w:r>
      <w:r>
        <w:rPr>
          <w:rFonts w:asciiTheme="minorHAnsi" w:hAnsiTheme="minorHAnsi" w:cstheme="minorHAnsi"/>
          <w:noProof/>
          <w:sz w:val="24"/>
          <w:szCs w:val="24"/>
        </w:rPr>
        <w:t>(2020)</w:t>
      </w:r>
      <w:r w:rsidRPr="00877F73">
        <w:rPr>
          <w:rFonts w:asciiTheme="minorHAnsi" w:hAnsiTheme="minorHAnsi" w:cstheme="minorHAnsi"/>
          <w:noProof/>
          <w:sz w:val="24"/>
          <w:szCs w:val="24"/>
        </w:rPr>
        <w:t xml:space="preserve">  Why Companies Turn to Digital Marketing to Survivie Covid-19. </w:t>
      </w:r>
      <w:r w:rsidRPr="00877F73">
        <w:rPr>
          <w:rFonts w:asciiTheme="minorHAnsi" w:hAnsiTheme="minorHAnsi" w:cstheme="minorHAnsi"/>
          <w:i/>
          <w:iCs/>
          <w:noProof/>
          <w:sz w:val="24"/>
          <w:szCs w:val="24"/>
        </w:rPr>
        <w:t>Forbes</w:t>
      </w:r>
      <w:r w:rsidRPr="00877F73">
        <w:rPr>
          <w:rFonts w:asciiTheme="minorHAnsi" w:hAnsiTheme="minorHAnsi" w:cstheme="minorHAnsi"/>
          <w:noProof/>
          <w:sz w:val="24"/>
          <w:szCs w:val="24"/>
        </w:rPr>
        <w:t>, 2020 March, pp. 1-4.</w:t>
      </w:r>
    </w:p>
    <w:p w:rsidR="009A7089" w:rsidRPr="009A7089" w:rsidRDefault="009A7089" w:rsidP="009A7089"/>
    <w:p w:rsidR="00877F73" w:rsidRDefault="00877F73" w:rsidP="00877F73">
      <w:pPr>
        <w:pStyle w:val="Bibliography"/>
        <w:rPr>
          <w:rFonts w:asciiTheme="minorHAnsi" w:hAnsiTheme="minorHAnsi" w:cstheme="minorHAnsi"/>
          <w:noProof/>
          <w:sz w:val="24"/>
          <w:szCs w:val="24"/>
        </w:rPr>
      </w:pPr>
      <w:r w:rsidRPr="00877F73">
        <w:rPr>
          <w:rFonts w:asciiTheme="minorHAnsi" w:hAnsiTheme="minorHAnsi" w:cstheme="minorHAnsi"/>
          <w:noProof/>
          <w:sz w:val="24"/>
          <w:szCs w:val="24"/>
        </w:rPr>
        <w:t xml:space="preserve">NI Business Info, </w:t>
      </w:r>
      <w:r w:rsidR="009A7089">
        <w:rPr>
          <w:rFonts w:asciiTheme="minorHAnsi" w:hAnsiTheme="minorHAnsi" w:cstheme="minorHAnsi"/>
          <w:noProof/>
          <w:sz w:val="24"/>
          <w:szCs w:val="24"/>
        </w:rPr>
        <w:t>(2020)</w:t>
      </w:r>
      <w:r w:rsidR="009A7089" w:rsidRPr="00877F73">
        <w:rPr>
          <w:rFonts w:asciiTheme="minorHAnsi" w:hAnsiTheme="minorHAnsi" w:cstheme="minorHAnsi"/>
          <w:noProof/>
          <w:sz w:val="24"/>
          <w:szCs w:val="24"/>
        </w:rPr>
        <w:t xml:space="preserve"> </w:t>
      </w:r>
      <w:r w:rsidRPr="00877F73">
        <w:rPr>
          <w:rFonts w:asciiTheme="minorHAnsi" w:hAnsiTheme="minorHAnsi" w:cstheme="minorHAnsi"/>
          <w:i/>
          <w:iCs/>
          <w:noProof/>
          <w:sz w:val="24"/>
          <w:szCs w:val="24"/>
        </w:rPr>
        <w:t xml:space="preserve">Investment appraisal techniques. </w:t>
      </w:r>
      <w:r w:rsidRPr="00877F73">
        <w:rPr>
          <w:rFonts w:asciiTheme="minorHAnsi" w:hAnsiTheme="minorHAnsi" w:cstheme="minorHAnsi"/>
          <w:noProof/>
          <w:sz w:val="24"/>
          <w:szCs w:val="24"/>
        </w:rPr>
        <w:t xml:space="preserve">[Online] </w:t>
      </w:r>
      <w:r w:rsidRPr="00877F73">
        <w:rPr>
          <w:rFonts w:asciiTheme="minorHAnsi" w:hAnsiTheme="minorHAnsi" w:cstheme="minorHAnsi"/>
          <w:noProof/>
          <w:sz w:val="24"/>
          <w:szCs w:val="24"/>
        </w:rPr>
        <w:br/>
        <w:t xml:space="preserve">Available at: </w:t>
      </w:r>
      <w:r w:rsidRPr="00877F73">
        <w:rPr>
          <w:rFonts w:asciiTheme="minorHAnsi" w:hAnsiTheme="minorHAnsi" w:cstheme="minorHAnsi"/>
          <w:noProof/>
          <w:sz w:val="24"/>
          <w:szCs w:val="24"/>
          <w:u w:val="single"/>
        </w:rPr>
        <w:t>https://www.nibusinessinfo.co.uk/content/non-financial-factors-investment-appraisal</w:t>
      </w:r>
      <w:r w:rsidRPr="00877F73">
        <w:rPr>
          <w:rFonts w:asciiTheme="minorHAnsi" w:hAnsiTheme="minorHAnsi" w:cstheme="minorHAnsi"/>
          <w:noProof/>
          <w:sz w:val="24"/>
          <w:szCs w:val="24"/>
        </w:rPr>
        <w:br/>
        <w:t>[Accessed 1 June 2020].</w:t>
      </w:r>
    </w:p>
    <w:p w:rsidR="009A7089" w:rsidRPr="009A7089" w:rsidRDefault="009A7089" w:rsidP="009A7089"/>
    <w:p w:rsidR="00877F73" w:rsidRDefault="009A7089" w:rsidP="00877F73">
      <w:pPr>
        <w:pStyle w:val="Bibliography"/>
        <w:rPr>
          <w:rFonts w:asciiTheme="minorHAnsi" w:hAnsiTheme="minorHAnsi" w:cstheme="minorHAnsi"/>
          <w:noProof/>
          <w:sz w:val="24"/>
          <w:szCs w:val="24"/>
        </w:rPr>
      </w:pPr>
      <w:r>
        <w:rPr>
          <w:rFonts w:asciiTheme="minorHAnsi" w:hAnsiTheme="minorHAnsi" w:cstheme="minorHAnsi"/>
          <w:noProof/>
          <w:sz w:val="24"/>
          <w:szCs w:val="24"/>
        </w:rPr>
        <w:t>OpenLearningWorld, (2011)</w:t>
      </w:r>
      <w:r w:rsidR="00877F73" w:rsidRPr="00877F73">
        <w:rPr>
          <w:rFonts w:asciiTheme="minorHAnsi" w:hAnsiTheme="minorHAnsi" w:cstheme="minorHAnsi"/>
          <w:noProof/>
          <w:sz w:val="24"/>
          <w:szCs w:val="24"/>
        </w:rPr>
        <w:t xml:space="preserve"> </w:t>
      </w:r>
      <w:r w:rsidR="00877F73" w:rsidRPr="00877F73">
        <w:rPr>
          <w:rFonts w:asciiTheme="minorHAnsi" w:hAnsiTheme="minorHAnsi" w:cstheme="minorHAnsi"/>
          <w:i/>
          <w:iCs/>
          <w:noProof/>
          <w:sz w:val="24"/>
          <w:szCs w:val="24"/>
        </w:rPr>
        <w:t xml:space="preserve">Investment Appraisal - Investment Appraisal - Investment Appraisal - Methods And Considerations - Non-discounting Methods. </w:t>
      </w:r>
      <w:r w:rsidR="00877F73" w:rsidRPr="00877F73">
        <w:rPr>
          <w:rFonts w:asciiTheme="minorHAnsi" w:hAnsiTheme="minorHAnsi" w:cstheme="minorHAnsi"/>
          <w:noProof/>
          <w:sz w:val="24"/>
          <w:szCs w:val="24"/>
        </w:rPr>
        <w:t xml:space="preserve">[Online] </w:t>
      </w:r>
      <w:r w:rsidR="00877F73" w:rsidRPr="00877F73">
        <w:rPr>
          <w:rFonts w:asciiTheme="minorHAnsi" w:hAnsiTheme="minorHAnsi" w:cstheme="minorHAnsi"/>
          <w:noProof/>
          <w:sz w:val="24"/>
          <w:szCs w:val="24"/>
        </w:rPr>
        <w:br/>
        <w:t xml:space="preserve">Available at: </w:t>
      </w:r>
      <w:r w:rsidR="00877F73" w:rsidRPr="00877F73">
        <w:rPr>
          <w:rFonts w:asciiTheme="minorHAnsi" w:hAnsiTheme="minorHAnsi" w:cstheme="minorHAnsi"/>
          <w:noProof/>
          <w:sz w:val="24"/>
          <w:szCs w:val="24"/>
          <w:u w:val="single"/>
        </w:rPr>
        <w:t>http://www.openlearningworld.com/books/Investment%20Appraisal/Investment%20Appraisal%20-%20Methods%20And%20Considerations/Non-discounting%20Methods.html</w:t>
      </w:r>
      <w:r w:rsidR="00877F73" w:rsidRPr="00877F73">
        <w:rPr>
          <w:rFonts w:asciiTheme="minorHAnsi" w:hAnsiTheme="minorHAnsi" w:cstheme="minorHAnsi"/>
          <w:noProof/>
          <w:sz w:val="24"/>
          <w:szCs w:val="24"/>
        </w:rPr>
        <w:br/>
        <w:t>[Accessed 28 May 2020].</w:t>
      </w:r>
    </w:p>
    <w:p w:rsidR="009A7089" w:rsidRPr="009A7089" w:rsidRDefault="009A7089" w:rsidP="009A7089"/>
    <w:p w:rsidR="00877F73" w:rsidRDefault="009A7089" w:rsidP="00877F73">
      <w:pPr>
        <w:pStyle w:val="Bibliography"/>
        <w:rPr>
          <w:rFonts w:asciiTheme="minorHAnsi" w:hAnsiTheme="minorHAnsi" w:cstheme="minorHAnsi"/>
          <w:noProof/>
          <w:sz w:val="24"/>
          <w:szCs w:val="24"/>
        </w:rPr>
      </w:pPr>
      <w:r>
        <w:rPr>
          <w:rFonts w:asciiTheme="minorHAnsi" w:hAnsiTheme="minorHAnsi" w:cstheme="minorHAnsi"/>
          <w:noProof/>
          <w:sz w:val="24"/>
          <w:szCs w:val="24"/>
        </w:rPr>
        <w:t>Pettinger, T. (2019)</w:t>
      </w:r>
      <w:r w:rsidR="00877F73" w:rsidRPr="00877F73">
        <w:rPr>
          <w:rFonts w:asciiTheme="minorHAnsi" w:hAnsiTheme="minorHAnsi" w:cstheme="minorHAnsi"/>
          <w:noProof/>
          <w:sz w:val="24"/>
          <w:szCs w:val="24"/>
        </w:rPr>
        <w:t xml:space="preserve"> </w:t>
      </w:r>
      <w:r w:rsidR="00877F73" w:rsidRPr="00877F73">
        <w:rPr>
          <w:rFonts w:asciiTheme="minorHAnsi" w:hAnsiTheme="minorHAnsi" w:cstheme="minorHAnsi"/>
          <w:i/>
          <w:iCs/>
          <w:noProof/>
          <w:sz w:val="24"/>
          <w:szCs w:val="24"/>
        </w:rPr>
        <w:t xml:space="preserve">Factors affecting investment. </w:t>
      </w:r>
      <w:r w:rsidR="00877F73" w:rsidRPr="00877F73">
        <w:rPr>
          <w:rFonts w:asciiTheme="minorHAnsi" w:hAnsiTheme="minorHAnsi" w:cstheme="minorHAnsi"/>
          <w:noProof/>
          <w:sz w:val="24"/>
          <w:szCs w:val="24"/>
        </w:rPr>
        <w:t xml:space="preserve">[Online] </w:t>
      </w:r>
      <w:r w:rsidR="00877F73" w:rsidRPr="00877F73">
        <w:rPr>
          <w:rFonts w:asciiTheme="minorHAnsi" w:hAnsiTheme="minorHAnsi" w:cstheme="minorHAnsi"/>
          <w:noProof/>
          <w:sz w:val="24"/>
          <w:szCs w:val="24"/>
        </w:rPr>
        <w:br/>
        <w:t xml:space="preserve">Available at: </w:t>
      </w:r>
      <w:r w:rsidR="00877F73" w:rsidRPr="00877F73">
        <w:rPr>
          <w:rFonts w:asciiTheme="minorHAnsi" w:hAnsiTheme="minorHAnsi" w:cstheme="minorHAnsi"/>
          <w:noProof/>
          <w:sz w:val="24"/>
          <w:szCs w:val="24"/>
          <w:u w:val="single"/>
        </w:rPr>
        <w:t>https://www.economicshelp.org/blog/136672/economics/factors-affecting-investment/</w:t>
      </w:r>
      <w:r w:rsidR="00877F73" w:rsidRPr="00877F73">
        <w:rPr>
          <w:rFonts w:asciiTheme="minorHAnsi" w:hAnsiTheme="minorHAnsi" w:cstheme="minorHAnsi"/>
          <w:noProof/>
          <w:sz w:val="24"/>
          <w:szCs w:val="24"/>
        </w:rPr>
        <w:br/>
        <w:t>[Accessed 1 June 2020].</w:t>
      </w:r>
    </w:p>
    <w:p w:rsidR="009A7089" w:rsidRPr="009A7089" w:rsidRDefault="009A7089" w:rsidP="009A7089"/>
    <w:p w:rsidR="00877F73" w:rsidRPr="00877F73" w:rsidRDefault="00877F73" w:rsidP="00877F73">
      <w:pPr>
        <w:pStyle w:val="Bibliography"/>
        <w:rPr>
          <w:rFonts w:asciiTheme="minorHAnsi" w:hAnsiTheme="minorHAnsi" w:cstheme="minorHAnsi"/>
          <w:noProof/>
          <w:sz w:val="24"/>
          <w:szCs w:val="24"/>
        </w:rPr>
      </w:pPr>
      <w:r w:rsidRPr="00877F73">
        <w:rPr>
          <w:rFonts w:asciiTheme="minorHAnsi" w:hAnsiTheme="minorHAnsi" w:cstheme="minorHAnsi"/>
          <w:noProof/>
          <w:sz w:val="24"/>
          <w:szCs w:val="24"/>
        </w:rPr>
        <w:t>Williamson, W</w:t>
      </w:r>
      <w:r w:rsidR="009A7089">
        <w:rPr>
          <w:rFonts w:asciiTheme="minorHAnsi" w:hAnsiTheme="minorHAnsi" w:cstheme="minorHAnsi"/>
          <w:noProof/>
          <w:sz w:val="24"/>
          <w:szCs w:val="24"/>
        </w:rPr>
        <w:t>. (2020)</w:t>
      </w:r>
      <w:r w:rsidR="009A7089" w:rsidRPr="00877F73">
        <w:rPr>
          <w:rFonts w:asciiTheme="minorHAnsi" w:hAnsiTheme="minorHAnsi" w:cstheme="minorHAnsi"/>
          <w:noProof/>
          <w:sz w:val="24"/>
          <w:szCs w:val="24"/>
        </w:rPr>
        <w:t xml:space="preserve"> </w:t>
      </w:r>
      <w:r w:rsidRPr="00877F73">
        <w:rPr>
          <w:rFonts w:asciiTheme="minorHAnsi" w:hAnsiTheme="minorHAnsi" w:cstheme="minorHAnsi"/>
          <w:noProof/>
          <w:sz w:val="24"/>
          <w:szCs w:val="24"/>
        </w:rPr>
        <w:t xml:space="preserve">Why You Should Sell Online: 7 Benefits Of Ecommerce Websites. </w:t>
      </w:r>
      <w:r w:rsidRPr="00877F73">
        <w:rPr>
          <w:rFonts w:asciiTheme="minorHAnsi" w:hAnsiTheme="minorHAnsi" w:cstheme="minorHAnsi"/>
          <w:i/>
          <w:iCs/>
          <w:noProof/>
          <w:sz w:val="24"/>
          <w:szCs w:val="24"/>
        </w:rPr>
        <w:t>GDR Group</w:t>
      </w:r>
      <w:r w:rsidRPr="00877F73">
        <w:rPr>
          <w:rFonts w:asciiTheme="minorHAnsi" w:hAnsiTheme="minorHAnsi" w:cstheme="minorHAnsi"/>
          <w:noProof/>
          <w:sz w:val="24"/>
          <w:szCs w:val="24"/>
        </w:rPr>
        <w:t>, 13 March, pp. 1-11.</w:t>
      </w:r>
    </w:p>
    <w:p w:rsidR="003C025E" w:rsidRPr="00194C64" w:rsidRDefault="003C025E" w:rsidP="003C025E">
      <w:pPr>
        <w:pStyle w:val="TOCHeading"/>
        <w:spacing w:line="360" w:lineRule="auto"/>
        <w:rPr>
          <w:rFonts w:asciiTheme="minorHAnsi" w:hAnsiTheme="minorHAnsi" w:cstheme="minorHAnsi"/>
          <w:color w:val="7030A0"/>
          <w:sz w:val="24"/>
          <w:szCs w:val="24"/>
        </w:rPr>
      </w:pPr>
    </w:p>
    <w:p w:rsidR="003C025E" w:rsidRPr="00194C64" w:rsidRDefault="003C025E" w:rsidP="003C025E">
      <w:pPr>
        <w:pStyle w:val="ListParagraph"/>
        <w:spacing w:line="360" w:lineRule="auto"/>
        <w:rPr>
          <w:rFonts w:asciiTheme="minorHAnsi" w:hAnsiTheme="minorHAnsi" w:cstheme="minorHAnsi"/>
          <w:color w:val="7030A0"/>
          <w:sz w:val="24"/>
          <w:szCs w:val="24"/>
        </w:rPr>
      </w:pPr>
      <w:r w:rsidRPr="00194C64">
        <w:rPr>
          <w:rFonts w:asciiTheme="minorHAnsi" w:hAnsiTheme="minorHAnsi" w:cstheme="minorHAnsi"/>
          <w:color w:val="7030A0"/>
          <w:sz w:val="24"/>
          <w:szCs w:val="24"/>
        </w:rPr>
        <w:tab/>
      </w:r>
      <w:r w:rsidRPr="00194C64">
        <w:rPr>
          <w:rFonts w:asciiTheme="minorHAnsi" w:hAnsiTheme="minorHAnsi" w:cstheme="minorHAnsi"/>
          <w:color w:val="7030A0"/>
          <w:sz w:val="24"/>
          <w:szCs w:val="24"/>
        </w:rPr>
        <w:tab/>
      </w:r>
      <w:r w:rsidRPr="00194C64">
        <w:rPr>
          <w:rFonts w:asciiTheme="minorHAnsi" w:hAnsiTheme="minorHAnsi" w:cstheme="minorHAnsi"/>
          <w:color w:val="7030A0"/>
          <w:sz w:val="24"/>
          <w:szCs w:val="24"/>
        </w:rPr>
        <w:tab/>
      </w:r>
      <w:r w:rsidRPr="00194C64">
        <w:rPr>
          <w:rFonts w:asciiTheme="minorHAnsi" w:hAnsiTheme="minorHAnsi" w:cstheme="minorHAnsi"/>
          <w:color w:val="7030A0"/>
          <w:sz w:val="24"/>
          <w:szCs w:val="24"/>
        </w:rPr>
        <w:tab/>
      </w:r>
      <w:r w:rsidRPr="00194C64">
        <w:rPr>
          <w:rFonts w:asciiTheme="minorHAnsi" w:hAnsiTheme="minorHAnsi" w:cstheme="minorHAnsi"/>
          <w:color w:val="7030A0"/>
          <w:sz w:val="24"/>
          <w:szCs w:val="24"/>
        </w:rPr>
        <w:tab/>
      </w:r>
      <w:r w:rsidRPr="00194C64">
        <w:rPr>
          <w:rFonts w:asciiTheme="minorHAnsi" w:hAnsiTheme="minorHAnsi" w:cstheme="minorHAnsi"/>
          <w:color w:val="7030A0"/>
          <w:sz w:val="24"/>
          <w:szCs w:val="24"/>
        </w:rPr>
        <w:tab/>
      </w:r>
      <w:r w:rsidRPr="00194C64">
        <w:rPr>
          <w:rFonts w:asciiTheme="minorHAnsi" w:hAnsiTheme="minorHAnsi" w:cstheme="minorHAnsi"/>
          <w:color w:val="7030A0"/>
          <w:sz w:val="24"/>
          <w:szCs w:val="24"/>
        </w:rPr>
        <w:tab/>
      </w:r>
      <w:r w:rsidRPr="00194C64">
        <w:rPr>
          <w:rFonts w:asciiTheme="minorHAnsi" w:hAnsiTheme="minorHAnsi" w:cstheme="minorHAnsi"/>
          <w:color w:val="7030A0"/>
          <w:sz w:val="24"/>
          <w:szCs w:val="24"/>
        </w:rPr>
        <w:tab/>
      </w:r>
      <w:r w:rsidRPr="00194C64">
        <w:rPr>
          <w:rFonts w:asciiTheme="minorHAnsi" w:hAnsiTheme="minorHAnsi" w:cstheme="minorHAnsi"/>
          <w:color w:val="7030A0"/>
          <w:sz w:val="24"/>
          <w:szCs w:val="24"/>
        </w:rPr>
        <w:tab/>
      </w:r>
      <w:r w:rsidRPr="00194C64">
        <w:rPr>
          <w:rFonts w:asciiTheme="minorHAnsi" w:hAnsiTheme="minorHAnsi" w:cstheme="minorHAnsi"/>
          <w:color w:val="7030A0"/>
          <w:sz w:val="24"/>
          <w:szCs w:val="24"/>
        </w:rPr>
        <w:tab/>
      </w:r>
    </w:p>
    <w:p w:rsidR="003C025E" w:rsidRPr="00194C64" w:rsidRDefault="003C025E" w:rsidP="003C025E">
      <w:pPr>
        <w:spacing w:line="360" w:lineRule="auto"/>
        <w:jc w:val="both"/>
        <w:rPr>
          <w:rFonts w:asciiTheme="minorHAnsi" w:hAnsiTheme="minorHAnsi" w:cstheme="minorHAnsi"/>
          <w:color w:val="7030A0"/>
          <w:sz w:val="24"/>
          <w:szCs w:val="24"/>
        </w:rPr>
      </w:pPr>
    </w:p>
    <w:p w:rsidR="003C025E" w:rsidRPr="00194C64" w:rsidRDefault="003C025E" w:rsidP="003C025E">
      <w:pPr>
        <w:spacing w:line="360" w:lineRule="auto"/>
        <w:jc w:val="both"/>
        <w:rPr>
          <w:rFonts w:asciiTheme="minorHAnsi" w:hAnsiTheme="minorHAnsi" w:cstheme="minorHAnsi"/>
          <w:color w:val="7030A0"/>
          <w:sz w:val="24"/>
          <w:szCs w:val="24"/>
        </w:rPr>
      </w:pPr>
    </w:p>
    <w:p w:rsidR="00B970A0" w:rsidRPr="00254FBD" w:rsidRDefault="00B970A0" w:rsidP="00254FBD">
      <w:pPr>
        <w:spacing w:line="360" w:lineRule="auto"/>
        <w:jc w:val="both"/>
        <w:rPr>
          <w:rFonts w:asciiTheme="minorHAnsi" w:hAnsiTheme="minorHAnsi" w:cstheme="minorHAnsi"/>
          <w:color w:val="7030A0"/>
          <w:sz w:val="24"/>
          <w:szCs w:val="24"/>
        </w:rPr>
      </w:pPr>
    </w:p>
    <w:sectPr w:rsidR="00B970A0" w:rsidRPr="00254FBD" w:rsidSect="00B970A0">
      <w:footerReference w:type="default" r:id="rId1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987296" w:rsidRDefault="00987296" w:rsidP="00F57ED6">
      <w:r>
        <w:separator/>
      </w:r>
    </w:p>
  </w:endnote>
  <w:endnote w:type="continuationSeparator" w:id="0">
    <w:p w:rsidR="00987296" w:rsidRDefault="00987296" w:rsidP="00F57ED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Verdana">
    <w:panose1 w:val="020B0604030504040204"/>
    <w:charset w:val="00"/>
    <w:family w:val="swiss"/>
    <w:pitch w:val="variable"/>
    <w:sig w:usb0="A00006FF" w:usb1="4000205B" w:usb2="0000001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60732279"/>
      <w:docPartObj>
        <w:docPartGallery w:val="Page Numbers (Bottom of Page)"/>
        <w:docPartUnique/>
      </w:docPartObj>
    </w:sdtPr>
    <w:sdtEndPr>
      <w:rPr>
        <w:color w:val="7F7F7F" w:themeColor="background1" w:themeShade="7F"/>
        <w:spacing w:val="60"/>
      </w:rPr>
    </w:sdtEndPr>
    <w:sdtContent>
      <w:p w:rsidR="004B05DA" w:rsidRDefault="004B05DA">
        <w:pPr>
          <w:pStyle w:val="Footer"/>
          <w:pBdr>
            <w:top w:val="single" w:sz="4" w:space="1" w:color="D9D9D9" w:themeColor="background1" w:themeShade="D9"/>
          </w:pBdr>
          <w:rPr>
            <w:b/>
            <w:bCs/>
          </w:rPr>
        </w:pPr>
        <w:r>
          <w:fldChar w:fldCharType="begin"/>
        </w:r>
        <w:r>
          <w:instrText xml:space="preserve"> PAGE   \* MERGEFORMAT </w:instrText>
        </w:r>
        <w:r>
          <w:fldChar w:fldCharType="separate"/>
        </w:r>
        <w:r w:rsidRPr="009A7089">
          <w:rPr>
            <w:b/>
            <w:bCs/>
            <w:noProof/>
          </w:rPr>
          <w:t>27</w:t>
        </w:r>
        <w:r>
          <w:rPr>
            <w:b/>
            <w:bCs/>
            <w:noProof/>
          </w:rPr>
          <w:fldChar w:fldCharType="end"/>
        </w:r>
        <w:r>
          <w:rPr>
            <w:b/>
            <w:bCs/>
          </w:rPr>
          <w:t xml:space="preserve"> | </w:t>
        </w:r>
        <w:r>
          <w:rPr>
            <w:color w:val="7F7F7F" w:themeColor="background1" w:themeShade="7F"/>
            <w:spacing w:val="60"/>
          </w:rPr>
          <w:t>Page</w:t>
        </w:r>
      </w:p>
    </w:sdtContent>
  </w:sdt>
  <w:p w:rsidR="004B05DA" w:rsidRDefault="004B05D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987296" w:rsidRDefault="00987296" w:rsidP="00F57ED6">
      <w:r>
        <w:separator/>
      </w:r>
    </w:p>
  </w:footnote>
  <w:footnote w:type="continuationSeparator" w:id="0">
    <w:p w:rsidR="00987296" w:rsidRDefault="00987296" w:rsidP="00F57ED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FB4977"/>
    <w:multiLevelType w:val="hybridMultilevel"/>
    <w:tmpl w:val="F780A4E2"/>
    <w:lvl w:ilvl="0" w:tplc="08090015">
      <w:start w:val="1"/>
      <w:numFmt w:val="upperLetter"/>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 w15:restartNumberingAfterBreak="0">
    <w:nsid w:val="09884750"/>
    <w:multiLevelType w:val="hybridMultilevel"/>
    <w:tmpl w:val="F780A4E2"/>
    <w:lvl w:ilvl="0" w:tplc="08090015">
      <w:start w:val="1"/>
      <w:numFmt w:val="upperLetter"/>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 w15:restartNumberingAfterBreak="0">
    <w:nsid w:val="25950093"/>
    <w:multiLevelType w:val="hybridMultilevel"/>
    <w:tmpl w:val="845AE3A8"/>
    <w:lvl w:ilvl="0" w:tplc="60647A04">
      <w:start w:val="10"/>
      <w:numFmt w:val="decimal"/>
      <w:lvlText w:val="%1."/>
      <w:lvlJc w:val="left"/>
      <w:pPr>
        <w:ind w:left="1440" w:hanging="36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3" w15:restartNumberingAfterBreak="0">
    <w:nsid w:val="26CA4BE8"/>
    <w:multiLevelType w:val="hybridMultilevel"/>
    <w:tmpl w:val="4BDA376C"/>
    <w:lvl w:ilvl="0" w:tplc="945E7B00">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D994A0A"/>
    <w:multiLevelType w:val="hybridMultilevel"/>
    <w:tmpl w:val="DDCC70A6"/>
    <w:lvl w:ilvl="0" w:tplc="EDAC77B6">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61D54AE"/>
    <w:multiLevelType w:val="hybridMultilevel"/>
    <w:tmpl w:val="D5C4675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1FF3107"/>
    <w:multiLevelType w:val="hybridMultilevel"/>
    <w:tmpl w:val="F780A4E2"/>
    <w:lvl w:ilvl="0" w:tplc="08090015">
      <w:start w:val="1"/>
      <w:numFmt w:val="upperLetter"/>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7" w15:restartNumberingAfterBreak="0">
    <w:nsid w:val="6DEB2743"/>
    <w:multiLevelType w:val="hybridMultilevel"/>
    <w:tmpl w:val="A0927878"/>
    <w:lvl w:ilvl="0" w:tplc="573C0816">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8" w15:restartNumberingAfterBreak="0">
    <w:nsid w:val="70B81391"/>
    <w:multiLevelType w:val="hybridMultilevel"/>
    <w:tmpl w:val="9BFC7B5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9935BF8"/>
    <w:multiLevelType w:val="hybridMultilevel"/>
    <w:tmpl w:val="048268F0"/>
    <w:lvl w:ilvl="0" w:tplc="10B0ABE6">
      <w:start w:val="1"/>
      <w:numFmt w:val="decimal"/>
      <w:lvlText w:val="%1."/>
      <w:lvlJc w:val="left"/>
      <w:pPr>
        <w:ind w:left="1440" w:hanging="36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num w:numId="1">
    <w:abstractNumId w:val="1"/>
  </w:num>
  <w:num w:numId="2">
    <w:abstractNumId w:val="3"/>
  </w:num>
  <w:num w:numId="3">
    <w:abstractNumId w:val="8"/>
  </w:num>
  <w:num w:numId="4">
    <w:abstractNumId w:val="5"/>
  </w:num>
  <w:num w:numId="5">
    <w:abstractNumId w:val="4"/>
  </w:num>
  <w:num w:numId="6">
    <w:abstractNumId w:val="7"/>
  </w:num>
  <w:num w:numId="7">
    <w:abstractNumId w:val="9"/>
  </w:num>
  <w:num w:numId="8">
    <w:abstractNumId w:val="2"/>
  </w:num>
  <w:num w:numId="9">
    <w:abstractNumId w:val="0"/>
  </w:num>
  <w:num w:numId="10">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970A0"/>
    <w:rsid w:val="00001BAC"/>
    <w:rsid w:val="000124EB"/>
    <w:rsid w:val="000251AE"/>
    <w:rsid w:val="00026F9F"/>
    <w:rsid w:val="00040165"/>
    <w:rsid w:val="00045BE9"/>
    <w:rsid w:val="000612D3"/>
    <w:rsid w:val="000673F2"/>
    <w:rsid w:val="00091282"/>
    <w:rsid w:val="00095C80"/>
    <w:rsid w:val="000B5007"/>
    <w:rsid w:val="000B54B8"/>
    <w:rsid w:val="000F147A"/>
    <w:rsid w:val="0014180B"/>
    <w:rsid w:val="00154289"/>
    <w:rsid w:val="001A6D79"/>
    <w:rsid w:val="001D2C53"/>
    <w:rsid w:val="001F314F"/>
    <w:rsid w:val="00200017"/>
    <w:rsid w:val="00215387"/>
    <w:rsid w:val="002155EE"/>
    <w:rsid w:val="00220593"/>
    <w:rsid w:val="00225C31"/>
    <w:rsid w:val="00237B58"/>
    <w:rsid w:val="002410D5"/>
    <w:rsid w:val="00244636"/>
    <w:rsid w:val="00254FBD"/>
    <w:rsid w:val="002F6A37"/>
    <w:rsid w:val="0033295A"/>
    <w:rsid w:val="003363AC"/>
    <w:rsid w:val="00341542"/>
    <w:rsid w:val="00352B2F"/>
    <w:rsid w:val="003666EF"/>
    <w:rsid w:val="00383F10"/>
    <w:rsid w:val="00384CD5"/>
    <w:rsid w:val="00395202"/>
    <w:rsid w:val="003B0AA3"/>
    <w:rsid w:val="003C025E"/>
    <w:rsid w:val="003C7581"/>
    <w:rsid w:val="003E0141"/>
    <w:rsid w:val="003E1BA7"/>
    <w:rsid w:val="003E3BF7"/>
    <w:rsid w:val="003F50EE"/>
    <w:rsid w:val="003F583C"/>
    <w:rsid w:val="00424389"/>
    <w:rsid w:val="004438DF"/>
    <w:rsid w:val="0045521C"/>
    <w:rsid w:val="004A20A6"/>
    <w:rsid w:val="004B05DA"/>
    <w:rsid w:val="004B3477"/>
    <w:rsid w:val="004E7BDE"/>
    <w:rsid w:val="00522F60"/>
    <w:rsid w:val="0053027D"/>
    <w:rsid w:val="00560200"/>
    <w:rsid w:val="00560E8D"/>
    <w:rsid w:val="00567D0F"/>
    <w:rsid w:val="005B41B2"/>
    <w:rsid w:val="005C28A5"/>
    <w:rsid w:val="005C654E"/>
    <w:rsid w:val="005D367A"/>
    <w:rsid w:val="005E42FE"/>
    <w:rsid w:val="00604C5E"/>
    <w:rsid w:val="006451FC"/>
    <w:rsid w:val="00646DB9"/>
    <w:rsid w:val="006503D6"/>
    <w:rsid w:val="00667A68"/>
    <w:rsid w:val="0068187C"/>
    <w:rsid w:val="00696E29"/>
    <w:rsid w:val="006D0902"/>
    <w:rsid w:val="006E5E29"/>
    <w:rsid w:val="006F6202"/>
    <w:rsid w:val="00703F20"/>
    <w:rsid w:val="00730D6D"/>
    <w:rsid w:val="00756DD9"/>
    <w:rsid w:val="00762595"/>
    <w:rsid w:val="00792014"/>
    <w:rsid w:val="007A49E7"/>
    <w:rsid w:val="007B283B"/>
    <w:rsid w:val="007D5853"/>
    <w:rsid w:val="007F09DB"/>
    <w:rsid w:val="00802180"/>
    <w:rsid w:val="008103AC"/>
    <w:rsid w:val="00823608"/>
    <w:rsid w:val="008413F0"/>
    <w:rsid w:val="00866CD6"/>
    <w:rsid w:val="00877F73"/>
    <w:rsid w:val="00881090"/>
    <w:rsid w:val="008D1D38"/>
    <w:rsid w:val="008D3528"/>
    <w:rsid w:val="008E6CF6"/>
    <w:rsid w:val="0097034A"/>
    <w:rsid w:val="00987296"/>
    <w:rsid w:val="009A7089"/>
    <w:rsid w:val="009C5388"/>
    <w:rsid w:val="009F0E3A"/>
    <w:rsid w:val="00A10E13"/>
    <w:rsid w:val="00A56FFE"/>
    <w:rsid w:val="00A831B5"/>
    <w:rsid w:val="00A85BC0"/>
    <w:rsid w:val="00AB22E7"/>
    <w:rsid w:val="00AC01C1"/>
    <w:rsid w:val="00AE719B"/>
    <w:rsid w:val="00AF2B76"/>
    <w:rsid w:val="00B01C79"/>
    <w:rsid w:val="00B03261"/>
    <w:rsid w:val="00B03C6B"/>
    <w:rsid w:val="00B2066D"/>
    <w:rsid w:val="00B23F2A"/>
    <w:rsid w:val="00B35929"/>
    <w:rsid w:val="00B430CB"/>
    <w:rsid w:val="00B50218"/>
    <w:rsid w:val="00B9171E"/>
    <w:rsid w:val="00B970A0"/>
    <w:rsid w:val="00BA118E"/>
    <w:rsid w:val="00BC50E8"/>
    <w:rsid w:val="00BE18A9"/>
    <w:rsid w:val="00C21F71"/>
    <w:rsid w:val="00C60C5E"/>
    <w:rsid w:val="00C7480A"/>
    <w:rsid w:val="00C77A49"/>
    <w:rsid w:val="00CB7A8E"/>
    <w:rsid w:val="00CC3C0B"/>
    <w:rsid w:val="00CC6408"/>
    <w:rsid w:val="00CD7E41"/>
    <w:rsid w:val="00D24709"/>
    <w:rsid w:val="00D4352D"/>
    <w:rsid w:val="00D54099"/>
    <w:rsid w:val="00D676E8"/>
    <w:rsid w:val="00DA0E87"/>
    <w:rsid w:val="00DA254D"/>
    <w:rsid w:val="00DC055A"/>
    <w:rsid w:val="00DC1A19"/>
    <w:rsid w:val="00DD0A4C"/>
    <w:rsid w:val="00DE0955"/>
    <w:rsid w:val="00DE3C8C"/>
    <w:rsid w:val="00DE4F5C"/>
    <w:rsid w:val="00DE6CD4"/>
    <w:rsid w:val="00E01696"/>
    <w:rsid w:val="00E0409C"/>
    <w:rsid w:val="00E05012"/>
    <w:rsid w:val="00E57E69"/>
    <w:rsid w:val="00E672A2"/>
    <w:rsid w:val="00E71456"/>
    <w:rsid w:val="00E72AC8"/>
    <w:rsid w:val="00E81CDF"/>
    <w:rsid w:val="00E90DB6"/>
    <w:rsid w:val="00EA2B4B"/>
    <w:rsid w:val="00EB783C"/>
    <w:rsid w:val="00EC7CEB"/>
    <w:rsid w:val="00ED469B"/>
    <w:rsid w:val="00EE1B8C"/>
    <w:rsid w:val="00F32F76"/>
    <w:rsid w:val="00F32F8E"/>
    <w:rsid w:val="00F50428"/>
    <w:rsid w:val="00F57ED6"/>
    <w:rsid w:val="00F7100C"/>
    <w:rsid w:val="00FA0E52"/>
    <w:rsid w:val="00FB2599"/>
    <w:rsid w:val="00FD16EC"/>
    <w:rsid w:val="00FE5B7D"/>
    <w:rsid w:val="00FF395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C636607"/>
  <w15:chartTrackingRefBased/>
  <w15:docId w15:val="{A8AD615C-EEE5-44F1-B1AA-CC5412839F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970A0"/>
    <w:pPr>
      <w:spacing w:after="0" w:line="240" w:lineRule="auto"/>
    </w:pPr>
    <w:rPr>
      <w:rFonts w:ascii="Times New Roman" w:eastAsia="Times New Roman" w:hAnsi="Times New Roman" w:cs="Times New Roman"/>
      <w:sz w:val="20"/>
      <w:szCs w:val="20"/>
      <w:lang w:eastAsia="en-GB"/>
    </w:rPr>
  </w:style>
  <w:style w:type="paragraph" w:styleId="Heading1">
    <w:name w:val="heading 1"/>
    <w:basedOn w:val="Normal"/>
    <w:next w:val="Normal"/>
    <w:link w:val="Heading1Char"/>
    <w:uiPriority w:val="9"/>
    <w:qFormat/>
    <w:rsid w:val="00E01696"/>
    <w:pPr>
      <w:keepNext/>
      <w:keepLines/>
      <w:spacing w:before="840" w:after="360" w:line="276" w:lineRule="auto"/>
      <w:outlineLvl w:val="0"/>
    </w:pPr>
    <w:rPr>
      <w:rFonts w:asciiTheme="minorHAnsi" w:eastAsiaTheme="majorEastAsia" w:hAnsiTheme="minorHAnsi" w:cstheme="majorBidi"/>
      <w:b/>
      <w:bCs/>
      <w:sz w:val="28"/>
      <w:szCs w:val="28"/>
      <w:lang w:eastAsia="en-US"/>
    </w:rPr>
  </w:style>
  <w:style w:type="paragraph" w:styleId="Heading2">
    <w:name w:val="heading 2"/>
    <w:basedOn w:val="Normal"/>
    <w:next w:val="Normal"/>
    <w:link w:val="Heading2Char"/>
    <w:uiPriority w:val="9"/>
    <w:unhideWhenUsed/>
    <w:qFormat/>
    <w:rsid w:val="00823608"/>
    <w:pPr>
      <w:keepNext/>
      <w:keepLines/>
      <w:spacing w:before="40"/>
      <w:outlineLvl w:val="1"/>
    </w:pPr>
    <w:rPr>
      <w:rFonts w:asciiTheme="majorHAnsi" w:eastAsiaTheme="majorEastAsia" w:hAnsiTheme="majorHAnsi" w:cstheme="majorBidi"/>
      <w:color w:val="B35E0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970A0"/>
    <w:pPr>
      <w:ind w:left="720"/>
      <w:contextualSpacing/>
    </w:pPr>
  </w:style>
  <w:style w:type="paragraph" w:styleId="NoSpacing">
    <w:name w:val="No Spacing"/>
    <w:link w:val="NoSpacingChar"/>
    <w:uiPriority w:val="1"/>
    <w:qFormat/>
    <w:rsid w:val="00B970A0"/>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B970A0"/>
    <w:rPr>
      <w:rFonts w:eastAsiaTheme="minorEastAsia"/>
      <w:lang w:val="en-US"/>
    </w:rPr>
  </w:style>
  <w:style w:type="character" w:customStyle="1" w:styleId="Heading1Char">
    <w:name w:val="Heading 1 Char"/>
    <w:basedOn w:val="DefaultParagraphFont"/>
    <w:link w:val="Heading1"/>
    <w:uiPriority w:val="9"/>
    <w:rsid w:val="00E01696"/>
    <w:rPr>
      <w:rFonts w:eastAsiaTheme="majorEastAsia" w:cstheme="majorBidi"/>
      <w:b/>
      <w:bCs/>
      <w:sz w:val="28"/>
      <w:szCs w:val="28"/>
    </w:rPr>
  </w:style>
  <w:style w:type="paragraph" w:styleId="TOCHeading">
    <w:name w:val="TOC Heading"/>
    <w:basedOn w:val="Heading1"/>
    <w:next w:val="Normal"/>
    <w:uiPriority w:val="39"/>
    <w:unhideWhenUsed/>
    <w:qFormat/>
    <w:rsid w:val="00E71456"/>
    <w:pPr>
      <w:spacing w:before="240" w:after="0" w:line="259" w:lineRule="auto"/>
      <w:outlineLvl w:val="9"/>
    </w:pPr>
    <w:rPr>
      <w:rFonts w:asciiTheme="majorHAnsi" w:hAnsiTheme="majorHAnsi"/>
      <w:b w:val="0"/>
      <w:bCs w:val="0"/>
      <w:color w:val="B35E06" w:themeColor="accent1" w:themeShade="BF"/>
      <w:sz w:val="32"/>
      <w:szCs w:val="32"/>
      <w:lang w:val="en-US"/>
    </w:rPr>
  </w:style>
  <w:style w:type="paragraph" w:styleId="TOC1">
    <w:name w:val="toc 1"/>
    <w:basedOn w:val="Normal"/>
    <w:next w:val="Normal"/>
    <w:autoRedefine/>
    <w:uiPriority w:val="39"/>
    <w:unhideWhenUsed/>
    <w:rsid w:val="00E71456"/>
    <w:pPr>
      <w:spacing w:after="100"/>
    </w:pPr>
  </w:style>
  <w:style w:type="character" w:styleId="Hyperlink">
    <w:name w:val="Hyperlink"/>
    <w:basedOn w:val="DefaultParagraphFont"/>
    <w:uiPriority w:val="99"/>
    <w:unhideWhenUsed/>
    <w:rsid w:val="00E71456"/>
    <w:rPr>
      <w:color w:val="6B9F25" w:themeColor="hyperlink"/>
      <w:u w:val="single"/>
    </w:rPr>
  </w:style>
  <w:style w:type="character" w:customStyle="1" w:styleId="Heading2Char">
    <w:name w:val="Heading 2 Char"/>
    <w:basedOn w:val="DefaultParagraphFont"/>
    <w:link w:val="Heading2"/>
    <w:uiPriority w:val="9"/>
    <w:rsid w:val="00823608"/>
    <w:rPr>
      <w:rFonts w:asciiTheme="majorHAnsi" w:eastAsiaTheme="majorEastAsia" w:hAnsiTheme="majorHAnsi" w:cstheme="majorBidi"/>
      <w:color w:val="B35E06" w:themeColor="accent1" w:themeShade="BF"/>
      <w:sz w:val="26"/>
      <w:szCs w:val="26"/>
      <w:lang w:eastAsia="en-GB"/>
    </w:rPr>
  </w:style>
  <w:style w:type="paragraph" w:styleId="TOC2">
    <w:name w:val="toc 2"/>
    <w:basedOn w:val="Normal"/>
    <w:next w:val="Normal"/>
    <w:autoRedefine/>
    <w:uiPriority w:val="39"/>
    <w:unhideWhenUsed/>
    <w:rsid w:val="00823608"/>
    <w:pPr>
      <w:spacing w:after="100"/>
      <w:ind w:left="200"/>
    </w:pPr>
  </w:style>
  <w:style w:type="character" w:styleId="FollowedHyperlink">
    <w:name w:val="FollowedHyperlink"/>
    <w:basedOn w:val="DefaultParagraphFont"/>
    <w:uiPriority w:val="99"/>
    <w:semiHidden/>
    <w:unhideWhenUsed/>
    <w:rsid w:val="00A10E13"/>
    <w:rPr>
      <w:color w:val="B26B02" w:themeColor="followedHyperlink"/>
      <w:u w:val="single"/>
    </w:rPr>
  </w:style>
  <w:style w:type="paragraph" w:styleId="Bibliography">
    <w:name w:val="Bibliography"/>
    <w:basedOn w:val="Normal"/>
    <w:next w:val="Normal"/>
    <w:uiPriority w:val="37"/>
    <w:unhideWhenUsed/>
    <w:rsid w:val="00F57ED6"/>
  </w:style>
  <w:style w:type="paragraph" w:styleId="Header">
    <w:name w:val="header"/>
    <w:basedOn w:val="Normal"/>
    <w:link w:val="HeaderChar"/>
    <w:uiPriority w:val="99"/>
    <w:unhideWhenUsed/>
    <w:rsid w:val="00F57ED6"/>
    <w:pPr>
      <w:tabs>
        <w:tab w:val="center" w:pos="4513"/>
        <w:tab w:val="right" w:pos="9026"/>
      </w:tabs>
    </w:pPr>
  </w:style>
  <w:style w:type="character" w:customStyle="1" w:styleId="HeaderChar">
    <w:name w:val="Header Char"/>
    <w:basedOn w:val="DefaultParagraphFont"/>
    <w:link w:val="Header"/>
    <w:uiPriority w:val="99"/>
    <w:rsid w:val="00F57ED6"/>
    <w:rPr>
      <w:rFonts w:ascii="Times New Roman" w:eastAsia="Times New Roman" w:hAnsi="Times New Roman" w:cs="Times New Roman"/>
      <w:sz w:val="20"/>
      <w:szCs w:val="20"/>
      <w:lang w:eastAsia="en-GB"/>
    </w:rPr>
  </w:style>
  <w:style w:type="paragraph" w:styleId="Footer">
    <w:name w:val="footer"/>
    <w:basedOn w:val="Normal"/>
    <w:link w:val="FooterChar"/>
    <w:uiPriority w:val="99"/>
    <w:unhideWhenUsed/>
    <w:rsid w:val="00F57ED6"/>
    <w:pPr>
      <w:tabs>
        <w:tab w:val="center" w:pos="4513"/>
        <w:tab w:val="right" w:pos="9026"/>
      </w:tabs>
    </w:pPr>
  </w:style>
  <w:style w:type="character" w:customStyle="1" w:styleId="FooterChar">
    <w:name w:val="Footer Char"/>
    <w:basedOn w:val="DefaultParagraphFont"/>
    <w:link w:val="Footer"/>
    <w:uiPriority w:val="99"/>
    <w:rsid w:val="00F57ED6"/>
    <w:rPr>
      <w:rFonts w:ascii="Times New Roman" w:eastAsia="Times New Roman" w:hAnsi="Times New Roman" w:cs="Times New Roman"/>
      <w:sz w:val="20"/>
      <w:szCs w:val="20"/>
      <w:lang w:eastAsia="en-GB"/>
    </w:rPr>
  </w:style>
  <w:style w:type="table" w:styleId="TableGrid">
    <w:name w:val="Table Grid"/>
    <w:basedOn w:val="TableNormal"/>
    <w:uiPriority w:val="39"/>
    <w:rsid w:val="003B0AA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Default">
    <w:name w:val="Default"/>
    <w:rsid w:val="007B283B"/>
    <w:pPr>
      <w:autoSpaceDE w:val="0"/>
      <w:autoSpaceDN w:val="0"/>
      <w:adjustRightInd w:val="0"/>
      <w:spacing w:after="0" w:line="240" w:lineRule="auto"/>
    </w:pPr>
    <w:rPr>
      <w:rFonts w:ascii="Calibri" w:eastAsia="Times New Roman" w:hAnsi="Calibri" w:cs="Calibri"/>
      <w:color w:val="000000"/>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6262056">
      <w:bodyDiv w:val="1"/>
      <w:marLeft w:val="0"/>
      <w:marRight w:val="0"/>
      <w:marTop w:val="0"/>
      <w:marBottom w:val="0"/>
      <w:divBdr>
        <w:top w:val="none" w:sz="0" w:space="0" w:color="auto"/>
        <w:left w:val="none" w:sz="0" w:space="0" w:color="auto"/>
        <w:bottom w:val="none" w:sz="0" w:space="0" w:color="auto"/>
        <w:right w:val="none" w:sz="0" w:space="0" w:color="auto"/>
      </w:divBdr>
    </w:div>
    <w:div w:id="129203851">
      <w:bodyDiv w:val="1"/>
      <w:marLeft w:val="0"/>
      <w:marRight w:val="0"/>
      <w:marTop w:val="0"/>
      <w:marBottom w:val="0"/>
      <w:divBdr>
        <w:top w:val="none" w:sz="0" w:space="0" w:color="auto"/>
        <w:left w:val="none" w:sz="0" w:space="0" w:color="auto"/>
        <w:bottom w:val="none" w:sz="0" w:space="0" w:color="auto"/>
        <w:right w:val="none" w:sz="0" w:space="0" w:color="auto"/>
      </w:divBdr>
    </w:div>
    <w:div w:id="141241482">
      <w:bodyDiv w:val="1"/>
      <w:marLeft w:val="0"/>
      <w:marRight w:val="0"/>
      <w:marTop w:val="0"/>
      <w:marBottom w:val="0"/>
      <w:divBdr>
        <w:top w:val="none" w:sz="0" w:space="0" w:color="auto"/>
        <w:left w:val="none" w:sz="0" w:space="0" w:color="auto"/>
        <w:bottom w:val="none" w:sz="0" w:space="0" w:color="auto"/>
        <w:right w:val="none" w:sz="0" w:space="0" w:color="auto"/>
      </w:divBdr>
    </w:div>
    <w:div w:id="142545424">
      <w:bodyDiv w:val="1"/>
      <w:marLeft w:val="0"/>
      <w:marRight w:val="0"/>
      <w:marTop w:val="0"/>
      <w:marBottom w:val="0"/>
      <w:divBdr>
        <w:top w:val="none" w:sz="0" w:space="0" w:color="auto"/>
        <w:left w:val="none" w:sz="0" w:space="0" w:color="auto"/>
        <w:bottom w:val="none" w:sz="0" w:space="0" w:color="auto"/>
        <w:right w:val="none" w:sz="0" w:space="0" w:color="auto"/>
      </w:divBdr>
    </w:div>
    <w:div w:id="165706314">
      <w:bodyDiv w:val="1"/>
      <w:marLeft w:val="0"/>
      <w:marRight w:val="0"/>
      <w:marTop w:val="0"/>
      <w:marBottom w:val="0"/>
      <w:divBdr>
        <w:top w:val="none" w:sz="0" w:space="0" w:color="auto"/>
        <w:left w:val="none" w:sz="0" w:space="0" w:color="auto"/>
        <w:bottom w:val="none" w:sz="0" w:space="0" w:color="auto"/>
        <w:right w:val="none" w:sz="0" w:space="0" w:color="auto"/>
      </w:divBdr>
    </w:div>
    <w:div w:id="226458561">
      <w:bodyDiv w:val="1"/>
      <w:marLeft w:val="0"/>
      <w:marRight w:val="0"/>
      <w:marTop w:val="0"/>
      <w:marBottom w:val="0"/>
      <w:divBdr>
        <w:top w:val="none" w:sz="0" w:space="0" w:color="auto"/>
        <w:left w:val="none" w:sz="0" w:space="0" w:color="auto"/>
        <w:bottom w:val="none" w:sz="0" w:space="0" w:color="auto"/>
        <w:right w:val="none" w:sz="0" w:space="0" w:color="auto"/>
      </w:divBdr>
    </w:div>
    <w:div w:id="269095143">
      <w:bodyDiv w:val="1"/>
      <w:marLeft w:val="0"/>
      <w:marRight w:val="0"/>
      <w:marTop w:val="0"/>
      <w:marBottom w:val="0"/>
      <w:divBdr>
        <w:top w:val="none" w:sz="0" w:space="0" w:color="auto"/>
        <w:left w:val="none" w:sz="0" w:space="0" w:color="auto"/>
        <w:bottom w:val="none" w:sz="0" w:space="0" w:color="auto"/>
        <w:right w:val="none" w:sz="0" w:space="0" w:color="auto"/>
      </w:divBdr>
    </w:div>
    <w:div w:id="320239973">
      <w:bodyDiv w:val="1"/>
      <w:marLeft w:val="0"/>
      <w:marRight w:val="0"/>
      <w:marTop w:val="0"/>
      <w:marBottom w:val="0"/>
      <w:divBdr>
        <w:top w:val="none" w:sz="0" w:space="0" w:color="auto"/>
        <w:left w:val="none" w:sz="0" w:space="0" w:color="auto"/>
        <w:bottom w:val="none" w:sz="0" w:space="0" w:color="auto"/>
        <w:right w:val="none" w:sz="0" w:space="0" w:color="auto"/>
      </w:divBdr>
    </w:div>
    <w:div w:id="369190115">
      <w:bodyDiv w:val="1"/>
      <w:marLeft w:val="0"/>
      <w:marRight w:val="0"/>
      <w:marTop w:val="0"/>
      <w:marBottom w:val="0"/>
      <w:divBdr>
        <w:top w:val="none" w:sz="0" w:space="0" w:color="auto"/>
        <w:left w:val="none" w:sz="0" w:space="0" w:color="auto"/>
        <w:bottom w:val="none" w:sz="0" w:space="0" w:color="auto"/>
        <w:right w:val="none" w:sz="0" w:space="0" w:color="auto"/>
      </w:divBdr>
    </w:div>
    <w:div w:id="400950818">
      <w:bodyDiv w:val="1"/>
      <w:marLeft w:val="0"/>
      <w:marRight w:val="0"/>
      <w:marTop w:val="0"/>
      <w:marBottom w:val="0"/>
      <w:divBdr>
        <w:top w:val="none" w:sz="0" w:space="0" w:color="auto"/>
        <w:left w:val="none" w:sz="0" w:space="0" w:color="auto"/>
        <w:bottom w:val="none" w:sz="0" w:space="0" w:color="auto"/>
        <w:right w:val="none" w:sz="0" w:space="0" w:color="auto"/>
      </w:divBdr>
    </w:div>
    <w:div w:id="501119417">
      <w:bodyDiv w:val="1"/>
      <w:marLeft w:val="0"/>
      <w:marRight w:val="0"/>
      <w:marTop w:val="0"/>
      <w:marBottom w:val="0"/>
      <w:divBdr>
        <w:top w:val="none" w:sz="0" w:space="0" w:color="auto"/>
        <w:left w:val="none" w:sz="0" w:space="0" w:color="auto"/>
        <w:bottom w:val="none" w:sz="0" w:space="0" w:color="auto"/>
        <w:right w:val="none" w:sz="0" w:space="0" w:color="auto"/>
      </w:divBdr>
    </w:div>
    <w:div w:id="509181801">
      <w:bodyDiv w:val="1"/>
      <w:marLeft w:val="0"/>
      <w:marRight w:val="0"/>
      <w:marTop w:val="0"/>
      <w:marBottom w:val="0"/>
      <w:divBdr>
        <w:top w:val="none" w:sz="0" w:space="0" w:color="auto"/>
        <w:left w:val="none" w:sz="0" w:space="0" w:color="auto"/>
        <w:bottom w:val="none" w:sz="0" w:space="0" w:color="auto"/>
        <w:right w:val="none" w:sz="0" w:space="0" w:color="auto"/>
      </w:divBdr>
    </w:div>
    <w:div w:id="595331063">
      <w:bodyDiv w:val="1"/>
      <w:marLeft w:val="0"/>
      <w:marRight w:val="0"/>
      <w:marTop w:val="0"/>
      <w:marBottom w:val="0"/>
      <w:divBdr>
        <w:top w:val="none" w:sz="0" w:space="0" w:color="auto"/>
        <w:left w:val="none" w:sz="0" w:space="0" w:color="auto"/>
        <w:bottom w:val="none" w:sz="0" w:space="0" w:color="auto"/>
        <w:right w:val="none" w:sz="0" w:space="0" w:color="auto"/>
      </w:divBdr>
    </w:div>
    <w:div w:id="609817309">
      <w:bodyDiv w:val="1"/>
      <w:marLeft w:val="0"/>
      <w:marRight w:val="0"/>
      <w:marTop w:val="0"/>
      <w:marBottom w:val="0"/>
      <w:divBdr>
        <w:top w:val="none" w:sz="0" w:space="0" w:color="auto"/>
        <w:left w:val="none" w:sz="0" w:space="0" w:color="auto"/>
        <w:bottom w:val="none" w:sz="0" w:space="0" w:color="auto"/>
        <w:right w:val="none" w:sz="0" w:space="0" w:color="auto"/>
      </w:divBdr>
    </w:div>
    <w:div w:id="611864046">
      <w:bodyDiv w:val="1"/>
      <w:marLeft w:val="0"/>
      <w:marRight w:val="0"/>
      <w:marTop w:val="0"/>
      <w:marBottom w:val="0"/>
      <w:divBdr>
        <w:top w:val="none" w:sz="0" w:space="0" w:color="auto"/>
        <w:left w:val="none" w:sz="0" w:space="0" w:color="auto"/>
        <w:bottom w:val="none" w:sz="0" w:space="0" w:color="auto"/>
        <w:right w:val="none" w:sz="0" w:space="0" w:color="auto"/>
      </w:divBdr>
    </w:div>
    <w:div w:id="648708009">
      <w:bodyDiv w:val="1"/>
      <w:marLeft w:val="0"/>
      <w:marRight w:val="0"/>
      <w:marTop w:val="0"/>
      <w:marBottom w:val="0"/>
      <w:divBdr>
        <w:top w:val="none" w:sz="0" w:space="0" w:color="auto"/>
        <w:left w:val="none" w:sz="0" w:space="0" w:color="auto"/>
        <w:bottom w:val="none" w:sz="0" w:space="0" w:color="auto"/>
        <w:right w:val="none" w:sz="0" w:space="0" w:color="auto"/>
      </w:divBdr>
    </w:div>
    <w:div w:id="678317582">
      <w:bodyDiv w:val="1"/>
      <w:marLeft w:val="0"/>
      <w:marRight w:val="0"/>
      <w:marTop w:val="0"/>
      <w:marBottom w:val="0"/>
      <w:divBdr>
        <w:top w:val="none" w:sz="0" w:space="0" w:color="auto"/>
        <w:left w:val="none" w:sz="0" w:space="0" w:color="auto"/>
        <w:bottom w:val="none" w:sz="0" w:space="0" w:color="auto"/>
        <w:right w:val="none" w:sz="0" w:space="0" w:color="auto"/>
      </w:divBdr>
    </w:div>
    <w:div w:id="927889673">
      <w:bodyDiv w:val="1"/>
      <w:marLeft w:val="0"/>
      <w:marRight w:val="0"/>
      <w:marTop w:val="0"/>
      <w:marBottom w:val="0"/>
      <w:divBdr>
        <w:top w:val="none" w:sz="0" w:space="0" w:color="auto"/>
        <w:left w:val="none" w:sz="0" w:space="0" w:color="auto"/>
        <w:bottom w:val="none" w:sz="0" w:space="0" w:color="auto"/>
        <w:right w:val="none" w:sz="0" w:space="0" w:color="auto"/>
      </w:divBdr>
    </w:div>
    <w:div w:id="1053843905">
      <w:bodyDiv w:val="1"/>
      <w:marLeft w:val="0"/>
      <w:marRight w:val="0"/>
      <w:marTop w:val="0"/>
      <w:marBottom w:val="0"/>
      <w:divBdr>
        <w:top w:val="none" w:sz="0" w:space="0" w:color="auto"/>
        <w:left w:val="none" w:sz="0" w:space="0" w:color="auto"/>
        <w:bottom w:val="none" w:sz="0" w:space="0" w:color="auto"/>
        <w:right w:val="none" w:sz="0" w:space="0" w:color="auto"/>
      </w:divBdr>
    </w:div>
    <w:div w:id="1079669693">
      <w:bodyDiv w:val="1"/>
      <w:marLeft w:val="0"/>
      <w:marRight w:val="0"/>
      <w:marTop w:val="0"/>
      <w:marBottom w:val="0"/>
      <w:divBdr>
        <w:top w:val="none" w:sz="0" w:space="0" w:color="auto"/>
        <w:left w:val="none" w:sz="0" w:space="0" w:color="auto"/>
        <w:bottom w:val="none" w:sz="0" w:space="0" w:color="auto"/>
        <w:right w:val="none" w:sz="0" w:space="0" w:color="auto"/>
      </w:divBdr>
    </w:div>
    <w:div w:id="1179467427">
      <w:bodyDiv w:val="1"/>
      <w:marLeft w:val="0"/>
      <w:marRight w:val="0"/>
      <w:marTop w:val="0"/>
      <w:marBottom w:val="0"/>
      <w:divBdr>
        <w:top w:val="none" w:sz="0" w:space="0" w:color="auto"/>
        <w:left w:val="none" w:sz="0" w:space="0" w:color="auto"/>
        <w:bottom w:val="none" w:sz="0" w:space="0" w:color="auto"/>
        <w:right w:val="none" w:sz="0" w:space="0" w:color="auto"/>
      </w:divBdr>
    </w:div>
    <w:div w:id="1189833079">
      <w:bodyDiv w:val="1"/>
      <w:marLeft w:val="0"/>
      <w:marRight w:val="0"/>
      <w:marTop w:val="0"/>
      <w:marBottom w:val="0"/>
      <w:divBdr>
        <w:top w:val="none" w:sz="0" w:space="0" w:color="auto"/>
        <w:left w:val="none" w:sz="0" w:space="0" w:color="auto"/>
        <w:bottom w:val="none" w:sz="0" w:space="0" w:color="auto"/>
        <w:right w:val="none" w:sz="0" w:space="0" w:color="auto"/>
      </w:divBdr>
    </w:div>
    <w:div w:id="1217739279">
      <w:bodyDiv w:val="1"/>
      <w:marLeft w:val="0"/>
      <w:marRight w:val="0"/>
      <w:marTop w:val="0"/>
      <w:marBottom w:val="0"/>
      <w:divBdr>
        <w:top w:val="none" w:sz="0" w:space="0" w:color="auto"/>
        <w:left w:val="none" w:sz="0" w:space="0" w:color="auto"/>
        <w:bottom w:val="none" w:sz="0" w:space="0" w:color="auto"/>
        <w:right w:val="none" w:sz="0" w:space="0" w:color="auto"/>
      </w:divBdr>
    </w:div>
    <w:div w:id="1237976523">
      <w:bodyDiv w:val="1"/>
      <w:marLeft w:val="0"/>
      <w:marRight w:val="0"/>
      <w:marTop w:val="0"/>
      <w:marBottom w:val="0"/>
      <w:divBdr>
        <w:top w:val="none" w:sz="0" w:space="0" w:color="auto"/>
        <w:left w:val="none" w:sz="0" w:space="0" w:color="auto"/>
        <w:bottom w:val="none" w:sz="0" w:space="0" w:color="auto"/>
        <w:right w:val="none" w:sz="0" w:space="0" w:color="auto"/>
      </w:divBdr>
    </w:div>
    <w:div w:id="1241601791">
      <w:bodyDiv w:val="1"/>
      <w:marLeft w:val="0"/>
      <w:marRight w:val="0"/>
      <w:marTop w:val="0"/>
      <w:marBottom w:val="0"/>
      <w:divBdr>
        <w:top w:val="none" w:sz="0" w:space="0" w:color="auto"/>
        <w:left w:val="none" w:sz="0" w:space="0" w:color="auto"/>
        <w:bottom w:val="none" w:sz="0" w:space="0" w:color="auto"/>
        <w:right w:val="none" w:sz="0" w:space="0" w:color="auto"/>
      </w:divBdr>
    </w:div>
    <w:div w:id="1255868076">
      <w:bodyDiv w:val="1"/>
      <w:marLeft w:val="0"/>
      <w:marRight w:val="0"/>
      <w:marTop w:val="0"/>
      <w:marBottom w:val="0"/>
      <w:divBdr>
        <w:top w:val="none" w:sz="0" w:space="0" w:color="auto"/>
        <w:left w:val="none" w:sz="0" w:space="0" w:color="auto"/>
        <w:bottom w:val="none" w:sz="0" w:space="0" w:color="auto"/>
        <w:right w:val="none" w:sz="0" w:space="0" w:color="auto"/>
      </w:divBdr>
    </w:div>
    <w:div w:id="1350639334">
      <w:bodyDiv w:val="1"/>
      <w:marLeft w:val="0"/>
      <w:marRight w:val="0"/>
      <w:marTop w:val="0"/>
      <w:marBottom w:val="0"/>
      <w:divBdr>
        <w:top w:val="none" w:sz="0" w:space="0" w:color="auto"/>
        <w:left w:val="none" w:sz="0" w:space="0" w:color="auto"/>
        <w:bottom w:val="none" w:sz="0" w:space="0" w:color="auto"/>
        <w:right w:val="none" w:sz="0" w:space="0" w:color="auto"/>
      </w:divBdr>
    </w:div>
    <w:div w:id="1452287933">
      <w:bodyDiv w:val="1"/>
      <w:marLeft w:val="0"/>
      <w:marRight w:val="0"/>
      <w:marTop w:val="0"/>
      <w:marBottom w:val="0"/>
      <w:divBdr>
        <w:top w:val="none" w:sz="0" w:space="0" w:color="auto"/>
        <w:left w:val="none" w:sz="0" w:space="0" w:color="auto"/>
        <w:bottom w:val="none" w:sz="0" w:space="0" w:color="auto"/>
        <w:right w:val="none" w:sz="0" w:space="0" w:color="auto"/>
      </w:divBdr>
    </w:div>
    <w:div w:id="1470903726">
      <w:bodyDiv w:val="1"/>
      <w:marLeft w:val="0"/>
      <w:marRight w:val="0"/>
      <w:marTop w:val="0"/>
      <w:marBottom w:val="0"/>
      <w:divBdr>
        <w:top w:val="none" w:sz="0" w:space="0" w:color="auto"/>
        <w:left w:val="none" w:sz="0" w:space="0" w:color="auto"/>
        <w:bottom w:val="none" w:sz="0" w:space="0" w:color="auto"/>
        <w:right w:val="none" w:sz="0" w:space="0" w:color="auto"/>
      </w:divBdr>
    </w:div>
    <w:div w:id="1473597079">
      <w:bodyDiv w:val="1"/>
      <w:marLeft w:val="0"/>
      <w:marRight w:val="0"/>
      <w:marTop w:val="0"/>
      <w:marBottom w:val="0"/>
      <w:divBdr>
        <w:top w:val="none" w:sz="0" w:space="0" w:color="auto"/>
        <w:left w:val="none" w:sz="0" w:space="0" w:color="auto"/>
        <w:bottom w:val="none" w:sz="0" w:space="0" w:color="auto"/>
        <w:right w:val="none" w:sz="0" w:space="0" w:color="auto"/>
      </w:divBdr>
    </w:div>
    <w:div w:id="1486892824">
      <w:bodyDiv w:val="1"/>
      <w:marLeft w:val="0"/>
      <w:marRight w:val="0"/>
      <w:marTop w:val="0"/>
      <w:marBottom w:val="0"/>
      <w:divBdr>
        <w:top w:val="none" w:sz="0" w:space="0" w:color="auto"/>
        <w:left w:val="none" w:sz="0" w:space="0" w:color="auto"/>
        <w:bottom w:val="none" w:sz="0" w:space="0" w:color="auto"/>
        <w:right w:val="none" w:sz="0" w:space="0" w:color="auto"/>
      </w:divBdr>
    </w:div>
    <w:div w:id="1500581180">
      <w:bodyDiv w:val="1"/>
      <w:marLeft w:val="0"/>
      <w:marRight w:val="0"/>
      <w:marTop w:val="0"/>
      <w:marBottom w:val="0"/>
      <w:divBdr>
        <w:top w:val="none" w:sz="0" w:space="0" w:color="auto"/>
        <w:left w:val="none" w:sz="0" w:space="0" w:color="auto"/>
        <w:bottom w:val="none" w:sz="0" w:space="0" w:color="auto"/>
        <w:right w:val="none" w:sz="0" w:space="0" w:color="auto"/>
      </w:divBdr>
    </w:div>
    <w:div w:id="1526747200">
      <w:bodyDiv w:val="1"/>
      <w:marLeft w:val="0"/>
      <w:marRight w:val="0"/>
      <w:marTop w:val="0"/>
      <w:marBottom w:val="0"/>
      <w:divBdr>
        <w:top w:val="none" w:sz="0" w:space="0" w:color="auto"/>
        <w:left w:val="none" w:sz="0" w:space="0" w:color="auto"/>
        <w:bottom w:val="none" w:sz="0" w:space="0" w:color="auto"/>
        <w:right w:val="none" w:sz="0" w:space="0" w:color="auto"/>
      </w:divBdr>
    </w:div>
    <w:div w:id="1554735886">
      <w:bodyDiv w:val="1"/>
      <w:marLeft w:val="0"/>
      <w:marRight w:val="0"/>
      <w:marTop w:val="0"/>
      <w:marBottom w:val="0"/>
      <w:divBdr>
        <w:top w:val="none" w:sz="0" w:space="0" w:color="auto"/>
        <w:left w:val="none" w:sz="0" w:space="0" w:color="auto"/>
        <w:bottom w:val="none" w:sz="0" w:space="0" w:color="auto"/>
        <w:right w:val="none" w:sz="0" w:space="0" w:color="auto"/>
      </w:divBdr>
    </w:div>
    <w:div w:id="1590188984">
      <w:bodyDiv w:val="1"/>
      <w:marLeft w:val="0"/>
      <w:marRight w:val="0"/>
      <w:marTop w:val="0"/>
      <w:marBottom w:val="0"/>
      <w:divBdr>
        <w:top w:val="none" w:sz="0" w:space="0" w:color="auto"/>
        <w:left w:val="none" w:sz="0" w:space="0" w:color="auto"/>
        <w:bottom w:val="none" w:sz="0" w:space="0" w:color="auto"/>
        <w:right w:val="none" w:sz="0" w:space="0" w:color="auto"/>
      </w:divBdr>
    </w:div>
    <w:div w:id="1662732854">
      <w:bodyDiv w:val="1"/>
      <w:marLeft w:val="0"/>
      <w:marRight w:val="0"/>
      <w:marTop w:val="0"/>
      <w:marBottom w:val="0"/>
      <w:divBdr>
        <w:top w:val="none" w:sz="0" w:space="0" w:color="auto"/>
        <w:left w:val="none" w:sz="0" w:space="0" w:color="auto"/>
        <w:bottom w:val="none" w:sz="0" w:space="0" w:color="auto"/>
        <w:right w:val="none" w:sz="0" w:space="0" w:color="auto"/>
      </w:divBdr>
    </w:div>
    <w:div w:id="1678580940">
      <w:bodyDiv w:val="1"/>
      <w:marLeft w:val="0"/>
      <w:marRight w:val="0"/>
      <w:marTop w:val="0"/>
      <w:marBottom w:val="0"/>
      <w:divBdr>
        <w:top w:val="none" w:sz="0" w:space="0" w:color="auto"/>
        <w:left w:val="none" w:sz="0" w:space="0" w:color="auto"/>
        <w:bottom w:val="none" w:sz="0" w:space="0" w:color="auto"/>
        <w:right w:val="none" w:sz="0" w:space="0" w:color="auto"/>
      </w:divBdr>
    </w:div>
    <w:div w:id="1681084884">
      <w:bodyDiv w:val="1"/>
      <w:marLeft w:val="0"/>
      <w:marRight w:val="0"/>
      <w:marTop w:val="0"/>
      <w:marBottom w:val="0"/>
      <w:divBdr>
        <w:top w:val="none" w:sz="0" w:space="0" w:color="auto"/>
        <w:left w:val="none" w:sz="0" w:space="0" w:color="auto"/>
        <w:bottom w:val="none" w:sz="0" w:space="0" w:color="auto"/>
        <w:right w:val="none" w:sz="0" w:space="0" w:color="auto"/>
      </w:divBdr>
    </w:div>
    <w:div w:id="1715692646">
      <w:bodyDiv w:val="1"/>
      <w:marLeft w:val="0"/>
      <w:marRight w:val="0"/>
      <w:marTop w:val="0"/>
      <w:marBottom w:val="0"/>
      <w:divBdr>
        <w:top w:val="none" w:sz="0" w:space="0" w:color="auto"/>
        <w:left w:val="none" w:sz="0" w:space="0" w:color="auto"/>
        <w:bottom w:val="none" w:sz="0" w:space="0" w:color="auto"/>
        <w:right w:val="none" w:sz="0" w:space="0" w:color="auto"/>
      </w:divBdr>
    </w:div>
    <w:div w:id="1737706815">
      <w:bodyDiv w:val="1"/>
      <w:marLeft w:val="0"/>
      <w:marRight w:val="0"/>
      <w:marTop w:val="0"/>
      <w:marBottom w:val="0"/>
      <w:divBdr>
        <w:top w:val="none" w:sz="0" w:space="0" w:color="auto"/>
        <w:left w:val="none" w:sz="0" w:space="0" w:color="auto"/>
        <w:bottom w:val="none" w:sz="0" w:space="0" w:color="auto"/>
        <w:right w:val="none" w:sz="0" w:space="0" w:color="auto"/>
      </w:divBdr>
    </w:div>
    <w:div w:id="1740788152">
      <w:bodyDiv w:val="1"/>
      <w:marLeft w:val="0"/>
      <w:marRight w:val="0"/>
      <w:marTop w:val="0"/>
      <w:marBottom w:val="0"/>
      <w:divBdr>
        <w:top w:val="none" w:sz="0" w:space="0" w:color="auto"/>
        <w:left w:val="none" w:sz="0" w:space="0" w:color="auto"/>
        <w:bottom w:val="none" w:sz="0" w:space="0" w:color="auto"/>
        <w:right w:val="none" w:sz="0" w:space="0" w:color="auto"/>
      </w:divBdr>
    </w:div>
    <w:div w:id="1745756894">
      <w:bodyDiv w:val="1"/>
      <w:marLeft w:val="0"/>
      <w:marRight w:val="0"/>
      <w:marTop w:val="0"/>
      <w:marBottom w:val="0"/>
      <w:divBdr>
        <w:top w:val="none" w:sz="0" w:space="0" w:color="auto"/>
        <w:left w:val="none" w:sz="0" w:space="0" w:color="auto"/>
        <w:bottom w:val="none" w:sz="0" w:space="0" w:color="auto"/>
        <w:right w:val="none" w:sz="0" w:space="0" w:color="auto"/>
      </w:divBdr>
    </w:div>
    <w:div w:id="1771392549">
      <w:bodyDiv w:val="1"/>
      <w:marLeft w:val="0"/>
      <w:marRight w:val="0"/>
      <w:marTop w:val="0"/>
      <w:marBottom w:val="0"/>
      <w:divBdr>
        <w:top w:val="none" w:sz="0" w:space="0" w:color="auto"/>
        <w:left w:val="none" w:sz="0" w:space="0" w:color="auto"/>
        <w:bottom w:val="none" w:sz="0" w:space="0" w:color="auto"/>
        <w:right w:val="none" w:sz="0" w:space="0" w:color="auto"/>
      </w:divBdr>
    </w:div>
    <w:div w:id="1807047621">
      <w:bodyDiv w:val="1"/>
      <w:marLeft w:val="0"/>
      <w:marRight w:val="0"/>
      <w:marTop w:val="0"/>
      <w:marBottom w:val="0"/>
      <w:divBdr>
        <w:top w:val="none" w:sz="0" w:space="0" w:color="auto"/>
        <w:left w:val="none" w:sz="0" w:space="0" w:color="auto"/>
        <w:bottom w:val="none" w:sz="0" w:space="0" w:color="auto"/>
        <w:right w:val="none" w:sz="0" w:space="0" w:color="auto"/>
      </w:divBdr>
    </w:div>
    <w:div w:id="1822693164">
      <w:bodyDiv w:val="1"/>
      <w:marLeft w:val="0"/>
      <w:marRight w:val="0"/>
      <w:marTop w:val="0"/>
      <w:marBottom w:val="0"/>
      <w:divBdr>
        <w:top w:val="none" w:sz="0" w:space="0" w:color="auto"/>
        <w:left w:val="none" w:sz="0" w:space="0" w:color="auto"/>
        <w:bottom w:val="none" w:sz="0" w:space="0" w:color="auto"/>
        <w:right w:val="none" w:sz="0" w:space="0" w:color="auto"/>
      </w:divBdr>
    </w:div>
    <w:div w:id="1852403842">
      <w:bodyDiv w:val="1"/>
      <w:marLeft w:val="0"/>
      <w:marRight w:val="0"/>
      <w:marTop w:val="0"/>
      <w:marBottom w:val="0"/>
      <w:divBdr>
        <w:top w:val="none" w:sz="0" w:space="0" w:color="auto"/>
        <w:left w:val="none" w:sz="0" w:space="0" w:color="auto"/>
        <w:bottom w:val="none" w:sz="0" w:space="0" w:color="auto"/>
        <w:right w:val="none" w:sz="0" w:space="0" w:color="auto"/>
      </w:divBdr>
    </w:div>
    <w:div w:id="2021010209">
      <w:bodyDiv w:val="1"/>
      <w:marLeft w:val="0"/>
      <w:marRight w:val="0"/>
      <w:marTop w:val="0"/>
      <w:marBottom w:val="0"/>
      <w:divBdr>
        <w:top w:val="none" w:sz="0" w:space="0" w:color="auto"/>
        <w:left w:val="none" w:sz="0" w:space="0" w:color="auto"/>
        <w:bottom w:val="none" w:sz="0" w:space="0" w:color="auto"/>
        <w:right w:val="none" w:sz="0" w:space="0" w:color="auto"/>
      </w:divBdr>
    </w:div>
    <w:div w:id="2022119789">
      <w:bodyDiv w:val="1"/>
      <w:marLeft w:val="0"/>
      <w:marRight w:val="0"/>
      <w:marTop w:val="0"/>
      <w:marBottom w:val="0"/>
      <w:divBdr>
        <w:top w:val="none" w:sz="0" w:space="0" w:color="auto"/>
        <w:left w:val="none" w:sz="0" w:space="0" w:color="auto"/>
        <w:bottom w:val="none" w:sz="0" w:space="0" w:color="auto"/>
        <w:right w:val="none" w:sz="0" w:space="0" w:color="auto"/>
      </w:divBdr>
    </w:div>
    <w:div w:id="2041472431">
      <w:bodyDiv w:val="1"/>
      <w:marLeft w:val="0"/>
      <w:marRight w:val="0"/>
      <w:marTop w:val="0"/>
      <w:marBottom w:val="0"/>
      <w:divBdr>
        <w:top w:val="none" w:sz="0" w:space="0" w:color="auto"/>
        <w:left w:val="none" w:sz="0" w:space="0" w:color="auto"/>
        <w:bottom w:val="none" w:sz="0" w:space="0" w:color="auto"/>
        <w:right w:val="none" w:sz="0" w:space="0" w:color="auto"/>
      </w:divBdr>
    </w:div>
    <w:div w:id="2053731036">
      <w:bodyDiv w:val="1"/>
      <w:marLeft w:val="0"/>
      <w:marRight w:val="0"/>
      <w:marTop w:val="0"/>
      <w:marBottom w:val="0"/>
      <w:divBdr>
        <w:top w:val="none" w:sz="0" w:space="0" w:color="auto"/>
        <w:left w:val="none" w:sz="0" w:space="0" w:color="auto"/>
        <w:bottom w:val="none" w:sz="0" w:space="0" w:color="auto"/>
        <w:right w:val="none" w:sz="0" w:space="0" w:color="auto"/>
      </w:divBdr>
    </w:div>
    <w:div w:id="21280877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1.xml"/><Relationship Id="rId13" Type="http://schemas.openxmlformats.org/officeDocument/2006/relationships/image" Target="media/image5.png"/><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image" Target="media/image7.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hyperlink" Target="https://eur01.safelinks.protection.outlook.com/?url=https%3A%2F%2Fyoutu.be%2FvCKKKkHcjcY&amp;data=02%7C01%7C%7C228ff04023604debb16508d8079c0a3c%7C4e0f11f9046e45059cb8db2152311e21%7C0%7C0%7C637267714176583028&amp;sdata=hIAVad5%2F9gRHFeWb3FLBHVoT3EtpwcUTC8kCTGVCTYQ%3D&amp;reserved=0" TargetMode="External"/><Relationship Id="rId10" Type="http://schemas.openxmlformats.org/officeDocument/2006/relationships/image" Target="media/image2.pn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image" Target="media/image6.png"/></Relationships>
</file>

<file path=word/charts/_rels/chart1.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cap="none" spc="0" normalizeH="0" baseline="0">
                <a:solidFill>
                  <a:schemeClr val="dk1">
                    <a:lumMod val="50000"/>
                    <a:lumOff val="50000"/>
                  </a:schemeClr>
                </a:solidFill>
                <a:latin typeface="+mj-lt"/>
                <a:ea typeface="+mj-ea"/>
                <a:cs typeface="+mj-cs"/>
              </a:defRPr>
            </a:pPr>
            <a:r>
              <a:rPr lang="en-GB"/>
              <a:t>Profit</a:t>
            </a:r>
            <a:r>
              <a:rPr lang="en-GB" baseline="0"/>
              <a:t> before Tax</a:t>
            </a:r>
            <a:endParaRPr lang="en-GB"/>
          </a:p>
        </c:rich>
      </c:tx>
      <c:overlay val="0"/>
      <c:spPr>
        <a:noFill/>
        <a:ln>
          <a:noFill/>
        </a:ln>
        <a:effectLst/>
      </c:spPr>
      <c:txPr>
        <a:bodyPr rot="0" spcFirstLastPara="1" vertOverflow="ellipsis" vert="horz" wrap="square" anchor="ctr" anchorCtr="1"/>
        <a:lstStyle/>
        <a:p>
          <a:pPr>
            <a:defRPr sz="1600" b="1" i="0" u="none" strike="noStrike" kern="1200" cap="none" spc="0" normalizeH="0" baseline="0">
              <a:solidFill>
                <a:schemeClr val="dk1">
                  <a:lumMod val="50000"/>
                  <a:lumOff val="50000"/>
                </a:schemeClr>
              </a:solidFill>
              <a:latin typeface="+mj-lt"/>
              <a:ea typeface="+mj-ea"/>
              <a:cs typeface="+mj-cs"/>
            </a:defRPr>
          </a:pPr>
          <a:endParaRPr lang="en-US"/>
        </a:p>
      </c:txPr>
    </c:title>
    <c:autoTitleDeleted val="0"/>
    <c:plotArea>
      <c:layout/>
      <c:lineChart>
        <c:grouping val="standard"/>
        <c:varyColors val="0"/>
        <c:ser>
          <c:idx val="0"/>
          <c:order val="0"/>
          <c:spPr>
            <a:ln w="22225" cap="rnd">
              <a:solidFill>
                <a:schemeClr val="accent1"/>
              </a:solidFill>
              <a:round/>
            </a:ln>
            <a:effectLst/>
          </c:spPr>
          <c:marker>
            <c:symbol val="none"/>
          </c:marker>
          <c:cat>
            <c:numRef>
              <c:f>Sheet1!$E$1:$J$1</c:f>
              <c:numCache>
                <c:formatCode>General</c:formatCode>
                <c:ptCount val="6"/>
                <c:pt idx="0">
                  <c:v>2014</c:v>
                </c:pt>
                <c:pt idx="1">
                  <c:v>2015</c:v>
                </c:pt>
                <c:pt idx="2">
                  <c:v>2016</c:v>
                </c:pt>
                <c:pt idx="3">
                  <c:v>2017</c:v>
                </c:pt>
                <c:pt idx="4">
                  <c:v>2018</c:v>
                </c:pt>
                <c:pt idx="5">
                  <c:v>2019</c:v>
                </c:pt>
              </c:numCache>
            </c:numRef>
          </c:cat>
          <c:val>
            <c:numRef>
              <c:f>Sheet1!$E$2:$J$2</c:f>
              <c:numCache>
                <c:formatCode>General</c:formatCode>
                <c:ptCount val="6"/>
                <c:pt idx="0">
                  <c:v>1313</c:v>
                </c:pt>
                <c:pt idx="1">
                  <c:v>1146</c:v>
                </c:pt>
                <c:pt idx="2">
                  <c:v>3230</c:v>
                </c:pt>
                <c:pt idx="3">
                  <c:v>3541</c:v>
                </c:pt>
                <c:pt idx="4">
                  <c:v>3494</c:v>
                </c:pt>
                <c:pt idx="5">
                  <c:v>4357</c:v>
                </c:pt>
              </c:numCache>
            </c:numRef>
          </c:val>
          <c:smooth val="0"/>
          <c:extLst>
            <c:ext xmlns:c16="http://schemas.microsoft.com/office/drawing/2014/chart" uri="{C3380CC4-5D6E-409C-BE32-E72D297353CC}">
              <c16:uniqueId val="{00000000-4094-454E-A9AA-9C0D808AC86D}"/>
            </c:ext>
          </c:extLst>
        </c:ser>
        <c:dLbls>
          <c:showLegendKey val="0"/>
          <c:showVal val="0"/>
          <c:showCatName val="0"/>
          <c:showSerName val="0"/>
          <c:showPercent val="0"/>
          <c:showBubbleSize val="0"/>
        </c:dLbls>
        <c:smooth val="0"/>
        <c:axId val="500702400"/>
        <c:axId val="500700104"/>
      </c:lineChart>
      <c:catAx>
        <c:axId val="500702400"/>
        <c:scaling>
          <c:orientation val="minMax"/>
        </c:scaling>
        <c:delete val="0"/>
        <c:axPos val="b"/>
        <c:majorGridlines>
          <c:spPr>
            <a:ln w="9525" cap="flat" cmpd="sng" algn="ctr">
              <a:solidFill>
                <a:schemeClr val="dk1">
                  <a:lumMod val="15000"/>
                  <a:lumOff val="85000"/>
                  <a:alpha val="54000"/>
                </a:schemeClr>
              </a:solidFill>
              <a:round/>
            </a:ln>
            <a:effectLst/>
          </c:spPr>
        </c:majorGridlines>
        <c:minorGridlines>
          <c:spPr>
            <a:ln w="9525" cap="flat" cmpd="sng" algn="ctr">
              <a:solidFill>
                <a:schemeClr val="dk1">
                  <a:lumMod val="15000"/>
                  <a:lumOff val="85000"/>
                  <a:alpha val="51000"/>
                </a:schemeClr>
              </a:solidFill>
              <a:round/>
            </a:ln>
            <a:effectLst/>
          </c:spPr>
        </c:minorGridlines>
        <c:numFmt formatCode="General" sourceLinked="1"/>
        <c:majorTickMark val="none"/>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cap="none" spc="0" normalizeH="0" baseline="0">
                <a:solidFill>
                  <a:schemeClr val="dk1">
                    <a:lumMod val="65000"/>
                    <a:lumOff val="35000"/>
                  </a:schemeClr>
                </a:solidFill>
                <a:latin typeface="+mn-lt"/>
                <a:ea typeface="+mn-ea"/>
                <a:cs typeface="+mn-cs"/>
              </a:defRPr>
            </a:pPr>
            <a:endParaRPr lang="en-US"/>
          </a:p>
        </c:txPr>
        <c:crossAx val="500700104"/>
        <c:crosses val="autoZero"/>
        <c:auto val="1"/>
        <c:lblAlgn val="ctr"/>
        <c:lblOffset val="100"/>
        <c:noMultiLvlLbl val="0"/>
      </c:catAx>
      <c:valAx>
        <c:axId val="500700104"/>
        <c:scaling>
          <c:orientation val="minMax"/>
        </c:scaling>
        <c:delete val="0"/>
        <c:axPos val="l"/>
        <c:majorGridlines>
          <c:spPr>
            <a:ln w="9525" cap="flat" cmpd="sng" algn="ctr">
              <a:solidFill>
                <a:schemeClr val="dk1">
                  <a:lumMod val="15000"/>
                  <a:lumOff val="85000"/>
                  <a:alpha val="54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en-US"/>
          </a:p>
        </c:txPr>
        <c:crossAx val="500702400"/>
        <c:crosses val="autoZero"/>
        <c:crossBetween val="between"/>
      </c:valAx>
      <c:spPr>
        <a:pattFill prst="ltDnDiag">
          <a:fgClr>
            <a:schemeClr val="dk1">
              <a:lumMod val="15000"/>
              <a:lumOff val="85000"/>
            </a:schemeClr>
          </a:fgClr>
          <a:bgClr>
            <a:schemeClr val="lt1"/>
          </a:bgClr>
        </a:pattFill>
        <a:ln>
          <a:noFill/>
        </a:ln>
        <a:effectLst/>
      </c:spPr>
    </c:plotArea>
    <c:plotVisOnly val="1"/>
    <c:dispBlanksAs val="gap"/>
    <c:showDLblsOverMax val="0"/>
  </c:chart>
  <c:spPr>
    <a:solidFill>
      <a:schemeClr val="lt1"/>
    </a:solid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32">
  <cs:axisTitle>
    <cs:lnRef idx="0"/>
    <cs:fillRef idx="0"/>
    <cs:effectRef idx="0"/>
    <cs:fontRef idx="minor">
      <a:schemeClr val="dk1">
        <a:lumMod val="65000"/>
        <a:lumOff val="35000"/>
      </a:schemeClr>
    </cs:fontRef>
    <cs:defRPr sz="900" b="1" kern="1200"/>
  </cs:axisTitle>
  <cs:categoryAxis>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900" kern="1200" cap="none" spc="0" normalizeH="0" baseline="0"/>
  </cs:categoryAxis>
  <cs:chartArea>
    <cs:lnRef idx="0"/>
    <cs:fillRef idx="0"/>
    <cs:effectRef idx="0"/>
    <cs:fontRef idx="minor">
      <a:schemeClr val="dk1"/>
    </cs:fontRef>
    <cs:spPr>
      <a:solidFill>
        <a:schemeClr val="lt1"/>
      </a:solidFill>
      <a:ln w="9525" cap="flat" cmpd="sng" algn="ctr">
        <a:solidFill>
          <a:schemeClr val="dk1">
            <a:lumMod val="15000"/>
            <a:lumOff val="85000"/>
          </a:schemeClr>
        </a:solidFill>
        <a:round/>
      </a:ln>
    </cs:spPr>
    <cs:defRPr sz="900" kern="1200"/>
  </cs:chartArea>
  <cs:dataLabel>
    <cs:lnRef idx="0"/>
    <cs:fillRef idx="0"/>
    <cs:effectRef idx="0"/>
    <cs:fontRef idx="minor">
      <a:schemeClr val="dk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lt1"/>
      </a:solidFill>
      <a:ln w="15875">
        <a:solidFill>
          <a:schemeClr val="phClr"/>
        </a:solidFill>
        <a:round/>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800" kern="1200"/>
  </cs:dataTable>
  <cs:downBar>
    <cs:lnRef idx="0"/>
    <cs:fillRef idx="0"/>
    <cs:effectRef idx="0"/>
    <cs:fontRef idx="minor">
      <a:schemeClr val="dk1"/>
    </cs:fontRef>
    <cs:spPr>
      <a:solidFill>
        <a:schemeClr val="dk1">
          <a:lumMod val="75000"/>
          <a:lumOff val="25000"/>
        </a:schemeClr>
      </a:solidFill>
      <a:ln w="9525" cap="flat" cmpd="sng" algn="ctr">
        <a:solidFill>
          <a:schemeClr val="dk1">
            <a:lumMod val="50000"/>
            <a:lumOff val="50000"/>
          </a:schemeClr>
        </a:solidFill>
        <a:round/>
      </a:ln>
    </cs:spPr>
  </cs:downBar>
  <cs:dropLine>
    <cs:lnRef idx="0"/>
    <cs:fillRef idx="0"/>
    <cs:effectRef idx="0"/>
    <cs:fontRef idx="minor">
      <a:schemeClr val="dk1"/>
    </cs:fontRef>
    <cs:spPr>
      <a:ln w="9525" cap="flat" cmpd="sng" algn="ctr">
        <a:solidFill>
          <a:schemeClr val="dk1">
            <a:lumMod val="35000"/>
            <a:lumOff val="65000"/>
          </a:schemeClr>
        </a:solidFill>
        <a:round/>
      </a:ln>
    </cs:spPr>
  </cs:dropLine>
  <cs:errorBar>
    <cs:lnRef idx="0"/>
    <cs:fillRef idx="0"/>
    <cs:effectRef idx="0"/>
    <cs:fontRef idx="minor">
      <a:schemeClr val="dk1"/>
    </cs:fontRef>
    <cs:spPr>
      <a:ln w="9525" cap="flat" cmpd="sng" algn="ctr">
        <a:solidFill>
          <a:schemeClr val="dk1">
            <a:lumMod val="50000"/>
            <a:lumOff val="50000"/>
          </a:schemeClr>
        </a:solidFill>
        <a:round/>
      </a:ln>
    </cs:spPr>
  </cs:errorBar>
  <cs:floor>
    <cs:lnRef idx="0"/>
    <cs:fillRef idx="0"/>
    <cs:effectRef idx="0"/>
    <cs:fontRef idx="minor">
      <a:schemeClr val="dk1"/>
    </cs:fontRef>
    <cs:spPr>
      <a:pattFill prst="ltDnDiag">
        <a:fgClr>
          <a:schemeClr val="dk1">
            <a:lumMod val="15000"/>
            <a:lumOff val="85000"/>
          </a:schemeClr>
        </a:fgClr>
        <a:bgClr>
          <a:schemeClr val="lt1"/>
        </a:bgClr>
      </a:pattFill>
    </cs:spPr>
  </cs:floor>
  <cs:gridlineMajor>
    <cs:lnRef idx="0"/>
    <cs:fillRef idx="0"/>
    <cs:effectRef idx="0"/>
    <cs:fontRef idx="minor">
      <a:schemeClr val="dk1"/>
    </cs:fontRef>
    <cs:spPr>
      <a:ln w="9525" cap="flat" cmpd="sng" algn="ctr">
        <a:solidFill>
          <a:schemeClr val="dk1">
            <a:lumMod val="15000"/>
            <a:lumOff val="85000"/>
            <a:alpha val="54000"/>
          </a:schemeClr>
        </a:solidFill>
        <a:round/>
      </a:ln>
    </cs:spPr>
  </cs:gridlineMajor>
  <cs:gridlineMinor>
    <cs:lnRef idx="0"/>
    <cs:fillRef idx="0"/>
    <cs:effectRef idx="0"/>
    <cs:fontRef idx="minor">
      <a:schemeClr val="dk1"/>
    </cs:fontRef>
    <cs:spPr>
      <a:ln w="9525" cap="flat" cmpd="sng" algn="ctr">
        <a:solidFill>
          <a:schemeClr val="dk1">
            <a:lumMod val="15000"/>
            <a:lumOff val="85000"/>
            <a:alpha val="51000"/>
          </a:schemeClr>
        </a:solidFill>
        <a:round/>
      </a:ln>
    </cs:spPr>
  </cs:gridlineMinor>
  <cs:hiLoLine>
    <cs:lnRef idx="0"/>
    <cs:fillRef idx="0"/>
    <cs:effectRef idx="0"/>
    <cs:fontRef idx="minor">
      <a:schemeClr val="dk1"/>
    </cs:fontRef>
    <cs:spPr>
      <a:ln w="9525" cap="flat" cmpd="sng" algn="ctr">
        <a:solidFill>
          <a:schemeClr val="dk1">
            <a:lumMod val="35000"/>
            <a:lumOff val="65000"/>
          </a:schemeClr>
        </a:solidFill>
        <a:round/>
      </a:ln>
    </cs:spPr>
  </cs:hiLoLine>
  <cs:leaderLine>
    <cs:lnRef idx="0"/>
    <cs:fillRef idx="0"/>
    <cs:effectRef idx="0"/>
    <cs:fontRef idx="minor">
      <a:schemeClr val="dk1"/>
    </cs:fontRef>
    <cs:spPr>
      <a:ln w="9525" cap="flat" cmpd="sng" algn="ctr">
        <a:solidFill>
          <a:schemeClr val="dk1">
            <a:lumMod val="35000"/>
            <a:lumOff val="65000"/>
          </a:schemeClr>
        </a:solidFill>
        <a:round/>
      </a:ln>
    </cs:spPr>
  </cs:leaderLine>
  <cs:legend>
    <cs:lnRef idx="0"/>
    <cs:fillRef idx="0"/>
    <cs:effectRef idx="0"/>
    <cs:fontRef idx="minor">
      <a:schemeClr val="dk1">
        <a:lumMod val="65000"/>
        <a:lumOff val="35000"/>
      </a:schemeClr>
    </cs:fontRef>
    <cs:defRPr sz="900" kern="1200"/>
  </cs:legend>
  <cs:plotArea>
    <cs:lnRef idx="0"/>
    <cs:fillRef idx="0"/>
    <cs:effectRef idx="0"/>
    <cs:fontRef idx="minor">
      <a:schemeClr val="dk1"/>
    </cs:fontRef>
    <cs:spPr>
      <a:pattFill prst="ltDnDiag">
        <a:fgClr>
          <a:schemeClr val="dk1">
            <a:lumMod val="15000"/>
            <a:lumOff val="85000"/>
          </a:schemeClr>
        </a:fgClr>
        <a:bgClr>
          <a:schemeClr val="lt1"/>
        </a:bgClr>
      </a:pattFill>
    </cs:spPr>
  </cs:plotArea>
  <cs:plotArea3D>
    <cs:lnRef idx="0"/>
    <cs:fillRef idx="0"/>
    <cs:effectRef idx="0"/>
    <cs:fontRef idx="minor">
      <a:schemeClr val="dk1"/>
    </cs:fontRef>
    <cs:spPr>
      <a:solidFill>
        <a:schemeClr val="lt1"/>
      </a:solidFill>
    </cs:spPr>
  </cs:plotArea3D>
  <cs:seriesAxis>
    <cs:lnRef idx="0"/>
    <cs:fillRef idx="0"/>
    <cs:effectRef idx="0"/>
    <cs:fontRef idx="minor">
      <a:schemeClr val="dk1">
        <a:lumMod val="65000"/>
        <a:lumOff val="35000"/>
      </a:schemeClr>
    </cs:fontRef>
    <cs:defRPr sz="900" kern="1200"/>
  </cs:seriesAxis>
  <cs:seriesLine>
    <cs:lnRef idx="0"/>
    <cs:fillRef idx="0"/>
    <cs:effectRef idx="0"/>
    <cs:fontRef idx="minor">
      <a:schemeClr val="dk1"/>
    </cs:fontRef>
    <cs:spPr>
      <a:ln w="9525" cap="flat" cmpd="sng" algn="ctr">
        <a:solidFill>
          <a:schemeClr val="dk1">
            <a:lumMod val="35000"/>
            <a:lumOff val="65000"/>
          </a:schemeClr>
        </a:solidFill>
        <a:round/>
      </a:ln>
    </cs:spPr>
  </cs:seriesLine>
  <cs:title>
    <cs:lnRef idx="0"/>
    <cs:fillRef idx="0"/>
    <cs:effectRef idx="0"/>
    <cs:fontRef idx="major">
      <a:schemeClr val="dk1">
        <a:lumMod val="50000"/>
        <a:lumOff val="50000"/>
      </a:schemeClr>
    </cs:fontRef>
    <cs:defRPr sz="1600" b="1" kern="1200" cap="none" spc="0" normalizeH="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cap="flat" cmpd="sng" algn="ctr">
        <a:solidFill>
          <a:schemeClr val="dk1">
            <a:lumMod val="50000"/>
            <a:lumOff val="50000"/>
          </a:schemeClr>
        </a:solidFill>
        <a:round/>
      </a:ln>
    </cs:spPr>
  </cs:upBar>
  <cs:valueAxis>
    <cs:lnRef idx="0"/>
    <cs:fillRef idx="0"/>
    <cs:effectRef idx="0"/>
    <cs:fontRef idx="minor">
      <a:schemeClr val="dk1">
        <a:lumMod val="65000"/>
        <a:lumOff val="35000"/>
      </a:schemeClr>
    </cs:fontRef>
    <cs:defRPr sz="900" kern="1200"/>
  </cs:valueAxis>
  <cs:wall>
    <cs:lnRef idx="0"/>
    <cs:fillRef idx="0"/>
    <cs:effectRef idx="0"/>
    <cs:fontRef idx="minor">
      <a:schemeClr val="dk1"/>
    </cs:fontRef>
    <cs:spPr>
      <a:pattFill prst="ltDnDiag">
        <a:fgClr>
          <a:schemeClr val="dk1">
            <a:lumMod val="15000"/>
            <a:lumOff val="85000"/>
          </a:schemeClr>
        </a:fgClr>
        <a:bgClr>
          <a:schemeClr val="lt1"/>
        </a:bgClr>
      </a:pattFill>
    </cs:spPr>
  </cs:wall>
</cs:chartStyle>
</file>

<file path=word/theme/theme1.xml><?xml version="1.0" encoding="utf-8"?>
<a:theme xmlns:a="http://schemas.openxmlformats.org/drawingml/2006/main" name="Office Theme">
  <a:themeElements>
    <a:clrScheme name="Aspect">
      <a:dk1>
        <a:sysClr val="windowText" lastClr="000000"/>
      </a:dk1>
      <a:lt1>
        <a:sysClr val="window" lastClr="FFFFFF"/>
      </a:lt1>
      <a:dk2>
        <a:srgbClr val="323232"/>
      </a:dk2>
      <a:lt2>
        <a:srgbClr val="E3DED1"/>
      </a:lt2>
      <a:accent1>
        <a:srgbClr val="F07F09"/>
      </a:accent1>
      <a:accent2>
        <a:srgbClr val="9F2936"/>
      </a:accent2>
      <a:accent3>
        <a:srgbClr val="1B587C"/>
      </a:accent3>
      <a:accent4>
        <a:srgbClr val="4E8542"/>
      </a:accent4>
      <a:accent5>
        <a:srgbClr val="604878"/>
      </a:accent5>
      <a:accent6>
        <a:srgbClr val="C19859"/>
      </a:accent6>
      <a:hlink>
        <a:srgbClr val="6B9F25"/>
      </a:hlink>
      <a:folHlink>
        <a:srgbClr val="B26B0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Les07</b:Tag>
    <b:SourceType>ConferenceProceedings</b:SourceType>
    <b:Guid>{21AB42EE-BFEA-46F0-B360-29F17BF3A22F}</b:Guid>
    <b:Author>
      <b:Author>
        <b:NameList>
          <b:Person>
            <b:Last>Lesáková</b:Last>
            <b:First>L.</b:First>
          </b:Person>
        </b:NameList>
      </b:Author>
    </b:Author>
    <b:Title>Uses and Limitations of Profitability Ratio</b:Title>
    <b:Year>2007</b:Year>
    <b:City>Budapest</b:City>
    <b:Publisher>5th International Conference on Management, Enterprise and Benchmarking </b:Publisher>
    <b:RefOrder>2</b:RefOrder>
  </b:Source>
  <b:Source>
    <b:Tag>Bar18</b:Tag>
    <b:SourceType>Report</b:SourceType>
    <b:Guid>{79EB7BA7-405F-4218-B29F-C6DAB29BD009}</b:Guid>
    <b:Author>
      <b:Author>
        <b:Corporate>Barclays PLC</b:Corporate>
      </b:Author>
    </b:Author>
    <b:Title>Barclays Bank UK PLC Annual Report</b:Title>
    <b:Year>2018</b:Year>
    <b:Publisher>Barclays PLC</b:Publisher>
    <b:City>London</b:City>
    <b:RefOrder>3</b:RefOrder>
  </b:Source>
  <b:Source>
    <b:Tag>Bar19</b:Tag>
    <b:SourceType>Report</b:SourceType>
    <b:Guid>{D5B43021-D0D2-4408-B454-2CB7B1BA632D}</b:Guid>
    <b:Title>Delivering for our Stakeholders: Annual Report 2019</b:Title>
    <b:Year>2019</b:Year>
    <b:City>London</b:City>
    <b:Publisher>Barclays Plc.</b:Publisher>
    <b:Author>
      <b:Author>
        <b:Corporate>Barclays PLC.</b:Corporate>
      </b:Author>
    </b:Author>
    <b:RefOrder>4</b:RefOrder>
  </b:Source>
  <b:Source>
    <b:Tag>Ber04</b:Tag>
    <b:SourceType>JournalArticle</b:SourceType>
    <b:Guid>{E19C97A8-284A-4C07-B1DC-613866AF5B51}</b:Guid>
    <b:Title>Liquidity and Financial Market Runs</b:Title>
    <b:Year>2004</b:Year>
    <b:Author>
      <b:Author>
        <b:NameList>
          <b:Person>
            <b:Last>Bernardo</b:Last>
            <b:First>A.B</b:First>
          </b:Person>
          <b:Person>
            <b:Last>Welch</b:Last>
            <b:First>I.</b:First>
          </b:Person>
        </b:NameList>
      </b:Author>
    </b:Author>
    <b:JournalName>The Quarterly Journal of Economics</b:JournalName>
    <b:Pages>135–158</b:Pages>
    <b:Volume>119</b:Volume>
    <b:Issue>1</b:Issue>
    <b:RefOrder>5</b:RefOrder>
  </b:Source>
  <b:Source>
    <b:Tag>Gra20</b:Tag>
    <b:SourceType>ArticleInAPeriodical</b:SourceType>
    <b:Guid>{FC93AAE8-9BFD-4C21-AC92-8D9EF718C1B2}</b:Guid>
    <b:Title>Common Equity Tier 1 (CET1)</b:Title>
    <b:Year>2020</b:Year>
    <b:Pages>1-8</b:Pages>
    <b:Author>
      <b:Author>
        <b:NameList>
          <b:Person>
            <b:Last>Grant</b:Last>
            <b:First>M.</b:First>
          </b:Person>
        </b:NameList>
      </b:Author>
    </b:Author>
    <b:PeriodicalTitle>Investopedia</b:PeriodicalTitle>
    <b:Month>February</b:Month>
    <b:Day>24</b:Day>
    <b:RefOrder>6</b:RefOrder>
  </b:Source>
  <b:Source>
    <b:Tag>htt1</b:Tag>
    <b:SourceType>InternetSite</b:SourceType>
    <b:Guid>{DA605FBB-0F2F-47CD-8FC6-36B5FC6783EB}</b:Guid>
    <b:URL>https://law.academic.ru/5309/gearing</b:URL>
    <b:Author>
      <b:Author>
        <b:Corporate>Academic</b:Corporate>
      </b:Author>
    </b:Author>
    <b:Title>Gearing</b:Title>
    <b:Year>2020</b:Year>
    <b:YearAccessed>2020</b:YearAccessed>
    <b:MonthAccessed>May</b:MonthAccessed>
    <b:DayAccessed>6</b:DayAccessed>
    <b:RefOrder>7</b:RefOrder>
  </b:Source>
  <b:Source>
    <b:Tag>Sha20</b:Tag>
    <b:SourceType>InternetSite</b:SourceType>
    <b:Guid>{061414F2-56AF-4A2B-A3C0-F14B3AF7AF6E}</b:Guid>
    <b:Title>Barclays</b:Title>
    <b:Year>2020</b:Year>
    <b:YearAccessed>2020</b:YearAccessed>
    <b:MonthAccessed>May</b:MonthAccessed>
    <b:DayAccessed>6</b:DayAccessed>
    <b:URL>https://www.sharesmagazine.co.uk/shares/share/BARC/fundamentals</b:URL>
    <b:Author>
      <b:Author>
        <b:Corporate>Shares Magazine</b:Corporate>
      </b:Author>
    </b:Author>
    <b:PeriodicalTitle>Shares Magazine</b:PeriodicalTitle>
    <b:RefOrder>15</b:RefOrder>
  </b:Source>
  <b:Source>
    <b:Tag>Pil18</b:Tag>
    <b:SourceType>Book</b:SourceType>
    <b:Guid>{8660DAE8-84B5-42E7-BEF8-AED4E11353E8}</b:Guid>
    <b:Title>Finance and Financial Markets</b:Title>
    <b:Year>2018</b:Year>
    <b:Author>
      <b:Author>
        <b:NameList>
          <b:Person>
            <b:Last>Pilbeam</b:Last>
            <b:First>K.</b:First>
          </b:Person>
        </b:NameList>
      </b:Author>
    </b:Author>
    <b:City>New York</b:City>
    <b:Publisher>Macmillan International Higher Education</b:Publisher>
    <b:RefOrder>8</b:RefOrder>
  </b:Source>
  <b:Source>
    <b:Tag>Dou20</b:Tag>
    <b:SourceType>InternetSite</b:SourceType>
    <b:Guid>{8F5D9B55-C0D2-4149-AEF7-D00CE684C506}</b:Guid>
    <b:Title>What are Investor Ratios?</b:Title>
    <b:Year>2020</b:Year>
    <b:Author>
      <b:Author>
        <b:Corporate>Double Entry Bookkeeping</b:Corporate>
      </b:Author>
    </b:Author>
    <b:YearAccessed>2020</b:YearAccessed>
    <b:MonthAccessed>May</b:MonthAccessed>
    <b:DayAccessed>6</b:DayAccessed>
    <b:URL>https://www.double-entry-bookkeeping.com/investor-ratios/investor-ratio/</b:URL>
    <b:RefOrder>9</b:RefOrder>
  </b:Source>
  <b:Source>
    <b:Tag>Bar20</b:Tag>
    <b:SourceType>InternetSite</b:SourceType>
    <b:Guid>{F57002CE-72FD-4DB6-95A5-7936C2E94D47}</b:Guid>
    <b:Author>
      <b:Author>
        <b:Corporate>Barclays Plc</b:Corporate>
      </b:Author>
    </b:Author>
    <b:Title>About Barclays </b:Title>
    <b:Year>2020</b:Year>
    <b:YearAccessed>2020</b:YearAccessed>
    <b:MonthAccessed>May</b:MonthAccessed>
    <b:DayAccessed>13</b:DayAccessed>
    <b:URL>https://home.barclays/content/dam/home-barclays/documents/investor-relations/ResultAnnouncements/2019FYResults/20200213-About-Barclays-Q419.pdf</b:URL>
    <b:RefOrder>1</b:RefOrder>
  </b:Source>
  <b:Source>
    <b:Tag>Che20</b:Tag>
    <b:SourceType>InternetSite</b:SourceType>
    <b:Guid>{2E92F13E-03D9-49DA-9F5A-56D918D2109C}</b:Guid>
    <b:Author>
      <b:Author>
        <b:NameList>
          <b:Person>
            <b:Last>Cherowbrier</b:Last>
            <b:First>J.</b:First>
          </b:Person>
        </b:NameList>
      </b:Author>
    </b:Author>
    <b:Title>Adjusted profit before tax of Barclays group 2013-2019</b:Title>
    <b:Year>2020</b:Year>
    <b:YearAccessed>2020</b:YearAccessed>
    <b:MonthAccessed>May</b:MonthAccessed>
    <b:DayAccessed>13</b:DayAccessed>
    <b:URL>https://www.statista.com/statistics/294735/barclays-insurance-profit-before-tax/</b:URL>
    <b:RefOrder>10</b:RefOrder>
  </b:Source>
  <b:Source>
    <b:Tag>Ell16</b:Tag>
    <b:SourceType>ArticleInAPeriodical</b:SourceType>
    <b:Guid>{68558BFA-96F4-417D-92F9-DE8E19BBEE21}</b:Guid>
    <b:Title>Barclays shares down 8% as profits slump</b:Title>
    <b:Year>2016</b:Year>
    <b:Author>
      <b:Author>
        <b:NameList>
          <b:Person>
            <b:Last>Ellyatt</b:Last>
            <b:First>H.</b:First>
          </b:Person>
        </b:NameList>
      </b:Author>
    </b:Author>
    <b:PeriodicalTitle>CNBC</b:PeriodicalTitle>
    <b:Month>March</b:Month>
    <b:Day>1</b:Day>
    <b:Pages>1-6</b:Pages>
    <b:RefOrder>12</b:RefOrder>
  </b:Source>
  <b:Source>
    <b:Tag>Arn15</b:Tag>
    <b:SourceType>ArticleInAPeriodical</b:SourceType>
    <b:Guid>{CAA5F140-F9CC-4F26-B764-823974033ED6}</b:Guid>
    <b:Author>
      <b:Author>
        <b:NameList>
          <b:Person>
            <b:Last>Arnold</b:Last>
            <b:First>M.</b:First>
          </b:Person>
        </b:NameList>
      </b:Author>
    </b:Author>
    <b:Title>Barclays profits drop as it abandons cost-cutting targets</b:Title>
    <b:PeriodicalTitle>Financial Times</b:PeriodicalTitle>
    <b:Year>2015</b:Year>
    <b:Month>October</b:Month>
    <b:Day>29</b:Day>
    <b:Pages>1-3</b:Pages>
    <b:RefOrder>11</b:RefOrder>
  </b:Source>
  <b:Source>
    <b:Tag>Tre19</b:Tag>
    <b:SourceType>InternetSite</b:SourceType>
    <b:Guid>{5A0DE3E5-70D4-4126-BF43-5539C8949A4F}</b:Guid>
    <b:Title>Barclays’ 2018 Performance: Brexit Uncertainty Looms Over Bank</b:Title>
    <b:Year>2019</b:Year>
    <b:Author>
      <b:Author>
        <b:Corporate>Trefis</b:Corporate>
      </b:Author>
    </b:Author>
    <b:YearAccessed>2020</b:YearAccessed>
    <b:MonthAccessed>May</b:MonthAccessed>
    <b:DayAccessed>13</b:DayAccessed>
    <b:URL>https://www.trefis.com/stock/bcs/articles/462335/barclays-2018-performance-brexit-uncertainty-looms-over-bank/2019-02-25</b:URL>
    <b:RefOrder>13</b:RefOrder>
  </b:Source>
  <b:Source>
    <b:Tag>CFI20</b:Tag>
    <b:SourceType>InternetSite</b:SourceType>
    <b:Guid>{5083EF52-5C07-4655-8FDE-4566237E0C11}</b:Guid>
    <b:Author>
      <b:Author>
        <b:Corporate>CFI Education Inc.</b:Corporate>
      </b:Author>
    </b:Author>
    <b:Title>Limitations of Ratio Analysis</b:Title>
    <b:Year>2020</b:Year>
    <b:YearAccessed>2020</b:YearAccessed>
    <b:MonthAccessed>May</b:MonthAccessed>
    <b:DayAccessed>13</b:DayAccessed>
    <b:URL>https://corporatefinanceinstitute.com/resources/knowledge/finance/limitations-ratio-analysis/</b:URL>
    <b:RefOrder>14</b:RefOrder>
  </b:Source>
  <b:Source>
    <b:Tag>Bus20</b:Tag>
    <b:SourceType>InternetSite</b:SourceType>
    <b:Guid>{795E4ECD-D815-4EDB-9BEB-28D2E33CC909}</b:Guid>
    <b:Author>
      <b:Author>
        <b:Corporate>Business Dictionary</b:Corporate>
      </b:Author>
    </b:Author>
    <b:Title>Retail Outlet</b:Title>
    <b:Year>2020</b:Year>
    <b:YearAccessed>2020</b:YearAccessed>
    <b:MonthAccessed>May</b:MonthAccessed>
    <b:DayAccessed>13</b:DayAccessed>
    <b:URL>http://www.businessdictionary.com/definition/retail-outlet.html</b:URL>
    <b:RefOrder>1</b:RefOrder>
  </b:Source>
  <b:Source>
    <b:Tag>Hay20</b:Tag>
    <b:SourceType>InternetSite</b:SourceType>
    <b:Guid>{96B79F88-642F-4D4B-BADB-504F0EB6230E}</b:Guid>
    <b:Title>Internal Rate of Return – IRR</b:Title>
    <b:Year>2020</b:Year>
    <b:Author>
      <b:Author>
        <b:NameList>
          <b:Person>
            <b:Last>Hayes</b:Last>
            <b:First>A</b:First>
          </b:Person>
          <b:Person>
            <b:Last>Mansa</b:Last>
            <b:First>J.</b:First>
          </b:Person>
        </b:NameList>
      </b:Author>
    </b:Author>
    <b:YearAccessed>2020</b:YearAccessed>
    <b:MonthAccessed>May</b:MonthAccessed>
    <b:DayAccessed>29</b:DayAccessed>
    <b:URL>https://www.investopedia.com/terms/i/irr.asp</b:URL>
    <b:RefOrder>3</b:RefOrder>
  </b:Source>
  <b:Source>
    <b:Tag>Key13</b:Tag>
    <b:SourceType>InternetSite</b:SourceType>
    <b:Guid>{610825ED-4132-4E15-9396-EFBDA20F4614}</b:Guid>
    <b:Author>
      <b:Author>
        <b:Corporate>Key Logic</b:Corporate>
      </b:Author>
    </b:Author>
    <b:Title>Which financial evaluation technique, NPV or IRR, is better to use when selecting the best project among a number of mutually exclusive projects, and why?</b:Title>
    <b:Year>2013</b:Year>
    <b:YearAccessed>2020</b:YearAccessed>
    <b:MonthAccessed>May</b:MonthAccessed>
    <b:DayAccessed>28</b:DayAccessed>
    <b:URL>http://www.keylogic.com/blog/blog/2013/08/27/which-financial-evaluation-technique-npv-or-irr-is-better-to-use-when-selecting-the-best-project-among-a-number-of-mutually-exclusive-projects-and-why-#:~:text=Net%20Present%20Value%20Method&amp;text=When%20NPV%20i</b:URL>
    <b:RefOrder>4</b:RefOrder>
  </b:Source>
  <b:Source>
    <b:Tag>Ave20</b:Tag>
    <b:SourceType>InternetSite</b:SourceType>
    <b:Guid>{0C97A6EE-0237-4AD9-8C60-1147C50E4E25}</b:Guid>
    <b:Author>
      <b:Author>
        <b:NameList>
          <b:Person>
            <b:Last>Averkamp</b:Last>
            <b:First>H.</b:First>
          </b:Person>
        </b:NameList>
      </b:Author>
    </b:Author>
    <b:Title>What is a non-discount method in capital budgeting?</b:Title>
    <b:Year>2020</b:Year>
    <b:YearAccessed>2020</b:YearAccessed>
    <b:MonthAccessed>May</b:MonthAccessed>
    <b:DayAccessed>28</b:DayAccessed>
    <b:URL>https://www.accountingcoach.com/blog/payback-nondiscounted-capital-budgeting</b:URL>
    <b:RefOrder>5</b:RefOrder>
  </b:Source>
  <b:Source>
    <b:Tag>Pet19</b:Tag>
    <b:SourceType>InternetSite</b:SourceType>
    <b:Guid>{B0EADEA9-6C7C-4508-8337-C11E51489483}</b:Guid>
    <b:Author>
      <b:Author>
        <b:NameList>
          <b:Person>
            <b:Last>Pettinger</b:Last>
            <b:First>T.</b:First>
          </b:Person>
        </b:NameList>
      </b:Author>
    </b:Author>
    <b:Title>Factors affecting investment</b:Title>
    <b:Year>2019</b:Year>
    <b:YearAccessed>2020</b:YearAccessed>
    <b:MonthAccessed>June</b:MonthAccessed>
    <b:DayAccessed>1</b:DayAccessed>
    <b:URL>https://www.economicshelp.org/blog/136672/economics/factors-affecting-investment/</b:URL>
    <b:RefOrder>7</b:RefOrder>
  </b:Source>
  <b:Source>
    <b:Tag>NIB20</b:Tag>
    <b:SourceType>InternetSite</b:SourceType>
    <b:Guid>{D50FFD37-1E6D-4CE5-80AA-CBD19FDD2859}</b:Guid>
    <b:Author>
      <b:Author>
        <b:Corporate>NI Business Info</b:Corporate>
      </b:Author>
    </b:Author>
    <b:Title>Investment appraisal techniques</b:Title>
    <b:Year>2020</b:Year>
    <b:YearAccessed>2020</b:YearAccessed>
    <b:MonthAccessed>June</b:MonthAccessed>
    <b:DayAccessed>1</b:DayAccessed>
    <b:URL>https://www.nibusinessinfo.co.uk/content/non-financial-factors-investment-appraisal</b:URL>
    <b:RefOrder>8</b:RefOrder>
  </b:Source>
</b:Sources>
</file>

<file path=customXml/itemProps1.xml><?xml version="1.0" encoding="utf-8"?>
<ds:datastoreItem xmlns:ds="http://schemas.openxmlformats.org/officeDocument/2006/customXml" ds:itemID="{5013B0A9-B4A7-4343-98E7-E2B31CD43FA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32</Pages>
  <Words>4941</Words>
  <Characters>28165</Characters>
  <Application>Microsoft Office Word</Application>
  <DocSecurity>0</DocSecurity>
  <Lines>234</Lines>
  <Paragraphs>66</Paragraphs>
  <ScaleCrop>false</ScaleCrop>
  <HeadingPairs>
    <vt:vector size="2" baseType="variant">
      <vt:variant>
        <vt:lpstr>Title</vt:lpstr>
      </vt:variant>
      <vt:variant>
        <vt:i4>1</vt:i4>
      </vt:variant>
    </vt:vector>
  </HeadingPairs>
  <TitlesOfParts>
    <vt:vector size="1" baseType="lpstr">
      <vt:lpstr>Finance for Business Managers</vt:lpstr>
    </vt:vector>
  </TitlesOfParts>
  <Company>University of Wales Trinity Saint David</Company>
  <LinksUpToDate>false</LinksUpToDate>
  <CharactersWithSpaces>33040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Finance for Business Managers</dc:title>
  <dc:subject>Stacey Brown</dc:subject>
  <dc:creator>Hannah Meiklejohn</dc:creator>
  <cp:keywords/>
  <dc:description/>
  <cp:lastModifiedBy>Stacey Brown (P150365)</cp:lastModifiedBy>
  <cp:revision>2</cp:revision>
  <dcterms:created xsi:type="dcterms:W3CDTF">2020-06-03T13:36:00Z</dcterms:created>
  <dcterms:modified xsi:type="dcterms:W3CDTF">2020-06-03T13:36:00Z</dcterms:modified>
  <cp:category>BMMB7005</cp:category>
</cp:coreProperties>
</file>