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72E13" w14:textId="77777777" w:rsidR="00F8512C" w:rsidRDefault="00F8512C" w:rsidP="00F8512C">
      <w:pPr>
        <w:pStyle w:val="Title"/>
        <w:rPr>
          <w:b/>
          <w:bCs/>
        </w:rPr>
      </w:pPr>
    </w:p>
    <w:p w14:paraId="5D772E14" w14:textId="77777777" w:rsidR="00F8512C" w:rsidRDefault="00F8512C" w:rsidP="00F8512C">
      <w:pPr>
        <w:pStyle w:val="Title"/>
        <w:rPr>
          <w:b/>
          <w:bCs/>
        </w:rPr>
      </w:pPr>
    </w:p>
    <w:p w14:paraId="5D772E15" w14:textId="77777777" w:rsidR="00F8512C" w:rsidRDefault="00F8512C" w:rsidP="00F8512C">
      <w:pPr>
        <w:pStyle w:val="Title"/>
        <w:rPr>
          <w:b/>
          <w:bCs/>
        </w:rPr>
      </w:pPr>
    </w:p>
    <w:p w14:paraId="5D772E16" w14:textId="77777777" w:rsidR="00F8512C" w:rsidRDefault="00F8512C" w:rsidP="00F8512C">
      <w:pPr>
        <w:pStyle w:val="Title"/>
        <w:rPr>
          <w:b/>
          <w:bCs/>
        </w:rPr>
      </w:pPr>
    </w:p>
    <w:p w14:paraId="5D772E17" w14:textId="77777777" w:rsidR="00F8512C" w:rsidRDefault="00F8512C" w:rsidP="00F8512C">
      <w:pPr>
        <w:pStyle w:val="Title"/>
        <w:rPr>
          <w:b/>
          <w:bCs/>
        </w:rPr>
      </w:pPr>
    </w:p>
    <w:p w14:paraId="5D772E18" w14:textId="77777777" w:rsidR="00F8512C" w:rsidRDefault="00F8512C" w:rsidP="00F8512C">
      <w:pPr>
        <w:pStyle w:val="Title"/>
        <w:rPr>
          <w:b/>
          <w:bCs/>
        </w:rPr>
      </w:pPr>
    </w:p>
    <w:p w14:paraId="5D772E19" w14:textId="77777777" w:rsidR="00F8512C" w:rsidRDefault="00F8512C" w:rsidP="00F8512C">
      <w:pPr>
        <w:pStyle w:val="Title"/>
        <w:rPr>
          <w:b/>
          <w:bCs/>
        </w:rPr>
      </w:pPr>
    </w:p>
    <w:p w14:paraId="5D772E1A" w14:textId="77777777" w:rsidR="00F8512C" w:rsidRDefault="00F8512C" w:rsidP="00F8512C">
      <w:pPr>
        <w:pStyle w:val="Title"/>
        <w:rPr>
          <w:b/>
          <w:bCs/>
        </w:rPr>
      </w:pPr>
    </w:p>
    <w:p w14:paraId="5D772E1B" w14:textId="77777777" w:rsidR="00F8512C" w:rsidRDefault="00F8512C" w:rsidP="00F8512C">
      <w:pPr>
        <w:pStyle w:val="Title"/>
        <w:rPr>
          <w:b/>
          <w:bCs/>
          <w:color w:val="auto"/>
        </w:rPr>
      </w:pPr>
    </w:p>
    <w:p w14:paraId="5D772E1C" w14:textId="77777777" w:rsidR="00180AB0" w:rsidRDefault="00F8512C" w:rsidP="00F8512C">
      <w:pPr>
        <w:pStyle w:val="Title"/>
        <w:rPr>
          <w:b/>
          <w:bCs/>
          <w:color w:val="auto"/>
        </w:rPr>
      </w:pPr>
      <w:r w:rsidRPr="00F8512C">
        <w:rPr>
          <w:b/>
          <w:bCs/>
          <w:color w:val="auto"/>
        </w:rPr>
        <w:t>Hospitality Comparison – Assignment 1</w:t>
      </w:r>
    </w:p>
    <w:p w14:paraId="66B27498" w14:textId="7D33D09D" w:rsidR="00430A84" w:rsidRDefault="00501B19" w:rsidP="00430A84">
      <w:pPr>
        <w:jc w:val="center"/>
      </w:pPr>
      <w:r>
        <w:t>BMIH5007</w:t>
      </w:r>
    </w:p>
    <w:p w14:paraId="20A37C7E" w14:textId="5393813C" w:rsidR="00501B19" w:rsidRPr="00430A84" w:rsidRDefault="00501B19" w:rsidP="00430A84">
      <w:pPr>
        <w:jc w:val="center"/>
      </w:pPr>
      <w:r>
        <w:t>Chris Wilkin</w:t>
      </w:r>
    </w:p>
    <w:p w14:paraId="5D772E1E" w14:textId="7CEF1ABD" w:rsidR="00F8512C" w:rsidRDefault="00501B19" w:rsidP="00F8512C">
      <w:pPr>
        <w:jc w:val="center"/>
      </w:pPr>
      <w:r>
        <w:t>CARMEN DRAGU</w:t>
      </w:r>
    </w:p>
    <w:p w14:paraId="5D772E1F" w14:textId="39A40F31" w:rsidR="00F8512C" w:rsidRDefault="00B9003A" w:rsidP="00F8512C">
      <w:pPr>
        <w:jc w:val="center"/>
      </w:pPr>
      <w:r>
        <w:t>2117510</w:t>
      </w:r>
    </w:p>
    <w:p w14:paraId="5D772E20" w14:textId="77777777" w:rsidR="00F8512C" w:rsidRDefault="00F8512C">
      <w:pPr>
        <w:spacing w:line="276" w:lineRule="auto"/>
        <w:jc w:val="left"/>
      </w:pPr>
      <w:r>
        <w:br w:type="page"/>
      </w:r>
    </w:p>
    <w:p w14:paraId="5D772E21" w14:textId="77777777" w:rsidR="00F3059C" w:rsidRPr="00F3059C" w:rsidRDefault="00F3059C" w:rsidP="00F3059C">
      <w:pPr>
        <w:pStyle w:val="TableofFigures"/>
        <w:tabs>
          <w:tab w:val="right" w:leader="dot" w:pos="9016"/>
        </w:tabs>
        <w:jc w:val="center"/>
        <w:rPr>
          <w:rFonts w:asciiTheme="majorBidi" w:hAnsiTheme="majorBidi"/>
          <w:b/>
          <w:bCs/>
          <w:color w:val="auto"/>
          <w:szCs w:val="24"/>
        </w:rPr>
      </w:pPr>
      <w:r w:rsidRPr="00F3059C">
        <w:rPr>
          <w:rFonts w:asciiTheme="majorBidi" w:hAnsiTheme="majorBidi"/>
          <w:b/>
          <w:bCs/>
          <w:color w:val="auto"/>
          <w:szCs w:val="24"/>
        </w:rPr>
        <w:lastRenderedPageBreak/>
        <w:t>Table of Contents</w:t>
      </w:r>
    </w:p>
    <w:p w14:paraId="5D772E22" w14:textId="77777777" w:rsidR="00F3059C" w:rsidRPr="00F3059C" w:rsidRDefault="00F3059C" w:rsidP="00F3059C">
      <w:pPr>
        <w:pStyle w:val="TableofFigures"/>
        <w:tabs>
          <w:tab w:val="right" w:leader="dot" w:pos="9016"/>
        </w:tabs>
        <w:rPr>
          <w:rFonts w:asciiTheme="minorHAnsi" w:eastAsiaTheme="minorEastAsia" w:hAnsiTheme="minorHAnsi" w:cstheme="minorBidi"/>
          <w:noProof/>
          <w:color w:val="auto"/>
          <w:szCs w:val="24"/>
          <w:lang w:eastAsia="en-GB" w:bidi="ar-SA"/>
        </w:rPr>
      </w:pPr>
      <w:r w:rsidRPr="00F3059C">
        <w:rPr>
          <w:rFonts w:asciiTheme="majorBidi" w:hAnsiTheme="majorBidi"/>
          <w:color w:val="auto"/>
          <w:szCs w:val="24"/>
        </w:rPr>
        <w:fldChar w:fldCharType="begin"/>
      </w:r>
      <w:r w:rsidRPr="00F3059C">
        <w:rPr>
          <w:rFonts w:asciiTheme="majorBidi" w:hAnsiTheme="majorBidi"/>
          <w:color w:val="auto"/>
          <w:szCs w:val="24"/>
        </w:rPr>
        <w:instrText xml:space="preserve"> TOC \h \z \t "Heading 1" \c </w:instrText>
      </w:r>
      <w:r w:rsidRPr="00F3059C">
        <w:rPr>
          <w:rFonts w:asciiTheme="majorBidi" w:hAnsiTheme="majorBidi"/>
          <w:color w:val="auto"/>
          <w:szCs w:val="24"/>
        </w:rPr>
        <w:fldChar w:fldCharType="separate"/>
      </w:r>
      <w:hyperlink w:anchor="_Toc135069166" w:history="1">
        <w:r w:rsidRPr="00F3059C">
          <w:rPr>
            <w:rStyle w:val="Hyperlink"/>
            <w:rFonts w:asciiTheme="majorBidi" w:hAnsiTheme="majorBidi"/>
            <w:noProof/>
            <w:color w:val="auto"/>
            <w:szCs w:val="24"/>
          </w:rPr>
          <w:t>Introduction</w:t>
        </w:r>
        <w:r w:rsidRPr="00F3059C">
          <w:rPr>
            <w:noProof/>
            <w:webHidden/>
            <w:color w:val="auto"/>
            <w:szCs w:val="24"/>
          </w:rPr>
          <w:tab/>
        </w:r>
        <w:r w:rsidRPr="00F3059C">
          <w:rPr>
            <w:noProof/>
            <w:webHidden/>
            <w:color w:val="auto"/>
            <w:szCs w:val="24"/>
          </w:rPr>
          <w:fldChar w:fldCharType="begin"/>
        </w:r>
        <w:r w:rsidRPr="00F3059C">
          <w:rPr>
            <w:noProof/>
            <w:webHidden/>
            <w:color w:val="auto"/>
            <w:szCs w:val="24"/>
          </w:rPr>
          <w:instrText xml:space="preserve"> PAGEREF _Toc135069166 \h </w:instrText>
        </w:r>
        <w:r w:rsidRPr="00F3059C">
          <w:rPr>
            <w:noProof/>
            <w:webHidden/>
            <w:color w:val="auto"/>
            <w:szCs w:val="24"/>
          </w:rPr>
        </w:r>
        <w:r w:rsidRPr="00F3059C">
          <w:rPr>
            <w:noProof/>
            <w:webHidden/>
            <w:color w:val="auto"/>
            <w:szCs w:val="24"/>
          </w:rPr>
          <w:fldChar w:fldCharType="separate"/>
        </w:r>
        <w:r w:rsidRPr="00F3059C">
          <w:rPr>
            <w:noProof/>
            <w:webHidden/>
            <w:color w:val="auto"/>
            <w:szCs w:val="24"/>
          </w:rPr>
          <w:t>3</w:t>
        </w:r>
        <w:r w:rsidRPr="00F3059C">
          <w:rPr>
            <w:noProof/>
            <w:webHidden/>
            <w:color w:val="auto"/>
            <w:szCs w:val="24"/>
          </w:rPr>
          <w:fldChar w:fldCharType="end"/>
        </w:r>
      </w:hyperlink>
    </w:p>
    <w:p w14:paraId="5D772E23" w14:textId="77777777" w:rsidR="00F3059C" w:rsidRPr="00F3059C" w:rsidRDefault="00000000" w:rsidP="00F3059C">
      <w:pPr>
        <w:pStyle w:val="TableofFigures"/>
        <w:tabs>
          <w:tab w:val="right" w:leader="dot" w:pos="9016"/>
        </w:tabs>
        <w:rPr>
          <w:rFonts w:asciiTheme="minorHAnsi" w:eastAsiaTheme="minorEastAsia" w:hAnsiTheme="minorHAnsi" w:cstheme="minorBidi"/>
          <w:noProof/>
          <w:color w:val="auto"/>
          <w:szCs w:val="24"/>
          <w:lang w:eastAsia="en-GB" w:bidi="ar-SA"/>
        </w:rPr>
      </w:pPr>
      <w:hyperlink w:anchor="_Toc135069167" w:history="1">
        <w:r w:rsidR="00F3059C" w:rsidRPr="00F3059C">
          <w:rPr>
            <w:rStyle w:val="Hyperlink"/>
            <w:rFonts w:asciiTheme="majorBidi" w:hAnsiTheme="majorBidi"/>
            <w:noProof/>
            <w:color w:val="auto"/>
            <w:szCs w:val="24"/>
          </w:rPr>
          <w:t>Background of the two organisations</w:t>
        </w:r>
        <w:r w:rsidR="00F3059C" w:rsidRPr="00F3059C">
          <w:rPr>
            <w:noProof/>
            <w:webHidden/>
            <w:color w:val="auto"/>
            <w:szCs w:val="24"/>
          </w:rPr>
          <w:tab/>
        </w:r>
        <w:r w:rsidR="00F3059C" w:rsidRPr="00F3059C">
          <w:rPr>
            <w:noProof/>
            <w:webHidden/>
            <w:color w:val="auto"/>
            <w:szCs w:val="24"/>
          </w:rPr>
          <w:fldChar w:fldCharType="begin"/>
        </w:r>
        <w:r w:rsidR="00F3059C" w:rsidRPr="00F3059C">
          <w:rPr>
            <w:noProof/>
            <w:webHidden/>
            <w:color w:val="auto"/>
            <w:szCs w:val="24"/>
          </w:rPr>
          <w:instrText xml:space="preserve"> PAGEREF _Toc135069167 \h </w:instrText>
        </w:r>
        <w:r w:rsidR="00F3059C" w:rsidRPr="00F3059C">
          <w:rPr>
            <w:noProof/>
            <w:webHidden/>
            <w:color w:val="auto"/>
            <w:szCs w:val="24"/>
          </w:rPr>
        </w:r>
        <w:r w:rsidR="00F3059C" w:rsidRPr="00F3059C">
          <w:rPr>
            <w:noProof/>
            <w:webHidden/>
            <w:color w:val="auto"/>
            <w:szCs w:val="24"/>
          </w:rPr>
          <w:fldChar w:fldCharType="separate"/>
        </w:r>
        <w:r w:rsidR="00F3059C" w:rsidRPr="00F3059C">
          <w:rPr>
            <w:noProof/>
            <w:webHidden/>
            <w:color w:val="auto"/>
            <w:szCs w:val="24"/>
          </w:rPr>
          <w:t>4</w:t>
        </w:r>
        <w:r w:rsidR="00F3059C" w:rsidRPr="00F3059C">
          <w:rPr>
            <w:noProof/>
            <w:webHidden/>
            <w:color w:val="auto"/>
            <w:szCs w:val="24"/>
          </w:rPr>
          <w:fldChar w:fldCharType="end"/>
        </w:r>
      </w:hyperlink>
    </w:p>
    <w:p w14:paraId="5D772E24" w14:textId="77777777" w:rsidR="00F3059C" w:rsidRPr="00F3059C" w:rsidRDefault="00000000" w:rsidP="00F3059C">
      <w:pPr>
        <w:pStyle w:val="TableofFigures"/>
        <w:tabs>
          <w:tab w:val="right" w:leader="dot" w:pos="9016"/>
        </w:tabs>
        <w:rPr>
          <w:rFonts w:asciiTheme="minorHAnsi" w:eastAsiaTheme="minorEastAsia" w:hAnsiTheme="minorHAnsi" w:cstheme="minorBidi"/>
          <w:noProof/>
          <w:color w:val="auto"/>
          <w:szCs w:val="24"/>
          <w:lang w:eastAsia="en-GB" w:bidi="ar-SA"/>
        </w:rPr>
      </w:pPr>
      <w:hyperlink w:anchor="_Toc135069168" w:history="1">
        <w:r w:rsidR="00F3059C" w:rsidRPr="00F3059C">
          <w:rPr>
            <w:rStyle w:val="Hyperlink"/>
            <w:rFonts w:asciiTheme="majorBidi" w:hAnsiTheme="majorBidi"/>
            <w:noProof/>
            <w:color w:val="auto"/>
            <w:szCs w:val="24"/>
          </w:rPr>
          <w:t>Comparison of the financial management of Marriot International and IHG</w:t>
        </w:r>
        <w:r w:rsidR="00F3059C" w:rsidRPr="00F3059C">
          <w:rPr>
            <w:noProof/>
            <w:webHidden/>
            <w:color w:val="auto"/>
            <w:szCs w:val="24"/>
          </w:rPr>
          <w:tab/>
        </w:r>
        <w:r w:rsidR="00F3059C" w:rsidRPr="00F3059C">
          <w:rPr>
            <w:noProof/>
            <w:webHidden/>
            <w:color w:val="auto"/>
            <w:szCs w:val="24"/>
          </w:rPr>
          <w:fldChar w:fldCharType="begin"/>
        </w:r>
        <w:r w:rsidR="00F3059C" w:rsidRPr="00F3059C">
          <w:rPr>
            <w:noProof/>
            <w:webHidden/>
            <w:color w:val="auto"/>
            <w:szCs w:val="24"/>
          </w:rPr>
          <w:instrText xml:space="preserve"> PAGEREF _Toc135069168 \h </w:instrText>
        </w:r>
        <w:r w:rsidR="00F3059C" w:rsidRPr="00F3059C">
          <w:rPr>
            <w:noProof/>
            <w:webHidden/>
            <w:color w:val="auto"/>
            <w:szCs w:val="24"/>
          </w:rPr>
        </w:r>
        <w:r w:rsidR="00F3059C" w:rsidRPr="00F3059C">
          <w:rPr>
            <w:noProof/>
            <w:webHidden/>
            <w:color w:val="auto"/>
            <w:szCs w:val="24"/>
          </w:rPr>
          <w:fldChar w:fldCharType="separate"/>
        </w:r>
        <w:r w:rsidR="00F3059C" w:rsidRPr="00F3059C">
          <w:rPr>
            <w:noProof/>
            <w:webHidden/>
            <w:color w:val="auto"/>
            <w:szCs w:val="24"/>
          </w:rPr>
          <w:t>5</w:t>
        </w:r>
        <w:r w:rsidR="00F3059C" w:rsidRPr="00F3059C">
          <w:rPr>
            <w:noProof/>
            <w:webHidden/>
            <w:color w:val="auto"/>
            <w:szCs w:val="24"/>
          </w:rPr>
          <w:fldChar w:fldCharType="end"/>
        </w:r>
      </w:hyperlink>
    </w:p>
    <w:p w14:paraId="5D772E25" w14:textId="77777777" w:rsidR="00F3059C" w:rsidRPr="00F3059C" w:rsidRDefault="00000000" w:rsidP="00F3059C">
      <w:pPr>
        <w:pStyle w:val="TableofFigures"/>
        <w:tabs>
          <w:tab w:val="right" w:leader="dot" w:pos="9016"/>
        </w:tabs>
        <w:rPr>
          <w:rFonts w:asciiTheme="minorHAnsi" w:eastAsiaTheme="minorEastAsia" w:hAnsiTheme="minorHAnsi" w:cstheme="minorBidi"/>
          <w:noProof/>
          <w:color w:val="auto"/>
          <w:szCs w:val="24"/>
          <w:lang w:eastAsia="en-GB" w:bidi="ar-SA"/>
        </w:rPr>
      </w:pPr>
      <w:hyperlink w:anchor="_Toc135069169" w:history="1">
        <w:r w:rsidR="00F3059C" w:rsidRPr="00F3059C">
          <w:rPr>
            <w:rStyle w:val="Hyperlink"/>
            <w:rFonts w:asciiTheme="majorBidi" w:hAnsiTheme="majorBidi"/>
            <w:noProof/>
            <w:color w:val="auto"/>
            <w:szCs w:val="24"/>
          </w:rPr>
          <w:t>Recommendations to Marriot International and IHG</w:t>
        </w:r>
        <w:r w:rsidR="00F3059C" w:rsidRPr="00F3059C">
          <w:rPr>
            <w:noProof/>
            <w:webHidden/>
            <w:color w:val="auto"/>
            <w:szCs w:val="24"/>
          </w:rPr>
          <w:tab/>
        </w:r>
        <w:r w:rsidR="00F3059C" w:rsidRPr="00F3059C">
          <w:rPr>
            <w:noProof/>
            <w:webHidden/>
            <w:color w:val="auto"/>
            <w:szCs w:val="24"/>
          </w:rPr>
          <w:fldChar w:fldCharType="begin"/>
        </w:r>
        <w:r w:rsidR="00F3059C" w:rsidRPr="00F3059C">
          <w:rPr>
            <w:noProof/>
            <w:webHidden/>
            <w:color w:val="auto"/>
            <w:szCs w:val="24"/>
          </w:rPr>
          <w:instrText xml:space="preserve"> PAGEREF _Toc135069169 \h </w:instrText>
        </w:r>
        <w:r w:rsidR="00F3059C" w:rsidRPr="00F3059C">
          <w:rPr>
            <w:noProof/>
            <w:webHidden/>
            <w:color w:val="auto"/>
            <w:szCs w:val="24"/>
          </w:rPr>
        </w:r>
        <w:r w:rsidR="00F3059C" w:rsidRPr="00F3059C">
          <w:rPr>
            <w:noProof/>
            <w:webHidden/>
            <w:color w:val="auto"/>
            <w:szCs w:val="24"/>
          </w:rPr>
          <w:fldChar w:fldCharType="separate"/>
        </w:r>
        <w:r w:rsidR="00F3059C" w:rsidRPr="00F3059C">
          <w:rPr>
            <w:noProof/>
            <w:webHidden/>
            <w:color w:val="auto"/>
            <w:szCs w:val="24"/>
          </w:rPr>
          <w:t>11</w:t>
        </w:r>
        <w:r w:rsidR="00F3059C" w:rsidRPr="00F3059C">
          <w:rPr>
            <w:noProof/>
            <w:webHidden/>
            <w:color w:val="auto"/>
            <w:szCs w:val="24"/>
          </w:rPr>
          <w:fldChar w:fldCharType="end"/>
        </w:r>
      </w:hyperlink>
    </w:p>
    <w:p w14:paraId="5D772E26" w14:textId="77777777" w:rsidR="00F3059C" w:rsidRPr="00F3059C" w:rsidRDefault="00000000" w:rsidP="00F3059C">
      <w:pPr>
        <w:pStyle w:val="TableofFigures"/>
        <w:tabs>
          <w:tab w:val="right" w:leader="dot" w:pos="9016"/>
        </w:tabs>
        <w:rPr>
          <w:rFonts w:asciiTheme="minorHAnsi" w:eastAsiaTheme="minorEastAsia" w:hAnsiTheme="minorHAnsi" w:cstheme="minorBidi"/>
          <w:noProof/>
          <w:color w:val="auto"/>
          <w:szCs w:val="24"/>
          <w:lang w:eastAsia="en-GB" w:bidi="ar-SA"/>
        </w:rPr>
      </w:pPr>
      <w:hyperlink w:anchor="_Toc135069170" w:history="1">
        <w:r w:rsidR="00F3059C" w:rsidRPr="00F3059C">
          <w:rPr>
            <w:rStyle w:val="Hyperlink"/>
            <w:rFonts w:asciiTheme="majorBidi" w:hAnsiTheme="majorBidi"/>
            <w:noProof/>
            <w:color w:val="auto"/>
            <w:szCs w:val="24"/>
          </w:rPr>
          <w:t>Conclusion</w:t>
        </w:r>
        <w:r w:rsidR="00F3059C" w:rsidRPr="00F3059C">
          <w:rPr>
            <w:noProof/>
            <w:webHidden/>
            <w:color w:val="auto"/>
            <w:szCs w:val="24"/>
          </w:rPr>
          <w:tab/>
        </w:r>
        <w:r w:rsidR="00F3059C" w:rsidRPr="00F3059C">
          <w:rPr>
            <w:noProof/>
            <w:webHidden/>
            <w:color w:val="auto"/>
            <w:szCs w:val="24"/>
          </w:rPr>
          <w:fldChar w:fldCharType="begin"/>
        </w:r>
        <w:r w:rsidR="00F3059C" w:rsidRPr="00F3059C">
          <w:rPr>
            <w:noProof/>
            <w:webHidden/>
            <w:color w:val="auto"/>
            <w:szCs w:val="24"/>
          </w:rPr>
          <w:instrText xml:space="preserve"> PAGEREF _Toc135069170 \h </w:instrText>
        </w:r>
        <w:r w:rsidR="00F3059C" w:rsidRPr="00F3059C">
          <w:rPr>
            <w:noProof/>
            <w:webHidden/>
            <w:color w:val="auto"/>
            <w:szCs w:val="24"/>
          </w:rPr>
        </w:r>
        <w:r w:rsidR="00F3059C" w:rsidRPr="00F3059C">
          <w:rPr>
            <w:noProof/>
            <w:webHidden/>
            <w:color w:val="auto"/>
            <w:szCs w:val="24"/>
          </w:rPr>
          <w:fldChar w:fldCharType="separate"/>
        </w:r>
        <w:r w:rsidR="00F3059C" w:rsidRPr="00F3059C">
          <w:rPr>
            <w:noProof/>
            <w:webHidden/>
            <w:color w:val="auto"/>
            <w:szCs w:val="24"/>
          </w:rPr>
          <w:t>12</w:t>
        </w:r>
        <w:r w:rsidR="00F3059C" w:rsidRPr="00F3059C">
          <w:rPr>
            <w:noProof/>
            <w:webHidden/>
            <w:color w:val="auto"/>
            <w:szCs w:val="24"/>
          </w:rPr>
          <w:fldChar w:fldCharType="end"/>
        </w:r>
      </w:hyperlink>
    </w:p>
    <w:p w14:paraId="5D772E27" w14:textId="77777777" w:rsidR="00F3059C" w:rsidRPr="00F3059C" w:rsidRDefault="00000000" w:rsidP="00F3059C">
      <w:pPr>
        <w:pStyle w:val="TableofFigures"/>
        <w:tabs>
          <w:tab w:val="right" w:leader="dot" w:pos="9016"/>
        </w:tabs>
        <w:rPr>
          <w:rFonts w:asciiTheme="minorHAnsi" w:eastAsiaTheme="minorEastAsia" w:hAnsiTheme="minorHAnsi" w:cstheme="minorBidi"/>
          <w:noProof/>
          <w:color w:val="auto"/>
          <w:szCs w:val="24"/>
          <w:lang w:eastAsia="en-GB" w:bidi="ar-SA"/>
        </w:rPr>
      </w:pPr>
      <w:hyperlink w:anchor="_Toc135069171" w:history="1">
        <w:r w:rsidR="00F3059C" w:rsidRPr="00F3059C">
          <w:rPr>
            <w:rStyle w:val="Hyperlink"/>
            <w:rFonts w:asciiTheme="majorBidi" w:hAnsiTheme="majorBidi"/>
            <w:noProof/>
            <w:color w:val="auto"/>
            <w:szCs w:val="24"/>
          </w:rPr>
          <w:t>Reference List</w:t>
        </w:r>
        <w:r w:rsidR="00F3059C" w:rsidRPr="00F3059C">
          <w:rPr>
            <w:noProof/>
            <w:webHidden/>
            <w:color w:val="auto"/>
            <w:szCs w:val="24"/>
          </w:rPr>
          <w:tab/>
        </w:r>
        <w:r w:rsidR="00F3059C" w:rsidRPr="00F3059C">
          <w:rPr>
            <w:noProof/>
            <w:webHidden/>
            <w:color w:val="auto"/>
            <w:szCs w:val="24"/>
          </w:rPr>
          <w:fldChar w:fldCharType="begin"/>
        </w:r>
        <w:r w:rsidR="00F3059C" w:rsidRPr="00F3059C">
          <w:rPr>
            <w:noProof/>
            <w:webHidden/>
            <w:color w:val="auto"/>
            <w:szCs w:val="24"/>
          </w:rPr>
          <w:instrText xml:space="preserve"> PAGEREF _Toc135069171 \h </w:instrText>
        </w:r>
        <w:r w:rsidR="00F3059C" w:rsidRPr="00F3059C">
          <w:rPr>
            <w:noProof/>
            <w:webHidden/>
            <w:color w:val="auto"/>
            <w:szCs w:val="24"/>
          </w:rPr>
        </w:r>
        <w:r w:rsidR="00F3059C" w:rsidRPr="00F3059C">
          <w:rPr>
            <w:noProof/>
            <w:webHidden/>
            <w:color w:val="auto"/>
            <w:szCs w:val="24"/>
          </w:rPr>
          <w:fldChar w:fldCharType="separate"/>
        </w:r>
        <w:r w:rsidR="00F3059C" w:rsidRPr="00F3059C">
          <w:rPr>
            <w:noProof/>
            <w:webHidden/>
            <w:color w:val="auto"/>
            <w:szCs w:val="24"/>
          </w:rPr>
          <w:t>13</w:t>
        </w:r>
        <w:r w:rsidR="00F3059C" w:rsidRPr="00F3059C">
          <w:rPr>
            <w:noProof/>
            <w:webHidden/>
            <w:color w:val="auto"/>
            <w:szCs w:val="24"/>
          </w:rPr>
          <w:fldChar w:fldCharType="end"/>
        </w:r>
      </w:hyperlink>
    </w:p>
    <w:p w14:paraId="5D772E28" w14:textId="77777777" w:rsidR="00F3059C" w:rsidRPr="00F3059C" w:rsidRDefault="00F3059C" w:rsidP="00F3059C">
      <w:pPr>
        <w:jc w:val="left"/>
        <w:rPr>
          <w:rFonts w:asciiTheme="majorBidi" w:eastAsiaTheme="majorEastAsia" w:hAnsiTheme="majorBidi" w:cstheme="majorBidi"/>
          <w:b/>
          <w:bCs/>
          <w:color w:val="auto"/>
          <w:szCs w:val="24"/>
        </w:rPr>
      </w:pPr>
      <w:r w:rsidRPr="00F3059C">
        <w:rPr>
          <w:rFonts w:asciiTheme="majorBidi" w:hAnsiTheme="majorBidi"/>
          <w:color w:val="auto"/>
          <w:szCs w:val="24"/>
        </w:rPr>
        <w:fldChar w:fldCharType="end"/>
      </w:r>
      <w:r w:rsidRPr="00F3059C">
        <w:rPr>
          <w:rFonts w:asciiTheme="majorBidi" w:hAnsiTheme="majorBidi"/>
          <w:color w:val="auto"/>
          <w:szCs w:val="24"/>
        </w:rPr>
        <w:br w:type="page"/>
      </w:r>
    </w:p>
    <w:p w14:paraId="5D772E29" w14:textId="77777777" w:rsidR="00F8512C" w:rsidRPr="00F3059C" w:rsidRDefault="00F8512C" w:rsidP="00F3059C">
      <w:pPr>
        <w:pStyle w:val="Heading1"/>
        <w:rPr>
          <w:rFonts w:asciiTheme="majorBidi" w:hAnsiTheme="majorBidi"/>
          <w:color w:val="auto"/>
          <w:szCs w:val="24"/>
        </w:rPr>
      </w:pPr>
      <w:bookmarkStart w:id="0" w:name="_Toc135069166"/>
      <w:r w:rsidRPr="00F3059C">
        <w:rPr>
          <w:rFonts w:asciiTheme="majorBidi" w:hAnsiTheme="majorBidi"/>
          <w:color w:val="auto"/>
          <w:szCs w:val="24"/>
        </w:rPr>
        <w:lastRenderedPageBreak/>
        <w:t>Introduction</w:t>
      </w:r>
      <w:bookmarkEnd w:id="0"/>
    </w:p>
    <w:p w14:paraId="5D772E2A" w14:textId="77777777" w:rsidR="00F8512C" w:rsidRPr="00F3059C" w:rsidRDefault="00F96496"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 presence of strong and sound financial management is important for all types of business organisations. </w:t>
      </w:r>
      <w:r w:rsidR="00DB3E52" w:rsidRPr="00F3059C">
        <w:rPr>
          <w:rFonts w:asciiTheme="majorBidi" w:hAnsiTheme="majorBidi" w:cstheme="majorBidi"/>
          <w:color w:val="auto"/>
          <w:szCs w:val="24"/>
        </w:rPr>
        <w:t>Financial management indicates the application of management concepts for budgeting and forecasting as well as managing and controlling the financial resources of an organisation to accomplish desired goals and objectives. It aims in the maximisation of the profit of investors through the optimisation of the money usage of an organisation and is connected to areas such as expenses, cash, credit and profitability. This report is a business report that conducts a comparison of the approaches to financial management in two largest global hospitality organisations – InterContinental Hotels Group (IHG) and Marriott International. A range of aspects such as revenues, market position, profitability and others of the two organisations are going to be compared to understand the approaches to financial management in these two hospitality organisations.</w:t>
      </w:r>
      <w:r w:rsidR="00F8512C" w:rsidRPr="00F3059C">
        <w:rPr>
          <w:rFonts w:asciiTheme="majorBidi" w:hAnsiTheme="majorBidi" w:cstheme="majorBidi"/>
          <w:color w:val="auto"/>
          <w:szCs w:val="24"/>
        </w:rPr>
        <w:br w:type="page"/>
      </w:r>
    </w:p>
    <w:p w14:paraId="5D772E2B" w14:textId="77777777" w:rsidR="00F8512C" w:rsidRPr="00F3059C" w:rsidRDefault="00F8512C" w:rsidP="00F3059C">
      <w:pPr>
        <w:pStyle w:val="Heading1"/>
        <w:rPr>
          <w:rFonts w:asciiTheme="majorBidi" w:hAnsiTheme="majorBidi"/>
          <w:color w:val="auto"/>
          <w:szCs w:val="24"/>
        </w:rPr>
      </w:pPr>
      <w:bookmarkStart w:id="1" w:name="_Toc135069167"/>
      <w:r w:rsidRPr="00F3059C">
        <w:rPr>
          <w:rFonts w:asciiTheme="majorBidi" w:hAnsiTheme="majorBidi"/>
          <w:color w:val="auto"/>
          <w:szCs w:val="24"/>
        </w:rPr>
        <w:lastRenderedPageBreak/>
        <w:t>Background of the two organisations</w:t>
      </w:r>
      <w:bookmarkEnd w:id="1"/>
    </w:p>
    <w:p w14:paraId="5D772E2C" w14:textId="77777777" w:rsidR="00F8512C" w:rsidRPr="00F3059C" w:rsidRDefault="00F35E7C" w:rsidP="00F3059C">
      <w:pPr>
        <w:rPr>
          <w:rFonts w:asciiTheme="majorBidi" w:hAnsiTheme="majorBidi" w:cstheme="majorBidi"/>
          <w:color w:val="auto"/>
          <w:szCs w:val="24"/>
        </w:rPr>
      </w:pPr>
      <w:r w:rsidRPr="00F3059C">
        <w:rPr>
          <w:rFonts w:asciiTheme="majorBidi" w:hAnsiTheme="majorBidi" w:cstheme="majorBidi"/>
          <w:color w:val="auto"/>
          <w:szCs w:val="24"/>
        </w:rPr>
        <w:t>InterContinental Hotels Group (IHG) and Marriott International are the two most popular and significant players in the global hospitality industry. IHG operates in above 100 nations worldwide with 345000 colleagues for delivering true hospitality for the good of people (</w:t>
      </w:r>
      <w:r w:rsidR="00FB7C8C" w:rsidRPr="00F3059C">
        <w:rPr>
          <w:rFonts w:asciiTheme="majorBidi" w:hAnsiTheme="majorBidi" w:cstheme="majorBidi"/>
          <w:color w:val="auto"/>
          <w:szCs w:val="24"/>
        </w:rPr>
        <w:t>IHG, 2023</w:t>
      </w:r>
      <w:r w:rsidRPr="00F3059C">
        <w:rPr>
          <w:rFonts w:asciiTheme="majorBidi" w:hAnsiTheme="majorBidi" w:cstheme="majorBidi"/>
          <w:color w:val="auto"/>
          <w:szCs w:val="24"/>
        </w:rPr>
        <w:t>). The organisation has been in operations for 200 years now. It was started back between the years 1777 and 1899 in a brewery. IHG currently has 914928 rooms present worldwide alongside the presence of 6179 hotels. On the other hand, Marriott International is a hospitality organisation that offers the strongest portfolio within the industry with more than 8500 properties and 31 brands (</w:t>
      </w:r>
      <w:r w:rsidR="00FB7C8C" w:rsidRPr="00F3059C">
        <w:rPr>
          <w:rFonts w:asciiTheme="majorBidi" w:hAnsiTheme="majorBidi" w:cstheme="majorBidi"/>
          <w:color w:val="auto"/>
          <w:szCs w:val="24"/>
        </w:rPr>
        <w:t>Marriott International, 2023</w:t>
      </w:r>
      <w:r w:rsidRPr="00F3059C">
        <w:rPr>
          <w:rFonts w:asciiTheme="majorBidi" w:hAnsiTheme="majorBidi" w:cstheme="majorBidi"/>
          <w:color w:val="auto"/>
          <w:szCs w:val="24"/>
        </w:rPr>
        <w:t>). The organisation operates in more than 138 nations and territories by providing people more ways for connecting, expanding and experiencing</w:t>
      </w:r>
      <w:r w:rsidR="00F3059C" w:rsidRPr="00F3059C">
        <w:rPr>
          <w:rFonts w:asciiTheme="majorBidi" w:hAnsiTheme="majorBidi" w:cstheme="majorBidi"/>
          <w:color w:val="auto"/>
          <w:szCs w:val="24"/>
        </w:rPr>
        <w:t xml:space="preserve"> the world.</w:t>
      </w:r>
      <w:r w:rsidR="00F8512C" w:rsidRPr="00F3059C">
        <w:rPr>
          <w:rFonts w:asciiTheme="majorBidi" w:hAnsiTheme="majorBidi" w:cstheme="majorBidi"/>
          <w:color w:val="auto"/>
          <w:szCs w:val="24"/>
        </w:rPr>
        <w:br w:type="page"/>
      </w:r>
    </w:p>
    <w:p w14:paraId="5D772E2D" w14:textId="77777777" w:rsidR="00F8512C" w:rsidRPr="00F3059C" w:rsidRDefault="00F8512C" w:rsidP="00F3059C">
      <w:pPr>
        <w:pStyle w:val="Heading1"/>
        <w:rPr>
          <w:rFonts w:asciiTheme="majorBidi" w:hAnsiTheme="majorBidi"/>
          <w:color w:val="auto"/>
          <w:szCs w:val="24"/>
        </w:rPr>
      </w:pPr>
      <w:bookmarkStart w:id="2" w:name="_Toc135069168"/>
      <w:r w:rsidRPr="00F3059C">
        <w:rPr>
          <w:rFonts w:asciiTheme="majorBidi" w:hAnsiTheme="majorBidi"/>
          <w:color w:val="auto"/>
          <w:szCs w:val="24"/>
        </w:rPr>
        <w:lastRenderedPageBreak/>
        <w:t>Comparison of the financial management of Marriot International and IHG</w:t>
      </w:r>
      <w:bookmarkEnd w:id="2"/>
    </w:p>
    <w:p w14:paraId="5D772E2E" w14:textId="77777777" w:rsidR="00403594" w:rsidRPr="00F3059C" w:rsidRDefault="00D16DDF" w:rsidP="00F3059C">
      <w:pPr>
        <w:rPr>
          <w:rFonts w:asciiTheme="majorBidi" w:hAnsiTheme="majorBidi" w:cstheme="majorBidi"/>
          <w:color w:val="auto"/>
          <w:szCs w:val="24"/>
        </w:rPr>
      </w:pPr>
      <w:r w:rsidRPr="00F3059C">
        <w:rPr>
          <w:rFonts w:asciiTheme="majorBidi" w:hAnsiTheme="majorBidi" w:cstheme="majorBidi"/>
          <w:color w:val="auto"/>
          <w:szCs w:val="24"/>
        </w:rPr>
        <w:t xml:space="preserve">According to </w:t>
      </w:r>
      <w:r w:rsidR="00F3059C" w:rsidRPr="00F3059C">
        <w:rPr>
          <w:rFonts w:asciiTheme="majorBidi" w:hAnsiTheme="majorBidi" w:cstheme="majorBidi"/>
          <w:color w:val="auto"/>
          <w:szCs w:val="24"/>
        </w:rPr>
        <w:t xml:space="preserve">Mazur </w:t>
      </w:r>
      <w:r w:rsidR="00F3059C" w:rsidRPr="00F3059C">
        <w:rPr>
          <w:rFonts w:asciiTheme="majorBidi" w:hAnsiTheme="majorBidi" w:cstheme="majorBidi"/>
          <w:i/>
          <w:iCs/>
          <w:color w:val="auto"/>
          <w:szCs w:val="24"/>
        </w:rPr>
        <w:t>et al</w:t>
      </w:r>
      <w:r w:rsidR="00F3059C" w:rsidRPr="00F3059C">
        <w:rPr>
          <w:rFonts w:asciiTheme="majorBidi" w:hAnsiTheme="majorBidi" w:cstheme="majorBidi"/>
          <w:color w:val="auto"/>
          <w:szCs w:val="24"/>
        </w:rPr>
        <w:t>. (2021</w:t>
      </w:r>
      <w:r w:rsidRPr="00F3059C">
        <w:rPr>
          <w:rFonts w:asciiTheme="majorBidi" w:hAnsiTheme="majorBidi" w:cstheme="majorBidi"/>
          <w:color w:val="auto"/>
          <w:szCs w:val="24"/>
        </w:rPr>
        <w:t xml:space="preserve">), one of the key success factors in all business organisations is their financial management. In this context, </w:t>
      </w:r>
      <w:r w:rsidR="00F3059C" w:rsidRPr="00F3059C">
        <w:rPr>
          <w:rFonts w:asciiTheme="majorBidi" w:hAnsiTheme="majorBidi" w:cstheme="majorBidi"/>
          <w:color w:val="auto"/>
          <w:szCs w:val="24"/>
        </w:rPr>
        <w:t xml:space="preserve">Drury </w:t>
      </w:r>
      <w:r w:rsidRPr="00F3059C">
        <w:rPr>
          <w:rFonts w:asciiTheme="majorBidi" w:hAnsiTheme="majorBidi" w:cstheme="majorBidi"/>
          <w:color w:val="auto"/>
          <w:szCs w:val="24"/>
        </w:rPr>
        <w:t>(</w:t>
      </w:r>
      <w:r w:rsidR="00F3059C" w:rsidRPr="00F3059C">
        <w:rPr>
          <w:rFonts w:asciiTheme="majorBidi" w:hAnsiTheme="majorBidi" w:cstheme="majorBidi"/>
          <w:color w:val="auto"/>
          <w:szCs w:val="24"/>
        </w:rPr>
        <w:t>2015</w:t>
      </w:r>
      <w:r w:rsidRPr="00F3059C">
        <w:rPr>
          <w:rFonts w:asciiTheme="majorBidi" w:hAnsiTheme="majorBidi" w:cstheme="majorBidi"/>
          <w:color w:val="auto"/>
          <w:szCs w:val="24"/>
        </w:rPr>
        <w:t>) stated that financial management in organisations involves a range of aspects and elements</w:t>
      </w:r>
      <w:r w:rsidR="00403594" w:rsidRPr="00F3059C">
        <w:rPr>
          <w:rFonts w:asciiTheme="majorBidi" w:hAnsiTheme="majorBidi" w:cstheme="majorBidi"/>
          <w:color w:val="auto"/>
          <w:szCs w:val="24"/>
        </w:rPr>
        <w:t>. These aspects and elements include utilising capital for increasing shareholder wealth, ascertaining continuity of business, allocating assets and considering risks and returns. The following is a detailed comparison of the financial management in Marriott International and IHG based on a range of aspects –</w:t>
      </w:r>
    </w:p>
    <w:p w14:paraId="5D772E2F" w14:textId="77777777" w:rsidR="00AE0742" w:rsidRPr="00F3059C" w:rsidRDefault="00AE0742" w:rsidP="00F3059C">
      <w:pPr>
        <w:pStyle w:val="Heading2"/>
        <w:rPr>
          <w:szCs w:val="24"/>
        </w:rPr>
      </w:pPr>
      <w:r w:rsidRPr="00F3059C">
        <w:rPr>
          <w:szCs w:val="24"/>
        </w:rPr>
        <w:t>Total Revenue</w:t>
      </w:r>
    </w:p>
    <w:p w14:paraId="5D772E30" w14:textId="77777777" w:rsidR="00403594" w:rsidRPr="00F3059C" w:rsidRDefault="00403594" w:rsidP="00F3059C">
      <w:pPr>
        <w:rPr>
          <w:rFonts w:asciiTheme="majorBidi" w:hAnsiTheme="majorBidi" w:cstheme="majorBidi"/>
          <w:color w:val="auto"/>
          <w:szCs w:val="24"/>
        </w:rPr>
      </w:pPr>
      <w:r w:rsidRPr="00F3059C">
        <w:rPr>
          <w:rFonts w:asciiTheme="majorBidi" w:hAnsiTheme="majorBidi" w:cstheme="majorBidi"/>
          <w:color w:val="auto"/>
          <w:szCs w:val="24"/>
        </w:rPr>
        <w:t>Total revenue refers to the total sum of money a business generates from the sale of its products and services over a specific period (</w:t>
      </w:r>
      <w:r w:rsidR="00F3059C" w:rsidRPr="00F3059C">
        <w:rPr>
          <w:rFonts w:asciiTheme="majorBidi" w:hAnsiTheme="majorBidi" w:cstheme="majorBidi"/>
          <w:color w:val="auto"/>
          <w:szCs w:val="24"/>
        </w:rPr>
        <w:t>Hayes and Miller, 2012</w:t>
      </w:r>
      <w:r w:rsidRPr="00F3059C">
        <w:rPr>
          <w:rFonts w:asciiTheme="majorBidi" w:hAnsiTheme="majorBidi" w:cstheme="majorBidi"/>
          <w:color w:val="auto"/>
          <w:szCs w:val="24"/>
        </w:rPr>
        <w:t xml:space="preserve">). It is also known as gross revenue. In hospitality organisations, especially hotels and resorts, sources of revenue generation are considerable, which include base management fees, franchise fees, revenue from owned, leased and managed lease hotels and others. The following table shows the breakdown of the total revenue of </w:t>
      </w:r>
      <w:r w:rsidR="00B83CFD" w:rsidRPr="00F3059C">
        <w:rPr>
          <w:rFonts w:asciiTheme="majorBidi" w:hAnsiTheme="majorBidi" w:cstheme="majorBidi"/>
          <w:color w:val="auto"/>
          <w:szCs w:val="24"/>
        </w:rPr>
        <w:t>IHG</w:t>
      </w:r>
      <w:r w:rsidRPr="00F3059C">
        <w:rPr>
          <w:rFonts w:asciiTheme="majorBidi" w:hAnsiTheme="majorBidi" w:cstheme="majorBidi"/>
          <w:color w:val="auto"/>
          <w:szCs w:val="24"/>
        </w:rPr>
        <w:t xml:space="preserve"> for the past three years –</w:t>
      </w:r>
    </w:p>
    <w:tbl>
      <w:tblPr>
        <w:tblStyle w:val="TableGrid"/>
        <w:tblW w:w="5000" w:type="pct"/>
        <w:tblLook w:val="04A0" w:firstRow="1" w:lastRow="0" w:firstColumn="1" w:lastColumn="0" w:noHBand="0" w:noVBand="1"/>
      </w:tblPr>
      <w:tblGrid>
        <w:gridCol w:w="5006"/>
        <w:gridCol w:w="1412"/>
        <w:gridCol w:w="1412"/>
        <w:gridCol w:w="1412"/>
      </w:tblGrid>
      <w:tr w:rsidR="00B83CFD" w:rsidRPr="00F3059C" w14:paraId="5D772E38" w14:textId="77777777" w:rsidTr="00B83CFD">
        <w:trPr>
          <w:trHeight w:val="300"/>
        </w:trPr>
        <w:tc>
          <w:tcPr>
            <w:tcW w:w="3177" w:type="pct"/>
            <w:noWrap/>
            <w:hideMark/>
          </w:tcPr>
          <w:p w14:paraId="5D772E31" w14:textId="77777777" w:rsidR="00B83CFD" w:rsidRPr="00F3059C" w:rsidRDefault="00C45FD6" w:rsidP="00F3059C">
            <w:pPr>
              <w:rPr>
                <w:rFonts w:asciiTheme="majorBidi" w:hAnsiTheme="majorBidi" w:cstheme="majorBidi"/>
                <w:color w:val="auto"/>
                <w:sz w:val="24"/>
                <w:szCs w:val="24"/>
              </w:rPr>
            </w:pPr>
            <w:r w:rsidRPr="00F3059C">
              <w:rPr>
                <w:rFonts w:asciiTheme="majorBidi" w:hAnsiTheme="majorBidi" w:cstheme="majorBidi"/>
                <w:b/>
                <w:bCs/>
                <w:color w:val="auto"/>
                <w:sz w:val="24"/>
                <w:szCs w:val="24"/>
              </w:rPr>
              <w:t>Details</w:t>
            </w:r>
          </w:p>
        </w:tc>
        <w:tc>
          <w:tcPr>
            <w:tcW w:w="608" w:type="pct"/>
            <w:noWrap/>
            <w:hideMark/>
          </w:tcPr>
          <w:p w14:paraId="5D772E32"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2022</w:t>
            </w:r>
          </w:p>
          <w:p w14:paraId="5D772E33"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(in $ million)</w:t>
            </w:r>
          </w:p>
        </w:tc>
        <w:tc>
          <w:tcPr>
            <w:tcW w:w="608" w:type="pct"/>
            <w:noWrap/>
            <w:hideMark/>
          </w:tcPr>
          <w:p w14:paraId="5D772E34"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2021</w:t>
            </w:r>
          </w:p>
          <w:p w14:paraId="5D772E35"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(in $ million)</w:t>
            </w:r>
          </w:p>
        </w:tc>
        <w:tc>
          <w:tcPr>
            <w:tcW w:w="608" w:type="pct"/>
            <w:noWrap/>
            <w:hideMark/>
          </w:tcPr>
          <w:p w14:paraId="5D772E36"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2020</w:t>
            </w:r>
          </w:p>
          <w:p w14:paraId="5D772E37"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(in $ million)</w:t>
            </w:r>
          </w:p>
        </w:tc>
      </w:tr>
      <w:tr w:rsidR="00B83CFD" w:rsidRPr="00F3059C" w14:paraId="5D772E3D" w14:textId="77777777" w:rsidTr="00B83CFD">
        <w:trPr>
          <w:trHeight w:val="300"/>
        </w:trPr>
        <w:tc>
          <w:tcPr>
            <w:tcW w:w="3177" w:type="pct"/>
            <w:noWrap/>
            <w:hideMark/>
          </w:tcPr>
          <w:p w14:paraId="5D772E39"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Revenue from fee business</w:t>
            </w:r>
          </w:p>
        </w:tc>
        <w:tc>
          <w:tcPr>
            <w:tcW w:w="608" w:type="pct"/>
            <w:noWrap/>
            <w:hideMark/>
          </w:tcPr>
          <w:p w14:paraId="5D772E3A"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1449</w:t>
            </w:r>
          </w:p>
        </w:tc>
        <w:tc>
          <w:tcPr>
            <w:tcW w:w="608" w:type="pct"/>
            <w:noWrap/>
            <w:hideMark/>
          </w:tcPr>
          <w:p w14:paraId="5D772E3B"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1153</w:t>
            </w:r>
          </w:p>
        </w:tc>
        <w:tc>
          <w:tcPr>
            <w:tcW w:w="608" w:type="pct"/>
            <w:noWrap/>
            <w:hideMark/>
          </w:tcPr>
          <w:p w14:paraId="5D772E3C"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823</w:t>
            </w:r>
          </w:p>
        </w:tc>
      </w:tr>
      <w:tr w:rsidR="00B83CFD" w:rsidRPr="00F3059C" w14:paraId="5D772E42" w14:textId="77777777" w:rsidTr="00B83CFD">
        <w:trPr>
          <w:trHeight w:val="300"/>
        </w:trPr>
        <w:tc>
          <w:tcPr>
            <w:tcW w:w="3177" w:type="pct"/>
            <w:noWrap/>
            <w:hideMark/>
          </w:tcPr>
          <w:p w14:paraId="5D772E3E"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Revenue from owned, leased and managed lease hotels</w:t>
            </w:r>
          </w:p>
        </w:tc>
        <w:tc>
          <w:tcPr>
            <w:tcW w:w="608" w:type="pct"/>
            <w:noWrap/>
            <w:hideMark/>
          </w:tcPr>
          <w:p w14:paraId="5D772E3F"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394</w:t>
            </w:r>
          </w:p>
        </w:tc>
        <w:tc>
          <w:tcPr>
            <w:tcW w:w="608" w:type="pct"/>
            <w:noWrap/>
            <w:hideMark/>
          </w:tcPr>
          <w:p w14:paraId="5D772E40"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237</w:t>
            </w:r>
          </w:p>
        </w:tc>
        <w:tc>
          <w:tcPr>
            <w:tcW w:w="608" w:type="pct"/>
            <w:noWrap/>
            <w:hideMark/>
          </w:tcPr>
          <w:p w14:paraId="5D772E41"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169</w:t>
            </w:r>
          </w:p>
        </w:tc>
      </w:tr>
      <w:tr w:rsidR="00B83CFD" w:rsidRPr="00F3059C" w14:paraId="5D772E47" w14:textId="77777777" w:rsidTr="00B83CFD">
        <w:trPr>
          <w:trHeight w:val="300"/>
        </w:trPr>
        <w:tc>
          <w:tcPr>
            <w:tcW w:w="3177" w:type="pct"/>
            <w:noWrap/>
            <w:hideMark/>
          </w:tcPr>
          <w:p w14:paraId="5D772E43"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System fund revenues</w:t>
            </w:r>
          </w:p>
        </w:tc>
        <w:tc>
          <w:tcPr>
            <w:tcW w:w="608" w:type="pct"/>
            <w:noWrap/>
            <w:hideMark/>
          </w:tcPr>
          <w:p w14:paraId="5D772E44"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1217</w:t>
            </w:r>
          </w:p>
        </w:tc>
        <w:tc>
          <w:tcPr>
            <w:tcW w:w="608" w:type="pct"/>
            <w:noWrap/>
            <w:hideMark/>
          </w:tcPr>
          <w:p w14:paraId="5D772E45"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928</w:t>
            </w:r>
          </w:p>
        </w:tc>
        <w:tc>
          <w:tcPr>
            <w:tcW w:w="608" w:type="pct"/>
            <w:noWrap/>
            <w:hideMark/>
          </w:tcPr>
          <w:p w14:paraId="5D772E46"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765</w:t>
            </w:r>
          </w:p>
        </w:tc>
      </w:tr>
      <w:tr w:rsidR="00B83CFD" w:rsidRPr="00F3059C" w14:paraId="5D772E4C" w14:textId="77777777" w:rsidTr="00B83CFD">
        <w:trPr>
          <w:trHeight w:val="300"/>
        </w:trPr>
        <w:tc>
          <w:tcPr>
            <w:tcW w:w="3177" w:type="pct"/>
            <w:noWrap/>
            <w:hideMark/>
          </w:tcPr>
          <w:p w14:paraId="5D772E48"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Reimbursement of costs</w:t>
            </w:r>
          </w:p>
        </w:tc>
        <w:tc>
          <w:tcPr>
            <w:tcW w:w="608" w:type="pct"/>
            <w:noWrap/>
            <w:hideMark/>
          </w:tcPr>
          <w:p w14:paraId="5D772E49"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832</w:t>
            </w:r>
          </w:p>
        </w:tc>
        <w:tc>
          <w:tcPr>
            <w:tcW w:w="608" w:type="pct"/>
            <w:noWrap/>
            <w:hideMark/>
          </w:tcPr>
          <w:p w14:paraId="5D772E4A"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589</w:t>
            </w:r>
          </w:p>
        </w:tc>
        <w:tc>
          <w:tcPr>
            <w:tcW w:w="608" w:type="pct"/>
            <w:noWrap/>
            <w:hideMark/>
          </w:tcPr>
          <w:p w14:paraId="5D772E4B"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637</w:t>
            </w:r>
          </w:p>
        </w:tc>
      </w:tr>
      <w:tr w:rsidR="00B83CFD" w:rsidRPr="00F3059C" w14:paraId="5D772E51" w14:textId="77777777" w:rsidTr="00B83CFD">
        <w:trPr>
          <w:trHeight w:val="300"/>
        </w:trPr>
        <w:tc>
          <w:tcPr>
            <w:tcW w:w="3177" w:type="pct"/>
            <w:noWrap/>
            <w:hideMark/>
          </w:tcPr>
          <w:p w14:paraId="5D772E4D" w14:textId="77777777" w:rsidR="00B83CFD" w:rsidRPr="00F3059C" w:rsidRDefault="00B83CFD" w:rsidP="00F3059C">
            <w:pP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Total revenue</w:t>
            </w:r>
          </w:p>
        </w:tc>
        <w:tc>
          <w:tcPr>
            <w:tcW w:w="608" w:type="pct"/>
            <w:noWrap/>
            <w:hideMark/>
          </w:tcPr>
          <w:p w14:paraId="5D772E4E"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3892</w:t>
            </w:r>
          </w:p>
        </w:tc>
        <w:tc>
          <w:tcPr>
            <w:tcW w:w="608" w:type="pct"/>
            <w:noWrap/>
            <w:hideMark/>
          </w:tcPr>
          <w:p w14:paraId="5D772E4F"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2907</w:t>
            </w:r>
          </w:p>
        </w:tc>
        <w:tc>
          <w:tcPr>
            <w:tcW w:w="608" w:type="pct"/>
            <w:noWrap/>
            <w:hideMark/>
          </w:tcPr>
          <w:p w14:paraId="5D772E50"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2394</w:t>
            </w:r>
          </w:p>
        </w:tc>
      </w:tr>
    </w:tbl>
    <w:p w14:paraId="5D772E52" w14:textId="77777777" w:rsidR="00F3059C" w:rsidRPr="00F3059C" w:rsidRDefault="00F3059C" w:rsidP="00F3059C">
      <w:pPr>
        <w:pStyle w:val="Caption"/>
        <w:spacing w:line="360" w:lineRule="auto"/>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Table </w:t>
      </w:r>
      <w:r w:rsidRPr="00F3059C">
        <w:rPr>
          <w:rFonts w:asciiTheme="majorBidi" w:hAnsiTheme="majorBidi" w:cstheme="majorBidi"/>
          <w:color w:val="auto"/>
          <w:sz w:val="24"/>
          <w:szCs w:val="24"/>
        </w:rPr>
        <w:fldChar w:fldCharType="begin"/>
      </w:r>
      <w:r w:rsidRPr="00F3059C">
        <w:rPr>
          <w:rFonts w:asciiTheme="majorBidi" w:hAnsiTheme="majorBidi" w:cstheme="majorBidi"/>
          <w:color w:val="auto"/>
          <w:sz w:val="24"/>
          <w:szCs w:val="24"/>
        </w:rPr>
        <w:instrText xml:space="preserve"> SEQ Table \* ARABIC </w:instrText>
      </w:r>
      <w:r w:rsidRPr="00F3059C">
        <w:rPr>
          <w:rFonts w:asciiTheme="majorBidi" w:hAnsiTheme="majorBidi" w:cstheme="majorBidi"/>
          <w:color w:val="auto"/>
          <w:sz w:val="24"/>
          <w:szCs w:val="24"/>
        </w:rPr>
        <w:fldChar w:fldCharType="separate"/>
      </w:r>
      <w:r w:rsidRPr="00F3059C">
        <w:rPr>
          <w:rFonts w:asciiTheme="majorBidi" w:hAnsiTheme="majorBidi" w:cstheme="majorBidi"/>
          <w:noProof/>
          <w:color w:val="auto"/>
          <w:sz w:val="24"/>
          <w:szCs w:val="24"/>
        </w:rPr>
        <w:t>1</w:t>
      </w:r>
      <w:r w:rsidRPr="00F3059C">
        <w:rPr>
          <w:rFonts w:asciiTheme="majorBidi" w:hAnsiTheme="majorBidi" w:cstheme="majorBidi"/>
          <w:color w:val="auto"/>
          <w:sz w:val="24"/>
          <w:szCs w:val="24"/>
        </w:rPr>
        <w:fldChar w:fldCharType="end"/>
      </w:r>
      <w:r w:rsidRPr="00F3059C">
        <w:rPr>
          <w:rFonts w:asciiTheme="majorBidi" w:hAnsiTheme="majorBidi" w:cstheme="majorBidi"/>
          <w:color w:val="auto"/>
          <w:sz w:val="24"/>
          <w:szCs w:val="24"/>
        </w:rPr>
        <w:t>: Total revenue of IHG</w:t>
      </w:r>
    </w:p>
    <w:p w14:paraId="5D772E53" w14:textId="77777777" w:rsidR="00B83CFD" w:rsidRPr="00F3059C" w:rsidRDefault="0053454F" w:rsidP="00F3059C">
      <w:pPr>
        <w:jc w:val="center"/>
        <w:rPr>
          <w:rFonts w:asciiTheme="majorBidi" w:hAnsiTheme="majorBidi" w:cstheme="majorBidi"/>
          <w:color w:val="auto"/>
          <w:szCs w:val="24"/>
        </w:rPr>
      </w:pPr>
      <w:r w:rsidRPr="00F3059C">
        <w:rPr>
          <w:rFonts w:asciiTheme="majorBidi" w:hAnsiTheme="majorBidi" w:cstheme="majorBidi"/>
          <w:color w:val="auto"/>
          <w:szCs w:val="24"/>
        </w:rPr>
        <w:t>(Source: InterContinental Hotels Group plc, 2023)</w:t>
      </w:r>
    </w:p>
    <w:p w14:paraId="5D772E54" w14:textId="77777777" w:rsidR="00B83CFD" w:rsidRPr="00F3059C" w:rsidRDefault="00403594" w:rsidP="00F3059C">
      <w:pPr>
        <w:rPr>
          <w:rFonts w:asciiTheme="majorBidi" w:hAnsiTheme="majorBidi" w:cstheme="majorBidi"/>
          <w:color w:val="auto"/>
          <w:szCs w:val="24"/>
        </w:rPr>
      </w:pPr>
      <w:r w:rsidRPr="00F3059C">
        <w:rPr>
          <w:rFonts w:asciiTheme="majorBidi" w:hAnsiTheme="majorBidi" w:cstheme="majorBidi"/>
          <w:color w:val="auto"/>
          <w:szCs w:val="24"/>
        </w:rPr>
        <w:t>On the other hand, the following table shows the breakdown of the total revenue of Marriott International for the past three years –</w:t>
      </w:r>
    </w:p>
    <w:tbl>
      <w:tblPr>
        <w:tblStyle w:val="TableGrid"/>
        <w:tblW w:w="5000" w:type="pct"/>
        <w:tblLook w:val="04A0" w:firstRow="1" w:lastRow="0" w:firstColumn="1" w:lastColumn="0" w:noHBand="0" w:noVBand="1"/>
      </w:tblPr>
      <w:tblGrid>
        <w:gridCol w:w="4571"/>
        <w:gridCol w:w="1537"/>
        <w:gridCol w:w="1597"/>
        <w:gridCol w:w="1537"/>
      </w:tblGrid>
      <w:tr w:rsidR="00B83CFD" w:rsidRPr="00F3059C" w14:paraId="5D772E5C" w14:textId="77777777" w:rsidTr="0053454F">
        <w:trPr>
          <w:trHeight w:val="300"/>
        </w:trPr>
        <w:tc>
          <w:tcPr>
            <w:tcW w:w="2578" w:type="pct"/>
            <w:noWrap/>
            <w:hideMark/>
          </w:tcPr>
          <w:p w14:paraId="5D772E55" w14:textId="77777777" w:rsidR="00B83CFD" w:rsidRPr="00F3059C" w:rsidRDefault="00C45FD6" w:rsidP="00F3059C">
            <w:pPr>
              <w:rPr>
                <w:rFonts w:asciiTheme="majorBidi" w:hAnsiTheme="majorBidi" w:cstheme="majorBidi"/>
                <w:color w:val="auto"/>
                <w:sz w:val="24"/>
                <w:szCs w:val="24"/>
              </w:rPr>
            </w:pPr>
            <w:r w:rsidRPr="00F3059C">
              <w:rPr>
                <w:rFonts w:asciiTheme="majorBidi" w:hAnsiTheme="majorBidi" w:cstheme="majorBidi"/>
                <w:b/>
                <w:bCs/>
                <w:color w:val="auto"/>
                <w:sz w:val="24"/>
                <w:szCs w:val="24"/>
              </w:rPr>
              <w:t>Details</w:t>
            </w:r>
          </w:p>
        </w:tc>
        <w:tc>
          <w:tcPr>
            <w:tcW w:w="807" w:type="pct"/>
            <w:noWrap/>
            <w:hideMark/>
          </w:tcPr>
          <w:p w14:paraId="5D772E56"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 xml:space="preserve">2022 </w:t>
            </w:r>
          </w:p>
          <w:p w14:paraId="5D772E57"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(in $ million)</w:t>
            </w:r>
          </w:p>
        </w:tc>
        <w:tc>
          <w:tcPr>
            <w:tcW w:w="807" w:type="pct"/>
            <w:noWrap/>
            <w:hideMark/>
          </w:tcPr>
          <w:p w14:paraId="5D772E58"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2021</w:t>
            </w:r>
          </w:p>
          <w:p w14:paraId="5D772E59"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 xml:space="preserve"> (in $ million)</w:t>
            </w:r>
          </w:p>
        </w:tc>
        <w:tc>
          <w:tcPr>
            <w:tcW w:w="807" w:type="pct"/>
            <w:noWrap/>
            <w:hideMark/>
          </w:tcPr>
          <w:p w14:paraId="5D772E5A"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 xml:space="preserve">2020 </w:t>
            </w:r>
          </w:p>
          <w:p w14:paraId="5D772E5B"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(in $ million)</w:t>
            </w:r>
          </w:p>
        </w:tc>
      </w:tr>
      <w:tr w:rsidR="00B83CFD" w:rsidRPr="00F3059C" w14:paraId="5D772E61" w14:textId="77777777" w:rsidTr="0053454F">
        <w:trPr>
          <w:trHeight w:val="300"/>
        </w:trPr>
        <w:tc>
          <w:tcPr>
            <w:tcW w:w="2578" w:type="pct"/>
            <w:noWrap/>
            <w:hideMark/>
          </w:tcPr>
          <w:p w14:paraId="5D772E5D"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Base management fees</w:t>
            </w:r>
          </w:p>
        </w:tc>
        <w:tc>
          <w:tcPr>
            <w:tcW w:w="807" w:type="pct"/>
            <w:noWrap/>
            <w:hideMark/>
          </w:tcPr>
          <w:p w14:paraId="5D772E5E"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1044</w:t>
            </w:r>
          </w:p>
        </w:tc>
        <w:tc>
          <w:tcPr>
            <w:tcW w:w="807" w:type="pct"/>
            <w:noWrap/>
            <w:hideMark/>
          </w:tcPr>
          <w:p w14:paraId="5D772E5F"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669</w:t>
            </w:r>
          </w:p>
        </w:tc>
        <w:tc>
          <w:tcPr>
            <w:tcW w:w="807" w:type="pct"/>
            <w:noWrap/>
            <w:hideMark/>
          </w:tcPr>
          <w:p w14:paraId="5D772E60"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443</w:t>
            </w:r>
          </w:p>
        </w:tc>
      </w:tr>
      <w:tr w:rsidR="00B83CFD" w:rsidRPr="00F3059C" w14:paraId="5D772E66" w14:textId="77777777" w:rsidTr="0053454F">
        <w:trPr>
          <w:trHeight w:val="300"/>
        </w:trPr>
        <w:tc>
          <w:tcPr>
            <w:tcW w:w="2578" w:type="pct"/>
            <w:noWrap/>
            <w:hideMark/>
          </w:tcPr>
          <w:p w14:paraId="5D772E62"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Franchise fees</w:t>
            </w:r>
          </w:p>
        </w:tc>
        <w:tc>
          <w:tcPr>
            <w:tcW w:w="807" w:type="pct"/>
            <w:noWrap/>
            <w:hideMark/>
          </w:tcPr>
          <w:p w14:paraId="5D772E63"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2505</w:t>
            </w:r>
          </w:p>
        </w:tc>
        <w:tc>
          <w:tcPr>
            <w:tcW w:w="807" w:type="pct"/>
            <w:noWrap/>
            <w:hideMark/>
          </w:tcPr>
          <w:p w14:paraId="5D772E64"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1790</w:t>
            </w:r>
          </w:p>
        </w:tc>
        <w:tc>
          <w:tcPr>
            <w:tcW w:w="807" w:type="pct"/>
            <w:noWrap/>
            <w:hideMark/>
          </w:tcPr>
          <w:p w14:paraId="5D772E65"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1153</w:t>
            </w:r>
          </w:p>
        </w:tc>
      </w:tr>
      <w:tr w:rsidR="00B83CFD" w:rsidRPr="00F3059C" w14:paraId="5D772E6B" w14:textId="77777777" w:rsidTr="0053454F">
        <w:trPr>
          <w:trHeight w:val="300"/>
        </w:trPr>
        <w:tc>
          <w:tcPr>
            <w:tcW w:w="2578" w:type="pct"/>
            <w:noWrap/>
            <w:hideMark/>
          </w:tcPr>
          <w:p w14:paraId="5D772E67"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Incentive management fees</w:t>
            </w:r>
          </w:p>
        </w:tc>
        <w:tc>
          <w:tcPr>
            <w:tcW w:w="807" w:type="pct"/>
            <w:noWrap/>
            <w:hideMark/>
          </w:tcPr>
          <w:p w14:paraId="5D772E68"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529</w:t>
            </w:r>
          </w:p>
        </w:tc>
        <w:tc>
          <w:tcPr>
            <w:tcW w:w="807" w:type="pct"/>
            <w:noWrap/>
            <w:hideMark/>
          </w:tcPr>
          <w:p w14:paraId="5D772E69"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235</w:t>
            </w:r>
          </w:p>
        </w:tc>
        <w:tc>
          <w:tcPr>
            <w:tcW w:w="807" w:type="pct"/>
            <w:noWrap/>
            <w:hideMark/>
          </w:tcPr>
          <w:p w14:paraId="5D772E6A"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87</w:t>
            </w:r>
          </w:p>
        </w:tc>
      </w:tr>
      <w:tr w:rsidR="00B83CFD" w:rsidRPr="00F3059C" w14:paraId="5D772E70" w14:textId="77777777" w:rsidTr="0053454F">
        <w:trPr>
          <w:trHeight w:val="300"/>
        </w:trPr>
        <w:tc>
          <w:tcPr>
            <w:tcW w:w="2578" w:type="pct"/>
            <w:noWrap/>
            <w:hideMark/>
          </w:tcPr>
          <w:p w14:paraId="5D772E6C"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Gross fee revenues</w:t>
            </w:r>
          </w:p>
        </w:tc>
        <w:tc>
          <w:tcPr>
            <w:tcW w:w="807" w:type="pct"/>
            <w:noWrap/>
            <w:hideMark/>
          </w:tcPr>
          <w:p w14:paraId="5D772E6D"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4078</w:t>
            </w:r>
          </w:p>
        </w:tc>
        <w:tc>
          <w:tcPr>
            <w:tcW w:w="807" w:type="pct"/>
            <w:noWrap/>
            <w:hideMark/>
          </w:tcPr>
          <w:p w14:paraId="5D772E6E"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2694</w:t>
            </w:r>
          </w:p>
        </w:tc>
        <w:tc>
          <w:tcPr>
            <w:tcW w:w="807" w:type="pct"/>
            <w:noWrap/>
            <w:hideMark/>
          </w:tcPr>
          <w:p w14:paraId="5D772E6F"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1683</w:t>
            </w:r>
          </w:p>
        </w:tc>
      </w:tr>
      <w:tr w:rsidR="00B83CFD" w:rsidRPr="00F3059C" w14:paraId="5D772E75" w14:textId="77777777" w:rsidTr="0053454F">
        <w:trPr>
          <w:trHeight w:val="300"/>
        </w:trPr>
        <w:tc>
          <w:tcPr>
            <w:tcW w:w="2578" w:type="pct"/>
            <w:noWrap/>
            <w:hideMark/>
          </w:tcPr>
          <w:p w14:paraId="5D772E71"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Contract investment amortization</w:t>
            </w:r>
          </w:p>
        </w:tc>
        <w:tc>
          <w:tcPr>
            <w:tcW w:w="807" w:type="pct"/>
            <w:noWrap/>
            <w:hideMark/>
          </w:tcPr>
          <w:p w14:paraId="5D772E72"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-89</w:t>
            </w:r>
          </w:p>
        </w:tc>
        <w:tc>
          <w:tcPr>
            <w:tcW w:w="807" w:type="pct"/>
            <w:noWrap/>
            <w:hideMark/>
          </w:tcPr>
          <w:p w14:paraId="5D772E73"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-75</w:t>
            </w:r>
          </w:p>
        </w:tc>
        <w:tc>
          <w:tcPr>
            <w:tcW w:w="807" w:type="pct"/>
            <w:noWrap/>
            <w:hideMark/>
          </w:tcPr>
          <w:p w14:paraId="5D772E74"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-132</w:t>
            </w:r>
          </w:p>
        </w:tc>
      </w:tr>
      <w:tr w:rsidR="00B83CFD" w:rsidRPr="00F3059C" w14:paraId="5D772E7A" w14:textId="77777777" w:rsidTr="0053454F">
        <w:trPr>
          <w:trHeight w:val="300"/>
        </w:trPr>
        <w:tc>
          <w:tcPr>
            <w:tcW w:w="2578" w:type="pct"/>
            <w:noWrap/>
            <w:hideMark/>
          </w:tcPr>
          <w:p w14:paraId="5D772E76"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Net fee revenues</w:t>
            </w:r>
          </w:p>
        </w:tc>
        <w:tc>
          <w:tcPr>
            <w:tcW w:w="807" w:type="pct"/>
            <w:noWrap/>
            <w:hideMark/>
          </w:tcPr>
          <w:p w14:paraId="5D772E77"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3989</w:t>
            </w:r>
          </w:p>
        </w:tc>
        <w:tc>
          <w:tcPr>
            <w:tcW w:w="807" w:type="pct"/>
            <w:noWrap/>
            <w:hideMark/>
          </w:tcPr>
          <w:p w14:paraId="5D772E78"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2619</w:t>
            </w:r>
          </w:p>
        </w:tc>
        <w:tc>
          <w:tcPr>
            <w:tcW w:w="807" w:type="pct"/>
            <w:noWrap/>
            <w:hideMark/>
          </w:tcPr>
          <w:p w14:paraId="5D772E79"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1551</w:t>
            </w:r>
          </w:p>
        </w:tc>
      </w:tr>
      <w:tr w:rsidR="00B83CFD" w:rsidRPr="00F3059C" w14:paraId="5D772E7F" w14:textId="77777777" w:rsidTr="0053454F">
        <w:trPr>
          <w:trHeight w:val="300"/>
        </w:trPr>
        <w:tc>
          <w:tcPr>
            <w:tcW w:w="2578" w:type="pct"/>
            <w:noWrap/>
            <w:hideMark/>
          </w:tcPr>
          <w:p w14:paraId="5D772E7B"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Owned, leased and other revenue</w:t>
            </w:r>
          </w:p>
        </w:tc>
        <w:tc>
          <w:tcPr>
            <w:tcW w:w="807" w:type="pct"/>
            <w:noWrap/>
            <w:hideMark/>
          </w:tcPr>
          <w:p w14:paraId="5D772E7C"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1367</w:t>
            </w:r>
          </w:p>
        </w:tc>
        <w:tc>
          <w:tcPr>
            <w:tcW w:w="807" w:type="pct"/>
            <w:noWrap/>
            <w:hideMark/>
          </w:tcPr>
          <w:p w14:paraId="5D772E7D"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796</w:t>
            </w:r>
          </w:p>
        </w:tc>
        <w:tc>
          <w:tcPr>
            <w:tcW w:w="807" w:type="pct"/>
            <w:noWrap/>
            <w:hideMark/>
          </w:tcPr>
          <w:p w14:paraId="5D772E7E"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568</w:t>
            </w:r>
          </w:p>
        </w:tc>
      </w:tr>
      <w:tr w:rsidR="00B83CFD" w:rsidRPr="00F3059C" w14:paraId="5D772E84" w14:textId="77777777" w:rsidTr="0053454F">
        <w:trPr>
          <w:trHeight w:val="300"/>
        </w:trPr>
        <w:tc>
          <w:tcPr>
            <w:tcW w:w="2578" w:type="pct"/>
            <w:noWrap/>
            <w:hideMark/>
          </w:tcPr>
          <w:p w14:paraId="5D772E80" w14:textId="77777777" w:rsidR="00B83CFD" w:rsidRPr="00F3059C" w:rsidRDefault="00B83CFD"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Cost reimbursement revenue</w:t>
            </w:r>
          </w:p>
        </w:tc>
        <w:tc>
          <w:tcPr>
            <w:tcW w:w="807" w:type="pct"/>
            <w:noWrap/>
            <w:hideMark/>
          </w:tcPr>
          <w:p w14:paraId="5D772E81"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15417</w:t>
            </w:r>
          </w:p>
        </w:tc>
        <w:tc>
          <w:tcPr>
            <w:tcW w:w="807" w:type="pct"/>
            <w:noWrap/>
            <w:hideMark/>
          </w:tcPr>
          <w:p w14:paraId="5D772E82"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10442</w:t>
            </w:r>
          </w:p>
        </w:tc>
        <w:tc>
          <w:tcPr>
            <w:tcW w:w="807" w:type="pct"/>
            <w:noWrap/>
            <w:hideMark/>
          </w:tcPr>
          <w:p w14:paraId="5D772E83" w14:textId="77777777" w:rsidR="00B83CFD" w:rsidRPr="00F3059C" w:rsidRDefault="00B83CF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8452</w:t>
            </w:r>
          </w:p>
        </w:tc>
      </w:tr>
      <w:tr w:rsidR="00B83CFD" w:rsidRPr="00F3059C" w14:paraId="5D772E89" w14:textId="77777777" w:rsidTr="0053454F">
        <w:trPr>
          <w:trHeight w:val="300"/>
        </w:trPr>
        <w:tc>
          <w:tcPr>
            <w:tcW w:w="2578" w:type="pct"/>
            <w:noWrap/>
            <w:hideMark/>
          </w:tcPr>
          <w:p w14:paraId="5D772E85" w14:textId="77777777" w:rsidR="00B83CFD" w:rsidRPr="00F3059C" w:rsidRDefault="00B83CFD" w:rsidP="00F3059C">
            <w:pP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Total revenue</w:t>
            </w:r>
          </w:p>
        </w:tc>
        <w:tc>
          <w:tcPr>
            <w:tcW w:w="807" w:type="pct"/>
            <w:noWrap/>
            <w:hideMark/>
          </w:tcPr>
          <w:p w14:paraId="5D772E86"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20773</w:t>
            </w:r>
          </w:p>
        </w:tc>
        <w:tc>
          <w:tcPr>
            <w:tcW w:w="807" w:type="pct"/>
            <w:noWrap/>
            <w:hideMark/>
          </w:tcPr>
          <w:p w14:paraId="5D772E87"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13857</w:t>
            </w:r>
          </w:p>
        </w:tc>
        <w:tc>
          <w:tcPr>
            <w:tcW w:w="807" w:type="pct"/>
            <w:noWrap/>
            <w:hideMark/>
          </w:tcPr>
          <w:p w14:paraId="5D772E88" w14:textId="77777777" w:rsidR="00B83CFD" w:rsidRPr="00F3059C" w:rsidRDefault="00B83CFD"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10571</w:t>
            </w:r>
          </w:p>
        </w:tc>
      </w:tr>
    </w:tbl>
    <w:p w14:paraId="5D772E8A" w14:textId="77777777" w:rsidR="00F3059C" w:rsidRPr="00F3059C" w:rsidRDefault="00F3059C" w:rsidP="00F3059C">
      <w:pPr>
        <w:pStyle w:val="Caption"/>
        <w:spacing w:line="360" w:lineRule="auto"/>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Table </w:t>
      </w:r>
      <w:r w:rsidRPr="00F3059C">
        <w:rPr>
          <w:rFonts w:asciiTheme="majorBidi" w:hAnsiTheme="majorBidi" w:cstheme="majorBidi"/>
          <w:color w:val="auto"/>
          <w:sz w:val="24"/>
          <w:szCs w:val="24"/>
        </w:rPr>
        <w:fldChar w:fldCharType="begin"/>
      </w:r>
      <w:r w:rsidRPr="00F3059C">
        <w:rPr>
          <w:rFonts w:asciiTheme="majorBidi" w:hAnsiTheme="majorBidi" w:cstheme="majorBidi"/>
          <w:color w:val="auto"/>
          <w:sz w:val="24"/>
          <w:szCs w:val="24"/>
        </w:rPr>
        <w:instrText xml:space="preserve"> SEQ Table \* ARABIC </w:instrText>
      </w:r>
      <w:r w:rsidRPr="00F3059C">
        <w:rPr>
          <w:rFonts w:asciiTheme="majorBidi" w:hAnsiTheme="majorBidi" w:cstheme="majorBidi"/>
          <w:color w:val="auto"/>
          <w:sz w:val="24"/>
          <w:szCs w:val="24"/>
        </w:rPr>
        <w:fldChar w:fldCharType="separate"/>
      </w:r>
      <w:r w:rsidRPr="00F3059C">
        <w:rPr>
          <w:rFonts w:asciiTheme="majorBidi" w:hAnsiTheme="majorBidi" w:cstheme="majorBidi"/>
          <w:noProof/>
          <w:color w:val="auto"/>
          <w:sz w:val="24"/>
          <w:szCs w:val="24"/>
        </w:rPr>
        <w:t>2</w:t>
      </w:r>
      <w:r w:rsidRPr="00F3059C">
        <w:rPr>
          <w:rFonts w:asciiTheme="majorBidi" w:hAnsiTheme="majorBidi" w:cstheme="majorBidi"/>
          <w:color w:val="auto"/>
          <w:sz w:val="24"/>
          <w:szCs w:val="24"/>
        </w:rPr>
        <w:fldChar w:fldCharType="end"/>
      </w:r>
      <w:r w:rsidRPr="00F3059C">
        <w:rPr>
          <w:rFonts w:asciiTheme="majorBidi" w:hAnsiTheme="majorBidi" w:cstheme="majorBidi"/>
          <w:color w:val="auto"/>
          <w:sz w:val="24"/>
          <w:szCs w:val="24"/>
        </w:rPr>
        <w:t>: Total revenue of Marriott International</w:t>
      </w:r>
    </w:p>
    <w:p w14:paraId="5D772E8B" w14:textId="77777777" w:rsidR="00B83CFD" w:rsidRPr="00F3059C" w:rsidRDefault="0053454F" w:rsidP="00F3059C">
      <w:pPr>
        <w:jc w:val="center"/>
        <w:rPr>
          <w:rFonts w:asciiTheme="majorBidi" w:hAnsiTheme="majorBidi" w:cstheme="majorBidi"/>
          <w:color w:val="auto"/>
          <w:szCs w:val="24"/>
        </w:rPr>
      </w:pPr>
      <w:r w:rsidRPr="00F3059C">
        <w:rPr>
          <w:rFonts w:asciiTheme="majorBidi" w:hAnsiTheme="majorBidi" w:cstheme="majorBidi"/>
          <w:color w:val="auto"/>
          <w:szCs w:val="24"/>
        </w:rPr>
        <w:t>(Source: Marriott International, 2023)</w:t>
      </w:r>
    </w:p>
    <w:p w14:paraId="5D772E8C" w14:textId="77777777" w:rsidR="00AE0742" w:rsidRPr="00F3059C" w:rsidRDefault="00DE02C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 comparison of the total revenue of Marriott International and IHG shows that their total revenue was the lowest in 2020. A consistent increase has occurred in their total revenue from 2020 to 2022. However, amongst the two hospitality organisations, better and higher revenue has been earned in Marriott International. This proves that </w:t>
      </w:r>
      <w:r w:rsidR="00481F67" w:rsidRPr="00F3059C">
        <w:rPr>
          <w:rFonts w:asciiTheme="majorBidi" w:hAnsiTheme="majorBidi" w:cstheme="majorBidi"/>
          <w:color w:val="auto"/>
          <w:szCs w:val="24"/>
        </w:rPr>
        <w:t xml:space="preserve">the total revenue of </w:t>
      </w:r>
      <w:r w:rsidRPr="00F3059C">
        <w:rPr>
          <w:rFonts w:asciiTheme="majorBidi" w:hAnsiTheme="majorBidi" w:cstheme="majorBidi"/>
          <w:color w:val="auto"/>
          <w:szCs w:val="24"/>
        </w:rPr>
        <w:t xml:space="preserve">Marriott International </w:t>
      </w:r>
      <w:r w:rsidR="00481F67" w:rsidRPr="00F3059C">
        <w:rPr>
          <w:rFonts w:asciiTheme="majorBidi" w:hAnsiTheme="majorBidi" w:cstheme="majorBidi"/>
          <w:color w:val="auto"/>
          <w:szCs w:val="24"/>
        </w:rPr>
        <w:t>is superior as compared to that of IHG.</w:t>
      </w:r>
    </w:p>
    <w:p w14:paraId="5D772E8D" w14:textId="77777777" w:rsidR="00AE0742" w:rsidRPr="00F3059C" w:rsidRDefault="00AE0742" w:rsidP="00F3059C">
      <w:pPr>
        <w:pStyle w:val="Heading2"/>
        <w:rPr>
          <w:szCs w:val="24"/>
        </w:rPr>
      </w:pPr>
      <w:r w:rsidRPr="00F3059C">
        <w:rPr>
          <w:szCs w:val="24"/>
        </w:rPr>
        <w:t>Profitability</w:t>
      </w:r>
    </w:p>
    <w:p w14:paraId="5D772E8E" w14:textId="77777777" w:rsidR="00C54395" w:rsidRPr="00F3059C" w:rsidRDefault="00A95C80"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 term profitability can be defined as </w:t>
      </w:r>
      <w:r w:rsidR="00C54395" w:rsidRPr="00F3059C">
        <w:rPr>
          <w:rFonts w:asciiTheme="majorBidi" w:hAnsiTheme="majorBidi" w:cstheme="majorBidi"/>
          <w:color w:val="auto"/>
          <w:szCs w:val="24"/>
        </w:rPr>
        <w:t>the degree or the level to which a business organisation is able to yield financial gains or profit (</w:t>
      </w:r>
      <w:proofErr w:type="spellStart"/>
      <w:r w:rsidR="00F3059C" w:rsidRPr="00F3059C">
        <w:rPr>
          <w:rFonts w:asciiTheme="majorBidi" w:hAnsiTheme="majorBidi" w:cstheme="majorBidi"/>
          <w:color w:val="auto"/>
          <w:szCs w:val="24"/>
        </w:rPr>
        <w:t>Guilding</w:t>
      </w:r>
      <w:proofErr w:type="spellEnd"/>
      <w:r w:rsidR="00F3059C" w:rsidRPr="00F3059C">
        <w:rPr>
          <w:rFonts w:asciiTheme="majorBidi" w:hAnsiTheme="majorBidi" w:cstheme="majorBidi"/>
          <w:color w:val="auto"/>
          <w:szCs w:val="24"/>
        </w:rPr>
        <w:t>, 2013</w:t>
      </w:r>
      <w:r w:rsidR="00C54395" w:rsidRPr="00F3059C">
        <w:rPr>
          <w:rFonts w:asciiTheme="majorBidi" w:hAnsiTheme="majorBidi" w:cstheme="majorBidi"/>
          <w:color w:val="auto"/>
          <w:szCs w:val="24"/>
        </w:rPr>
        <w:t>). There are different aspects from which profits is generated in business organisations, which include profit from operations, net profit, profit from capital employed alongside profit from assets and equity. The following is a detailed calculation of the profitability of IHG in the past three years –</w:t>
      </w:r>
    </w:p>
    <w:tbl>
      <w:tblPr>
        <w:tblStyle w:val="TableGrid"/>
        <w:tblW w:w="5000" w:type="pct"/>
        <w:tblLayout w:type="fixed"/>
        <w:tblLook w:val="04A0" w:firstRow="1" w:lastRow="0" w:firstColumn="1" w:lastColumn="0" w:noHBand="0" w:noVBand="1"/>
      </w:tblPr>
      <w:tblGrid>
        <w:gridCol w:w="2092"/>
        <w:gridCol w:w="1616"/>
        <w:gridCol w:w="1813"/>
        <w:gridCol w:w="1813"/>
        <w:gridCol w:w="1908"/>
      </w:tblGrid>
      <w:tr w:rsidR="000E5EC4" w:rsidRPr="00F3059C" w14:paraId="5D772E94" w14:textId="77777777" w:rsidTr="00995372">
        <w:trPr>
          <w:trHeight w:val="300"/>
        </w:trPr>
        <w:tc>
          <w:tcPr>
            <w:tcW w:w="1132" w:type="pct"/>
            <w:noWrap/>
            <w:hideMark/>
          </w:tcPr>
          <w:p w14:paraId="5D772E8F"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b/>
                <w:bCs/>
                <w:color w:val="auto"/>
                <w:sz w:val="24"/>
                <w:szCs w:val="24"/>
              </w:rPr>
              <w:t>Details</w:t>
            </w:r>
          </w:p>
        </w:tc>
        <w:tc>
          <w:tcPr>
            <w:tcW w:w="874" w:type="pct"/>
          </w:tcPr>
          <w:p w14:paraId="5D772E90"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Formula</w:t>
            </w:r>
          </w:p>
        </w:tc>
        <w:tc>
          <w:tcPr>
            <w:tcW w:w="981" w:type="pct"/>
            <w:noWrap/>
            <w:hideMark/>
          </w:tcPr>
          <w:p w14:paraId="5D772E91"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2022</w:t>
            </w:r>
          </w:p>
        </w:tc>
        <w:tc>
          <w:tcPr>
            <w:tcW w:w="981" w:type="pct"/>
            <w:noWrap/>
            <w:hideMark/>
          </w:tcPr>
          <w:p w14:paraId="5D772E92"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2021</w:t>
            </w:r>
          </w:p>
        </w:tc>
        <w:tc>
          <w:tcPr>
            <w:tcW w:w="1032" w:type="pct"/>
            <w:noWrap/>
            <w:hideMark/>
          </w:tcPr>
          <w:p w14:paraId="5D772E93"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2020</w:t>
            </w:r>
          </w:p>
        </w:tc>
      </w:tr>
      <w:tr w:rsidR="000E5EC4" w:rsidRPr="00F3059C" w14:paraId="5D772EA0" w14:textId="77777777" w:rsidTr="00995372">
        <w:trPr>
          <w:trHeight w:val="300"/>
        </w:trPr>
        <w:tc>
          <w:tcPr>
            <w:tcW w:w="1132" w:type="pct"/>
            <w:noWrap/>
            <w:hideMark/>
          </w:tcPr>
          <w:p w14:paraId="5D772E95"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Operating profit ratio</w:t>
            </w:r>
          </w:p>
        </w:tc>
        <w:tc>
          <w:tcPr>
            <w:tcW w:w="874" w:type="pct"/>
          </w:tcPr>
          <w:p w14:paraId="5D772E96"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Operating profit / Total sales revenue * 100</w:t>
            </w:r>
          </w:p>
        </w:tc>
        <w:tc>
          <w:tcPr>
            <w:tcW w:w="981" w:type="pct"/>
            <w:noWrap/>
            <w:hideMark/>
          </w:tcPr>
          <w:p w14:paraId="5D772E97"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628 / 2892 * 100</w:t>
            </w:r>
          </w:p>
          <w:p w14:paraId="5D772E98"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16.13566</w:t>
            </w:r>
          </w:p>
          <w:p w14:paraId="5D772E99"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16.14</w:t>
            </w:r>
            <w:r w:rsidR="00C54395" w:rsidRPr="00F3059C">
              <w:rPr>
                <w:rFonts w:asciiTheme="majorBidi" w:hAnsiTheme="majorBidi" w:cstheme="majorBidi"/>
                <w:color w:val="auto"/>
                <w:sz w:val="24"/>
                <w:szCs w:val="24"/>
              </w:rPr>
              <w:t>%</w:t>
            </w:r>
          </w:p>
        </w:tc>
        <w:tc>
          <w:tcPr>
            <w:tcW w:w="981" w:type="pct"/>
            <w:noWrap/>
            <w:hideMark/>
          </w:tcPr>
          <w:p w14:paraId="5D772E9A"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494 / 2907 * 100</w:t>
            </w:r>
          </w:p>
          <w:p w14:paraId="5D772E9B"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16.99346</w:t>
            </w:r>
          </w:p>
          <w:p w14:paraId="5D772E9C"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16.99</w:t>
            </w:r>
            <w:r w:rsidR="00C54395" w:rsidRPr="00F3059C">
              <w:rPr>
                <w:rFonts w:asciiTheme="majorBidi" w:hAnsiTheme="majorBidi" w:cstheme="majorBidi"/>
                <w:color w:val="auto"/>
                <w:sz w:val="24"/>
                <w:szCs w:val="24"/>
              </w:rPr>
              <w:t>%</w:t>
            </w:r>
          </w:p>
        </w:tc>
        <w:tc>
          <w:tcPr>
            <w:tcW w:w="1032" w:type="pct"/>
            <w:noWrap/>
            <w:hideMark/>
          </w:tcPr>
          <w:p w14:paraId="5D772E9D"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- 153 / 2394 * 100</w:t>
            </w:r>
          </w:p>
          <w:p w14:paraId="5D772E9E" w14:textId="77777777" w:rsidR="00ED58A3" w:rsidRPr="00F3059C" w:rsidRDefault="00ED58A3"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- 6.39098</w:t>
            </w:r>
          </w:p>
          <w:p w14:paraId="5D772E9F"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6.39</w:t>
            </w:r>
            <w:r w:rsidR="00C54395" w:rsidRPr="00F3059C">
              <w:rPr>
                <w:rFonts w:asciiTheme="majorBidi" w:hAnsiTheme="majorBidi" w:cstheme="majorBidi"/>
                <w:color w:val="auto"/>
                <w:sz w:val="24"/>
                <w:szCs w:val="24"/>
              </w:rPr>
              <w:t>%</w:t>
            </w:r>
          </w:p>
        </w:tc>
      </w:tr>
      <w:tr w:rsidR="000E5EC4" w:rsidRPr="00F3059C" w14:paraId="5D772EAC" w14:textId="77777777" w:rsidTr="00995372">
        <w:trPr>
          <w:trHeight w:val="300"/>
        </w:trPr>
        <w:tc>
          <w:tcPr>
            <w:tcW w:w="1132" w:type="pct"/>
            <w:noWrap/>
            <w:hideMark/>
          </w:tcPr>
          <w:p w14:paraId="5D772EA1"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Net profit ratio</w:t>
            </w:r>
          </w:p>
        </w:tc>
        <w:tc>
          <w:tcPr>
            <w:tcW w:w="874" w:type="pct"/>
          </w:tcPr>
          <w:p w14:paraId="5D772EA2"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 Total sales revenue * 100</w:t>
            </w:r>
          </w:p>
        </w:tc>
        <w:tc>
          <w:tcPr>
            <w:tcW w:w="981" w:type="pct"/>
            <w:noWrap/>
            <w:hideMark/>
          </w:tcPr>
          <w:p w14:paraId="5D772EA3"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376 / 2892 * 100</w:t>
            </w:r>
          </w:p>
          <w:p w14:paraId="5D772EA4"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9.660843</w:t>
            </w:r>
          </w:p>
          <w:p w14:paraId="5D772EA5"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9.66</w:t>
            </w:r>
            <w:r w:rsidR="00C54395" w:rsidRPr="00F3059C">
              <w:rPr>
                <w:rFonts w:asciiTheme="majorBidi" w:hAnsiTheme="majorBidi" w:cstheme="majorBidi"/>
                <w:color w:val="auto"/>
                <w:sz w:val="24"/>
                <w:szCs w:val="24"/>
              </w:rPr>
              <w:t>%</w:t>
            </w:r>
          </w:p>
        </w:tc>
        <w:tc>
          <w:tcPr>
            <w:tcW w:w="981" w:type="pct"/>
            <w:noWrap/>
            <w:hideMark/>
          </w:tcPr>
          <w:p w14:paraId="5D772EA6"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265 / 2907 * 100</w:t>
            </w:r>
          </w:p>
          <w:p w14:paraId="5D772EA7"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9.115927</w:t>
            </w:r>
          </w:p>
          <w:p w14:paraId="5D772EA8"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9.12</w:t>
            </w:r>
            <w:r w:rsidR="00C54395" w:rsidRPr="00F3059C">
              <w:rPr>
                <w:rFonts w:asciiTheme="majorBidi" w:hAnsiTheme="majorBidi" w:cstheme="majorBidi"/>
                <w:color w:val="auto"/>
                <w:sz w:val="24"/>
                <w:szCs w:val="24"/>
              </w:rPr>
              <w:t>%</w:t>
            </w:r>
          </w:p>
        </w:tc>
        <w:tc>
          <w:tcPr>
            <w:tcW w:w="1032" w:type="pct"/>
            <w:noWrap/>
            <w:hideMark/>
          </w:tcPr>
          <w:p w14:paraId="5D772EA9" w14:textId="77777777" w:rsidR="002C04C0" w:rsidRPr="00F3059C" w:rsidRDefault="00F36C5D"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- 260 / 2394 * 100</w:t>
            </w:r>
          </w:p>
          <w:p w14:paraId="5D772EAA" w14:textId="77777777" w:rsidR="00ED58A3" w:rsidRPr="00F3059C" w:rsidRDefault="00ED58A3"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- 10.8605</w:t>
            </w:r>
          </w:p>
          <w:p w14:paraId="5D772EAB"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10.86</w:t>
            </w:r>
            <w:r w:rsidR="00C54395" w:rsidRPr="00F3059C">
              <w:rPr>
                <w:rFonts w:asciiTheme="majorBidi" w:hAnsiTheme="majorBidi" w:cstheme="majorBidi"/>
                <w:color w:val="auto"/>
                <w:sz w:val="24"/>
                <w:szCs w:val="24"/>
              </w:rPr>
              <w:t>%</w:t>
            </w:r>
          </w:p>
        </w:tc>
      </w:tr>
      <w:tr w:rsidR="000E5EC4" w:rsidRPr="00F3059C" w14:paraId="5D772EB8" w14:textId="77777777" w:rsidTr="00995372">
        <w:trPr>
          <w:trHeight w:val="300"/>
        </w:trPr>
        <w:tc>
          <w:tcPr>
            <w:tcW w:w="1132" w:type="pct"/>
            <w:noWrap/>
            <w:hideMark/>
          </w:tcPr>
          <w:p w14:paraId="5D772EAD"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Return on capital employed (ROCE)</w:t>
            </w:r>
          </w:p>
        </w:tc>
        <w:tc>
          <w:tcPr>
            <w:tcW w:w="874" w:type="pct"/>
          </w:tcPr>
          <w:p w14:paraId="5D772EAE"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Operating profit / </w:t>
            </w:r>
            <w:r w:rsidRPr="00F3059C">
              <w:rPr>
                <w:rFonts w:asciiTheme="majorBidi" w:hAnsiTheme="majorBidi" w:cstheme="majorBidi"/>
                <w:color w:val="auto"/>
                <w:sz w:val="24"/>
                <w:szCs w:val="24"/>
              </w:rPr>
              <w:lastRenderedPageBreak/>
              <w:t>Capital employed * 100</w:t>
            </w:r>
          </w:p>
        </w:tc>
        <w:tc>
          <w:tcPr>
            <w:tcW w:w="981" w:type="pct"/>
            <w:noWrap/>
            <w:hideMark/>
          </w:tcPr>
          <w:p w14:paraId="5D772EAF" w14:textId="77777777" w:rsidR="002C04C0" w:rsidRPr="00F3059C" w:rsidRDefault="00C93117"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628 / </w:t>
            </w:r>
            <w:r w:rsidR="000E5EC4" w:rsidRPr="00F3059C">
              <w:rPr>
                <w:rFonts w:asciiTheme="majorBidi" w:hAnsiTheme="majorBidi" w:cstheme="majorBidi"/>
                <w:color w:val="auto"/>
                <w:sz w:val="24"/>
                <w:szCs w:val="24"/>
              </w:rPr>
              <w:t>4216 – 1544</w:t>
            </w:r>
            <w:r w:rsidRPr="00F3059C">
              <w:rPr>
                <w:rFonts w:asciiTheme="majorBidi" w:hAnsiTheme="majorBidi" w:cstheme="majorBidi"/>
                <w:color w:val="auto"/>
                <w:sz w:val="24"/>
                <w:szCs w:val="24"/>
              </w:rPr>
              <w:t xml:space="preserve"> * 100</w:t>
            </w:r>
          </w:p>
          <w:p w14:paraId="5D772EB0"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23.50299</w:t>
            </w:r>
          </w:p>
          <w:p w14:paraId="5D772EB1"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23.5</w:t>
            </w:r>
            <w:r w:rsidR="00C54395" w:rsidRPr="00F3059C">
              <w:rPr>
                <w:rFonts w:asciiTheme="majorBidi" w:hAnsiTheme="majorBidi" w:cstheme="majorBidi"/>
                <w:color w:val="auto"/>
                <w:sz w:val="24"/>
                <w:szCs w:val="24"/>
              </w:rPr>
              <w:t>%</w:t>
            </w:r>
          </w:p>
        </w:tc>
        <w:tc>
          <w:tcPr>
            <w:tcW w:w="981" w:type="pct"/>
            <w:noWrap/>
            <w:hideMark/>
          </w:tcPr>
          <w:p w14:paraId="5D772EB2" w14:textId="77777777" w:rsidR="002C04C0" w:rsidRPr="00F3059C" w:rsidRDefault="00C93117"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494 / </w:t>
            </w:r>
            <w:r w:rsidR="000E5EC4" w:rsidRPr="00F3059C">
              <w:rPr>
                <w:rFonts w:asciiTheme="majorBidi" w:hAnsiTheme="majorBidi" w:cstheme="majorBidi"/>
                <w:color w:val="auto"/>
                <w:sz w:val="24"/>
                <w:szCs w:val="24"/>
              </w:rPr>
              <w:t>4716 – 1624</w:t>
            </w:r>
            <w:r w:rsidRPr="00F3059C">
              <w:rPr>
                <w:rFonts w:asciiTheme="majorBidi" w:hAnsiTheme="majorBidi" w:cstheme="majorBidi"/>
                <w:color w:val="auto"/>
                <w:sz w:val="24"/>
                <w:szCs w:val="24"/>
              </w:rPr>
              <w:t xml:space="preserve"> * 100</w:t>
            </w:r>
          </w:p>
          <w:p w14:paraId="5D772EB3"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15.97671</w:t>
            </w:r>
          </w:p>
          <w:p w14:paraId="5D772EB4"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15.98</w:t>
            </w:r>
            <w:r w:rsidR="00C54395" w:rsidRPr="00F3059C">
              <w:rPr>
                <w:rFonts w:asciiTheme="majorBidi" w:hAnsiTheme="majorBidi" w:cstheme="majorBidi"/>
                <w:color w:val="auto"/>
                <w:sz w:val="24"/>
                <w:szCs w:val="24"/>
              </w:rPr>
              <w:t>%</w:t>
            </w:r>
          </w:p>
        </w:tc>
        <w:tc>
          <w:tcPr>
            <w:tcW w:w="1032" w:type="pct"/>
            <w:noWrap/>
            <w:hideMark/>
          </w:tcPr>
          <w:p w14:paraId="5D772EB5" w14:textId="77777777" w:rsidR="002C04C0" w:rsidRPr="00F3059C" w:rsidRDefault="00C93117"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- 153 / </w:t>
            </w:r>
            <w:r w:rsidR="000E5EC4" w:rsidRPr="00F3059C">
              <w:rPr>
                <w:rFonts w:asciiTheme="majorBidi" w:hAnsiTheme="majorBidi" w:cstheme="majorBidi"/>
                <w:color w:val="auto"/>
                <w:sz w:val="24"/>
                <w:szCs w:val="24"/>
              </w:rPr>
              <w:t>5039 – 1867</w:t>
            </w:r>
            <w:r w:rsidRPr="00F3059C">
              <w:rPr>
                <w:rFonts w:asciiTheme="majorBidi" w:hAnsiTheme="majorBidi" w:cstheme="majorBidi"/>
                <w:color w:val="auto"/>
                <w:sz w:val="24"/>
                <w:szCs w:val="24"/>
              </w:rPr>
              <w:t xml:space="preserve"> * 100</w:t>
            </w:r>
          </w:p>
          <w:p w14:paraId="5D772EB6"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- 4.82346</w:t>
            </w:r>
          </w:p>
          <w:p w14:paraId="5D772EB7"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4.82</w:t>
            </w:r>
            <w:r w:rsidR="00C54395" w:rsidRPr="00F3059C">
              <w:rPr>
                <w:rFonts w:asciiTheme="majorBidi" w:hAnsiTheme="majorBidi" w:cstheme="majorBidi"/>
                <w:color w:val="auto"/>
                <w:sz w:val="24"/>
                <w:szCs w:val="24"/>
              </w:rPr>
              <w:t>%</w:t>
            </w:r>
          </w:p>
        </w:tc>
      </w:tr>
      <w:tr w:rsidR="000E5EC4" w:rsidRPr="00F3059C" w14:paraId="5D772EC4" w14:textId="77777777" w:rsidTr="00995372">
        <w:trPr>
          <w:trHeight w:val="300"/>
        </w:trPr>
        <w:tc>
          <w:tcPr>
            <w:tcW w:w="1132" w:type="pct"/>
            <w:noWrap/>
            <w:hideMark/>
          </w:tcPr>
          <w:p w14:paraId="5D772EB9"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Return on assets (ROA)</w:t>
            </w:r>
          </w:p>
        </w:tc>
        <w:tc>
          <w:tcPr>
            <w:tcW w:w="874" w:type="pct"/>
          </w:tcPr>
          <w:p w14:paraId="5D772EBA"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(or income) / Total assets</w:t>
            </w:r>
          </w:p>
        </w:tc>
        <w:tc>
          <w:tcPr>
            <w:tcW w:w="981" w:type="pct"/>
            <w:noWrap/>
            <w:hideMark/>
          </w:tcPr>
          <w:p w14:paraId="5D772EBB"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376 / </w:t>
            </w:r>
            <w:r w:rsidR="00995372" w:rsidRPr="00F3059C">
              <w:rPr>
                <w:rFonts w:asciiTheme="majorBidi" w:hAnsiTheme="majorBidi" w:cstheme="majorBidi"/>
                <w:color w:val="auto"/>
                <w:sz w:val="24"/>
                <w:szCs w:val="24"/>
              </w:rPr>
              <w:t>4216</w:t>
            </w:r>
            <w:r w:rsidRPr="00F3059C">
              <w:rPr>
                <w:rFonts w:asciiTheme="majorBidi" w:hAnsiTheme="majorBidi" w:cstheme="majorBidi"/>
                <w:color w:val="auto"/>
                <w:sz w:val="24"/>
                <w:szCs w:val="24"/>
              </w:rPr>
              <w:t xml:space="preserve"> * 100</w:t>
            </w:r>
          </w:p>
          <w:p w14:paraId="5D772EBC"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8.918406</w:t>
            </w:r>
          </w:p>
          <w:p w14:paraId="5D772EBD"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8.92</w:t>
            </w:r>
            <w:r w:rsidR="00C54395" w:rsidRPr="00F3059C">
              <w:rPr>
                <w:rFonts w:asciiTheme="majorBidi" w:hAnsiTheme="majorBidi" w:cstheme="majorBidi"/>
                <w:color w:val="auto"/>
                <w:sz w:val="24"/>
                <w:szCs w:val="24"/>
              </w:rPr>
              <w:t>%</w:t>
            </w:r>
          </w:p>
        </w:tc>
        <w:tc>
          <w:tcPr>
            <w:tcW w:w="981" w:type="pct"/>
            <w:noWrap/>
            <w:hideMark/>
          </w:tcPr>
          <w:p w14:paraId="5D772EBE"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265 / </w:t>
            </w:r>
            <w:r w:rsidR="00995372" w:rsidRPr="00F3059C">
              <w:rPr>
                <w:rFonts w:asciiTheme="majorBidi" w:hAnsiTheme="majorBidi" w:cstheme="majorBidi"/>
                <w:color w:val="auto"/>
                <w:sz w:val="24"/>
                <w:szCs w:val="24"/>
              </w:rPr>
              <w:t>4716</w:t>
            </w:r>
            <w:r w:rsidRPr="00F3059C">
              <w:rPr>
                <w:rFonts w:asciiTheme="majorBidi" w:hAnsiTheme="majorBidi" w:cstheme="majorBidi"/>
                <w:color w:val="auto"/>
                <w:sz w:val="24"/>
                <w:szCs w:val="24"/>
              </w:rPr>
              <w:t xml:space="preserve"> * 100</w:t>
            </w:r>
          </w:p>
          <w:p w14:paraId="5D772EBF"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5.619169</w:t>
            </w:r>
          </w:p>
          <w:p w14:paraId="5D772EC0"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5.62</w:t>
            </w:r>
            <w:r w:rsidR="00C54395" w:rsidRPr="00F3059C">
              <w:rPr>
                <w:rFonts w:asciiTheme="majorBidi" w:hAnsiTheme="majorBidi" w:cstheme="majorBidi"/>
                <w:color w:val="auto"/>
                <w:sz w:val="24"/>
                <w:szCs w:val="24"/>
              </w:rPr>
              <w:t>%</w:t>
            </w:r>
          </w:p>
        </w:tc>
        <w:tc>
          <w:tcPr>
            <w:tcW w:w="1032" w:type="pct"/>
            <w:noWrap/>
            <w:hideMark/>
          </w:tcPr>
          <w:p w14:paraId="5D772EC1"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- 260 / </w:t>
            </w:r>
            <w:r w:rsidR="00995372" w:rsidRPr="00F3059C">
              <w:rPr>
                <w:rFonts w:asciiTheme="majorBidi" w:hAnsiTheme="majorBidi" w:cstheme="majorBidi"/>
                <w:color w:val="auto"/>
                <w:sz w:val="24"/>
                <w:szCs w:val="24"/>
              </w:rPr>
              <w:t>5039</w:t>
            </w:r>
            <w:r w:rsidRPr="00F3059C">
              <w:rPr>
                <w:rFonts w:asciiTheme="majorBidi" w:hAnsiTheme="majorBidi" w:cstheme="majorBidi"/>
                <w:color w:val="auto"/>
                <w:sz w:val="24"/>
                <w:szCs w:val="24"/>
              </w:rPr>
              <w:t xml:space="preserve"> * 100</w:t>
            </w:r>
          </w:p>
          <w:p w14:paraId="5D772EC2"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- 5.15975</w:t>
            </w:r>
          </w:p>
          <w:p w14:paraId="5D772EC3"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5.16</w:t>
            </w:r>
            <w:r w:rsidR="00C54395" w:rsidRPr="00F3059C">
              <w:rPr>
                <w:rFonts w:asciiTheme="majorBidi" w:hAnsiTheme="majorBidi" w:cstheme="majorBidi"/>
                <w:color w:val="auto"/>
                <w:sz w:val="24"/>
                <w:szCs w:val="24"/>
              </w:rPr>
              <w:t>%</w:t>
            </w:r>
          </w:p>
        </w:tc>
      </w:tr>
      <w:tr w:rsidR="000E5EC4" w:rsidRPr="00F3059C" w14:paraId="5D772ED0" w14:textId="77777777" w:rsidTr="00995372">
        <w:trPr>
          <w:trHeight w:val="300"/>
        </w:trPr>
        <w:tc>
          <w:tcPr>
            <w:tcW w:w="1132" w:type="pct"/>
            <w:noWrap/>
            <w:hideMark/>
          </w:tcPr>
          <w:p w14:paraId="5D772EC5"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Return on equity (ROE)</w:t>
            </w:r>
          </w:p>
        </w:tc>
        <w:tc>
          <w:tcPr>
            <w:tcW w:w="874" w:type="pct"/>
          </w:tcPr>
          <w:p w14:paraId="5D772EC6"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(or income) / Total shareholders’ equity</w:t>
            </w:r>
          </w:p>
        </w:tc>
        <w:tc>
          <w:tcPr>
            <w:tcW w:w="981" w:type="pct"/>
            <w:noWrap/>
            <w:hideMark/>
          </w:tcPr>
          <w:p w14:paraId="5D772EC7"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376 / </w:t>
            </w:r>
            <w:r w:rsidR="00995372" w:rsidRPr="00F3059C">
              <w:rPr>
                <w:rFonts w:asciiTheme="majorBidi" w:hAnsiTheme="majorBidi" w:cstheme="majorBidi"/>
                <w:color w:val="auto"/>
                <w:sz w:val="24"/>
                <w:szCs w:val="24"/>
              </w:rPr>
              <w:t>1608</w:t>
            </w:r>
            <w:r w:rsidRPr="00F3059C">
              <w:rPr>
                <w:rFonts w:asciiTheme="majorBidi" w:hAnsiTheme="majorBidi" w:cstheme="majorBidi"/>
                <w:color w:val="auto"/>
                <w:sz w:val="24"/>
                <w:szCs w:val="24"/>
              </w:rPr>
              <w:t xml:space="preserve"> * 100</w:t>
            </w:r>
          </w:p>
          <w:p w14:paraId="5D772EC8"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23.38308</w:t>
            </w:r>
          </w:p>
          <w:p w14:paraId="5D772EC9"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23.38</w:t>
            </w:r>
            <w:r w:rsidR="00C54395" w:rsidRPr="00F3059C">
              <w:rPr>
                <w:rFonts w:asciiTheme="majorBidi" w:hAnsiTheme="majorBidi" w:cstheme="majorBidi"/>
                <w:color w:val="auto"/>
                <w:sz w:val="24"/>
                <w:szCs w:val="24"/>
              </w:rPr>
              <w:t>%</w:t>
            </w:r>
          </w:p>
        </w:tc>
        <w:tc>
          <w:tcPr>
            <w:tcW w:w="981" w:type="pct"/>
            <w:noWrap/>
            <w:hideMark/>
          </w:tcPr>
          <w:p w14:paraId="5D772ECA"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265 / </w:t>
            </w:r>
            <w:r w:rsidR="00995372" w:rsidRPr="00F3059C">
              <w:rPr>
                <w:rFonts w:asciiTheme="majorBidi" w:hAnsiTheme="majorBidi" w:cstheme="majorBidi"/>
                <w:color w:val="auto"/>
                <w:sz w:val="24"/>
                <w:szCs w:val="24"/>
              </w:rPr>
              <w:t>1474</w:t>
            </w:r>
            <w:r w:rsidRPr="00F3059C">
              <w:rPr>
                <w:rFonts w:asciiTheme="majorBidi" w:hAnsiTheme="majorBidi" w:cstheme="majorBidi"/>
                <w:color w:val="auto"/>
                <w:sz w:val="24"/>
                <w:szCs w:val="24"/>
              </w:rPr>
              <w:t xml:space="preserve"> * 100</w:t>
            </w:r>
          </w:p>
          <w:p w14:paraId="5D772ECB"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17.97829</w:t>
            </w:r>
          </w:p>
          <w:p w14:paraId="5D772ECC"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17.98</w:t>
            </w:r>
            <w:r w:rsidR="00C54395" w:rsidRPr="00F3059C">
              <w:rPr>
                <w:rFonts w:asciiTheme="majorBidi" w:hAnsiTheme="majorBidi" w:cstheme="majorBidi"/>
                <w:color w:val="auto"/>
                <w:sz w:val="24"/>
                <w:szCs w:val="24"/>
              </w:rPr>
              <w:t>%</w:t>
            </w:r>
          </w:p>
        </w:tc>
        <w:tc>
          <w:tcPr>
            <w:tcW w:w="1032" w:type="pct"/>
            <w:noWrap/>
            <w:hideMark/>
          </w:tcPr>
          <w:p w14:paraId="5D772ECD" w14:textId="77777777" w:rsidR="002C04C0" w:rsidRPr="00F3059C" w:rsidRDefault="00B86B3B"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- 260 / </w:t>
            </w:r>
            <w:r w:rsidR="00995372" w:rsidRPr="00F3059C">
              <w:rPr>
                <w:rFonts w:asciiTheme="majorBidi" w:hAnsiTheme="majorBidi" w:cstheme="majorBidi"/>
                <w:color w:val="auto"/>
                <w:sz w:val="24"/>
                <w:szCs w:val="24"/>
              </w:rPr>
              <w:t>1849</w:t>
            </w:r>
            <w:r w:rsidRPr="00F3059C">
              <w:rPr>
                <w:rFonts w:asciiTheme="majorBidi" w:hAnsiTheme="majorBidi" w:cstheme="majorBidi"/>
                <w:color w:val="auto"/>
                <w:sz w:val="24"/>
                <w:szCs w:val="24"/>
              </w:rPr>
              <w:t xml:space="preserve"> * 100</w:t>
            </w:r>
          </w:p>
          <w:p w14:paraId="5D772ECE" w14:textId="77777777" w:rsidR="009C7174" w:rsidRPr="00F3059C" w:rsidRDefault="009C7174"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- 14.0617</w:t>
            </w:r>
          </w:p>
          <w:p w14:paraId="5D772ECF"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14.06</w:t>
            </w:r>
            <w:r w:rsidR="00C54395" w:rsidRPr="00F3059C">
              <w:rPr>
                <w:rFonts w:asciiTheme="majorBidi" w:hAnsiTheme="majorBidi" w:cstheme="majorBidi"/>
                <w:color w:val="auto"/>
                <w:sz w:val="24"/>
                <w:szCs w:val="24"/>
              </w:rPr>
              <w:t>%</w:t>
            </w:r>
          </w:p>
        </w:tc>
      </w:tr>
    </w:tbl>
    <w:p w14:paraId="5D772ED1" w14:textId="77777777" w:rsidR="00F3059C" w:rsidRPr="00F3059C" w:rsidRDefault="00F3059C" w:rsidP="00F3059C">
      <w:pPr>
        <w:pStyle w:val="Caption"/>
        <w:spacing w:line="360" w:lineRule="auto"/>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Table </w:t>
      </w:r>
      <w:r w:rsidRPr="00F3059C">
        <w:rPr>
          <w:rFonts w:asciiTheme="majorBidi" w:hAnsiTheme="majorBidi" w:cstheme="majorBidi"/>
          <w:color w:val="auto"/>
          <w:sz w:val="24"/>
          <w:szCs w:val="24"/>
        </w:rPr>
        <w:fldChar w:fldCharType="begin"/>
      </w:r>
      <w:r w:rsidRPr="00F3059C">
        <w:rPr>
          <w:rFonts w:asciiTheme="majorBidi" w:hAnsiTheme="majorBidi" w:cstheme="majorBidi"/>
          <w:color w:val="auto"/>
          <w:sz w:val="24"/>
          <w:szCs w:val="24"/>
        </w:rPr>
        <w:instrText xml:space="preserve"> SEQ Table \* ARABIC </w:instrText>
      </w:r>
      <w:r w:rsidRPr="00F3059C">
        <w:rPr>
          <w:rFonts w:asciiTheme="majorBidi" w:hAnsiTheme="majorBidi" w:cstheme="majorBidi"/>
          <w:color w:val="auto"/>
          <w:sz w:val="24"/>
          <w:szCs w:val="24"/>
        </w:rPr>
        <w:fldChar w:fldCharType="separate"/>
      </w:r>
      <w:r w:rsidRPr="00F3059C">
        <w:rPr>
          <w:rFonts w:asciiTheme="majorBidi" w:hAnsiTheme="majorBidi" w:cstheme="majorBidi"/>
          <w:noProof/>
          <w:color w:val="auto"/>
          <w:sz w:val="24"/>
          <w:szCs w:val="24"/>
        </w:rPr>
        <w:t>3</w:t>
      </w:r>
      <w:r w:rsidRPr="00F3059C">
        <w:rPr>
          <w:rFonts w:asciiTheme="majorBidi" w:hAnsiTheme="majorBidi" w:cstheme="majorBidi"/>
          <w:color w:val="auto"/>
          <w:sz w:val="24"/>
          <w:szCs w:val="24"/>
        </w:rPr>
        <w:fldChar w:fldCharType="end"/>
      </w:r>
      <w:r w:rsidRPr="00F3059C">
        <w:rPr>
          <w:rFonts w:asciiTheme="majorBidi" w:hAnsiTheme="majorBidi" w:cstheme="majorBidi"/>
          <w:color w:val="auto"/>
          <w:sz w:val="24"/>
          <w:szCs w:val="24"/>
        </w:rPr>
        <w:t>: Profitability ratios of IHG</w:t>
      </w:r>
    </w:p>
    <w:p w14:paraId="5D772ED2" w14:textId="77777777" w:rsidR="00AE0742" w:rsidRPr="00F3059C" w:rsidRDefault="00F3059C" w:rsidP="00F3059C">
      <w:pPr>
        <w:jc w:val="center"/>
        <w:rPr>
          <w:rFonts w:asciiTheme="majorBidi" w:hAnsiTheme="majorBidi" w:cstheme="majorBidi"/>
          <w:color w:val="auto"/>
          <w:szCs w:val="24"/>
        </w:rPr>
      </w:pPr>
      <w:r w:rsidRPr="00F3059C">
        <w:rPr>
          <w:rFonts w:asciiTheme="majorBidi" w:hAnsiTheme="majorBidi" w:cstheme="majorBidi"/>
          <w:color w:val="auto"/>
          <w:szCs w:val="24"/>
        </w:rPr>
        <w:t>(Source: Created by the learner)</w:t>
      </w:r>
    </w:p>
    <w:p w14:paraId="5D772ED3" w14:textId="77777777" w:rsidR="009F7465" w:rsidRPr="00F3059C" w:rsidRDefault="00546437" w:rsidP="00F3059C">
      <w:pPr>
        <w:rPr>
          <w:rFonts w:asciiTheme="majorBidi" w:hAnsiTheme="majorBidi" w:cstheme="majorBidi"/>
          <w:color w:val="auto"/>
          <w:szCs w:val="24"/>
        </w:rPr>
      </w:pPr>
      <w:r w:rsidRPr="00F3059C">
        <w:rPr>
          <w:rFonts w:asciiTheme="majorBidi" w:hAnsiTheme="majorBidi" w:cstheme="majorBidi"/>
          <w:color w:val="auto"/>
          <w:szCs w:val="24"/>
        </w:rPr>
        <w:t>On the contrary, the</w:t>
      </w:r>
      <w:r w:rsidR="00C54395" w:rsidRPr="00F3059C">
        <w:rPr>
          <w:rFonts w:asciiTheme="majorBidi" w:hAnsiTheme="majorBidi" w:cstheme="majorBidi"/>
          <w:color w:val="auto"/>
          <w:szCs w:val="24"/>
        </w:rPr>
        <w:t xml:space="preserve"> following is a detailed calculation of the profitability of Marriott International in the past three years –</w:t>
      </w:r>
    </w:p>
    <w:tbl>
      <w:tblPr>
        <w:tblStyle w:val="TableGrid"/>
        <w:tblW w:w="5000" w:type="pct"/>
        <w:tblLayout w:type="fixed"/>
        <w:tblLook w:val="04A0" w:firstRow="1" w:lastRow="0" w:firstColumn="1" w:lastColumn="0" w:noHBand="0" w:noVBand="1"/>
      </w:tblPr>
      <w:tblGrid>
        <w:gridCol w:w="2092"/>
        <w:gridCol w:w="1701"/>
        <w:gridCol w:w="1702"/>
        <w:gridCol w:w="1843"/>
        <w:gridCol w:w="1904"/>
      </w:tblGrid>
      <w:tr w:rsidR="00C45FD6" w:rsidRPr="00F3059C" w14:paraId="5D772ED9" w14:textId="77777777" w:rsidTr="00995372">
        <w:trPr>
          <w:trHeight w:val="300"/>
        </w:trPr>
        <w:tc>
          <w:tcPr>
            <w:tcW w:w="1132" w:type="pct"/>
            <w:noWrap/>
            <w:hideMark/>
          </w:tcPr>
          <w:p w14:paraId="5D772ED4" w14:textId="77777777" w:rsidR="00C45FD6" w:rsidRPr="00F3059C" w:rsidRDefault="00C45FD6" w:rsidP="00F3059C">
            <w:pP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Details</w:t>
            </w:r>
          </w:p>
        </w:tc>
        <w:tc>
          <w:tcPr>
            <w:tcW w:w="920" w:type="pct"/>
          </w:tcPr>
          <w:p w14:paraId="5D772ED5"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Formula</w:t>
            </w:r>
          </w:p>
        </w:tc>
        <w:tc>
          <w:tcPr>
            <w:tcW w:w="921" w:type="pct"/>
            <w:noWrap/>
            <w:hideMark/>
          </w:tcPr>
          <w:p w14:paraId="5D772ED6"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2022</w:t>
            </w:r>
          </w:p>
        </w:tc>
        <w:tc>
          <w:tcPr>
            <w:tcW w:w="997" w:type="pct"/>
            <w:noWrap/>
            <w:hideMark/>
          </w:tcPr>
          <w:p w14:paraId="5D772ED7"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2021</w:t>
            </w:r>
          </w:p>
        </w:tc>
        <w:tc>
          <w:tcPr>
            <w:tcW w:w="1030" w:type="pct"/>
            <w:noWrap/>
            <w:hideMark/>
          </w:tcPr>
          <w:p w14:paraId="5D772ED8" w14:textId="77777777" w:rsidR="00C45FD6" w:rsidRPr="00F3059C" w:rsidRDefault="00C45FD6" w:rsidP="00F3059C">
            <w:pPr>
              <w:jc w:val="center"/>
              <w:rPr>
                <w:rFonts w:asciiTheme="majorBidi" w:hAnsiTheme="majorBidi" w:cstheme="majorBidi"/>
                <w:b/>
                <w:bCs/>
                <w:color w:val="auto"/>
                <w:sz w:val="24"/>
                <w:szCs w:val="24"/>
              </w:rPr>
            </w:pPr>
            <w:r w:rsidRPr="00F3059C">
              <w:rPr>
                <w:rFonts w:asciiTheme="majorBidi" w:hAnsiTheme="majorBidi" w:cstheme="majorBidi"/>
                <w:b/>
                <w:bCs/>
                <w:color w:val="auto"/>
                <w:sz w:val="24"/>
                <w:szCs w:val="24"/>
              </w:rPr>
              <w:t>2020</w:t>
            </w:r>
          </w:p>
        </w:tc>
      </w:tr>
      <w:tr w:rsidR="00C45FD6" w:rsidRPr="00F3059C" w14:paraId="5D772EE5" w14:textId="77777777" w:rsidTr="00995372">
        <w:trPr>
          <w:trHeight w:val="300"/>
        </w:trPr>
        <w:tc>
          <w:tcPr>
            <w:tcW w:w="1132" w:type="pct"/>
            <w:noWrap/>
            <w:hideMark/>
          </w:tcPr>
          <w:p w14:paraId="5D772EDA"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Operating profit ratio</w:t>
            </w:r>
          </w:p>
        </w:tc>
        <w:tc>
          <w:tcPr>
            <w:tcW w:w="920" w:type="pct"/>
          </w:tcPr>
          <w:p w14:paraId="5D772EDB"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Operating profit / Total sales revenue * 100</w:t>
            </w:r>
          </w:p>
        </w:tc>
        <w:tc>
          <w:tcPr>
            <w:tcW w:w="921" w:type="pct"/>
            <w:noWrap/>
            <w:hideMark/>
          </w:tcPr>
          <w:p w14:paraId="5D772EDC" w14:textId="77777777" w:rsidR="002C04C0" w:rsidRPr="00F3059C" w:rsidRDefault="009D6A3A"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3462</w:t>
            </w:r>
            <w:r w:rsidR="00995372" w:rsidRPr="00F3059C">
              <w:rPr>
                <w:rFonts w:asciiTheme="majorBidi" w:hAnsiTheme="majorBidi" w:cstheme="majorBidi"/>
                <w:color w:val="auto"/>
                <w:sz w:val="24"/>
                <w:szCs w:val="24"/>
              </w:rPr>
              <w:t xml:space="preserve"> / </w:t>
            </w:r>
            <w:r w:rsidRPr="00F3059C">
              <w:rPr>
                <w:rFonts w:asciiTheme="majorBidi" w:hAnsiTheme="majorBidi" w:cstheme="majorBidi"/>
                <w:color w:val="auto"/>
                <w:sz w:val="24"/>
                <w:szCs w:val="24"/>
              </w:rPr>
              <w:t>20773</w:t>
            </w:r>
            <w:r w:rsidR="00995372" w:rsidRPr="00F3059C">
              <w:rPr>
                <w:rFonts w:asciiTheme="majorBidi" w:hAnsiTheme="majorBidi" w:cstheme="majorBidi"/>
                <w:color w:val="auto"/>
                <w:sz w:val="24"/>
                <w:szCs w:val="24"/>
              </w:rPr>
              <w:t xml:space="preserve"> * 100</w:t>
            </w:r>
          </w:p>
          <w:p w14:paraId="5D772EDD" w14:textId="77777777" w:rsidR="00807E58" w:rsidRPr="00F3059C" w:rsidRDefault="00C54395"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16.</w:t>
            </w:r>
            <w:r w:rsidR="00807E58" w:rsidRPr="00F3059C">
              <w:rPr>
                <w:rFonts w:asciiTheme="majorBidi" w:hAnsiTheme="majorBidi" w:cstheme="majorBidi"/>
                <w:color w:val="auto"/>
                <w:sz w:val="24"/>
                <w:szCs w:val="24"/>
              </w:rPr>
              <w:t>66586</w:t>
            </w:r>
          </w:p>
          <w:p w14:paraId="5D772EDE"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16.67</w:t>
            </w:r>
            <w:r w:rsidR="00C54395" w:rsidRPr="00F3059C">
              <w:rPr>
                <w:rFonts w:asciiTheme="majorBidi" w:hAnsiTheme="majorBidi" w:cstheme="majorBidi"/>
                <w:color w:val="auto"/>
                <w:sz w:val="24"/>
                <w:szCs w:val="24"/>
              </w:rPr>
              <w:t>%</w:t>
            </w:r>
          </w:p>
        </w:tc>
        <w:tc>
          <w:tcPr>
            <w:tcW w:w="997" w:type="pct"/>
            <w:noWrap/>
            <w:hideMark/>
          </w:tcPr>
          <w:p w14:paraId="5D772EDF" w14:textId="77777777" w:rsidR="002C04C0" w:rsidRPr="00F3059C" w:rsidRDefault="009D6A3A"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1750</w:t>
            </w:r>
            <w:r w:rsidR="00995372" w:rsidRPr="00F3059C">
              <w:rPr>
                <w:rFonts w:asciiTheme="majorBidi" w:hAnsiTheme="majorBidi" w:cstheme="majorBidi"/>
                <w:color w:val="auto"/>
                <w:sz w:val="24"/>
                <w:szCs w:val="24"/>
              </w:rPr>
              <w:t xml:space="preserve"> / </w:t>
            </w:r>
            <w:r w:rsidRPr="00F3059C">
              <w:rPr>
                <w:rFonts w:asciiTheme="majorBidi" w:hAnsiTheme="majorBidi" w:cstheme="majorBidi"/>
                <w:color w:val="auto"/>
                <w:sz w:val="24"/>
                <w:szCs w:val="24"/>
              </w:rPr>
              <w:t>13857</w:t>
            </w:r>
            <w:r w:rsidR="00995372" w:rsidRPr="00F3059C">
              <w:rPr>
                <w:rFonts w:asciiTheme="majorBidi" w:hAnsiTheme="majorBidi" w:cstheme="majorBidi"/>
                <w:color w:val="auto"/>
                <w:sz w:val="24"/>
                <w:szCs w:val="24"/>
              </w:rPr>
              <w:t xml:space="preserve"> * 100</w:t>
            </w:r>
          </w:p>
          <w:p w14:paraId="5D772EE0"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12.629</w:t>
            </w:r>
          </w:p>
          <w:p w14:paraId="5D772EE1"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12.63</w:t>
            </w:r>
            <w:r w:rsidR="00C54395" w:rsidRPr="00F3059C">
              <w:rPr>
                <w:rFonts w:asciiTheme="majorBidi" w:hAnsiTheme="majorBidi" w:cstheme="majorBidi"/>
                <w:color w:val="auto"/>
                <w:sz w:val="24"/>
                <w:szCs w:val="24"/>
              </w:rPr>
              <w:t>%</w:t>
            </w:r>
          </w:p>
        </w:tc>
        <w:tc>
          <w:tcPr>
            <w:tcW w:w="1030" w:type="pct"/>
            <w:noWrap/>
            <w:hideMark/>
          </w:tcPr>
          <w:p w14:paraId="5D772EE2" w14:textId="77777777" w:rsidR="00807E58" w:rsidRPr="00F3059C" w:rsidRDefault="009D6A3A"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84</w:t>
            </w:r>
            <w:r w:rsidR="00995372" w:rsidRPr="00F3059C">
              <w:rPr>
                <w:rFonts w:asciiTheme="majorBidi" w:hAnsiTheme="majorBidi" w:cstheme="majorBidi"/>
                <w:color w:val="auto"/>
                <w:sz w:val="24"/>
                <w:szCs w:val="24"/>
              </w:rPr>
              <w:t xml:space="preserve"> / </w:t>
            </w:r>
            <w:r w:rsidRPr="00F3059C">
              <w:rPr>
                <w:rFonts w:asciiTheme="majorBidi" w:hAnsiTheme="majorBidi" w:cstheme="majorBidi"/>
                <w:color w:val="auto"/>
                <w:sz w:val="24"/>
                <w:szCs w:val="24"/>
              </w:rPr>
              <w:t>10571</w:t>
            </w:r>
            <w:r w:rsidR="00995372" w:rsidRPr="00F3059C">
              <w:rPr>
                <w:rFonts w:asciiTheme="majorBidi" w:hAnsiTheme="majorBidi" w:cstheme="majorBidi"/>
                <w:color w:val="auto"/>
                <w:sz w:val="24"/>
                <w:szCs w:val="24"/>
              </w:rPr>
              <w:t xml:space="preserve"> * 100</w:t>
            </w:r>
          </w:p>
          <w:p w14:paraId="5D772EE3"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0.794627</w:t>
            </w:r>
          </w:p>
          <w:p w14:paraId="5D772EE4" w14:textId="77777777" w:rsidR="00C45FD6"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0.79</w:t>
            </w:r>
            <w:r w:rsidR="00C54395" w:rsidRPr="00F3059C">
              <w:rPr>
                <w:rFonts w:asciiTheme="majorBidi" w:hAnsiTheme="majorBidi" w:cstheme="majorBidi"/>
                <w:color w:val="auto"/>
                <w:sz w:val="24"/>
                <w:szCs w:val="24"/>
              </w:rPr>
              <w:t>%</w:t>
            </w:r>
          </w:p>
        </w:tc>
      </w:tr>
      <w:tr w:rsidR="00C45FD6" w:rsidRPr="00F3059C" w14:paraId="5D772EF1" w14:textId="77777777" w:rsidTr="00995372">
        <w:trPr>
          <w:trHeight w:val="300"/>
        </w:trPr>
        <w:tc>
          <w:tcPr>
            <w:tcW w:w="1132" w:type="pct"/>
            <w:noWrap/>
            <w:hideMark/>
          </w:tcPr>
          <w:p w14:paraId="5D772EE6"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Net profit ratio</w:t>
            </w:r>
          </w:p>
        </w:tc>
        <w:tc>
          <w:tcPr>
            <w:tcW w:w="920" w:type="pct"/>
          </w:tcPr>
          <w:p w14:paraId="5D772EE7"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 Total sales revenue * 100</w:t>
            </w:r>
          </w:p>
        </w:tc>
        <w:tc>
          <w:tcPr>
            <w:tcW w:w="921" w:type="pct"/>
            <w:noWrap/>
            <w:hideMark/>
          </w:tcPr>
          <w:p w14:paraId="5D772EE8" w14:textId="77777777" w:rsidR="002C04C0" w:rsidRPr="00F3059C" w:rsidRDefault="009D6A3A"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2358</w:t>
            </w:r>
            <w:r w:rsidR="00995372" w:rsidRPr="00F3059C">
              <w:rPr>
                <w:rFonts w:asciiTheme="majorBidi" w:hAnsiTheme="majorBidi" w:cstheme="majorBidi"/>
                <w:color w:val="auto"/>
                <w:sz w:val="24"/>
                <w:szCs w:val="24"/>
              </w:rPr>
              <w:t xml:space="preserve"> / </w:t>
            </w:r>
            <w:r w:rsidRPr="00F3059C">
              <w:rPr>
                <w:rFonts w:asciiTheme="majorBidi" w:hAnsiTheme="majorBidi" w:cstheme="majorBidi"/>
                <w:color w:val="auto"/>
                <w:sz w:val="24"/>
                <w:szCs w:val="24"/>
              </w:rPr>
              <w:t xml:space="preserve">20773 </w:t>
            </w:r>
            <w:r w:rsidR="00995372" w:rsidRPr="00F3059C">
              <w:rPr>
                <w:rFonts w:asciiTheme="majorBidi" w:hAnsiTheme="majorBidi" w:cstheme="majorBidi"/>
                <w:color w:val="auto"/>
                <w:sz w:val="24"/>
                <w:szCs w:val="24"/>
              </w:rPr>
              <w:t>* 100</w:t>
            </w:r>
          </w:p>
          <w:p w14:paraId="5D772EE9"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11.35127</w:t>
            </w:r>
          </w:p>
          <w:p w14:paraId="5D772EEA"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11.35</w:t>
            </w:r>
            <w:r w:rsidR="00C54395" w:rsidRPr="00F3059C">
              <w:rPr>
                <w:rFonts w:asciiTheme="majorBidi" w:hAnsiTheme="majorBidi" w:cstheme="majorBidi"/>
                <w:color w:val="auto"/>
                <w:sz w:val="24"/>
                <w:szCs w:val="24"/>
              </w:rPr>
              <w:t>%</w:t>
            </w:r>
          </w:p>
        </w:tc>
        <w:tc>
          <w:tcPr>
            <w:tcW w:w="997" w:type="pct"/>
            <w:noWrap/>
            <w:hideMark/>
          </w:tcPr>
          <w:p w14:paraId="5D772EEB" w14:textId="77777777" w:rsidR="002C04C0" w:rsidRPr="00F3059C" w:rsidRDefault="00AE107E"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1099</w:t>
            </w:r>
            <w:r w:rsidR="00995372" w:rsidRPr="00F3059C">
              <w:rPr>
                <w:rFonts w:asciiTheme="majorBidi" w:hAnsiTheme="majorBidi" w:cstheme="majorBidi"/>
                <w:color w:val="auto"/>
                <w:sz w:val="24"/>
                <w:szCs w:val="24"/>
              </w:rPr>
              <w:t xml:space="preserve"> / </w:t>
            </w:r>
            <w:r w:rsidR="009D6A3A" w:rsidRPr="00F3059C">
              <w:rPr>
                <w:rFonts w:asciiTheme="majorBidi" w:hAnsiTheme="majorBidi" w:cstheme="majorBidi"/>
                <w:color w:val="auto"/>
                <w:sz w:val="24"/>
                <w:szCs w:val="24"/>
              </w:rPr>
              <w:t xml:space="preserve">13857 </w:t>
            </w:r>
            <w:r w:rsidR="00995372" w:rsidRPr="00F3059C">
              <w:rPr>
                <w:rFonts w:asciiTheme="majorBidi" w:hAnsiTheme="majorBidi" w:cstheme="majorBidi"/>
                <w:color w:val="auto"/>
                <w:sz w:val="24"/>
                <w:szCs w:val="24"/>
              </w:rPr>
              <w:t>* 100</w:t>
            </w:r>
          </w:p>
          <w:p w14:paraId="5D772EEC"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7.93101</w:t>
            </w:r>
          </w:p>
          <w:p w14:paraId="5D772EED"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7.93</w:t>
            </w:r>
            <w:r w:rsidR="00C54395" w:rsidRPr="00F3059C">
              <w:rPr>
                <w:rFonts w:asciiTheme="majorBidi" w:hAnsiTheme="majorBidi" w:cstheme="majorBidi"/>
                <w:color w:val="auto"/>
                <w:sz w:val="24"/>
                <w:szCs w:val="24"/>
              </w:rPr>
              <w:t>%</w:t>
            </w:r>
          </w:p>
        </w:tc>
        <w:tc>
          <w:tcPr>
            <w:tcW w:w="1030" w:type="pct"/>
            <w:noWrap/>
            <w:hideMark/>
          </w:tcPr>
          <w:p w14:paraId="5D772EEE" w14:textId="77777777" w:rsidR="00807E58" w:rsidRPr="00F3059C" w:rsidRDefault="00AE107E"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- 267</w:t>
            </w:r>
            <w:r w:rsidR="00995372" w:rsidRPr="00F3059C">
              <w:rPr>
                <w:rFonts w:asciiTheme="majorBidi" w:hAnsiTheme="majorBidi" w:cstheme="majorBidi"/>
                <w:color w:val="auto"/>
                <w:sz w:val="24"/>
                <w:szCs w:val="24"/>
              </w:rPr>
              <w:t xml:space="preserve"> / </w:t>
            </w:r>
            <w:r w:rsidR="009D6A3A" w:rsidRPr="00F3059C">
              <w:rPr>
                <w:rFonts w:asciiTheme="majorBidi" w:hAnsiTheme="majorBidi" w:cstheme="majorBidi"/>
                <w:color w:val="auto"/>
                <w:sz w:val="24"/>
                <w:szCs w:val="24"/>
              </w:rPr>
              <w:t xml:space="preserve">10571 </w:t>
            </w:r>
            <w:r w:rsidR="00995372" w:rsidRPr="00F3059C">
              <w:rPr>
                <w:rFonts w:asciiTheme="majorBidi" w:hAnsiTheme="majorBidi" w:cstheme="majorBidi"/>
                <w:color w:val="auto"/>
                <w:sz w:val="24"/>
                <w:szCs w:val="24"/>
              </w:rPr>
              <w:t>* 100</w:t>
            </w:r>
          </w:p>
          <w:p w14:paraId="5D772EEF"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- 2.52578</w:t>
            </w:r>
          </w:p>
          <w:p w14:paraId="5D772EF0" w14:textId="77777777" w:rsidR="00C45FD6"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2.53</w:t>
            </w:r>
            <w:r w:rsidR="00C54395" w:rsidRPr="00F3059C">
              <w:rPr>
                <w:rFonts w:asciiTheme="majorBidi" w:hAnsiTheme="majorBidi" w:cstheme="majorBidi"/>
                <w:color w:val="auto"/>
                <w:sz w:val="24"/>
                <w:szCs w:val="24"/>
              </w:rPr>
              <w:t>%</w:t>
            </w:r>
          </w:p>
        </w:tc>
      </w:tr>
      <w:tr w:rsidR="00C45FD6" w:rsidRPr="00F3059C" w14:paraId="5D772EFD" w14:textId="77777777" w:rsidTr="00995372">
        <w:trPr>
          <w:trHeight w:val="300"/>
        </w:trPr>
        <w:tc>
          <w:tcPr>
            <w:tcW w:w="1132" w:type="pct"/>
            <w:noWrap/>
            <w:hideMark/>
          </w:tcPr>
          <w:p w14:paraId="5D772EF2"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Return on capital employed (ROCE)</w:t>
            </w:r>
          </w:p>
        </w:tc>
        <w:tc>
          <w:tcPr>
            <w:tcW w:w="920" w:type="pct"/>
          </w:tcPr>
          <w:p w14:paraId="5D772EF3"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Operating profit / Capital employed * 100</w:t>
            </w:r>
          </w:p>
        </w:tc>
        <w:tc>
          <w:tcPr>
            <w:tcW w:w="921" w:type="pct"/>
            <w:noWrap/>
            <w:hideMark/>
          </w:tcPr>
          <w:p w14:paraId="5D772EF4" w14:textId="77777777" w:rsidR="002C04C0" w:rsidRPr="00F3059C" w:rsidRDefault="00EA3E73"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3462 / 24815 – 7339 * 100</w:t>
            </w:r>
          </w:p>
          <w:p w14:paraId="5D772EF5"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19.81003</w:t>
            </w:r>
          </w:p>
          <w:p w14:paraId="5D772EF6"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19.81</w:t>
            </w:r>
            <w:r w:rsidR="00C54395" w:rsidRPr="00F3059C">
              <w:rPr>
                <w:rFonts w:asciiTheme="majorBidi" w:hAnsiTheme="majorBidi" w:cstheme="majorBidi"/>
                <w:color w:val="auto"/>
                <w:sz w:val="24"/>
                <w:szCs w:val="24"/>
              </w:rPr>
              <w:t>%</w:t>
            </w:r>
          </w:p>
        </w:tc>
        <w:tc>
          <w:tcPr>
            <w:tcW w:w="997" w:type="pct"/>
            <w:noWrap/>
            <w:hideMark/>
          </w:tcPr>
          <w:p w14:paraId="5D772EF7" w14:textId="77777777" w:rsidR="002C04C0" w:rsidRPr="00F3059C" w:rsidRDefault="00EA3E73"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1750 / 25553 – 6407 * 100</w:t>
            </w:r>
          </w:p>
          <w:p w14:paraId="5D772EF8"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9.14029</w:t>
            </w:r>
          </w:p>
          <w:p w14:paraId="5D772EF9"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9.14</w:t>
            </w:r>
            <w:r w:rsidR="00C54395" w:rsidRPr="00F3059C">
              <w:rPr>
                <w:rFonts w:asciiTheme="majorBidi" w:hAnsiTheme="majorBidi" w:cstheme="majorBidi"/>
                <w:color w:val="auto"/>
                <w:sz w:val="24"/>
                <w:szCs w:val="24"/>
              </w:rPr>
              <w:t>%</w:t>
            </w:r>
          </w:p>
        </w:tc>
        <w:tc>
          <w:tcPr>
            <w:tcW w:w="1030" w:type="pct"/>
            <w:noWrap/>
            <w:hideMark/>
          </w:tcPr>
          <w:p w14:paraId="5D772EFA" w14:textId="77777777" w:rsidR="00807E58" w:rsidRPr="00F3059C" w:rsidRDefault="00EA3E73"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84 / </w:t>
            </w:r>
            <w:r w:rsidR="00DF71A4" w:rsidRPr="00F3059C">
              <w:rPr>
                <w:rFonts w:asciiTheme="majorBidi" w:hAnsiTheme="majorBidi" w:cstheme="majorBidi"/>
                <w:color w:val="auto"/>
                <w:sz w:val="24"/>
                <w:szCs w:val="24"/>
              </w:rPr>
              <w:t>24701 – 5752</w:t>
            </w:r>
            <w:r w:rsidRPr="00F3059C">
              <w:rPr>
                <w:rFonts w:asciiTheme="majorBidi" w:hAnsiTheme="majorBidi" w:cstheme="majorBidi"/>
                <w:color w:val="auto"/>
                <w:sz w:val="24"/>
                <w:szCs w:val="24"/>
              </w:rPr>
              <w:t xml:space="preserve"> * 100</w:t>
            </w:r>
          </w:p>
          <w:p w14:paraId="5D772EFB"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0.443295 </w:t>
            </w:r>
          </w:p>
          <w:p w14:paraId="5D772EFC" w14:textId="77777777" w:rsidR="00C45FD6"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0.44</w:t>
            </w:r>
            <w:r w:rsidR="00C54395" w:rsidRPr="00F3059C">
              <w:rPr>
                <w:rFonts w:asciiTheme="majorBidi" w:hAnsiTheme="majorBidi" w:cstheme="majorBidi"/>
                <w:color w:val="auto"/>
                <w:sz w:val="24"/>
                <w:szCs w:val="24"/>
              </w:rPr>
              <w:t>%</w:t>
            </w:r>
          </w:p>
        </w:tc>
      </w:tr>
      <w:tr w:rsidR="00C45FD6" w:rsidRPr="00F3059C" w14:paraId="5D772F09" w14:textId="77777777" w:rsidTr="00995372">
        <w:trPr>
          <w:trHeight w:val="300"/>
        </w:trPr>
        <w:tc>
          <w:tcPr>
            <w:tcW w:w="1132" w:type="pct"/>
            <w:noWrap/>
            <w:hideMark/>
          </w:tcPr>
          <w:p w14:paraId="5D772EFE"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t>Return on assets (ROA)</w:t>
            </w:r>
          </w:p>
        </w:tc>
        <w:tc>
          <w:tcPr>
            <w:tcW w:w="920" w:type="pct"/>
          </w:tcPr>
          <w:p w14:paraId="5D772EFF"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(or income) / Total assets</w:t>
            </w:r>
          </w:p>
        </w:tc>
        <w:tc>
          <w:tcPr>
            <w:tcW w:w="921" w:type="pct"/>
            <w:noWrap/>
            <w:hideMark/>
          </w:tcPr>
          <w:p w14:paraId="5D772F00" w14:textId="77777777" w:rsidR="002C04C0" w:rsidRPr="00F3059C" w:rsidRDefault="000C683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2358 / </w:t>
            </w:r>
            <w:r w:rsidR="00AC64CB" w:rsidRPr="00F3059C">
              <w:rPr>
                <w:rFonts w:asciiTheme="majorBidi" w:hAnsiTheme="majorBidi" w:cstheme="majorBidi"/>
                <w:color w:val="auto"/>
                <w:sz w:val="24"/>
                <w:szCs w:val="24"/>
              </w:rPr>
              <w:t>24815</w:t>
            </w:r>
            <w:r w:rsidRPr="00F3059C">
              <w:rPr>
                <w:rFonts w:asciiTheme="majorBidi" w:hAnsiTheme="majorBidi" w:cstheme="majorBidi"/>
                <w:color w:val="auto"/>
                <w:sz w:val="24"/>
                <w:szCs w:val="24"/>
              </w:rPr>
              <w:t xml:space="preserve"> * 100</w:t>
            </w:r>
          </w:p>
          <w:p w14:paraId="5D772F01"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9.502317</w:t>
            </w:r>
          </w:p>
          <w:p w14:paraId="5D772F02"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 </w:t>
            </w:r>
            <w:r w:rsidR="00C54395" w:rsidRPr="00F3059C">
              <w:rPr>
                <w:rFonts w:asciiTheme="majorBidi" w:hAnsiTheme="majorBidi" w:cstheme="majorBidi"/>
                <w:color w:val="auto"/>
                <w:sz w:val="24"/>
                <w:szCs w:val="24"/>
              </w:rPr>
              <w:t>9.5%</w:t>
            </w:r>
          </w:p>
        </w:tc>
        <w:tc>
          <w:tcPr>
            <w:tcW w:w="997" w:type="pct"/>
            <w:noWrap/>
            <w:hideMark/>
          </w:tcPr>
          <w:p w14:paraId="5D772F03" w14:textId="77777777" w:rsidR="002C04C0" w:rsidRPr="00F3059C" w:rsidRDefault="00C61FC9"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1099 / </w:t>
            </w:r>
            <w:r w:rsidR="001C7EC6" w:rsidRPr="00F3059C">
              <w:rPr>
                <w:rFonts w:asciiTheme="majorBidi" w:hAnsiTheme="majorBidi" w:cstheme="majorBidi"/>
                <w:color w:val="auto"/>
                <w:sz w:val="24"/>
                <w:szCs w:val="24"/>
              </w:rPr>
              <w:t>25553</w:t>
            </w:r>
            <w:r w:rsidRPr="00F3059C">
              <w:rPr>
                <w:rFonts w:asciiTheme="majorBidi" w:hAnsiTheme="majorBidi" w:cstheme="majorBidi"/>
                <w:color w:val="auto"/>
                <w:sz w:val="24"/>
                <w:szCs w:val="24"/>
              </w:rPr>
              <w:t xml:space="preserve"> * 100</w:t>
            </w:r>
          </w:p>
          <w:p w14:paraId="5D772F04"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4.300865</w:t>
            </w:r>
          </w:p>
          <w:p w14:paraId="5D772F05"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 </w:t>
            </w:r>
            <w:r w:rsidR="00C54395" w:rsidRPr="00F3059C">
              <w:rPr>
                <w:rFonts w:asciiTheme="majorBidi" w:hAnsiTheme="majorBidi" w:cstheme="majorBidi"/>
                <w:color w:val="auto"/>
                <w:sz w:val="24"/>
                <w:szCs w:val="24"/>
              </w:rPr>
              <w:t>4.3%</w:t>
            </w:r>
          </w:p>
        </w:tc>
        <w:tc>
          <w:tcPr>
            <w:tcW w:w="1030" w:type="pct"/>
            <w:noWrap/>
            <w:hideMark/>
          </w:tcPr>
          <w:p w14:paraId="5D772F06" w14:textId="77777777" w:rsidR="002C04C0" w:rsidRPr="00F3059C" w:rsidRDefault="001C7EC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- 267</w:t>
            </w:r>
            <w:r w:rsidR="000C6836" w:rsidRPr="00F3059C">
              <w:rPr>
                <w:rFonts w:asciiTheme="majorBidi" w:hAnsiTheme="majorBidi" w:cstheme="majorBidi"/>
                <w:color w:val="auto"/>
                <w:sz w:val="24"/>
                <w:szCs w:val="24"/>
              </w:rPr>
              <w:t xml:space="preserve"> / </w:t>
            </w:r>
            <w:r w:rsidRPr="00F3059C">
              <w:rPr>
                <w:rFonts w:asciiTheme="majorBidi" w:hAnsiTheme="majorBidi" w:cstheme="majorBidi"/>
                <w:color w:val="auto"/>
                <w:sz w:val="24"/>
                <w:szCs w:val="24"/>
              </w:rPr>
              <w:t>24701</w:t>
            </w:r>
            <w:r w:rsidR="000C6836" w:rsidRPr="00F3059C">
              <w:rPr>
                <w:rFonts w:asciiTheme="majorBidi" w:hAnsiTheme="majorBidi" w:cstheme="majorBidi"/>
                <w:color w:val="auto"/>
                <w:sz w:val="24"/>
                <w:szCs w:val="24"/>
              </w:rPr>
              <w:t xml:space="preserve"> * 100</w:t>
            </w:r>
          </w:p>
          <w:p w14:paraId="5D772F07"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- 1.08093</w:t>
            </w:r>
          </w:p>
          <w:p w14:paraId="5D772F08"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1.08</w:t>
            </w:r>
            <w:r w:rsidR="00C54395" w:rsidRPr="00F3059C">
              <w:rPr>
                <w:rFonts w:asciiTheme="majorBidi" w:hAnsiTheme="majorBidi" w:cstheme="majorBidi"/>
                <w:color w:val="auto"/>
                <w:sz w:val="24"/>
                <w:szCs w:val="24"/>
              </w:rPr>
              <w:t>%</w:t>
            </w:r>
          </w:p>
        </w:tc>
      </w:tr>
      <w:tr w:rsidR="00C45FD6" w:rsidRPr="00F3059C" w14:paraId="5D772F15" w14:textId="77777777" w:rsidTr="00995372">
        <w:trPr>
          <w:trHeight w:val="300"/>
        </w:trPr>
        <w:tc>
          <w:tcPr>
            <w:tcW w:w="1132" w:type="pct"/>
            <w:noWrap/>
            <w:hideMark/>
          </w:tcPr>
          <w:p w14:paraId="5D772F0A" w14:textId="77777777" w:rsidR="00C45FD6" w:rsidRPr="00F3059C" w:rsidRDefault="00C45FD6" w:rsidP="00F3059C">
            <w:pPr>
              <w:rPr>
                <w:rFonts w:asciiTheme="majorBidi" w:hAnsiTheme="majorBidi" w:cstheme="majorBidi"/>
                <w:color w:val="auto"/>
                <w:sz w:val="24"/>
                <w:szCs w:val="24"/>
              </w:rPr>
            </w:pPr>
            <w:r w:rsidRPr="00F3059C">
              <w:rPr>
                <w:rFonts w:asciiTheme="majorBidi" w:hAnsiTheme="majorBidi" w:cstheme="majorBidi"/>
                <w:color w:val="auto"/>
                <w:sz w:val="24"/>
                <w:szCs w:val="24"/>
              </w:rPr>
              <w:lastRenderedPageBreak/>
              <w:t>Return on equity (ROE)</w:t>
            </w:r>
          </w:p>
        </w:tc>
        <w:tc>
          <w:tcPr>
            <w:tcW w:w="920" w:type="pct"/>
          </w:tcPr>
          <w:p w14:paraId="5D772F0B" w14:textId="77777777" w:rsidR="00C45FD6" w:rsidRPr="00F3059C" w:rsidRDefault="00C45FD6"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Net profit (or income) / Total shareholders’ equity</w:t>
            </w:r>
          </w:p>
        </w:tc>
        <w:tc>
          <w:tcPr>
            <w:tcW w:w="921" w:type="pct"/>
            <w:noWrap/>
            <w:hideMark/>
          </w:tcPr>
          <w:p w14:paraId="5D772F0C" w14:textId="77777777" w:rsidR="002C04C0" w:rsidRPr="00F3059C" w:rsidRDefault="00C61FC9"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2358 / </w:t>
            </w:r>
            <w:r w:rsidR="001E23F3" w:rsidRPr="00F3059C">
              <w:rPr>
                <w:rFonts w:asciiTheme="majorBidi" w:hAnsiTheme="majorBidi" w:cstheme="majorBidi"/>
                <w:color w:val="auto"/>
                <w:sz w:val="24"/>
                <w:szCs w:val="24"/>
              </w:rPr>
              <w:t>568</w:t>
            </w:r>
            <w:r w:rsidRPr="00F3059C">
              <w:rPr>
                <w:rFonts w:asciiTheme="majorBidi" w:hAnsiTheme="majorBidi" w:cstheme="majorBidi"/>
                <w:color w:val="auto"/>
                <w:sz w:val="24"/>
                <w:szCs w:val="24"/>
              </w:rPr>
              <w:t xml:space="preserve"> * 100</w:t>
            </w:r>
          </w:p>
          <w:p w14:paraId="5D772F0D"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415.1408</w:t>
            </w:r>
          </w:p>
          <w:p w14:paraId="5D772F0E"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415.14</w:t>
            </w:r>
            <w:r w:rsidR="00C54395" w:rsidRPr="00F3059C">
              <w:rPr>
                <w:rFonts w:asciiTheme="majorBidi" w:hAnsiTheme="majorBidi" w:cstheme="majorBidi"/>
                <w:color w:val="auto"/>
                <w:sz w:val="24"/>
                <w:szCs w:val="24"/>
              </w:rPr>
              <w:t>%</w:t>
            </w:r>
          </w:p>
        </w:tc>
        <w:tc>
          <w:tcPr>
            <w:tcW w:w="997" w:type="pct"/>
            <w:noWrap/>
            <w:hideMark/>
          </w:tcPr>
          <w:p w14:paraId="5D772F0F" w14:textId="77777777" w:rsidR="002C04C0" w:rsidRPr="00F3059C" w:rsidRDefault="00C61FC9"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1099 / </w:t>
            </w:r>
            <w:r w:rsidR="001E23F3" w:rsidRPr="00F3059C">
              <w:rPr>
                <w:rFonts w:asciiTheme="majorBidi" w:hAnsiTheme="majorBidi" w:cstheme="majorBidi"/>
                <w:color w:val="auto"/>
                <w:sz w:val="24"/>
                <w:szCs w:val="24"/>
              </w:rPr>
              <w:t>1414</w:t>
            </w:r>
            <w:r w:rsidRPr="00F3059C">
              <w:rPr>
                <w:rFonts w:asciiTheme="majorBidi" w:hAnsiTheme="majorBidi" w:cstheme="majorBidi"/>
                <w:color w:val="auto"/>
                <w:sz w:val="24"/>
                <w:szCs w:val="24"/>
              </w:rPr>
              <w:t xml:space="preserve"> * 100</w:t>
            </w:r>
          </w:p>
          <w:p w14:paraId="5D772F10"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77.72277</w:t>
            </w:r>
          </w:p>
          <w:p w14:paraId="5D772F11"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77.72</w:t>
            </w:r>
            <w:r w:rsidR="00C54395" w:rsidRPr="00F3059C">
              <w:rPr>
                <w:rFonts w:asciiTheme="majorBidi" w:hAnsiTheme="majorBidi" w:cstheme="majorBidi"/>
                <w:color w:val="auto"/>
                <w:sz w:val="24"/>
                <w:szCs w:val="24"/>
              </w:rPr>
              <w:t>%</w:t>
            </w:r>
          </w:p>
        </w:tc>
        <w:tc>
          <w:tcPr>
            <w:tcW w:w="1030" w:type="pct"/>
            <w:noWrap/>
            <w:hideMark/>
          </w:tcPr>
          <w:p w14:paraId="5D772F12" w14:textId="77777777" w:rsidR="002C04C0" w:rsidRPr="00F3059C" w:rsidRDefault="00F05CB7"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- 267 </w:t>
            </w:r>
            <w:r w:rsidR="00C61FC9" w:rsidRPr="00F3059C">
              <w:rPr>
                <w:rFonts w:asciiTheme="majorBidi" w:hAnsiTheme="majorBidi" w:cstheme="majorBidi"/>
                <w:color w:val="auto"/>
                <w:sz w:val="24"/>
                <w:szCs w:val="24"/>
              </w:rPr>
              <w:t xml:space="preserve">/ </w:t>
            </w:r>
            <w:r w:rsidR="001E23F3" w:rsidRPr="00F3059C">
              <w:rPr>
                <w:rFonts w:asciiTheme="majorBidi" w:hAnsiTheme="majorBidi" w:cstheme="majorBidi"/>
                <w:color w:val="auto"/>
                <w:sz w:val="24"/>
                <w:szCs w:val="24"/>
              </w:rPr>
              <w:t>430</w:t>
            </w:r>
            <w:r w:rsidR="00C61FC9" w:rsidRPr="00F3059C">
              <w:rPr>
                <w:rFonts w:asciiTheme="majorBidi" w:hAnsiTheme="majorBidi" w:cstheme="majorBidi"/>
                <w:color w:val="auto"/>
                <w:sz w:val="24"/>
                <w:szCs w:val="24"/>
              </w:rPr>
              <w:t xml:space="preserve"> * 100</w:t>
            </w:r>
          </w:p>
          <w:p w14:paraId="5D772F13" w14:textId="77777777" w:rsidR="00807E58" w:rsidRPr="00F3059C" w:rsidRDefault="00807E58"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- 62.093</w:t>
            </w:r>
          </w:p>
          <w:p w14:paraId="5D772F14" w14:textId="77777777" w:rsidR="00C45FD6" w:rsidRPr="00F3059C" w:rsidRDefault="002C04C0" w:rsidP="00F3059C">
            <w:pPr>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w:t>
            </w:r>
            <w:r w:rsidRPr="00F3059C">
              <w:rPr>
                <w:rFonts w:asciiTheme="majorBidi" w:hAnsiTheme="majorBidi" w:cstheme="majorBidi"/>
                <w:color w:val="auto"/>
                <w:sz w:val="24"/>
                <w:szCs w:val="24"/>
              </w:rPr>
              <w:t xml:space="preserve"> </w:t>
            </w:r>
            <w:r w:rsidR="00C45FD6" w:rsidRPr="00F3059C">
              <w:rPr>
                <w:rFonts w:asciiTheme="majorBidi" w:hAnsiTheme="majorBidi" w:cstheme="majorBidi"/>
                <w:color w:val="auto"/>
                <w:sz w:val="24"/>
                <w:szCs w:val="24"/>
              </w:rPr>
              <w:t>62.09</w:t>
            </w:r>
            <w:r w:rsidR="00C54395" w:rsidRPr="00F3059C">
              <w:rPr>
                <w:rFonts w:asciiTheme="majorBidi" w:hAnsiTheme="majorBidi" w:cstheme="majorBidi"/>
                <w:color w:val="auto"/>
                <w:sz w:val="24"/>
                <w:szCs w:val="24"/>
              </w:rPr>
              <w:t>%</w:t>
            </w:r>
          </w:p>
        </w:tc>
      </w:tr>
    </w:tbl>
    <w:p w14:paraId="5D772F16" w14:textId="77777777" w:rsidR="00F3059C" w:rsidRPr="00F3059C" w:rsidRDefault="00F3059C" w:rsidP="00F3059C">
      <w:pPr>
        <w:pStyle w:val="Caption"/>
        <w:spacing w:line="360" w:lineRule="auto"/>
        <w:jc w:val="center"/>
        <w:rPr>
          <w:rFonts w:asciiTheme="majorBidi" w:hAnsiTheme="majorBidi" w:cstheme="majorBidi"/>
          <w:color w:val="auto"/>
          <w:sz w:val="24"/>
          <w:szCs w:val="24"/>
        </w:rPr>
      </w:pPr>
      <w:r w:rsidRPr="00F3059C">
        <w:rPr>
          <w:rFonts w:asciiTheme="majorBidi" w:hAnsiTheme="majorBidi" w:cstheme="majorBidi"/>
          <w:color w:val="auto"/>
          <w:sz w:val="24"/>
          <w:szCs w:val="24"/>
        </w:rPr>
        <w:t xml:space="preserve">Table </w:t>
      </w:r>
      <w:r w:rsidRPr="00F3059C">
        <w:rPr>
          <w:rFonts w:asciiTheme="majorBidi" w:hAnsiTheme="majorBidi" w:cstheme="majorBidi"/>
          <w:color w:val="auto"/>
          <w:sz w:val="24"/>
          <w:szCs w:val="24"/>
        </w:rPr>
        <w:fldChar w:fldCharType="begin"/>
      </w:r>
      <w:r w:rsidRPr="00F3059C">
        <w:rPr>
          <w:rFonts w:asciiTheme="majorBidi" w:hAnsiTheme="majorBidi" w:cstheme="majorBidi"/>
          <w:color w:val="auto"/>
          <w:sz w:val="24"/>
          <w:szCs w:val="24"/>
        </w:rPr>
        <w:instrText xml:space="preserve"> SEQ Table \* ARABIC </w:instrText>
      </w:r>
      <w:r w:rsidRPr="00F3059C">
        <w:rPr>
          <w:rFonts w:asciiTheme="majorBidi" w:hAnsiTheme="majorBidi" w:cstheme="majorBidi"/>
          <w:color w:val="auto"/>
          <w:sz w:val="24"/>
          <w:szCs w:val="24"/>
        </w:rPr>
        <w:fldChar w:fldCharType="separate"/>
      </w:r>
      <w:r w:rsidRPr="00F3059C">
        <w:rPr>
          <w:rFonts w:asciiTheme="majorBidi" w:hAnsiTheme="majorBidi" w:cstheme="majorBidi"/>
          <w:noProof/>
          <w:color w:val="auto"/>
          <w:sz w:val="24"/>
          <w:szCs w:val="24"/>
        </w:rPr>
        <w:t>4</w:t>
      </w:r>
      <w:r w:rsidRPr="00F3059C">
        <w:rPr>
          <w:rFonts w:asciiTheme="majorBidi" w:hAnsiTheme="majorBidi" w:cstheme="majorBidi"/>
          <w:color w:val="auto"/>
          <w:sz w:val="24"/>
          <w:szCs w:val="24"/>
        </w:rPr>
        <w:fldChar w:fldCharType="end"/>
      </w:r>
      <w:r w:rsidRPr="00F3059C">
        <w:rPr>
          <w:rFonts w:asciiTheme="majorBidi" w:hAnsiTheme="majorBidi" w:cstheme="majorBidi"/>
          <w:color w:val="auto"/>
          <w:sz w:val="24"/>
          <w:szCs w:val="24"/>
        </w:rPr>
        <w:t>: Profitability ratios of Marriott International</w:t>
      </w:r>
    </w:p>
    <w:p w14:paraId="5D772F17" w14:textId="77777777" w:rsidR="007E5369" w:rsidRPr="00F3059C" w:rsidRDefault="00F3059C" w:rsidP="00F3059C">
      <w:pPr>
        <w:jc w:val="center"/>
        <w:rPr>
          <w:rFonts w:asciiTheme="majorBidi" w:hAnsiTheme="majorBidi" w:cstheme="majorBidi"/>
          <w:color w:val="auto"/>
          <w:szCs w:val="24"/>
        </w:rPr>
      </w:pPr>
      <w:r w:rsidRPr="00F3059C">
        <w:rPr>
          <w:rFonts w:asciiTheme="majorBidi" w:hAnsiTheme="majorBidi" w:cstheme="majorBidi"/>
          <w:color w:val="auto"/>
          <w:szCs w:val="24"/>
        </w:rPr>
        <w:t>(Source: Created by the learner)</w:t>
      </w:r>
    </w:p>
    <w:p w14:paraId="5D772F18" w14:textId="77777777" w:rsidR="007E5369" w:rsidRPr="00F3059C" w:rsidRDefault="00546437"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 evaluation and analysis of the profitability of Marriott International and IHG indicates that </w:t>
      </w:r>
      <w:r w:rsidR="00742638" w:rsidRPr="00F3059C">
        <w:rPr>
          <w:rFonts w:asciiTheme="majorBidi" w:hAnsiTheme="majorBidi" w:cstheme="majorBidi"/>
          <w:color w:val="auto"/>
          <w:szCs w:val="24"/>
        </w:rPr>
        <w:t xml:space="preserve">the profitability of both the hospitality organisations were negative in 2020. However, the profitability of the two organisations has improved steadily </w:t>
      </w:r>
      <w:r w:rsidR="000F597E" w:rsidRPr="00F3059C">
        <w:rPr>
          <w:rFonts w:asciiTheme="majorBidi" w:hAnsiTheme="majorBidi" w:cstheme="majorBidi"/>
          <w:color w:val="auto"/>
          <w:szCs w:val="24"/>
        </w:rPr>
        <w:t xml:space="preserve">from </w:t>
      </w:r>
      <w:r w:rsidR="006506B4" w:rsidRPr="00F3059C">
        <w:rPr>
          <w:rFonts w:asciiTheme="majorBidi" w:hAnsiTheme="majorBidi" w:cstheme="majorBidi"/>
          <w:color w:val="auto"/>
          <w:szCs w:val="24"/>
        </w:rPr>
        <w:t>2020 to 2022. The comparison of the profitability of Marriott International and IHG however shows that Marriott International has a better profitability. This is because all the operating profit ratio, net profit ratio, ROA as well</w:t>
      </w:r>
      <w:r w:rsidR="001A3AD3" w:rsidRPr="00F3059C">
        <w:rPr>
          <w:rFonts w:asciiTheme="majorBidi" w:hAnsiTheme="majorBidi" w:cstheme="majorBidi"/>
          <w:color w:val="auto"/>
          <w:szCs w:val="24"/>
        </w:rPr>
        <w:t xml:space="preserve"> as ROE of this organisation is higher for this organisation. Only the ROCE of IHG is better as compared to Marriott International in 2021 as well as 2022. Thus, similar to total revenue, Marriott International shows a better profitability than IHG.</w:t>
      </w:r>
    </w:p>
    <w:p w14:paraId="5D772F19" w14:textId="77777777" w:rsidR="00AE0742" w:rsidRPr="00F3059C" w:rsidRDefault="00AE0742" w:rsidP="00F3059C">
      <w:pPr>
        <w:pStyle w:val="Heading2"/>
        <w:rPr>
          <w:szCs w:val="24"/>
        </w:rPr>
      </w:pPr>
      <w:r w:rsidRPr="00F3059C">
        <w:rPr>
          <w:szCs w:val="24"/>
        </w:rPr>
        <w:t>Market Position and Stability</w:t>
      </w:r>
    </w:p>
    <w:p w14:paraId="5D772F1A" w14:textId="77777777" w:rsidR="00AE0742" w:rsidRPr="00F3059C" w:rsidRDefault="00481F67" w:rsidP="00F3059C">
      <w:pPr>
        <w:rPr>
          <w:rFonts w:asciiTheme="majorBidi" w:hAnsiTheme="majorBidi" w:cstheme="majorBidi"/>
          <w:color w:val="auto"/>
          <w:szCs w:val="24"/>
        </w:rPr>
      </w:pPr>
      <w:r w:rsidRPr="00F3059C">
        <w:rPr>
          <w:rFonts w:asciiTheme="majorBidi" w:hAnsiTheme="majorBidi" w:cstheme="majorBidi"/>
          <w:color w:val="auto"/>
          <w:szCs w:val="24"/>
        </w:rPr>
        <w:t>The term market positioning indicates the capacity of influencing the perception of consumers about a specific product or brand as compared to those of competitors (</w:t>
      </w:r>
      <w:r w:rsidR="00F3059C" w:rsidRPr="00F3059C">
        <w:rPr>
          <w:rFonts w:asciiTheme="majorBidi" w:hAnsiTheme="majorBidi" w:cstheme="majorBidi"/>
          <w:color w:val="auto"/>
          <w:szCs w:val="24"/>
        </w:rPr>
        <w:t>Kaleka and Morgan, 2019). An</w:t>
      </w:r>
      <w:r w:rsidRPr="00F3059C">
        <w:rPr>
          <w:rFonts w:asciiTheme="majorBidi" w:hAnsiTheme="majorBidi" w:cstheme="majorBidi"/>
          <w:color w:val="auto"/>
          <w:szCs w:val="24"/>
        </w:rPr>
        <w:t xml:space="preserve"> objective underlying in market positioning is establishing an identity or image of any product or brand for being perceived by consumers in a specific way. </w:t>
      </w:r>
      <w:r w:rsidR="00CE368E" w:rsidRPr="00F3059C">
        <w:rPr>
          <w:rFonts w:asciiTheme="majorBidi" w:hAnsiTheme="majorBidi" w:cstheme="majorBidi"/>
          <w:color w:val="auto"/>
          <w:szCs w:val="24"/>
        </w:rPr>
        <w:t>The evaluation of the market position and stability of Marriott International and IHG indicates that as of quarter 1 of 2023, Marriott International showed a market share of 18.57% (</w:t>
      </w:r>
      <w:proofErr w:type="spellStart"/>
      <w:r w:rsidR="00F3059C" w:rsidRPr="00F3059C">
        <w:rPr>
          <w:rFonts w:asciiTheme="majorBidi" w:hAnsiTheme="majorBidi" w:cstheme="majorBidi"/>
          <w:color w:val="auto"/>
          <w:szCs w:val="24"/>
        </w:rPr>
        <w:t>CSIMarket</w:t>
      </w:r>
      <w:proofErr w:type="spellEnd"/>
      <w:r w:rsidR="00F3059C" w:rsidRPr="00F3059C">
        <w:rPr>
          <w:rFonts w:asciiTheme="majorBidi" w:hAnsiTheme="majorBidi" w:cstheme="majorBidi"/>
          <w:color w:val="auto"/>
          <w:szCs w:val="24"/>
        </w:rPr>
        <w:t>, 2023</w:t>
      </w:r>
      <w:r w:rsidR="00CE368E" w:rsidRPr="00F3059C">
        <w:rPr>
          <w:rFonts w:asciiTheme="majorBidi" w:hAnsiTheme="majorBidi" w:cstheme="majorBidi"/>
          <w:color w:val="auto"/>
          <w:szCs w:val="24"/>
        </w:rPr>
        <w:t>). However, the market share of IHG turned out as 3.21% during this period. These figures indicate that the market position of Marriott International is also better, since the organisation has a better market share.</w:t>
      </w:r>
    </w:p>
    <w:p w14:paraId="5D772F1B" w14:textId="77777777" w:rsidR="00AE0742" w:rsidRPr="00F3059C" w:rsidRDefault="00CE368E"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 comparison of the product attributes and benefits of the two organisations indicate that both of them have good product attributes and benefits. </w:t>
      </w:r>
      <w:r w:rsidR="00164A62" w:rsidRPr="00F3059C">
        <w:rPr>
          <w:rFonts w:asciiTheme="majorBidi" w:hAnsiTheme="majorBidi" w:cstheme="majorBidi"/>
          <w:color w:val="auto"/>
          <w:szCs w:val="24"/>
        </w:rPr>
        <w:t xml:space="preserve">However, the attributes and benefits of the products of Marriott International are better than that of IHG. The product price charged by Marriott International is higher while IHG charges much lesser prices. However, if product quality is considered, Marriott International overtakes IHG yet again. </w:t>
      </w:r>
      <w:r w:rsidR="00473D26" w:rsidRPr="00F3059C">
        <w:rPr>
          <w:rFonts w:asciiTheme="majorBidi" w:hAnsiTheme="majorBidi" w:cstheme="majorBidi"/>
          <w:color w:val="auto"/>
          <w:szCs w:val="24"/>
        </w:rPr>
        <w:t>The product use and application are almost the same for both the organisations with</w:t>
      </w:r>
      <w:r w:rsidR="000D38AB" w:rsidRPr="00F3059C">
        <w:rPr>
          <w:rFonts w:asciiTheme="majorBidi" w:hAnsiTheme="majorBidi" w:cstheme="majorBidi"/>
          <w:color w:val="auto"/>
          <w:szCs w:val="24"/>
        </w:rPr>
        <w:t xml:space="preserve"> the main</w:t>
      </w:r>
      <w:r w:rsidR="00473D26" w:rsidRPr="00F3059C">
        <w:rPr>
          <w:rFonts w:asciiTheme="majorBidi" w:hAnsiTheme="majorBidi" w:cstheme="majorBidi"/>
          <w:color w:val="auto"/>
          <w:szCs w:val="24"/>
        </w:rPr>
        <w:t xml:space="preserve"> competitors being </w:t>
      </w:r>
      <w:r w:rsidR="00E01ACF" w:rsidRPr="00F3059C">
        <w:rPr>
          <w:rFonts w:asciiTheme="majorBidi" w:hAnsiTheme="majorBidi" w:cstheme="majorBidi"/>
          <w:color w:val="auto"/>
          <w:szCs w:val="24"/>
        </w:rPr>
        <w:t>Host Hotels and Resorts</w:t>
      </w:r>
      <w:r w:rsidR="004B1F98" w:rsidRPr="00F3059C">
        <w:rPr>
          <w:rFonts w:asciiTheme="majorBidi" w:hAnsiTheme="majorBidi" w:cstheme="majorBidi"/>
          <w:color w:val="auto"/>
          <w:szCs w:val="24"/>
        </w:rPr>
        <w:t xml:space="preserve">, Hilton Worldwide Holdings, Wynn Resorts Limited, Park </w:t>
      </w:r>
      <w:r w:rsidR="004B1F98" w:rsidRPr="00F3059C">
        <w:rPr>
          <w:rFonts w:asciiTheme="majorBidi" w:hAnsiTheme="majorBidi" w:cstheme="majorBidi"/>
          <w:color w:val="auto"/>
          <w:szCs w:val="24"/>
        </w:rPr>
        <w:lastRenderedPageBreak/>
        <w:t>Hotels and Resorts and Hyatt Hotels. Therefore, on an overall basis, the overall market position and stability is good in both Marriott International and IHG. However, Marriott International has a much better market position and stability.</w:t>
      </w:r>
    </w:p>
    <w:p w14:paraId="5D772F1C" w14:textId="77777777" w:rsidR="00AE0742" w:rsidRPr="00F3059C" w:rsidRDefault="00AE0742" w:rsidP="00F3059C">
      <w:pPr>
        <w:pStyle w:val="Heading2"/>
        <w:rPr>
          <w:szCs w:val="24"/>
        </w:rPr>
      </w:pPr>
      <w:r w:rsidRPr="00F3059C">
        <w:rPr>
          <w:szCs w:val="24"/>
        </w:rPr>
        <w:t xml:space="preserve">Growth Potential </w:t>
      </w:r>
    </w:p>
    <w:p w14:paraId="5D772F1D" w14:textId="27F5A1DE" w:rsidR="00AE0742" w:rsidRPr="00F3059C" w:rsidRDefault="004B1F98" w:rsidP="00F3059C">
      <w:pPr>
        <w:rPr>
          <w:rFonts w:asciiTheme="majorBidi" w:hAnsiTheme="majorBidi" w:cstheme="majorBidi"/>
          <w:color w:val="auto"/>
          <w:szCs w:val="24"/>
        </w:rPr>
      </w:pPr>
      <w:r w:rsidRPr="00F3059C">
        <w:rPr>
          <w:rFonts w:asciiTheme="majorBidi" w:hAnsiTheme="majorBidi" w:cstheme="majorBidi"/>
          <w:color w:val="auto"/>
          <w:szCs w:val="24"/>
        </w:rPr>
        <w:t>The growth potential of an organisation is also one of the key aspects of its performance and success. Revenue growth and</w:t>
      </w:r>
      <w:r w:rsidR="00F96496" w:rsidRPr="00F3059C">
        <w:rPr>
          <w:rFonts w:asciiTheme="majorBidi" w:hAnsiTheme="majorBidi" w:cstheme="majorBidi"/>
          <w:color w:val="auto"/>
          <w:szCs w:val="24"/>
        </w:rPr>
        <w:t xml:space="preserve"> market share growth</w:t>
      </w:r>
      <w:r w:rsidRPr="00F3059C">
        <w:rPr>
          <w:rFonts w:asciiTheme="majorBidi" w:hAnsiTheme="majorBidi" w:cstheme="majorBidi"/>
          <w:color w:val="auto"/>
          <w:szCs w:val="24"/>
        </w:rPr>
        <w:t xml:space="preserve"> are the few main aspects that help in evaluating the growth potential of an organisation (</w:t>
      </w:r>
      <w:r w:rsidR="00F3059C" w:rsidRPr="00F3059C">
        <w:rPr>
          <w:rFonts w:asciiTheme="majorBidi" w:hAnsiTheme="majorBidi" w:cstheme="majorBidi"/>
          <w:color w:val="auto"/>
          <w:szCs w:val="24"/>
        </w:rPr>
        <w:t>Edwards, 2021</w:t>
      </w:r>
      <w:r w:rsidRPr="00F3059C">
        <w:rPr>
          <w:rFonts w:asciiTheme="majorBidi" w:hAnsiTheme="majorBidi" w:cstheme="majorBidi"/>
          <w:color w:val="auto"/>
          <w:szCs w:val="24"/>
        </w:rPr>
        <w:t xml:space="preserve">). The evaluation of the total revenue of Marriott International and IHG </w:t>
      </w:r>
      <w:r w:rsidR="001F413F" w:rsidRPr="00F3059C">
        <w:rPr>
          <w:rFonts w:asciiTheme="majorBidi" w:hAnsiTheme="majorBidi" w:cstheme="majorBidi"/>
          <w:color w:val="auto"/>
          <w:szCs w:val="24"/>
        </w:rPr>
        <w:t xml:space="preserve">indicate that </w:t>
      </w:r>
      <w:r w:rsidR="00994C57" w:rsidRPr="00F3059C">
        <w:rPr>
          <w:rFonts w:asciiTheme="majorBidi" w:hAnsiTheme="majorBidi" w:cstheme="majorBidi"/>
          <w:color w:val="auto"/>
          <w:szCs w:val="24"/>
        </w:rPr>
        <w:t>the revenue growth in IHG between 2020 and 2022 has been 62.57%</w:t>
      </w:r>
      <w:r w:rsidR="00F3059C" w:rsidRPr="00F3059C">
        <w:rPr>
          <w:rFonts w:asciiTheme="majorBidi" w:hAnsiTheme="majorBidi" w:cstheme="majorBidi"/>
          <w:color w:val="auto"/>
          <w:szCs w:val="24"/>
        </w:rPr>
        <w:t xml:space="preserve"> (CSI</w:t>
      </w:r>
      <w:r w:rsidR="003B74D3">
        <w:rPr>
          <w:rFonts w:asciiTheme="majorBidi" w:hAnsiTheme="majorBidi" w:cstheme="majorBidi"/>
          <w:color w:val="auto"/>
          <w:szCs w:val="24"/>
        </w:rPr>
        <w:t xml:space="preserve"> </w:t>
      </w:r>
      <w:r w:rsidR="00F3059C" w:rsidRPr="00F3059C">
        <w:rPr>
          <w:rFonts w:asciiTheme="majorBidi" w:hAnsiTheme="majorBidi" w:cstheme="majorBidi"/>
          <w:color w:val="auto"/>
          <w:szCs w:val="24"/>
        </w:rPr>
        <w:t>Market, 2023)</w:t>
      </w:r>
      <w:r w:rsidR="00994C57" w:rsidRPr="00F3059C">
        <w:rPr>
          <w:rFonts w:asciiTheme="majorBidi" w:hAnsiTheme="majorBidi" w:cstheme="majorBidi"/>
          <w:color w:val="auto"/>
          <w:szCs w:val="24"/>
        </w:rPr>
        <w:t xml:space="preserve">. However, the revenue growth in Marriott International during this period has been 96.51%. Conversely, if the market share of the two organisations is considered, it can be seen that in the </w:t>
      </w:r>
      <w:r w:rsidR="00505CD1" w:rsidRPr="00F3059C">
        <w:rPr>
          <w:rFonts w:asciiTheme="majorBidi" w:hAnsiTheme="majorBidi" w:cstheme="majorBidi"/>
          <w:color w:val="auto"/>
          <w:szCs w:val="24"/>
        </w:rPr>
        <w:t>first quarter of 2023</w:t>
      </w:r>
      <w:r w:rsidR="00994C57" w:rsidRPr="00F3059C">
        <w:rPr>
          <w:rFonts w:asciiTheme="majorBidi" w:hAnsiTheme="majorBidi" w:cstheme="majorBidi"/>
          <w:color w:val="auto"/>
          <w:szCs w:val="24"/>
        </w:rPr>
        <w:t xml:space="preserve">, IHG had </w:t>
      </w:r>
      <w:r w:rsidR="00505CD1" w:rsidRPr="00F3059C">
        <w:rPr>
          <w:rFonts w:asciiTheme="majorBidi" w:hAnsiTheme="majorBidi" w:cstheme="majorBidi"/>
          <w:color w:val="auto"/>
          <w:szCs w:val="24"/>
        </w:rPr>
        <w:t>a growth in market share by 3.21%.</w:t>
      </w:r>
      <w:r w:rsidR="00994C57" w:rsidRPr="00F3059C">
        <w:rPr>
          <w:rFonts w:asciiTheme="majorBidi" w:hAnsiTheme="majorBidi" w:cstheme="majorBidi"/>
          <w:color w:val="auto"/>
          <w:szCs w:val="24"/>
        </w:rPr>
        <w:t xml:space="preserve"> However, Marriott International had a</w:t>
      </w:r>
      <w:r w:rsidR="00505CD1" w:rsidRPr="00F3059C">
        <w:rPr>
          <w:rFonts w:asciiTheme="majorBidi" w:hAnsiTheme="majorBidi" w:cstheme="majorBidi"/>
          <w:color w:val="auto"/>
          <w:szCs w:val="24"/>
        </w:rPr>
        <w:t xml:space="preserve"> growth in</w:t>
      </w:r>
      <w:r w:rsidR="00994C57" w:rsidRPr="00F3059C">
        <w:rPr>
          <w:rFonts w:asciiTheme="majorBidi" w:hAnsiTheme="majorBidi" w:cstheme="majorBidi"/>
          <w:color w:val="auto"/>
          <w:szCs w:val="24"/>
        </w:rPr>
        <w:t xml:space="preserve"> market</w:t>
      </w:r>
      <w:r w:rsidR="00505CD1" w:rsidRPr="00F3059C">
        <w:rPr>
          <w:rFonts w:asciiTheme="majorBidi" w:hAnsiTheme="majorBidi" w:cstheme="majorBidi"/>
          <w:color w:val="auto"/>
          <w:szCs w:val="24"/>
        </w:rPr>
        <w:t xml:space="preserve"> share worth 17.57</w:t>
      </w:r>
      <w:r w:rsidR="00994C57" w:rsidRPr="00F3059C">
        <w:rPr>
          <w:rFonts w:asciiTheme="majorBidi" w:hAnsiTheme="majorBidi" w:cstheme="majorBidi"/>
          <w:color w:val="auto"/>
          <w:szCs w:val="24"/>
        </w:rPr>
        <w:t xml:space="preserve">%. </w:t>
      </w:r>
      <w:r w:rsidR="00602EC3" w:rsidRPr="00F3059C">
        <w:rPr>
          <w:rFonts w:asciiTheme="majorBidi" w:hAnsiTheme="majorBidi" w:cstheme="majorBidi"/>
          <w:color w:val="auto"/>
          <w:szCs w:val="24"/>
        </w:rPr>
        <w:t>Similarly, the profit growth of IHG between 2020 and 2022 has been 244.62% while that of Marriott International has been 983.17%. Therefore, from all aspects, the growth potential present in Marriott International is much better as compared to that of IHG.</w:t>
      </w:r>
    </w:p>
    <w:p w14:paraId="5D772F1E" w14:textId="77777777" w:rsidR="00F8512C" w:rsidRPr="00F3059C" w:rsidRDefault="00AE0742" w:rsidP="00F3059C">
      <w:pPr>
        <w:pStyle w:val="Heading2"/>
        <w:rPr>
          <w:szCs w:val="24"/>
        </w:rPr>
      </w:pPr>
      <w:r w:rsidRPr="00F3059C">
        <w:rPr>
          <w:szCs w:val="24"/>
        </w:rPr>
        <w:t>Financial Commitment to CSR</w:t>
      </w:r>
      <w:r w:rsidR="00602EC3" w:rsidRPr="00F3059C">
        <w:rPr>
          <w:szCs w:val="24"/>
        </w:rPr>
        <w:t xml:space="preserve"> and sustainability </w:t>
      </w:r>
    </w:p>
    <w:p w14:paraId="5D772F1F" w14:textId="77777777" w:rsidR="00AE0742" w:rsidRPr="00F3059C" w:rsidRDefault="00954790" w:rsidP="00F3059C">
      <w:pPr>
        <w:rPr>
          <w:rFonts w:asciiTheme="majorBidi" w:hAnsiTheme="majorBidi" w:cstheme="majorBidi"/>
          <w:color w:val="auto"/>
          <w:szCs w:val="24"/>
        </w:rPr>
      </w:pPr>
      <w:r w:rsidRPr="00F3059C">
        <w:rPr>
          <w:rFonts w:asciiTheme="majorBidi" w:hAnsiTheme="majorBidi" w:cstheme="majorBidi"/>
          <w:color w:val="auto"/>
          <w:szCs w:val="24"/>
        </w:rPr>
        <w:t xml:space="preserve">According to </w:t>
      </w:r>
      <w:r w:rsidR="00F3059C" w:rsidRPr="00F3059C">
        <w:rPr>
          <w:rFonts w:asciiTheme="majorBidi" w:hAnsiTheme="majorBidi" w:cstheme="majorBidi"/>
          <w:color w:val="auto"/>
          <w:szCs w:val="24"/>
        </w:rPr>
        <w:t xml:space="preserve">Fatima and </w:t>
      </w:r>
      <w:proofErr w:type="spellStart"/>
      <w:r w:rsidR="00F3059C" w:rsidRPr="00F3059C">
        <w:rPr>
          <w:rFonts w:asciiTheme="majorBidi" w:hAnsiTheme="majorBidi" w:cstheme="majorBidi"/>
          <w:color w:val="auto"/>
          <w:szCs w:val="24"/>
        </w:rPr>
        <w:t>Elbanna</w:t>
      </w:r>
      <w:proofErr w:type="spellEnd"/>
      <w:r w:rsidR="00F3059C" w:rsidRPr="00F3059C">
        <w:rPr>
          <w:rFonts w:asciiTheme="majorBidi" w:hAnsiTheme="majorBidi" w:cstheme="majorBidi"/>
          <w:color w:val="auto"/>
          <w:szCs w:val="24"/>
        </w:rPr>
        <w:t xml:space="preserve"> </w:t>
      </w:r>
      <w:r w:rsidRPr="00F3059C">
        <w:rPr>
          <w:rFonts w:asciiTheme="majorBidi" w:hAnsiTheme="majorBidi" w:cstheme="majorBidi"/>
          <w:color w:val="auto"/>
          <w:szCs w:val="24"/>
        </w:rPr>
        <w:t>(</w:t>
      </w:r>
      <w:r w:rsidR="00F3059C" w:rsidRPr="00F3059C">
        <w:rPr>
          <w:rFonts w:asciiTheme="majorBidi" w:hAnsiTheme="majorBidi" w:cstheme="majorBidi"/>
          <w:color w:val="auto"/>
          <w:szCs w:val="24"/>
        </w:rPr>
        <w:t>2023</w:t>
      </w:r>
      <w:r w:rsidRPr="00F3059C">
        <w:rPr>
          <w:rFonts w:asciiTheme="majorBidi" w:hAnsiTheme="majorBidi" w:cstheme="majorBidi"/>
          <w:color w:val="auto"/>
          <w:szCs w:val="24"/>
        </w:rPr>
        <w:t>), corporate social responsibility or CSR is a broad concept of business. It explains the commitment of a company in carrying out their business in an ethical manner. This means that a company must be able to manage its business processes and take into account its social, environmental and economic impacts while considering the rights of humans.</w:t>
      </w:r>
      <w:r w:rsidR="00424145" w:rsidRPr="00F3059C">
        <w:rPr>
          <w:rFonts w:asciiTheme="majorBidi" w:hAnsiTheme="majorBidi" w:cstheme="majorBidi"/>
          <w:color w:val="auto"/>
          <w:szCs w:val="24"/>
        </w:rPr>
        <w:t xml:space="preserve"> In both Marriott International and IHG, CSR is an important aspect. </w:t>
      </w:r>
      <w:r w:rsidR="00602EC3" w:rsidRPr="00F3059C">
        <w:rPr>
          <w:rFonts w:asciiTheme="majorBidi" w:hAnsiTheme="majorBidi" w:cstheme="majorBidi"/>
          <w:color w:val="auto"/>
          <w:szCs w:val="24"/>
        </w:rPr>
        <w:t>The consideration of the financial commitment of</w:t>
      </w:r>
      <w:r w:rsidR="00F93DA2" w:rsidRPr="00F3059C">
        <w:rPr>
          <w:rFonts w:asciiTheme="majorBidi" w:hAnsiTheme="majorBidi" w:cstheme="majorBidi"/>
          <w:color w:val="auto"/>
          <w:szCs w:val="24"/>
        </w:rPr>
        <w:t xml:space="preserve"> </w:t>
      </w:r>
      <w:r w:rsidR="00602EC3" w:rsidRPr="00F3059C">
        <w:rPr>
          <w:rFonts w:asciiTheme="majorBidi" w:hAnsiTheme="majorBidi" w:cstheme="majorBidi"/>
          <w:color w:val="auto"/>
          <w:szCs w:val="24"/>
        </w:rPr>
        <w:t xml:space="preserve">IHG shows that </w:t>
      </w:r>
      <w:r w:rsidR="00F93DA2" w:rsidRPr="00F3059C">
        <w:rPr>
          <w:rFonts w:asciiTheme="majorBidi" w:hAnsiTheme="majorBidi" w:cstheme="majorBidi"/>
          <w:color w:val="auto"/>
          <w:szCs w:val="24"/>
        </w:rPr>
        <w:t>the organisation operates with a range of hotels and thousands of communities across the world while touching millions of people each day</w:t>
      </w:r>
      <w:r w:rsidR="0053454F" w:rsidRPr="00F3059C">
        <w:rPr>
          <w:rFonts w:asciiTheme="majorBidi" w:hAnsiTheme="majorBidi" w:cstheme="majorBidi"/>
          <w:color w:val="auto"/>
          <w:szCs w:val="24"/>
        </w:rPr>
        <w:t xml:space="preserve"> (IHG, 2023)</w:t>
      </w:r>
      <w:r w:rsidR="00F93DA2" w:rsidRPr="00F3059C">
        <w:rPr>
          <w:rFonts w:asciiTheme="majorBidi" w:hAnsiTheme="majorBidi" w:cstheme="majorBidi"/>
          <w:color w:val="auto"/>
          <w:szCs w:val="24"/>
        </w:rPr>
        <w:t>. It is a responsible business focusing on making its hotels greener and creating positive impacts on the community. However, Marriott International has a higher commitment to CSR. The organisation has a different platform named as Serve 360 that focuses on doing well in every direction</w:t>
      </w:r>
      <w:r w:rsidR="0053454F" w:rsidRPr="00F3059C">
        <w:rPr>
          <w:rFonts w:asciiTheme="majorBidi" w:hAnsiTheme="majorBidi" w:cstheme="majorBidi"/>
          <w:color w:val="auto"/>
          <w:szCs w:val="24"/>
        </w:rPr>
        <w:t xml:space="preserve"> (Marriott International, 2023)</w:t>
      </w:r>
      <w:r w:rsidR="00F93DA2" w:rsidRPr="00F3059C">
        <w:rPr>
          <w:rFonts w:asciiTheme="majorBidi" w:hAnsiTheme="majorBidi" w:cstheme="majorBidi"/>
          <w:color w:val="auto"/>
          <w:szCs w:val="24"/>
        </w:rPr>
        <w:t>. Nurturing, sustaining, empowering and welcoming are the four key aspects on which Marriott International focuses as a part of its CSR.</w:t>
      </w:r>
      <w:r w:rsidR="008B292F" w:rsidRPr="00F3059C">
        <w:rPr>
          <w:rFonts w:asciiTheme="majorBidi" w:hAnsiTheme="majorBidi" w:cstheme="majorBidi"/>
          <w:color w:val="auto"/>
          <w:szCs w:val="24"/>
        </w:rPr>
        <w:t xml:space="preserve"> Socially responsible investments are made by </w:t>
      </w:r>
      <w:r w:rsidR="00CA2FAB" w:rsidRPr="00F3059C">
        <w:rPr>
          <w:rFonts w:asciiTheme="majorBidi" w:hAnsiTheme="majorBidi" w:cstheme="majorBidi"/>
          <w:color w:val="auto"/>
          <w:szCs w:val="24"/>
        </w:rPr>
        <w:t>both the organisations.</w:t>
      </w:r>
    </w:p>
    <w:p w14:paraId="5D772F20" w14:textId="77777777" w:rsidR="00F8512C" w:rsidRPr="00F3059C" w:rsidRDefault="008B292F" w:rsidP="00F3059C">
      <w:pPr>
        <w:rPr>
          <w:rFonts w:asciiTheme="majorBidi" w:hAnsiTheme="majorBidi" w:cstheme="majorBidi"/>
          <w:color w:val="auto"/>
          <w:szCs w:val="24"/>
        </w:rPr>
      </w:pPr>
      <w:r w:rsidRPr="00F3059C">
        <w:rPr>
          <w:rFonts w:asciiTheme="majorBidi" w:hAnsiTheme="majorBidi" w:cstheme="majorBidi"/>
          <w:color w:val="auto"/>
          <w:szCs w:val="24"/>
        </w:rPr>
        <w:lastRenderedPageBreak/>
        <w:t>Sustainability, in the modern times, is a concept of business that focuses on the future growth of a business organisation and its survival (</w:t>
      </w:r>
      <w:proofErr w:type="spellStart"/>
      <w:r w:rsidR="00F3059C" w:rsidRPr="00F3059C">
        <w:rPr>
          <w:rFonts w:asciiTheme="majorBidi" w:hAnsiTheme="majorBidi" w:cstheme="majorBidi"/>
          <w:color w:val="auto"/>
          <w:szCs w:val="24"/>
        </w:rPr>
        <w:t>Hanaysha</w:t>
      </w:r>
      <w:proofErr w:type="spellEnd"/>
      <w:r w:rsidR="00F3059C" w:rsidRPr="00F3059C">
        <w:rPr>
          <w:rFonts w:asciiTheme="majorBidi" w:hAnsiTheme="majorBidi" w:cstheme="majorBidi"/>
          <w:color w:val="auto"/>
          <w:szCs w:val="24"/>
        </w:rPr>
        <w:t xml:space="preserve"> </w:t>
      </w:r>
      <w:r w:rsidR="00F3059C" w:rsidRPr="00F3059C">
        <w:rPr>
          <w:rFonts w:asciiTheme="majorBidi" w:hAnsiTheme="majorBidi" w:cstheme="majorBidi"/>
          <w:i/>
          <w:iCs/>
          <w:color w:val="auto"/>
          <w:szCs w:val="24"/>
        </w:rPr>
        <w:t>et al</w:t>
      </w:r>
      <w:r w:rsidR="00F3059C" w:rsidRPr="00F3059C">
        <w:rPr>
          <w:rFonts w:asciiTheme="majorBidi" w:hAnsiTheme="majorBidi" w:cstheme="majorBidi"/>
          <w:color w:val="auto"/>
          <w:szCs w:val="24"/>
        </w:rPr>
        <w:t>., 2022</w:t>
      </w:r>
      <w:r w:rsidRPr="00F3059C">
        <w:rPr>
          <w:rFonts w:asciiTheme="majorBidi" w:hAnsiTheme="majorBidi" w:cstheme="majorBidi"/>
          <w:color w:val="auto"/>
          <w:szCs w:val="24"/>
        </w:rPr>
        <w:t xml:space="preserve">). In the modern times, the sustainability concept relies on the triple bottom line or TBL approach. This approach emphasises on the importance of having similar focus on the environment, stakeholders and the profits earned in an organisation for maintaining its long-term viability. </w:t>
      </w:r>
      <w:r w:rsidR="00CA2FAB" w:rsidRPr="00F3059C">
        <w:rPr>
          <w:rFonts w:asciiTheme="majorBidi" w:hAnsiTheme="majorBidi" w:cstheme="majorBidi"/>
          <w:color w:val="auto"/>
          <w:szCs w:val="24"/>
        </w:rPr>
        <w:t>A range of sustainability programmes have been adopted by both Marriott International and IHG</w:t>
      </w:r>
      <w:r w:rsidR="00726CE4" w:rsidRPr="00F3059C">
        <w:rPr>
          <w:rFonts w:asciiTheme="majorBidi" w:hAnsiTheme="majorBidi" w:cstheme="majorBidi"/>
          <w:color w:val="auto"/>
          <w:szCs w:val="24"/>
        </w:rPr>
        <w:t>. The organisations focus on both its people and the planet by ensuring stakeholder engagement, reduction of carbon footprints and others. Both these organisations are focused on their profit as well. However, if the profits are considered, Marriott International has a much better profit generating capacity than IHG. Thus, even based on financial commitment to CSR and sustainability, Marriott International shows a better performance.</w:t>
      </w:r>
      <w:r w:rsidR="00F8512C" w:rsidRPr="00F3059C">
        <w:rPr>
          <w:rFonts w:asciiTheme="majorBidi" w:hAnsiTheme="majorBidi" w:cstheme="majorBidi"/>
          <w:color w:val="auto"/>
          <w:szCs w:val="24"/>
        </w:rPr>
        <w:br w:type="page"/>
      </w:r>
    </w:p>
    <w:p w14:paraId="5D772F21" w14:textId="77777777" w:rsidR="00F8512C" w:rsidRPr="00F3059C" w:rsidRDefault="00F8512C" w:rsidP="00F3059C">
      <w:pPr>
        <w:pStyle w:val="Heading1"/>
        <w:rPr>
          <w:rFonts w:asciiTheme="majorBidi" w:hAnsiTheme="majorBidi"/>
          <w:color w:val="auto"/>
          <w:szCs w:val="24"/>
        </w:rPr>
      </w:pPr>
      <w:bookmarkStart w:id="3" w:name="_Toc135069169"/>
      <w:r w:rsidRPr="00F3059C">
        <w:rPr>
          <w:rFonts w:asciiTheme="majorBidi" w:hAnsiTheme="majorBidi"/>
          <w:color w:val="auto"/>
          <w:szCs w:val="24"/>
        </w:rPr>
        <w:lastRenderedPageBreak/>
        <w:t>Recommendations to Marriot International and IHG</w:t>
      </w:r>
      <w:bookmarkEnd w:id="3"/>
    </w:p>
    <w:p w14:paraId="5D772F22" w14:textId="77777777" w:rsidR="00F8512C" w:rsidRPr="00F3059C" w:rsidRDefault="00726CE4" w:rsidP="00F3059C">
      <w:pPr>
        <w:rPr>
          <w:rFonts w:asciiTheme="majorBidi" w:hAnsiTheme="majorBidi" w:cstheme="majorBidi"/>
          <w:color w:val="auto"/>
          <w:szCs w:val="24"/>
        </w:rPr>
      </w:pPr>
      <w:r w:rsidRPr="00F3059C">
        <w:rPr>
          <w:rFonts w:asciiTheme="majorBidi" w:hAnsiTheme="majorBidi" w:cstheme="majorBidi"/>
          <w:color w:val="auto"/>
          <w:szCs w:val="24"/>
        </w:rPr>
        <w:t>Depending on the findings above, as IHG is determined to have a poorer performance and financial management as compared to Marriott International, opportunities of growth is recommended to be adopted in IHG. The organisation should identify and exploit various new growth opportunities, which include market development and product development. Market development and product development is going to help IHG in maximising revenue and profits while enhancing its market share and position. However, Marriott International is recommended to consider and exploit the potentials for outsourcing. Outsourcing services such as booking management, accounting and others can help the organisation in establishing strong cost control, thereby enhancing its profitability further.</w:t>
      </w:r>
      <w:r w:rsidR="00F8512C" w:rsidRPr="00F3059C">
        <w:rPr>
          <w:rFonts w:asciiTheme="majorBidi" w:hAnsiTheme="majorBidi" w:cstheme="majorBidi"/>
          <w:color w:val="auto"/>
          <w:szCs w:val="24"/>
        </w:rPr>
        <w:br w:type="page"/>
      </w:r>
    </w:p>
    <w:p w14:paraId="5D772F23" w14:textId="77777777" w:rsidR="00F8512C" w:rsidRPr="00F3059C" w:rsidRDefault="00F8512C" w:rsidP="00F3059C">
      <w:pPr>
        <w:pStyle w:val="Heading1"/>
        <w:rPr>
          <w:rFonts w:asciiTheme="majorBidi" w:hAnsiTheme="majorBidi"/>
          <w:color w:val="auto"/>
          <w:szCs w:val="24"/>
        </w:rPr>
      </w:pPr>
      <w:bookmarkStart w:id="4" w:name="_Toc135069170"/>
      <w:r w:rsidRPr="00F3059C">
        <w:rPr>
          <w:rFonts w:asciiTheme="majorBidi" w:hAnsiTheme="majorBidi"/>
          <w:color w:val="auto"/>
          <w:szCs w:val="24"/>
        </w:rPr>
        <w:lastRenderedPageBreak/>
        <w:t>Conclusion</w:t>
      </w:r>
      <w:bookmarkEnd w:id="4"/>
      <w:r w:rsidRPr="00F3059C">
        <w:rPr>
          <w:rFonts w:asciiTheme="majorBidi" w:hAnsiTheme="majorBidi"/>
          <w:color w:val="auto"/>
          <w:szCs w:val="24"/>
        </w:rPr>
        <w:t xml:space="preserve"> </w:t>
      </w:r>
    </w:p>
    <w:p w14:paraId="5D772F24" w14:textId="77777777" w:rsidR="00F8512C" w:rsidRPr="00F3059C" w:rsidRDefault="00DB3E52" w:rsidP="00F3059C">
      <w:pPr>
        <w:rPr>
          <w:rFonts w:asciiTheme="majorBidi" w:hAnsiTheme="majorBidi" w:cstheme="majorBidi"/>
          <w:color w:val="auto"/>
          <w:szCs w:val="24"/>
        </w:rPr>
      </w:pPr>
      <w:r w:rsidRPr="00F3059C">
        <w:rPr>
          <w:rFonts w:asciiTheme="majorBidi" w:hAnsiTheme="majorBidi" w:cstheme="majorBidi"/>
          <w:color w:val="auto"/>
          <w:szCs w:val="24"/>
        </w:rPr>
        <w:t xml:space="preserve">Therefore, from this business report, it can be concluded that there are strong financial management approaches adopted in both these largest global hospitality organisations. Strong financial management could also be derived in these two organisations in the past three years. However, </w:t>
      </w:r>
      <w:r w:rsidR="00F35E7C" w:rsidRPr="00F3059C">
        <w:rPr>
          <w:rFonts w:asciiTheme="majorBidi" w:hAnsiTheme="majorBidi" w:cstheme="majorBidi"/>
          <w:color w:val="auto"/>
          <w:szCs w:val="24"/>
        </w:rPr>
        <w:t>it could be determined that the revenues earned in Marriott International are much better and higher in Marriott International.</w:t>
      </w:r>
      <w:r w:rsidR="00726CE4" w:rsidRPr="00F3059C">
        <w:rPr>
          <w:rFonts w:asciiTheme="majorBidi" w:hAnsiTheme="majorBidi" w:cstheme="majorBidi"/>
          <w:color w:val="auto"/>
          <w:szCs w:val="24"/>
        </w:rPr>
        <w:t xml:space="preserve"> On an overall basis, it could be determined that Marriott International also has a better growth potential, profitability, market position and stability along with CSR and sustainability. The recommendations provided in this report can help both Marriott International and IHG to improve their performance and accomplish success.</w:t>
      </w:r>
      <w:r w:rsidR="00F8512C" w:rsidRPr="00F3059C">
        <w:rPr>
          <w:rFonts w:asciiTheme="majorBidi" w:hAnsiTheme="majorBidi" w:cstheme="majorBidi"/>
          <w:color w:val="auto"/>
          <w:szCs w:val="24"/>
        </w:rPr>
        <w:br w:type="page"/>
      </w:r>
    </w:p>
    <w:p w14:paraId="5D772F25" w14:textId="77777777" w:rsidR="00F8512C" w:rsidRPr="00F3059C" w:rsidRDefault="00F8512C" w:rsidP="00F3059C">
      <w:pPr>
        <w:pStyle w:val="Heading1"/>
        <w:rPr>
          <w:rFonts w:asciiTheme="majorBidi" w:hAnsiTheme="majorBidi"/>
          <w:color w:val="auto"/>
          <w:szCs w:val="24"/>
        </w:rPr>
      </w:pPr>
      <w:bookmarkStart w:id="5" w:name="_Toc135069171"/>
      <w:r w:rsidRPr="00F3059C">
        <w:rPr>
          <w:rFonts w:asciiTheme="majorBidi" w:hAnsiTheme="majorBidi"/>
          <w:color w:val="auto"/>
          <w:szCs w:val="24"/>
        </w:rPr>
        <w:lastRenderedPageBreak/>
        <w:t>Reference List</w:t>
      </w:r>
      <w:bookmarkEnd w:id="5"/>
    </w:p>
    <w:p w14:paraId="5D772F26" w14:textId="77777777" w:rsidR="00F3059C" w:rsidRPr="00F3059C" w:rsidRDefault="00F3059C" w:rsidP="00F3059C">
      <w:pPr>
        <w:rPr>
          <w:rFonts w:asciiTheme="majorBidi" w:hAnsiTheme="majorBidi" w:cstheme="majorBidi"/>
          <w:color w:val="auto"/>
          <w:szCs w:val="24"/>
        </w:rPr>
      </w:pPr>
      <w:proofErr w:type="spellStart"/>
      <w:r w:rsidRPr="00F3059C">
        <w:rPr>
          <w:rFonts w:asciiTheme="majorBidi" w:hAnsiTheme="majorBidi" w:cstheme="majorBidi"/>
          <w:color w:val="auto"/>
          <w:szCs w:val="24"/>
        </w:rPr>
        <w:t>CSIMarket</w:t>
      </w:r>
      <w:proofErr w:type="spellEnd"/>
      <w:r w:rsidRPr="00F3059C">
        <w:rPr>
          <w:rFonts w:asciiTheme="majorBidi" w:hAnsiTheme="majorBidi" w:cstheme="majorBidi"/>
          <w:color w:val="auto"/>
          <w:szCs w:val="24"/>
        </w:rPr>
        <w:t xml:space="preserve">. (2023) </w:t>
      </w:r>
      <w:r w:rsidRPr="00F3059C">
        <w:rPr>
          <w:rFonts w:asciiTheme="majorBidi" w:hAnsiTheme="majorBidi" w:cstheme="majorBidi"/>
          <w:i/>
          <w:iCs/>
          <w:color w:val="auto"/>
          <w:szCs w:val="24"/>
        </w:rPr>
        <w:t>Mar’s vs. market share relative to its competitors, as of Q1 2023</w:t>
      </w:r>
      <w:r w:rsidRPr="00F3059C">
        <w:rPr>
          <w:rFonts w:asciiTheme="majorBidi" w:hAnsiTheme="majorBidi" w:cstheme="majorBidi"/>
          <w:color w:val="auto"/>
          <w:szCs w:val="24"/>
        </w:rPr>
        <w:t xml:space="preserve">, </w:t>
      </w:r>
      <w:proofErr w:type="spellStart"/>
      <w:r w:rsidRPr="00F3059C">
        <w:rPr>
          <w:rFonts w:asciiTheme="majorBidi" w:hAnsiTheme="majorBidi" w:cstheme="majorBidi"/>
          <w:i/>
          <w:iCs/>
          <w:color w:val="auto"/>
          <w:szCs w:val="24"/>
        </w:rPr>
        <w:t>CSIMarket</w:t>
      </w:r>
      <w:proofErr w:type="spellEnd"/>
      <w:r w:rsidRPr="00F3059C">
        <w:rPr>
          <w:rFonts w:asciiTheme="majorBidi" w:hAnsiTheme="majorBidi" w:cstheme="majorBidi"/>
          <w:color w:val="auto"/>
          <w:szCs w:val="24"/>
        </w:rPr>
        <w:t xml:space="preserve">. Available at: https://csimarket.com/stocks/competitionSEG2.php?code=MAR (Accessed: 15 May 2023). </w:t>
      </w:r>
    </w:p>
    <w:p w14:paraId="5D772F27" w14:textId="77777777" w:rsidR="009C34C6" w:rsidRPr="00F3059C" w:rsidRDefault="00F27D32" w:rsidP="00F3059C">
      <w:pPr>
        <w:rPr>
          <w:rFonts w:asciiTheme="majorBidi" w:hAnsiTheme="majorBidi" w:cstheme="majorBidi"/>
          <w:color w:val="auto"/>
          <w:szCs w:val="24"/>
        </w:rPr>
      </w:pPr>
      <w:r w:rsidRPr="00F3059C">
        <w:rPr>
          <w:rFonts w:asciiTheme="majorBidi" w:hAnsiTheme="majorBidi" w:cstheme="majorBidi"/>
          <w:color w:val="auto"/>
          <w:szCs w:val="24"/>
        </w:rPr>
        <w:t>Drury, C. (2015) </w:t>
      </w:r>
      <w:r w:rsidRPr="00F3059C">
        <w:rPr>
          <w:rFonts w:asciiTheme="majorBidi" w:hAnsiTheme="majorBidi" w:cstheme="majorBidi"/>
          <w:i/>
          <w:iCs/>
          <w:color w:val="auto"/>
          <w:szCs w:val="24"/>
        </w:rPr>
        <w:t>Management and cost accounting</w:t>
      </w:r>
      <w:r w:rsidRPr="00F3059C">
        <w:rPr>
          <w:rFonts w:asciiTheme="majorBidi" w:hAnsiTheme="majorBidi" w:cstheme="majorBidi"/>
          <w:color w:val="auto"/>
          <w:szCs w:val="24"/>
        </w:rPr>
        <w:t>, London, Prentice Hall.</w:t>
      </w:r>
    </w:p>
    <w:p w14:paraId="5D772F28" w14:textId="77777777" w:rsidR="00105A40" w:rsidRPr="00F3059C" w:rsidRDefault="00F27D32" w:rsidP="00F3059C">
      <w:pPr>
        <w:rPr>
          <w:rFonts w:asciiTheme="majorBidi" w:hAnsiTheme="majorBidi" w:cstheme="majorBidi"/>
          <w:color w:val="auto"/>
          <w:szCs w:val="24"/>
        </w:rPr>
      </w:pPr>
      <w:r w:rsidRPr="00F3059C">
        <w:rPr>
          <w:rFonts w:asciiTheme="majorBidi" w:hAnsiTheme="majorBidi" w:cstheme="majorBidi"/>
          <w:color w:val="auto"/>
          <w:szCs w:val="24"/>
        </w:rPr>
        <w:t>Edwards, M.G</w:t>
      </w:r>
      <w:r w:rsidR="00F3059C" w:rsidRPr="00F3059C">
        <w:rPr>
          <w:rFonts w:asciiTheme="majorBidi" w:hAnsiTheme="majorBidi" w:cstheme="majorBidi"/>
          <w:color w:val="auto"/>
          <w:szCs w:val="24"/>
        </w:rPr>
        <w:t>. (2021)</w:t>
      </w:r>
      <w:r w:rsidRPr="00F3059C">
        <w:rPr>
          <w:rFonts w:asciiTheme="majorBidi" w:hAnsiTheme="majorBidi" w:cstheme="majorBidi"/>
          <w:color w:val="auto"/>
          <w:szCs w:val="24"/>
        </w:rPr>
        <w:t xml:space="preserve"> The growth paradox, sustainable development, and business strategy. </w:t>
      </w:r>
      <w:r w:rsidRPr="00F3059C">
        <w:rPr>
          <w:rFonts w:asciiTheme="majorBidi" w:hAnsiTheme="majorBidi" w:cstheme="majorBidi"/>
          <w:i/>
          <w:iCs/>
          <w:color w:val="auto"/>
          <w:szCs w:val="24"/>
        </w:rPr>
        <w:t>Business Strategy and the Environment</w:t>
      </w:r>
      <w:r w:rsidRPr="00F3059C">
        <w:rPr>
          <w:rFonts w:asciiTheme="majorBidi" w:hAnsiTheme="majorBidi" w:cstheme="majorBidi"/>
          <w:color w:val="auto"/>
          <w:szCs w:val="24"/>
        </w:rPr>
        <w:t>, </w:t>
      </w:r>
      <w:r w:rsidRPr="00F3059C">
        <w:rPr>
          <w:rFonts w:asciiTheme="majorBidi" w:hAnsiTheme="majorBidi" w:cstheme="majorBidi"/>
          <w:i/>
          <w:iCs/>
          <w:color w:val="auto"/>
          <w:szCs w:val="24"/>
        </w:rPr>
        <w:t>30</w:t>
      </w:r>
      <w:r w:rsidRPr="00F3059C">
        <w:rPr>
          <w:rFonts w:asciiTheme="majorBidi" w:hAnsiTheme="majorBidi" w:cstheme="majorBidi"/>
          <w:color w:val="auto"/>
          <w:szCs w:val="24"/>
        </w:rPr>
        <w:t>(7), pp.3079-3094.</w:t>
      </w:r>
    </w:p>
    <w:p w14:paraId="5D772F29" w14:textId="77777777" w:rsidR="007C50D6" w:rsidRPr="00F3059C" w:rsidRDefault="00F27D32" w:rsidP="00F3059C">
      <w:pPr>
        <w:rPr>
          <w:rFonts w:asciiTheme="majorBidi" w:hAnsiTheme="majorBidi" w:cstheme="majorBidi"/>
          <w:color w:val="auto"/>
          <w:szCs w:val="24"/>
        </w:rPr>
      </w:pPr>
      <w:r w:rsidRPr="00F3059C">
        <w:rPr>
          <w:rFonts w:asciiTheme="majorBidi" w:hAnsiTheme="majorBidi" w:cstheme="majorBidi"/>
          <w:color w:val="auto"/>
          <w:szCs w:val="24"/>
        </w:rPr>
        <w:t xml:space="preserve">Fatima, T. and </w:t>
      </w:r>
      <w:proofErr w:type="spellStart"/>
      <w:r w:rsidRPr="00F3059C">
        <w:rPr>
          <w:rFonts w:asciiTheme="majorBidi" w:hAnsiTheme="majorBidi" w:cstheme="majorBidi"/>
          <w:color w:val="auto"/>
          <w:szCs w:val="24"/>
        </w:rPr>
        <w:t>Elbanna</w:t>
      </w:r>
      <w:proofErr w:type="spellEnd"/>
      <w:r w:rsidRPr="00F3059C">
        <w:rPr>
          <w:rFonts w:asciiTheme="majorBidi" w:hAnsiTheme="majorBidi" w:cstheme="majorBidi"/>
          <w:color w:val="auto"/>
          <w:szCs w:val="24"/>
        </w:rPr>
        <w:t>, S</w:t>
      </w:r>
      <w:r w:rsidR="00F3059C" w:rsidRPr="00F3059C">
        <w:rPr>
          <w:rFonts w:asciiTheme="majorBidi" w:hAnsiTheme="majorBidi" w:cstheme="majorBidi"/>
          <w:color w:val="auto"/>
          <w:szCs w:val="24"/>
        </w:rPr>
        <w:t>. (2023)</w:t>
      </w:r>
      <w:r w:rsidRPr="00F3059C">
        <w:rPr>
          <w:rFonts w:asciiTheme="majorBidi" w:hAnsiTheme="majorBidi" w:cstheme="majorBidi"/>
          <w:color w:val="auto"/>
          <w:szCs w:val="24"/>
        </w:rPr>
        <w:t xml:space="preserve"> Corporate social responsibility (CSR) implementation: A review and a research agenda towards an integrative framework. </w:t>
      </w:r>
      <w:r w:rsidRPr="00F3059C">
        <w:rPr>
          <w:rFonts w:asciiTheme="majorBidi" w:hAnsiTheme="majorBidi" w:cstheme="majorBidi"/>
          <w:i/>
          <w:iCs/>
          <w:color w:val="auto"/>
          <w:szCs w:val="24"/>
        </w:rPr>
        <w:t>Journal of Business Ethics</w:t>
      </w:r>
      <w:r w:rsidRPr="00F3059C">
        <w:rPr>
          <w:rFonts w:asciiTheme="majorBidi" w:hAnsiTheme="majorBidi" w:cstheme="majorBidi"/>
          <w:color w:val="auto"/>
          <w:szCs w:val="24"/>
        </w:rPr>
        <w:t>, </w:t>
      </w:r>
      <w:r w:rsidRPr="00F3059C">
        <w:rPr>
          <w:rFonts w:asciiTheme="majorBidi" w:hAnsiTheme="majorBidi" w:cstheme="majorBidi"/>
          <w:i/>
          <w:iCs/>
          <w:color w:val="auto"/>
          <w:szCs w:val="24"/>
        </w:rPr>
        <w:t>183</w:t>
      </w:r>
      <w:r w:rsidRPr="00F3059C">
        <w:rPr>
          <w:rFonts w:asciiTheme="majorBidi" w:hAnsiTheme="majorBidi" w:cstheme="majorBidi"/>
          <w:color w:val="auto"/>
          <w:szCs w:val="24"/>
        </w:rPr>
        <w:t>(1), pp.105-121.</w:t>
      </w:r>
    </w:p>
    <w:p w14:paraId="5D772F2A" w14:textId="77777777" w:rsidR="00A9136A" w:rsidRPr="00F3059C" w:rsidRDefault="00F27D32" w:rsidP="00F3059C">
      <w:pPr>
        <w:rPr>
          <w:rFonts w:asciiTheme="majorBidi" w:hAnsiTheme="majorBidi" w:cstheme="majorBidi"/>
          <w:color w:val="auto"/>
          <w:szCs w:val="24"/>
        </w:rPr>
      </w:pPr>
      <w:proofErr w:type="spellStart"/>
      <w:r w:rsidRPr="00F3059C">
        <w:rPr>
          <w:rFonts w:asciiTheme="majorBidi" w:hAnsiTheme="majorBidi" w:cstheme="majorBidi"/>
          <w:color w:val="auto"/>
          <w:szCs w:val="24"/>
        </w:rPr>
        <w:t>Guilding</w:t>
      </w:r>
      <w:proofErr w:type="spellEnd"/>
      <w:r w:rsidRPr="00F3059C">
        <w:rPr>
          <w:rFonts w:asciiTheme="majorBidi" w:hAnsiTheme="majorBidi" w:cstheme="majorBidi"/>
          <w:color w:val="auto"/>
          <w:szCs w:val="24"/>
        </w:rPr>
        <w:t>, C. (2013) Accounting Essentials for Hospitality Managers, London, Taylor and Francis.</w:t>
      </w:r>
    </w:p>
    <w:p w14:paraId="5D772F2B" w14:textId="77777777" w:rsidR="00A9136A" w:rsidRPr="00F3059C" w:rsidRDefault="00F27D32" w:rsidP="00F3059C">
      <w:pPr>
        <w:rPr>
          <w:rFonts w:asciiTheme="majorBidi" w:hAnsiTheme="majorBidi" w:cstheme="majorBidi"/>
          <w:color w:val="auto"/>
          <w:szCs w:val="24"/>
        </w:rPr>
      </w:pPr>
      <w:proofErr w:type="spellStart"/>
      <w:r w:rsidRPr="00F3059C">
        <w:rPr>
          <w:rFonts w:asciiTheme="majorBidi" w:hAnsiTheme="majorBidi" w:cstheme="majorBidi"/>
          <w:color w:val="auto"/>
          <w:szCs w:val="24"/>
        </w:rPr>
        <w:t>Hanaysha</w:t>
      </w:r>
      <w:proofErr w:type="spellEnd"/>
      <w:r w:rsidRPr="00F3059C">
        <w:rPr>
          <w:rFonts w:asciiTheme="majorBidi" w:hAnsiTheme="majorBidi" w:cstheme="majorBidi"/>
          <w:color w:val="auto"/>
          <w:szCs w:val="24"/>
        </w:rPr>
        <w:t xml:space="preserve">, J.R., Al-Shaikh, M.E., </w:t>
      </w:r>
      <w:proofErr w:type="spellStart"/>
      <w:r w:rsidRPr="00F3059C">
        <w:rPr>
          <w:rFonts w:asciiTheme="majorBidi" w:hAnsiTheme="majorBidi" w:cstheme="majorBidi"/>
          <w:color w:val="auto"/>
          <w:szCs w:val="24"/>
        </w:rPr>
        <w:t>Joghee</w:t>
      </w:r>
      <w:proofErr w:type="spellEnd"/>
      <w:r w:rsidRPr="00F3059C">
        <w:rPr>
          <w:rFonts w:asciiTheme="majorBidi" w:hAnsiTheme="majorBidi" w:cstheme="majorBidi"/>
          <w:color w:val="auto"/>
          <w:szCs w:val="24"/>
        </w:rPr>
        <w:t xml:space="preserve">, S. and </w:t>
      </w:r>
      <w:proofErr w:type="spellStart"/>
      <w:r w:rsidRPr="00F3059C">
        <w:rPr>
          <w:rFonts w:asciiTheme="majorBidi" w:hAnsiTheme="majorBidi" w:cstheme="majorBidi"/>
          <w:color w:val="auto"/>
          <w:szCs w:val="24"/>
        </w:rPr>
        <w:t>Alzoubi</w:t>
      </w:r>
      <w:proofErr w:type="spellEnd"/>
      <w:r w:rsidRPr="00F3059C">
        <w:rPr>
          <w:rFonts w:asciiTheme="majorBidi" w:hAnsiTheme="majorBidi" w:cstheme="majorBidi"/>
          <w:color w:val="auto"/>
          <w:szCs w:val="24"/>
        </w:rPr>
        <w:t>, H.M</w:t>
      </w:r>
      <w:r w:rsidR="00F3059C" w:rsidRPr="00F3059C">
        <w:rPr>
          <w:rFonts w:asciiTheme="majorBidi" w:hAnsiTheme="majorBidi" w:cstheme="majorBidi"/>
          <w:color w:val="auto"/>
          <w:szCs w:val="24"/>
        </w:rPr>
        <w:t>. (2022)</w:t>
      </w:r>
      <w:r w:rsidRPr="00F3059C">
        <w:rPr>
          <w:rFonts w:asciiTheme="majorBidi" w:hAnsiTheme="majorBidi" w:cstheme="majorBidi"/>
          <w:color w:val="auto"/>
          <w:szCs w:val="24"/>
        </w:rPr>
        <w:t xml:space="preserve"> Impact of innovation capabilities on business sustainability in small and medium enterprises. </w:t>
      </w:r>
      <w:r w:rsidRPr="00F3059C">
        <w:rPr>
          <w:rFonts w:asciiTheme="majorBidi" w:hAnsiTheme="majorBidi" w:cstheme="majorBidi"/>
          <w:i/>
          <w:iCs/>
          <w:color w:val="auto"/>
          <w:szCs w:val="24"/>
        </w:rPr>
        <w:t>FIIB Business Review</w:t>
      </w:r>
      <w:r w:rsidRPr="00F3059C">
        <w:rPr>
          <w:rFonts w:asciiTheme="majorBidi" w:hAnsiTheme="majorBidi" w:cstheme="majorBidi"/>
          <w:color w:val="auto"/>
          <w:szCs w:val="24"/>
        </w:rPr>
        <w:t>, </w:t>
      </w:r>
      <w:r w:rsidRPr="00F3059C">
        <w:rPr>
          <w:rFonts w:asciiTheme="majorBidi" w:hAnsiTheme="majorBidi" w:cstheme="majorBidi"/>
          <w:i/>
          <w:iCs/>
          <w:color w:val="auto"/>
          <w:szCs w:val="24"/>
        </w:rPr>
        <w:t>11</w:t>
      </w:r>
      <w:r w:rsidRPr="00F3059C">
        <w:rPr>
          <w:rFonts w:asciiTheme="majorBidi" w:hAnsiTheme="majorBidi" w:cstheme="majorBidi"/>
          <w:color w:val="auto"/>
          <w:szCs w:val="24"/>
        </w:rPr>
        <w:t>(1), pp.67-78.</w:t>
      </w:r>
    </w:p>
    <w:p w14:paraId="5D772F2C" w14:textId="77777777" w:rsidR="00A9136A" w:rsidRPr="00F3059C" w:rsidRDefault="00F27D32" w:rsidP="00F3059C">
      <w:pPr>
        <w:rPr>
          <w:rFonts w:asciiTheme="majorBidi" w:hAnsiTheme="majorBidi" w:cstheme="majorBidi"/>
          <w:color w:val="auto"/>
          <w:szCs w:val="24"/>
        </w:rPr>
      </w:pPr>
      <w:r w:rsidRPr="00F3059C">
        <w:rPr>
          <w:rFonts w:asciiTheme="majorBidi" w:hAnsiTheme="majorBidi" w:cstheme="majorBidi"/>
          <w:color w:val="auto"/>
          <w:szCs w:val="24"/>
        </w:rPr>
        <w:t>Hayes, M. and Miller, A. (2012) Revenue Management for Hospitality Industry, London, Wiley.</w:t>
      </w:r>
    </w:p>
    <w:p w14:paraId="5D772F2D"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IHG. (2023) </w:t>
      </w:r>
      <w:r w:rsidRPr="00F3059C">
        <w:rPr>
          <w:rFonts w:asciiTheme="majorBidi" w:hAnsiTheme="majorBidi" w:cstheme="majorBidi"/>
          <w:i/>
          <w:iCs/>
          <w:color w:val="auto"/>
          <w:szCs w:val="24"/>
        </w:rPr>
        <w:t>About Us - Intercontinental Hotels Group plc</w:t>
      </w:r>
      <w:r w:rsidRPr="00F3059C">
        <w:rPr>
          <w:rFonts w:asciiTheme="majorBidi" w:hAnsiTheme="majorBidi" w:cstheme="majorBidi"/>
          <w:color w:val="auto"/>
          <w:szCs w:val="24"/>
        </w:rPr>
        <w:t xml:space="preserve">. Available at: https://www.ihgplc.com/en/about-us (Accessed: 15 May 2023). </w:t>
      </w:r>
    </w:p>
    <w:p w14:paraId="5D772F2E"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IHG. (2023) </w:t>
      </w:r>
      <w:r w:rsidRPr="00F3059C">
        <w:rPr>
          <w:rFonts w:asciiTheme="majorBidi" w:hAnsiTheme="majorBidi" w:cstheme="majorBidi"/>
          <w:i/>
          <w:iCs/>
          <w:color w:val="auto"/>
          <w:szCs w:val="24"/>
        </w:rPr>
        <w:t>Home</w:t>
      </w:r>
      <w:r w:rsidRPr="00F3059C">
        <w:rPr>
          <w:rFonts w:asciiTheme="majorBidi" w:hAnsiTheme="majorBidi" w:cstheme="majorBidi"/>
          <w:color w:val="auto"/>
          <w:szCs w:val="24"/>
        </w:rPr>
        <w:t xml:space="preserve">, </w:t>
      </w:r>
      <w:r w:rsidRPr="00F3059C">
        <w:rPr>
          <w:rFonts w:asciiTheme="majorBidi" w:hAnsiTheme="majorBidi" w:cstheme="majorBidi"/>
          <w:i/>
          <w:iCs/>
          <w:color w:val="auto"/>
          <w:szCs w:val="24"/>
        </w:rPr>
        <w:t>IHG</w:t>
      </w:r>
      <w:r w:rsidRPr="00F3059C">
        <w:rPr>
          <w:rFonts w:asciiTheme="majorBidi" w:hAnsiTheme="majorBidi" w:cstheme="majorBidi"/>
          <w:color w:val="auto"/>
          <w:szCs w:val="24"/>
        </w:rPr>
        <w:t xml:space="preserve">. Available at: https://www.ihg.com/content/us/en/about/corporate-responsibility (Accessed: 15 May 2023). </w:t>
      </w:r>
    </w:p>
    <w:p w14:paraId="5D772F2F"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InterContinental Hotels Group plc. (2023) </w:t>
      </w:r>
      <w:r w:rsidRPr="00F3059C">
        <w:rPr>
          <w:rFonts w:asciiTheme="majorBidi" w:hAnsiTheme="majorBidi" w:cstheme="majorBidi"/>
          <w:i/>
          <w:iCs/>
          <w:color w:val="auto"/>
          <w:szCs w:val="24"/>
        </w:rPr>
        <w:t>InterContinental Hotels Group plc</w:t>
      </w:r>
      <w:r w:rsidRPr="00F3059C">
        <w:rPr>
          <w:rFonts w:asciiTheme="majorBidi" w:hAnsiTheme="majorBidi" w:cstheme="majorBidi"/>
          <w:color w:val="auto"/>
          <w:szCs w:val="24"/>
        </w:rPr>
        <w:t xml:space="preserve">. Available at: https://www.ihgplc.com/en/-/media/ihg/annualreports/2022/annual-report-2022.pdf (Accessed: 15 May 2023). </w:t>
      </w:r>
    </w:p>
    <w:p w14:paraId="5D772F30" w14:textId="77777777" w:rsidR="00EC1B33" w:rsidRPr="00F3059C" w:rsidRDefault="00F27D32" w:rsidP="00F3059C">
      <w:pPr>
        <w:rPr>
          <w:rFonts w:asciiTheme="majorBidi" w:hAnsiTheme="majorBidi" w:cstheme="majorBidi"/>
          <w:color w:val="auto"/>
          <w:szCs w:val="24"/>
        </w:rPr>
      </w:pPr>
      <w:r w:rsidRPr="00F3059C">
        <w:rPr>
          <w:rFonts w:asciiTheme="majorBidi" w:hAnsiTheme="majorBidi" w:cstheme="majorBidi"/>
          <w:color w:val="auto"/>
          <w:szCs w:val="24"/>
        </w:rPr>
        <w:t>Kaleka, A. an</w:t>
      </w:r>
      <w:r w:rsidR="00F3059C" w:rsidRPr="00F3059C">
        <w:rPr>
          <w:rFonts w:asciiTheme="majorBidi" w:hAnsiTheme="majorBidi" w:cstheme="majorBidi"/>
          <w:color w:val="auto"/>
          <w:szCs w:val="24"/>
        </w:rPr>
        <w:t>d Morgan, N.A. (2019)</w:t>
      </w:r>
      <w:r w:rsidRPr="00F3059C">
        <w:rPr>
          <w:rFonts w:asciiTheme="majorBidi" w:hAnsiTheme="majorBidi" w:cstheme="majorBidi"/>
          <w:color w:val="auto"/>
          <w:szCs w:val="24"/>
        </w:rPr>
        <w:t xml:space="preserve"> How marketing capabilities and current performance drive strategic intentions in international markets. </w:t>
      </w:r>
      <w:r w:rsidRPr="00F3059C">
        <w:rPr>
          <w:rFonts w:asciiTheme="majorBidi" w:hAnsiTheme="majorBidi" w:cstheme="majorBidi"/>
          <w:i/>
          <w:iCs/>
          <w:color w:val="auto"/>
          <w:szCs w:val="24"/>
        </w:rPr>
        <w:t>Industrial Marketing Management</w:t>
      </w:r>
      <w:r w:rsidRPr="00F3059C">
        <w:rPr>
          <w:rFonts w:asciiTheme="majorBidi" w:hAnsiTheme="majorBidi" w:cstheme="majorBidi"/>
          <w:color w:val="auto"/>
          <w:szCs w:val="24"/>
        </w:rPr>
        <w:t>, </w:t>
      </w:r>
      <w:r w:rsidRPr="00F3059C">
        <w:rPr>
          <w:rFonts w:asciiTheme="majorBidi" w:hAnsiTheme="majorBidi" w:cstheme="majorBidi"/>
          <w:i/>
          <w:iCs/>
          <w:color w:val="auto"/>
          <w:szCs w:val="24"/>
        </w:rPr>
        <w:t>78</w:t>
      </w:r>
      <w:r w:rsidRPr="00F3059C">
        <w:rPr>
          <w:rFonts w:asciiTheme="majorBidi" w:hAnsiTheme="majorBidi" w:cstheme="majorBidi"/>
          <w:color w:val="auto"/>
          <w:szCs w:val="24"/>
        </w:rPr>
        <w:t>, pp.108-121.</w:t>
      </w:r>
    </w:p>
    <w:p w14:paraId="5D772F31"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lastRenderedPageBreak/>
        <w:t xml:space="preserve">Marriott International. (2023) </w:t>
      </w:r>
      <w:r w:rsidRPr="00F3059C">
        <w:rPr>
          <w:rFonts w:asciiTheme="majorBidi" w:hAnsiTheme="majorBidi" w:cstheme="majorBidi"/>
          <w:i/>
          <w:iCs/>
          <w:color w:val="auto"/>
          <w:szCs w:val="24"/>
        </w:rPr>
        <w:t>2022 annual report - marriott.gcs-web.com</w:t>
      </w:r>
      <w:r w:rsidRPr="00F3059C">
        <w:rPr>
          <w:rFonts w:asciiTheme="majorBidi" w:hAnsiTheme="majorBidi" w:cstheme="majorBidi"/>
          <w:color w:val="auto"/>
          <w:szCs w:val="24"/>
        </w:rPr>
        <w:t xml:space="preserve">, </w:t>
      </w:r>
      <w:r w:rsidRPr="00F3059C">
        <w:rPr>
          <w:rFonts w:asciiTheme="majorBidi" w:hAnsiTheme="majorBidi" w:cstheme="majorBidi"/>
          <w:i/>
          <w:iCs/>
          <w:color w:val="auto"/>
          <w:szCs w:val="24"/>
        </w:rPr>
        <w:t>Marriott International - Annual Report</w:t>
      </w:r>
      <w:r w:rsidRPr="00F3059C">
        <w:rPr>
          <w:rFonts w:asciiTheme="majorBidi" w:hAnsiTheme="majorBidi" w:cstheme="majorBidi"/>
          <w:color w:val="auto"/>
          <w:szCs w:val="24"/>
        </w:rPr>
        <w:t xml:space="preserve">. Available at: https://marriott.gcs-web.com/static-files/c0fb865c-15b1-4166-9846-49b548da1ce4 (Accessed: 15 May 2023). </w:t>
      </w:r>
    </w:p>
    <w:p w14:paraId="5D772F32"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Marriott International. (2023) </w:t>
      </w:r>
      <w:r w:rsidRPr="00F3059C">
        <w:rPr>
          <w:rFonts w:asciiTheme="majorBidi" w:hAnsiTheme="majorBidi" w:cstheme="majorBidi"/>
          <w:i/>
          <w:iCs/>
          <w:color w:val="auto"/>
          <w:szCs w:val="24"/>
        </w:rPr>
        <w:t>About Marriott International: Corporate Information</w:t>
      </w:r>
      <w:r w:rsidRPr="00F3059C">
        <w:rPr>
          <w:rFonts w:asciiTheme="majorBidi" w:hAnsiTheme="majorBidi" w:cstheme="majorBidi"/>
          <w:color w:val="auto"/>
          <w:szCs w:val="24"/>
        </w:rPr>
        <w:t xml:space="preserve">, </w:t>
      </w:r>
      <w:r w:rsidRPr="00F3059C">
        <w:rPr>
          <w:rFonts w:asciiTheme="majorBidi" w:hAnsiTheme="majorBidi" w:cstheme="majorBidi"/>
          <w:i/>
          <w:iCs/>
          <w:color w:val="auto"/>
          <w:szCs w:val="24"/>
        </w:rPr>
        <w:t>About Marriott International | Corporate Information</w:t>
      </w:r>
      <w:r w:rsidRPr="00F3059C">
        <w:rPr>
          <w:rFonts w:asciiTheme="majorBidi" w:hAnsiTheme="majorBidi" w:cstheme="majorBidi"/>
          <w:color w:val="auto"/>
          <w:szCs w:val="24"/>
        </w:rPr>
        <w:t xml:space="preserve">. Available at: https://www.marriott.com/marriott/aboutmarriott.mi (Accessed: 15 May 2023). </w:t>
      </w:r>
    </w:p>
    <w:p w14:paraId="5D772F33" w14:textId="77777777" w:rsidR="00F3059C" w:rsidRPr="00F3059C" w:rsidRDefault="00F3059C" w:rsidP="00F3059C">
      <w:pPr>
        <w:rPr>
          <w:rFonts w:asciiTheme="majorBidi" w:hAnsiTheme="majorBidi" w:cstheme="majorBidi"/>
          <w:color w:val="auto"/>
          <w:szCs w:val="24"/>
        </w:rPr>
      </w:pPr>
      <w:r w:rsidRPr="00F3059C">
        <w:rPr>
          <w:rFonts w:asciiTheme="majorBidi" w:hAnsiTheme="majorBidi" w:cstheme="majorBidi"/>
          <w:color w:val="auto"/>
          <w:szCs w:val="24"/>
        </w:rPr>
        <w:t xml:space="preserve">Marriott International. (2023) </w:t>
      </w:r>
      <w:r w:rsidRPr="00F3059C">
        <w:rPr>
          <w:rFonts w:asciiTheme="majorBidi" w:hAnsiTheme="majorBidi" w:cstheme="majorBidi"/>
          <w:i/>
          <w:iCs/>
          <w:color w:val="auto"/>
          <w:szCs w:val="24"/>
        </w:rPr>
        <w:t>Home - CSR</w:t>
      </w:r>
      <w:r w:rsidRPr="00F3059C">
        <w:rPr>
          <w:rFonts w:asciiTheme="majorBidi" w:hAnsiTheme="majorBidi" w:cstheme="majorBidi"/>
          <w:color w:val="auto"/>
          <w:szCs w:val="24"/>
        </w:rPr>
        <w:t xml:space="preserve">, </w:t>
      </w:r>
      <w:r w:rsidRPr="00F3059C">
        <w:rPr>
          <w:rFonts w:asciiTheme="majorBidi" w:hAnsiTheme="majorBidi" w:cstheme="majorBidi"/>
          <w:i/>
          <w:iCs/>
          <w:color w:val="auto"/>
          <w:szCs w:val="24"/>
        </w:rPr>
        <w:t>Marriott</w:t>
      </w:r>
      <w:r w:rsidRPr="00F3059C">
        <w:rPr>
          <w:rFonts w:asciiTheme="majorBidi" w:hAnsiTheme="majorBidi" w:cstheme="majorBidi"/>
          <w:color w:val="auto"/>
          <w:szCs w:val="24"/>
        </w:rPr>
        <w:t xml:space="preserve">. Available at: https://serve360.marriott.com/ (Accessed: 15 May 2023). </w:t>
      </w:r>
    </w:p>
    <w:p w14:paraId="5D772F34" w14:textId="77777777" w:rsidR="00F8512C" w:rsidRDefault="00F27D32" w:rsidP="00F3059C">
      <w:r w:rsidRPr="00F3059C">
        <w:rPr>
          <w:rFonts w:asciiTheme="majorBidi" w:hAnsiTheme="majorBidi" w:cstheme="majorBidi"/>
          <w:color w:val="auto"/>
          <w:szCs w:val="24"/>
        </w:rPr>
        <w:t xml:space="preserve">Mazur, N., </w:t>
      </w:r>
      <w:proofErr w:type="spellStart"/>
      <w:r w:rsidRPr="00F3059C">
        <w:rPr>
          <w:rFonts w:asciiTheme="majorBidi" w:hAnsiTheme="majorBidi" w:cstheme="majorBidi"/>
          <w:color w:val="auto"/>
          <w:szCs w:val="24"/>
        </w:rPr>
        <w:t>Khrystenko</w:t>
      </w:r>
      <w:proofErr w:type="spellEnd"/>
      <w:r w:rsidRPr="00F3059C">
        <w:rPr>
          <w:rFonts w:asciiTheme="majorBidi" w:hAnsiTheme="majorBidi" w:cstheme="majorBidi"/>
          <w:color w:val="auto"/>
          <w:szCs w:val="24"/>
        </w:rPr>
        <w:t xml:space="preserve">, L., </w:t>
      </w:r>
      <w:proofErr w:type="spellStart"/>
      <w:r w:rsidRPr="00F3059C">
        <w:rPr>
          <w:rFonts w:asciiTheme="majorBidi" w:hAnsiTheme="majorBidi" w:cstheme="majorBidi"/>
          <w:color w:val="auto"/>
          <w:szCs w:val="24"/>
        </w:rPr>
        <w:t>Pásztorová</w:t>
      </w:r>
      <w:proofErr w:type="spellEnd"/>
      <w:r w:rsidRPr="00F3059C">
        <w:rPr>
          <w:rFonts w:asciiTheme="majorBidi" w:hAnsiTheme="majorBidi" w:cstheme="majorBidi"/>
          <w:color w:val="auto"/>
          <w:szCs w:val="24"/>
        </w:rPr>
        <w:t>, J., Zos-</w:t>
      </w:r>
      <w:proofErr w:type="spellStart"/>
      <w:r w:rsidRPr="00F3059C">
        <w:rPr>
          <w:rFonts w:asciiTheme="majorBidi" w:hAnsiTheme="majorBidi" w:cstheme="majorBidi"/>
          <w:color w:val="auto"/>
          <w:szCs w:val="24"/>
        </w:rPr>
        <w:t>Kior</w:t>
      </w:r>
      <w:proofErr w:type="spellEnd"/>
      <w:r w:rsidRPr="00F3059C">
        <w:rPr>
          <w:rFonts w:asciiTheme="majorBidi" w:hAnsiTheme="majorBidi" w:cstheme="majorBidi"/>
          <w:color w:val="auto"/>
          <w:szCs w:val="24"/>
        </w:rPr>
        <w:t xml:space="preserve">, M., </w:t>
      </w:r>
      <w:proofErr w:type="spellStart"/>
      <w:r w:rsidRPr="00F3059C">
        <w:rPr>
          <w:rFonts w:asciiTheme="majorBidi" w:hAnsiTheme="majorBidi" w:cstheme="majorBidi"/>
          <w:color w:val="auto"/>
          <w:szCs w:val="24"/>
        </w:rPr>
        <w:t>Hnatenko</w:t>
      </w:r>
      <w:proofErr w:type="spellEnd"/>
      <w:r w:rsidRPr="00F3059C">
        <w:rPr>
          <w:rFonts w:asciiTheme="majorBidi" w:hAnsiTheme="majorBidi" w:cstheme="majorBidi"/>
          <w:color w:val="auto"/>
          <w:szCs w:val="24"/>
        </w:rPr>
        <w:t xml:space="preserve">, I., </w:t>
      </w:r>
      <w:proofErr w:type="spellStart"/>
      <w:r w:rsidRPr="00F3059C">
        <w:rPr>
          <w:rFonts w:asciiTheme="majorBidi" w:hAnsiTheme="majorBidi" w:cstheme="majorBidi"/>
          <w:color w:val="auto"/>
          <w:szCs w:val="24"/>
        </w:rPr>
        <w:t>Puzyrova</w:t>
      </w:r>
      <w:proofErr w:type="spellEnd"/>
      <w:r w:rsidRPr="00F3059C">
        <w:rPr>
          <w:rFonts w:asciiTheme="majorBidi" w:hAnsiTheme="majorBidi" w:cstheme="majorBidi"/>
          <w:color w:val="auto"/>
          <w:szCs w:val="24"/>
        </w:rPr>
        <w:t xml:space="preserve">, P. and </w:t>
      </w:r>
      <w:proofErr w:type="spellStart"/>
      <w:r w:rsidRPr="00F3059C">
        <w:rPr>
          <w:rFonts w:asciiTheme="majorBidi" w:hAnsiTheme="majorBidi" w:cstheme="majorBidi"/>
          <w:color w:val="auto"/>
          <w:szCs w:val="24"/>
        </w:rPr>
        <w:t>Rubezhanska</w:t>
      </w:r>
      <w:proofErr w:type="spellEnd"/>
      <w:r w:rsidRPr="00F3059C">
        <w:rPr>
          <w:rFonts w:asciiTheme="majorBidi" w:hAnsiTheme="majorBidi" w:cstheme="majorBidi"/>
          <w:color w:val="auto"/>
          <w:szCs w:val="24"/>
        </w:rPr>
        <w:t>, V</w:t>
      </w:r>
      <w:r w:rsidR="00F3059C" w:rsidRPr="00F3059C">
        <w:rPr>
          <w:rFonts w:asciiTheme="majorBidi" w:hAnsiTheme="majorBidi" w:cstheme="majorBidi"/>
          <w:color w:val="auto"/>
          <w:szCs w:val="24"/>
        </w:rPr>
        <w:t>. (2021)</w:t>
      </w:r>
      <w:r w:rsidRPr="00F3059C">
        <w:rPr>
          <w:rFonts w:asciiTheme="majorBidi" w:hAnsiTheme="majorBidi" w:cstheme="majorBidi"/>
          <w:color w:val="auto"/>
          <w:szCs w:val="24"/>
        </w:rPr>
        <w:t xml:space="preserve"> Improvement of controlling in the financial management of enterprises. </w:t>
      </w:r>
      <w:r w:rsidRPr="00F3059C">
        <w:rPr>
          <w:rFonts w:asciiTheme="majorBidi" w:hAnsiTheme="majorBidi" w:cstheme="majorBidi"/>
          <w:i/>
          <w:iCs/>
          <w:color w:val="auto"/>
          <w:szCs w:val="24"/>
        </w:rPr>
        <w:t>TEM Journal-Technology, Education, Management, Informatics</w:t>
      </w:r>
      <w:r w:rsidRPr="00F3059C">
        <w:rPr>
          <w:rFonts w:asciiTheme="majorBidi" w:hAnsiTheme="majorBidi" w:cstheme="majorBidi"/>
          <w:color w:val="auto"/>
          <w:szCs w:val="24"/>
        </w:rPr>
        <w:t>.</w:t>
      </w:r>
      <w:r w:rsidR="00F8512C">
        <w:br w:type="page"/>
      </w:r>
    </w:p>
    <w:p w14:paraId="5D772F35" w14:textId="77777777" w:rsidR="00F8512C" w:rsidRDefault="00F8512C" w:rsidP="00F8512C"/>
    <w:p w14:paraId="5D772F36" w14:textId="77777777" w:rsidR="00F8512C" w:rsidRPr="00F8512C" w:rsidRDefault="00F8512C" w:rsidP="00F8512C"/>
    <w:sectPr w:rsidR="00F8512C" w:rsidRPr="00F8512C" w:rsidSect="00843C6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731A8" w14:textId="77777777" w:rsidR="001B497C" w:rsidRDefault="001B497C" w:rsidP="00CE68C4">
      <w:pPr>
        <w:spacing w:after="0" w:line="240" w:lineRule="auto"/>
      </w:pPr>
      <w:r>
        <w:separator/>
      </w:r>
    </w:p>
  </w:endnote>
  <w:endnote w:type="continuationSeparator" w:id="0">
    <w:p w14:paraId="159092EE" w14:textId="77777777" w:rsidR="001B497C" w:rsidRDefault="001B497C" w:rsidP="00CE6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762027"/>
      <w:docPartObj>
        <w:docPartGallery w:val="Page Numbers (Bottom of Page)"/>
        <w:docPartUnique/>
      </w:docPartObj>
    </w:sdtPr>
    <w:sdtEndPr>
      <w:rPr>
        <w:noProof/>
      </w:rPr>
    </w:sdtEndPr>
    <w:sdtContent>
      <w:p w14:paraId="5D772F3C" w14:textId="77777777" w:rsidR="00994C57" w:rsidRDefault="00B9003A">
        <w:pPr>
          <w:pStyle w:val="Footer"/>
          <w:jc w:val="right"/>
        </w:pPr>
        <w:r>
          <w:fldChar w:fldCharType="begin"/>
        </w:r>
        <w:r>
          <w:instrText xml:space="preserve"> PAGE   \* MERGEFORMAT </w:instrText>
        </w:r>
        <w:r>
          <w:fldChar w:fldCharType="separate"/>
        </w:r>
        <w:r w:rsidR="00F27D32">
          <w:rPr>
            <w:noProof/>
          </w:rPr>
          <w:t>1</w:t>
        </w:r>
        <w:r>
          <w:rPr>
            <w:noProof/>
          </w:rPr>
          <w:fldChar w:fldCharType="end"/>
        </w:r>
      </w:p>
    </w:sdtContent>
  </w:sdt>
  <w:p w14:paraId="5D772F3D" w14:textId="77777777" w:rsidR="00994C57" w:rsidRDefault="00994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89A03" w14:textId="77777777" w:rsidR="001B497C" w:rsidRDefault="001B497C" w:rsidP="00CE68C4">
      <w:pPr>
        <w:spacing w:after="0" w:line="240" w:lineRule="auto"/>
      </w:pPr>
      <w:r>
        <w:separator/>
      </w:r>
    </w:p>
  </w:footnote>
  <w:footnote w:type="continuationSeparator" w:id="0">
    <w:p w14:paraId="53AA3C3D" w14:textId="77777777" w:rsidR="001B497C" w:rsidRDefault="001B497C" w:rsidP="00CE6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72F3B" w14:textId="77777777" w:rsidR="00994C57" w:rsidRPr="0027009A" w:rsidRDefault="00994C57">
    <w:pPr>
      <w:pStyle w:val="Header"/>
      <w:rPr>
        <w:b/>
        <w:bCs/>
      </w:rPr>
    </w:pPr>
    <w:r w:rsidRPr="0027009A">
      <w:rPr>
        <w:b/>
        <w:bCs/>
      </w:rPr>
      <w:ptab w:relativeTo="margin" w:alignment="center" w:leader="none"/>
    </w:r>
    <w:r w:rsidRPr="0027009A">
      <w:rPr>
        <w:b/>
        <w:bCs/>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372AB"/>
    <w:multiLevelType w:val="hybridMultilevel"/>
    <w:tmpl w:val="C262D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1E33CFD"/>
    <w:multiLevelType w:val="hybridMultilevel"/>
    <w:tmpl w:val="0E72A2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543023A"/>
    <w:multiLevelType w:val="hybridMultilevel"/>
    <w:tmpl w:val="28022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706B66"/>
    <w:multiLevelType w:val="hybridMultilevel"/>
    <w:tmpl w:val="030E8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E52E6A"/>
    <w:multiLevelType w:val="hybridMultilevel"/>
    <w:tmpl w:val="9214A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E21876"/>
    <w:multiLevelType w:val="hybridMultilevel"/>
    <w:tmpl w:val="281C2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436111">
    <w:abstractNumId w:val="3"/>
  </w:num>
  <w:num w:numId="2" w16cid:durableId="931090743">
    <w:abstractNumId w:val="2"/>
  </w:num>
  <w:num w:numId="3" w16cid:durableId="473106721">
    <w:abstractNumId w:val="1"/>
  </w:num>
  <w:num w:numId="4" w16cid:durableId="1762725770">
    <w:abstractNumId w:val="0"/>
  </w:num>
  <w:num w:numId="5" w16cid:durableId="1001662417">
    <w:abstractNumId w:val="5"/>
  </w:num>
  <w:num w:numId="6" w16cid:durableId="12959897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E68C4"/>
    <w:rsid w:val="00002D48"/>
    <w:rsid w:val="00011D50"/>
    <w:rsid w:val="00012467"/>
    <w:rsid w:val="00020BA5"/>
    <w:rsid w:val="00036491"/>
    <w:rsid w:val="0003711B"/>
    <w:rsid w:val="00041F3B"/>
    <w:rsid w:val="00042695"/>
    <w:rsid w:val="00091D84"/>
    <w:rsid w:val="000A545D"/>
    <w:rsid w:val="000C130C"/>
    <w:rsid w:val="000C6836"/>
    <w:rsid w:val="000D38AB"/>
    <w:rsid w:val="000E5EC4"/>
    <w:rsid w:val="000F597E"/>
    <w:rsid w:val="00103FE0"/>
    <w:rsid w:val="00111B31"/>
    <w:rsid w:val="00140197"/>
    <w:rsid w:val="00163C8D"/>
    <w:rsid w:val="00164A62"/>
    <w:rsid w:val="00180AB0"/>
    <w:rsid w:val="00182AD5"/>
    <w:rsid w:val="001A3AD3"/>
    <w:rsid w:val="001A5FAE"/>
    <w:rsid w:val="001B2B65"/>
    <w:rsid w:val="001B497C"/>
    <w:rsid w:val="001C7EC6"/>
    <w:rsid w:val="001E23F3"/>
    <w:rsid w:val="001E2953"/>
    <w:rsid w:val="001E30F6"/>
    <w:rsid w:val="001F413F"/>
    <w:rsid w:val="00205420"/>
    <w:rsid w:val="002322B6"/>
    <w:rsid w:val="00243DEF"/>
    <w:rsid w:val="0027009A"/>
    <w:rsid w:val="00281892"/>
    <w:rsid w:val="002A418B"/>
    <w:rsid w:val="002B1BF7"/>
    <w:rsid w:val="002B6882"/>
    <w:rsid w:val="002C04C0"/>
    <w:rsid w:val="002C1149"/>
    <w:rsid w:val="002C6F0F"/>
    <w:rsid w:val="002E2C63"/>
    <w:rsid w:val="002F0DC8"/>
    <w:rsid w:val="00354DAC"/>
    <w:rsid w:val="00376D5D"/>
    <w:rsid w:val="003A4933"/>
    <w:rsid w:val="003A7300"/>
    <w:rsid w:val="003B74D3"/>
    <w:rsid w:val="00403594"/>
    <w:rsid w:val="00424145"/>
    <w:rsid w:val="00430A84"/>
    <w:rsid w:val="00457D15"/>
    <w:rsid w:val="00473D26"/>
    <w:rsid w:val="00481F67"/>
    <w:rsid w:val="004A10C6"/>
    <w:rsid w:val="004A4197"/>
    <w:rsid w:val="004B1F98"/>
    <w:rsid w:val="004B43A3"/>
    <w:rsid w:val="004E229D"/>
    <w:rsid w:val="004F30D6"/>
    <w:rsid w:val="00501B19"/>
    <w:rsid w:val="00504F6B"/>
    <w:rsid w:val="00505CD1"/>
    <w:rsid w:val="00511ABF"/>
    <w:rsid w:val="00513E5E"/>
    <w:rsid w:val="005176E3"/>
    <w:rsid w:val="005250A4"/>
    <w:rsid w:val="0053454F"/>
    <w:rsid w:val="0053661B"/>
    <w:rsid w:val="0054057B"/>
    <w:rsid w:val="00546437"/>
    <w:rsid w:val="005812C3"/>
    <w:rsid w:val="00592594"/>
    <w:rsid w:val="005E6B12"/>
    <w:rsid w:val="00602EC3"/>
    <w:rsid w:val="0060751C"/>
    <w:rsid w:val="00621FBB"/>
    <w:rsid w:val="0063747B"/>
    <w:rsid w:val="006506B4"/>
    <w:rsid w:val="00651B35"/>
    <w:rsid w:val="00665651"/>
    <w:rsid w:val="00672BB9"/>
    <w:rsid w:val="00694B69"/>
    <w:rsid w:val="006E3704"/>
    <w:rsid w:val="0072232C"/>
    <w:rsid w:val="00726CE4"/>
    <w:rsid w:val="00742638"/>
    <w:rsid w:val="00772A56"/>
    <w:rsid w:val="00782D17"/>
    <w:rsid w:val="007C3076"/>
    <w:rsid w:val="007E360E"/>
    <w:rsid w:val="007E5369"/>
    <w:rsid w:val="008066DF"/>
    <w:rsid w:val="00806F05"/>
    <w:rsid w:val="00807E58"/>
    <w:rsid w:val="00810789"/>
    <w:rsid w:val="00843C69"/>
    <w:rsid w:val="008461AB"/>
    <w:rsid w:val="00851A4C"/>
    <w:rsid w:val="00855963"/>
    <w:rsid w:val="00882435"/>
    <w:rsid w:val="00884CC7"/>
    <w:rsid w:val="008B0652"/>
    <w:rsid w:val="008B292F"/>
    <w:rsid w:val="008B677A"/>
    <w:rsid w:val="008C2411"/>
    <w:rsid w:val="008D17A2"/>
    <w:rsid w:val="008D6E4A"/>
    <w:rsid w:val="008E27FA"/>
    <w:rsid w:val="0092139C"/>
    <w:rsid w:val="009442EE"/>
    <w:rsid w:val="0094520D"/>
    <w:rsid w:val="00954790"/>
    <w:rsid w:val="00974E38"/>
    <w:rsid w:val="00991448"/>
    <w:rsid w:val="00994C57"/>
    <w:rsid w:val="00995372"/>
    <w:rsid w:val="00995B12"/>
    <w:rsid w:val="009A0920"/>
    <w:rsid w:val="009B0E20"/>
    <w:rsid w:val="009C110B"/>
    <w:rsid w:val="009C7174"/>
    <w:rsid w:val="009D6A3A"/>
    <w:rsid w:val="009E580A"/>
    <w:rsid w:val="009F7465"/>
    <w:rsid w:val="00A1169D"/>
    <w:rsid w:val="00A552BC"/>
    <w:rsid w:val="00A91FF7"/>
    <w:rsid w:val="00A94D56"/>
    <w:rsid w:val="00A95C80"/>
    <w:rsid w:val="00AC64CB"/>
    <w:rsid w:val="00AE0742"/>
    <w:rsid w:val="00AE0B91"/>
    <w:rsid w:val="00AE107E"/>
    <w:rsid w:val="00B000B9"/>
    <w:rsid w:val="00B041FF"/>
    <w:rsid w:val="00B52FD4"/>
    <w:rsid w:val="00B5600F"/>
    <w:rsid w:val="00B80ED4"/>
    <w:rsid w:val="00B83CFD"/>
    <w:rsid w:val="00B86B3B"/>
    <w:rsid w:val="00B9003A"/>
    <w:rsid w:val="00BA22DD"/>
    <w:rsid w:val="00BA7255"/>
    <w:rsid w:val="00BD4640"/>
    <w:rsid w:val="00C14721"/>
    <w:rsid w:val="00C209D2"/>
    <w:rsid w:val="00C3055E"/>
    <w:rsid w:val="00C45FD6"/>
    <w:rsid w:val="00C52234"/>
    <w:rsid w:val="00C54395"/>
    <w:rsid w:val="00C61FC9"/>
    <w:rsid w:val="00C81BA8"/>
    <w:rsid w:val="00C93117"/>
    <w:rsid w:val="00CA2FAB"/>
    <w:rsid w:val="00CA3E14"/>
    <w:rsid w:val="00CB57E1"/>
    <w:rsid w:val="00CB5A50"/>
    <w:rsid w:val="00CD36BB"/>
    <w:rsid w:val="00CD4174"/>
    <w:rsid w:val="00CE368E"/>
    <w:rsid w:val="00CE5D5D"/>
    <w:rsid w:val="00CE68C4"/>
    <w:rsid w:val="00CF6B81"/>
    <w:rsid w:val="00D07CCA"/>
    <w:rsid w:val="00D16DDF"/>
    <w:rsid w:val="00D718AD"/>
    <w:rsid w:val="00DA757B"/>
    <w:rsid w:val="00DB3E52"/>
    <w:rsid w:val="00DC3D46"/>
    <w:rsid w:val="00DE02CC"/>
    <w:rsid w:val="00DE0BF8"/>
    <w:rsid w:val="00DE56E9"/>
    <w:rsid w:val="00DF3DA7"/>
    <w:rsid w:val="00DF71A4"/>
    <w:rsid w:val="00E01ACF"/>
    <w:rsid w:val="00E11CA3"/>
    <w:rsid w:val="00E13A03"/>
    <w:rsid w:val="00E276FD"/>
    <w:rsid w:val="00E34372"/>
    <w:rsid w:val="00E87D7D"/>
    <w:rsid w:val="00E920B4"/>
    <w:rsid w:val="00EA3E73"/>
    <w:rsid w:val="00ED58A3"/>
    <w:rsid w:val="00F0509E"/>
    <w:rsid w:val="00F05CB7"/>
    <w:rsid w:val="00F202D1"/>
    <w:rsid w:val="00F27126"/>
    <w:rsid w:val="00F27D32"/>
    <w:rsid w:val="00F3059C"/>
    <w:rsid w:val="00F35E7C"/>
    <w:rsid w:val="00F36C5D"/>
    <w:rsid w:val="00F75C28"/>
    <w:rsid w:val="00F82AF5"/>
    <w:rsid w:val="00F8512C"/>
    <w:rsid w:val="00F93DA2"/>
    <w:rsid w:val="00F96496"/>
    <w:rsid w:val="00FA14BC"/>
    <w:rsid w:val="00FB7C8C"/>
    <w:rsid w:val="00FE37E6"/>
    <w:rsid w:val="00FE603E"/>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772E13"/>
  <w15:docId w15:val="{326C78E2-47E2-41C8-8113-BF51A40E0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2BC"/>
    <w:pPr>
      <w:spacing w:line="360" w:lineRule="auto"/>
      <w:jc w:val="both"/>
    </w:pPr>
    <w:rPr>
      <w:rFonts w:ascii="Times New Roman" w:hAnsi="Times New Roman" w:cs="Vrinda"/>
      <w:color w:val="000000" w:themeColor="text1"/>
      <w:sz w:val="24"/>
      <w:lang w:val="en-GB"/>
    </w:rPr>
  </w:style>
  <w:style w:type="paragraph" w:styleId="Heading1">
    <w:name w:val="heading 1"/>
    <w:basedOn w:val="Normal"/>
    <w:next w:val="Normal"/>
    <w:link w:val="Heading1Char"/>
    <w:uiPriority w:val="9"/>
    <w:qFormat/>
    <w:rsid w:val="00CE68C4"/>
    <w:pPr>
      <w:keepNext/>
      <w:keepLines/>
      <w:spacing w:before="480" w:after="0"/>
      <w:outlineLvl w:val="0"/>
    </w:pPr>
    <w:rPr>
      <w:rFonts w:eastAsiaTheme="majorEastAsia" w:cstheme="majorBidi"/>
      <w:b/>
      <w:bCs/>
      <w:szCs w:val="35"/>
    </w:rPr>
  </w:style>
  <w:style w:type="paragraph" w:styleId="Heading2">
    <w:name w:val="heading 2"/>
    <w:basedOn w:val="Normal"/>
    <w:next w:val="Normal"/>
    <w:link w:val="Heading2Char"/>
    <w:uiPriority w:val="9"/>
    <w:unhideWhenUsed/>
    <w:qFormat/>
    <w:rsid w:val="002322B6"/>
    <w:pPr>
      <w:keepNext/>
      <w:keepLines/>
      <w:spacing w:before="200" w:after="0"/>
      <w:outlineLvl w:val="1"/>
    </w:pPr>
    <w:rPr>
      <w:rFonts w:asciiTheme="majorBidi" w:eastAsiaTheme="majorEastAsia" w:hAnsiTheme="majorBidi" w:cstheme="majorBidi"/>
      <w:b/>
      <w:bCs/>
      <w:color w:val="auto"/>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8C4"/>
    <w:rPr>
      <w:rFonts w:ascii="Times New Roman" w:hAnsi="Times New Roman" w:cs="Vrinda"/>
      <w:color w:val="000000" w:themeColor="text1"/>
      <w:sz w:val="24"/>
      <w:lang w:val="en-GB"/>
    </w:rPr>
  </w:style>
  <w:style w:type="paragraph" w:styleId="Footer">
    <w:name w:val="footer"/>
    <w:basedOn w:val="Normal"/>
    <w:link w:val="FooterChar"/>
    <w:uiPriority w:val="99"/>
    <w:unhideWhenUsed/>
    <w:rsid w:val="00CE6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8C4"/>
    <w:rPr>
      <w:rFonts w:ascii="Times New Roman" w:hAnsi="Times New Roman" w:cs="Vrinda"/>
      <w:color w:val="000000" w:themeColor="text1"/>
      <w:sz w:val="24"/>
      <w:lang w:val="en-GB"/>
    </w:rPr>
  </w:style>
  <w:style w:type="paragraph" w:styleId="BalloonText">
    <w:name w:val="Balloon Text"/>
    <w:basedOn w:val="Normal"/>
    <w:link w:val="BalloonTextChar"/>
    <w:uiPriority w:val="99"/>
    <w:semiHidden/>
    <w:unhideWhenUsed/>
    <w:rsid w:val="00CE68C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E68C4"/>
    <w:rPr>
      <w:rFonts w:ascii="Tahoma" w:hAnsi="Tahoma" w:cs="Tahoma"/>
      <w:color w:val="000000" w:themeColor="text1"/>
      <w:sz w:val="16"/>
      <w:szCs w:val="20"/>
      <w:lang w:val="en-GB"/>
    </w:rPr>
  </w:style>
  <w:style w:type="paragraph" w:styleId="Title">
    <w:name w:val="Title"/>
    <w:basedOn w:val="Normal"/>
    <w:next w:val="Normal"/>
    <w:link w:val="TitleChar"/>
    <w:uiPriority w:val="10"/>
    <w:qFormat/>
    <w:rsid w:val="00CE68C4"/>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36"/>
      <w:szCs w:val="66"/>
    </w:rPr>
  </w:style>
  <w:style w:type="character" w:customStyle="1" w:styleId="TitleChar">
    <w:name w:val="Title Char"/>
    <w:basedOn w:val="DefaultParagraphFont"/>
    <w:link w:val="Title"/>
    <w:uiPriority w:val="10"/>
    <w:rsid w:val="00CE68C4"/>
    <w:rPr>
      <w:rFonts w:ascii="Times New Roman" w:eastAsiaTheme="majorEastAsia" w:hAnsi="Times New Roman" w:cstheme="majorBidi"/>
      <w:color w:val="17365D" w:themeColor="text2" w:themeShade="BF"/>
      <w:spacing w:val="5"/>
      <w:kern w:val="28"/>
      <w:sz w:val="36"/>
      <w:szCs w:val="66"/>
      <w:lang w:val="en-GB"/>
    </w:rPr>
  </w:style>
  <w:style w:type="character" w:customStyle="1" w:styleId="Heading1Char">
    <w:name w:val="Heading 1 Char"/>
    <w:basedOn w:val="DefaultParagraphFont"/>
    <w:link w:val="Heading1"/>
    <w:uiPriority w:val="9"/>
    <w:rsid w:val="00CE68C4"/>
    <w:rPr>
      <w:rFonts w:ascii="Times New Roman" w:eastAsiaTheme="majorEastAsia" w:hAnsi="Times New Roman" w:cstheme="majorBidi"/>
      <w:b/>
      <w:bCs/>
      <w:color w:val="000000" w:themeColor="text1"/>
      <w:sz w:val="24"/>
      <w:szCs w:val="35"/>
      <w:lang w:val="en-GB"/>
    </w:rPr>
  </w:style>
  <w:style w:type="paragraph" w:customStyle="1" w:styleId="TableParagraph">
    <w:name w:val="Table Paragraph"/>
    <w:basedOn w:val="Normal"/>
    <w:uiPriority w:val="1"/>
    <w:qFormat/>
    <w:rsid w:val="00CE68C4"/>
    <w:pPr>
      <w:widowControl w:val="0"/>
      <w:autoSpaceDE w:val="0"/>
      <w:autoSpaceDN w:val="0"/>
      <w:adjustRightInd w:val="0"/>
      <w:spacing w:after="0" w:line="240" w:lineRule="auto"/>
      <w:jc w:val="left"/>
    </w:pPr>
    <w:rPr>
      <w:rFonts w:eastAsia="Times New Roman" w:cs="Times New Roman"/>
      <w:color w:val="auto"/>
      <w:szCs w:val="24"/>
      <w:lang w:eastAsia="en-GB" w:bidi="ar-SA"/>
    </w:rPr>
  </w:style>
  <w:style w:type="paragraph" w:styleId="NoSpacing">
    <w:name w:val="No Spacing"/>
    <w:uiPriority w:val="1"/>
    <w:qFormat/>
    <w:rsid w:val="00CE68C4"/>
    <w:pPr>
      <w:spacing w:after="0" w:line="240" w:lineRule="auto"/>
    </w:pPr>
    <w:rPr>
      <w:rFonts w:ascii="Calibri" w:eastAsia="Calibri" w:hAnsi="Calibri" w:cs="Times New Roman"/>
      <w:szCs w:val="22"/>
      <w:lang w:val="en-GB" w:bidi="ar-SA"/>
    </w:rPr>
  </w:style>
  <w:style w:type="paragraph" w:customStyle="1" w:styleId="Notes-NoBold">
    <w:name w:val="Notes - No Bold"/>
    <w:basedOn w:val="Normal"/>
    <w:qFormat/>
    <w:rsid w:val="00CE68C4"/>
    <w:pPr>
      <w:spacing w:after="120" w:line="240" w:lineRule="auto"/>
      <w:contextualSpacing/>
      <w:jc w:val="left"/>
    </w:pPr>
    <w:rPr>
      <w:rFonts w:ascii="Open Sans" w:hAnsi="Open Sans" w:cstheme="minorBidi"/>
      <w:color w:val="auto"/>
      <w:sz w:val="18"/>
      <w:szCs w:val="24"/>
      <w:lang w:bidi="ar-SA"/>
    </w:rPr>
  </w:style>
  <w:style w:type="paragraph" w:styleId="ListParagraph">
    <w:name w:val="List Paragraph"/>
    <w:basedOn w:val="Normal"/>
    <w:uiPriority w:val="34"/>
    <w:qFormat/>
    <w:rsid w:val="00DC3D46"/>
    <w:pPr>
      <w:ind w:left="720"/>
      <w:contextualSpacing/>
    </w:pPr>
  </w:style>
  <w:style w:type="character" w:styleId="Hyperlink">
    <w:name w:val="Hyperlink"/>
    <w:basedOn w:val="DefaultParagraphFont"/>
    <w:uiPriority w:val="99"/>
    <w:unhideWhenUsed/>
    <w:rsid w:val="00991448"/>
    <w:rPr>
      <w:color w:val="0000FF" w:themeColor="hyperlink"/>
      <w:u w:val="single"/>
    </w:rPr>
  </w:style>
  <w:style w:type="character" w:styleId="CommentReference">
    <w:name w:val="annotation reference"/>
    <w:basedOn w:val="DefaultParagraphFont"/>
    <w:uiPriority w:val="99"/>
    <w:semiHidden/>
    <w:unhideWhenUsed/>
    <w:rsid w:val="00C52234"/>
    <w:rPr>
      <w:sz w:val="16"/>
      <w:szCs w:val="16"/>
    </w:rPr>
  </w:style>
  <w:style w:type="paragraph" w:styleId="CommentText">
    <w:name w:val="annotation text"/>
    <w:basedOn w:val="Normal"/>
    <w:link w:val="CommentTextChar"/>
    <w:uiPriority w:val="99"/>
    <w:semiHidden/>
    <w:unhideWhenUsed/>
    <w:rsid w:val="00C52234"/>
    <w:pPr>
      <w:spacing w:line="240" w:lineRule="auto"/>
    </w:pPr>
    <w:rPr>
      <w:sz w:val="20"/>
      <w:szCs w:val="25"/>
    </w:rPr>
  </w:style>
  <w:style w:type="character" w:customStyle="1" w:styleId="CommentTextChar">
    <w:name w:val="Comment Text Char"/>
    <w:basedOn w:val="DefaultParagraphFont"/>
    <w:link w:val="CommentText"/>
    <w:uiPriority w:val="99"/>
    <w:semiHidden/>
    <w:rsid w:val="00C52234"/>
    <w:rPr>
      <w:rFonts w:ascii="Times New Roman" w:hAnsi="Times New Roman" w:cs="Vrinda"/>
      <w:color w:val="000000" w:themeColor="text1"/>
      <w:sz w:val="20"/>
      <w:szCs w:val="25"/>
      <w:lang w:val="en-GB"/>
    </w:rPr>
  </w:style>
  <w:style w:type="paragraph" w:styleId="CommentSubject">
    <w:name w:val="annotation subject"/>
    <w:basedOn w:val="CommentText"/>
    <w:next w:val="CommentText"/>
    <w:link w:val="CommentSubjectChar"/>
    <w:uiPriority w:val="99"/>
    <w:semiHidden/>
    <w:unhideWhenUsed/>
    <w:rsid w:val="00C52234"/>
    <w:rPr>
      <w:b/>
      <w:bCs/>
    </w:rPr>
  </w:style>
  <w:style w:type="character" w:customStyle="1" w:styleId="CommentSubjectChar">
    <w:name w:val="Comment Subject Char"/>
    <w:basedOn w:val="CommentTextChar"/>
    <w:link w:val="CommentSubject"/>
    <w:uiPriority w:val="99"/>
    <w:semiHidden/>
    <w:rsid w:val="00C52234"/>
    <w:rPr>
      <w:rFonts w:ascii="Times New Roman" w:hAnsi="Times New Roman" w:cs="Vrinda"/>
      <w:b/>
      <w:bCs/>
      <w:color w:val="000000" w:themeColor="text1"/>
      <w:sz w:val="20"/>
      <w:szCs w:val="25"/>
      <w:lang w:val="en-GB"/>
    </w:rPr>
  </w:style>
  <w:style w:type="table" w:styleId="TableGrid">
    <w:name w:val="Table Grid"/>
    <w:aliases w:val="Guidance Table"/>
    <w:basedOn w:val="TableNormal"/>
    <w:uiPriority w:val="39"/>
    <w:rsid w:val="00C522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322B6"/>
    <w:rPr>
      <w:rFonts w:asciiTheme="majorBidi" w:eastAsiaTheme="majorEastAsia" w:hAnsiTheme="majorBidi" w:cstheme="majorBidi"/>
      <w:b/>
      <w:bCs/>
      <w:sz w:val="24"/>
      <w:szCs w:val="33"/>
      <w:lang w:val="en-GB"/>
    </w:rPr>
  </w:style>
  <w:style w:type="paragraph" w:styleId="TableofFigures">
    <w:name w:val="table of figures"/>
    <w:basedOn w:val="Normal"/>
    <w:next w:val="Normal"/>
    <w:uiPriority w:val="99"/>
    <w:unhideWhenUsed/>
    <w:rsid w:val="00A1169D"/>
    <w:pPr>
      <w:spacing w:after="0"/>
    </w:pPr>
  </w:style>
  <w:style w:type="paragraph" w:styleId="Caption">
    <w:name w:val="caption"/>
    <w:basedOn w:val="Normal"/>
    <w:next w:val="Normal"/>
    <w:uiPriority w:val="35"/>
    <w:unhideWhenUsed/>
    <w:qFormat/>
    <w:rsid w:val="00F3059C"/>
    <w:pPr>
      <w:spacing w:line="240" w:lineRule="auto"/>
    </w:pPr>
    <w:rPr>
      <w:b/>
      <w:bCs/>
      <w:color w:val="4F81BD" w:themeColor="accent1"/>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03967">
      <w:bodyDiv w:val="1"/>
      <w:marLeft w:val="0"/>
      <w:marRight w:val="0"/>
      <w:marTop w:val="0"/>
      <w:marBottom w:val="0"/>
      <w:divBdr>
        <w:top w:val="none" w:sz="0" w:space="0" w:color="auto"/>
        <w:left w:val="none" w:sz="0" w:space="0" w:color="auto"/>
        <w:bottom w:val="none" w:sz="0" w:space="0" w:color="auto"/>
        <w:right w:val="none" w:sz="0" w:space="0" w:color="auto"/>
      </w:divBdr>
    </w:div>
    <w:div w:id="232859177">
      <w:bodyDiv w:val="1"/>
      <w:marLeft w:val="0"/>
      <w:marRight w:val="0"/>
      <w:marTop w:val="0"/>
      <w:marBottom w:val="0"/>
      <w:divBdr>
        <w:top w:val="none" w:sz="0" w:space="0" w:color="auto"/>
        <w:left w:val="none" w:sz="0" w:space="0" w:color="auto"/>
        <w:bottom w:val="none" w:sz="0" w:space="0" w:color="auto"/>
        <w:right w:val="none" w:sz="0" w:space="0" w:color="auto"/>
      </w:divBdr>
    </w:div>
    <w:div w:id="546140329">
      <w:bodyDiv w:val="1"/>
      <w:marLeft w:val="0"/>
      <w:marRight w:val="0"/>
      <w:marTop w:val="0"/>
      <w:marBottom w:val="0"/>
      <w:divBdr>
        <w:top w:val="none" w:sz="0" w:space="0" w:color="auto"/>
        <w:left w:val="none" w:sz="0" w:space="0" w:color="auto"/>
        <w:bottom w:val="none" w:sz="0" w:space="0" w:color="auto"/>
        <w:right w:val="none" w:sz="0" w:space="0" w:color="auto"/>
      </w:divBdr>
    </w:div>
    <w:div w:id="615453847">
      <w:bodyDiv w:val="1"/>
      <w:marLeft w:val="0"/>
      <w:marRight w:val="0"/>
      <w:marTop w:val="0"/>
      <w:marBottom w:val="0"/>
      <w:divBdr>
        <w:top w:val="none" w:sz="0" w:space="0" w:color="auto"/>
        <w:left w:val="none" w:sz="0" w:space="0" w:color="auto"/>
        <w:bottom w:val="none" w:sz="0" w:space="0" w:color="auto"/>
        <w:right w:val="none" w:sz="0" w:space="0" w:color="auto"/>
      </w:divBdr>
    </w:div>
    <w:div w:id="656880208">
      <w:bodyDiv w:val="1"/>
      <w:marLeft w:val="0"/>
      <w:marRight w:val="0"/>
      <w:marTop w:val="0"/>
      <w:marBottom w:val="0"/>
      <w:divBdr>
        <w:top w:val="none" w:sz="0" w:space="0" w:color="auto"/>
        <w:left w:val="none" w:sz="0" w:space="0" w:color="auto"/>
        <w:bottom w:val="none" w:sz="0" w:space="0" w:color="auto"/>
        <w:right w:val="none" w:sz="0" w:space="0" w:color="auto"/>
      </w:divBdr>
    </w:div>
    <w:div w:id="1013218047">
      <w:bodyDiv w:val="1"/>
      <w:marLeft w:val="0"/>
      <w:marRight w:val="0"/>
      <w:marTop w:val="0"/>
      <w:marBottom w:val="0"/>
      <w:divBdr>
        <w:top w:val="none" w:sz="0" w:space="0" w:color="auto"/>
        <w:left w:val="none" w:sz="0" w:space="0" w:color="auto"/>
        <w:bottom w:val="none" w:sz="0" w:space="0" w:color="auto"/>
        <w:right w:val="none" w:sz="0" w:space="0" w:color="auto"/>
      </w:divBdr>
    </w:div>
    <w:div w:id="1241217269">
      <w:bodyDiv w:val="1"/>
      <w:marLeft w:val="0"/>
      <w:marRight w:val="0"/>
      <w:marTop w:val="0"/>
      <w:marBottom w:val="0"/>
      <w:divBdr>
        <w:top w:val="none" w:sz="0" w:space="0" w:color="auto"/>
        <w:left w:val="none" w:sz="0" w:space="0" w:color="auto"/>
        <w:bottom w:val="none" w:sz="0" w:space="0" w:color="auto"/>
        <w:right w:val="none" w:sz="0" w:space="0" w:color="auto"/>
      </w:divBdr>
    </w:div>
    <w:div w:id="1244603489">
      <w:bodyDiv w:val="1"/>
      <w:marLeft w:val="0"/>
      <w:marRight w:val="0"/>
      <w:marTop w:val="0"/>
      <w:marBottom w:val="0"/>
      <w:divBdr>
        <w:top w:val="none" w:sz="0" w:space="0" w:color="auto"/>
        <w:left w:val="none" w:sz="0" w:space="0" w:color="auto"/>
        <w:bottom w:val="none" w:sz="0" w:space="0" w:color="auto"/>
        <w:right w:val="none" w:sz="0" w:space="0" w:color="auto"/>
      </w:divBdr>
    </w:div>
    <w:div w:id="1292327602">
      <w:bodyDiv w:val="1"/>
      <w:marLeft w:val="0"/>
      <w:marRight w:val="0"/>
      <w:marTop w:val="0"/>
      <w:marBottom w:val="0"/>
      <w:divBdr>
        <w:top w:val="none" w:sz="0" w:space="0" w:color="auto"/>
        <w:left w:val="none" w:sz="0" w:space="0" w:color="auto"/>
        <w:bottom w:val="none" w:sz="0" w:space="0" w:color="auto"/>
        <w:right w:val="none" w:sz="0" w:space="0" w:color="auto"/>
      </w:divBdr>
    </w:div>
    <w:div w:id="1326586635">
      <w:bodyDiv w:val="1"/>
      <w:marLeft w:val="0"/>
      <w:marRight w:val="0"/>
      <w:marTop w:val="0"/>
      <w:marBottom w:val="0"/>
      <w:divBdr>
        <w:top w:val="none" w:sz="0" w:space="0" w:color="auto"/>
        <w:left w:val="none" w:sz="0" w:space="0" w:color="auto"/>
        <w:bottom w:val="none" w:sz="0" w:space="0" w:color="auto"/>
        <w:right w:val="none" w:sz="0" w:space="0" w:color="auto"/>
      </w:divBdr>
    </w:div>
    <w:div w:id="1362626646">
      <w:bodyDiv w:val="1"/>
      <w:marLeft w:val="0"/>
      <w:marRight w:val="0"/>
      <w:marTop w:val="0"/>
      <w:marBottom w:val="0"/>
      <w:divBdr>
        <w:top w:val="none" w:sz="0" w:space="0" w:color="auto"/>
        <w:left w:val="none" w:sz="0" w:space="0" w:color="auto"/>
        <w:bottom w:val="none" w:sz="0" w:space="0" w:color="auto"/>
        <w:right w:val="none" w:sz="0" w:space="0" w:color="auto"/>
      </w:divBdr>
    </w:div>
    <w:div w:id="1500850760">
      <w:bodyDiv w:val="1"/>
      <w:marLeft w:val="0"/>
      <w:marRight w:val="0"/>
      <w:marTop w:val="0"/>
      <w:marBottom w:val="0"/>
      <w:divBdr>
        <w:top w:val="none" w:sz="0" w:space="0" w:color="auto"/>
        <w:left w:val="none" w:sz="0" w:space="0" w:color="auto"/>
        <w:bottom w:val="none" w:sz="0" w:space="0" w:color="auto"/>
        <w:right w:val="none" w:sz="0" w:space="0" w:color="auto"/>
      </w:divBdr>
      <w:divsChild>
        <w:div w:id="953560062">
          <w:marLeft w:val="0"/>
          <w:marRight w:val="0"/>
          <w:marTop w:val="0"/>
          <w:marBottom w:val="0"/>
          <w:divBdr>
            <w:top w:val="none" w:sz="0" w:space="0" w:color="auto"/>
            <w:left w:val="none" w:sz="0" w:space="0" w:color="auto"/>
            <w:bottom w:val="none" w:sz="0" w:space="0" w:color="auto"/>
            <w:right w:val="none" w:sz="0" w:space="0" w:color="auto"/>
          </w:divBdr>
        </w:div>
      </w:divsChild>
    </w:div>
    <w:div w:id="1540968647">
      <w:bodyDiv w:val="1"/>
      <w:marLeft w:val="0"/>
      <w:marRight w:val="0"/>
      <w:marTop w:val="0"/>
      <w:marBottom w:val="0"/>
      <w:divBdr>
        <w:top w:val="none" w:sz="0" w:space="0" w:color="auto"/>
        <w:left w:val="none" w:sz="0" w:space="0" w:color="auto"/>
        <w:bottom w:val="none" w:sz="0" w:space="0" w:color="auto"/>
        <w:right w:val="none" w:sz="0" w:space="0" w:color="auto"/>
      </w:divBdr>
      <w:divsChild>
        <w:div w:id="830024622">
          <w:marLeft w:val="0"/>
          <w:marRight w:val="0"/>
          <w:marTop w:val="0"/>
          <w:marBottom w:val="0"/>
          <w:divBdr>
            <w:top w:val="none" w:sz="0" w:space="0" w:color="auto"/>
            <w:left w:val="none" w:sz="0" w:space="0" w:color="auto"/>
            <w:bottom w:val="none" w:sz="0" w:space="0" w:color="auto"/>
            <w:right w:val="none" w:sz="0" w:space="0" w:color="auto"/>
          </w:divBdr>
        </w:div>
      </w:divsChild>
    </w:div>
    <w:div w:id="1598442579">
      <w:bodyDiv w:val="1"/>
      <w:marLeft w:val="0"/>
      <w:marRight w:val="0"/>
      <w:marTop w:val="0"/>
      <w:marBottom w:val="0"/>
      <w:divBdr>
        <w:top w:val="none" w:sz="0" w:space="0" w:color="auto"/>
        <w:left w:val="none" w:sz="0" w:space="0" w:color="auto"/>
        <w:bottom w:val="none" w:sz="0" w:space="0" w:color="auto"/>
        <w:right w:val="none" w:sz="0" w:space="0" w:color="auto"/>
      </w:divBdr>
    </w:div>
    <w:div w:id="1656494798">
      <w:bodyDiv w:val="1"/>
      <w:marLeft w:val="0"/>
      <w:marRight w:val="0"/>
      <w:marTop w:val="0"/>
      <w:marBottom w:val="0"/>
      <w:divBdr>
        <w:top w:val="none" w:sz="0" w:space="0" w:color="auto"/>
        <w:left w:val="none" w:sz="0" w:space="0" w:color="auto"/>
        <w:bottom w:val="none" w:sz="0" w:space="0" w:color="auto"/>
        <w:right w:val="none" w:sz="0" w:space="0" w:color="auto"/>
      </w:divBdr>
    </w:div>
    <w:div w:id="1745494609">
      <w:bodyDiv w:val="1"/>
      <w:marLeft w:val="0"/>
      <w:marRight w:val="0"/>
      <w:marTop w:val="0"/>
      <w:marBottom w:val="0"/>
      <w:divBdr>
        <w:top w:val="none" w:sz="0" w:space="0" w:color="auto"/>
        <w:left w:val="none" w:sz="0" w:space="0" w:color="auto"/>
        <w:bottom w:val="none" w:sz="0" w:space="0" w:color="auto"/>
        <w:right w:val="none" w:sz="0" w:space="0" w:color="auto"/>
      </w:divBdr>
    </w:div>
    <w:div w:id="1767190602">
      <w:bodyDiv w:val="1"/>
      <w:marLeft w:val="0"/>
      <w:marRight w:val="0"/>
      <w:marTop w:val="0"/>
      <w:marBottom w:val="0"/>
      <w:divBdr>
        <w:top w:val="none" w:sz="0" w:space="0" w:color="auto"/>
        <w:left w:val="none" w:sz="0" w:space="0" w:color="auto"/>
        <w:bottom w:val="none" w:sz="0" w:space="0" w:color="auto"/>
        <w:right w:val="none" w:sz="0" w:space="0" w:color="auto"/>
      </w:divBdr>
    </w:div>
    <w:div w:id="1803419864">
      <w:bodyDiv w:val="1"/>
      <w:marLeft w:val="0"/>
      <w:marRight w:val="0"/>
      <w:marTop w:val="0"/>
      <w:marBottom w:val="0"/>
      <w:divBdr>
        <w:top w:val="none" w:sz="0" w:space="0" w:color="auto"/>
        <w:left w:val="none" w:sz="0" w:space="0" w:color="auto"/>
        <w:bottom w:val="none" w:sz="0" w:space="0" w:color="auto"/>
        <w:right w:val="none" w:sz="0" w:space="0" w:color="auto"/>
      </w:divBdr>
    </w:div>
    <w:div w:id="2024436768">
      <w:bodyDiv w:val="1"/>
      <w:marLeft w:val="0"/>
      <w:marRight w:val="0"/>
      <w:marTop w:val="0"/>
      <w:marBottom w:val="0"/>
      <w:divBdr>
        <w:top w:val="none" w:sz="0" w:space="0" w:color="auto"/>
        <w:left w:val="none" w:sz="0" w:space="0" w:color="auto"/>
        <w:bottom w:val="none" w:sz="0" w:space="0" w:color="auto"/>
        <w:right w:val="none" w:sz="0" w:space="0" w:color="auto"/>
      </w:divBdr>
    </w:div>
    <w:div w:id="2031711273">
      <w:bodyDiv w:val="1"/>
      <w:marLeft w:val="0"/>
      <w:marRight w:val="0"/>
      <w:marTop w:val="0"/>
      <w:marBottom w:val="0"/>
      <w:divBdr>
        <w:top w:val="none" w:sz="0" w:space="0" w:color="auto"/>
        <w:left w:val="none" w:sz="0" w:space="0" w:color="auto"/>
        <w:bottom w:val="none" w:sz="0" w:space="0" w:color="auto"/>
        <w:right w:val="none" w:sz="0" w:space="0" w:color="auto"/>
      </w:divBdr>
    </w:div>
    <w:div w:id="2106875747">
      <w:bodyDiv w:val="1"/>
      <w:marLeft w:val="0"/>
      <w:marRight w:val="0"/>
      <w:marTop w:val="0"/>
      <w:marBottom w:val="0"/>
      <w:divBdr>
        <w:top w:val="none" w:sz="0" w:space="0" w:color="auto"/>
        <w:left w:val="none" w:sz="0" w:space="0" w:color="auto"/>
        <w:bottom w:val="none" w:sz="0" w:space="0" w:color="auto"/>
        <w:right w:val="none" w:sz="0" w:space="0" w:color="auto"/>
      </w:divBdr>
    </w:div>
    <w:div w:id="213250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10898B-6DF7-468D-9175-565327454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2639</Words>
  <Characters>15045</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Background of the two organisations</vt:lpstr>
      <vt:lpstr>Comparison of the financial management of Marriot International and IHG</vt:lpstr>
      <vt:lpstr>    Total Revenue</vt:lpstr>
      <vt:lpstr>    Profitability</vt:lpstr>
      <vt:lpstr>    Market Position and Stability</vt:lpstr>
      <vt:lpstr>    Growth Potential </vt:lpstr>
      <vt:lpstr>    Financial Commitment to CSR</vt:lpstr>
      <vt:lpstr>    Sustainability</vt:lpstr>
      <vt:lpstr>Recommendations to Marriot International and IHG</vt:lpstr>
      <vt:lpstr>Conclusion </vt:lpstr>
      <vt:lpstr>Reference List</vt:lpstr>
    </vt:vector>
  </TitlesOfParts>
  <Company/>
  <LinksUpToDate>false</LinksUpToDate>
  <CharactersWithSpaces>17649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cp:lastModifiedBy>
  <cp:revision>6</cp:revision>
  <dcterms:created xsi:type="dcterms:W3CDTF">2023-05-15T13:24:00Z</dcterms:created>
  <dcterms:modified xsi:type="dcterms:W3CDTF">2023-05-16T12:54:00Z</dcterms:modified>
</cp:coreProperties>
</file>