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32EE512" w:rsidR="00986B43" w:rsidRPr="00DE2F6F" w:rsidRDefault="00986B43" w:rsidP="005D3F07">
            <w:pPr>
              <w:overflowPunct/>
              <w:autoSpaceDE/>
              <w:autoSpaceDN/>
              <w:adjustRightInd/>
              <w:ind w:right="-957"/>
              <w:textAlignment w:val="auto"/>
              <w:rPr>
                <w:rFonts w:ascii="Times New Roman" w:hAnsi="Times New Roman" w:cs="Times New Roman"/>
                <w:b/>
                <w:color w:val="auto"/>
                <w:sz w:val="44"/>
              </w:rPr>
            </w:pPr>
            <w:r w:rsidRPr="00DE2F6F">
              <w:rPr>
                <w:rFonts w:ascii="Times New Roman" w:hAnsi="Times New Roman" w:cs="Times New Roman"/>
                <w:b/>
                <w:color w:val="auto"/>
                <w:sz w:val="44"/>
              </w:rPr>
              <w:t>Learner’s name:</w:t>
            </w:r>
            <w:r w:rsidR="00247265" w:rsidRPr="00DE2F6F">
              <w:rPr>
                <w:rFonts w:ascii="Times New Roman" w:hAnsi="Times New Roman" w:cs="Times New Roman"/>
                <w:b/>
                <w:color w:val="auto"/>
                <w:sz w:val="44"/>
              </w:rPr>
              <w:t xml:space="preserve"> </w:t>
            </w:r>
            <w:r w:rsidR="00DE2F6F" w:rsidRPr="00DE2F6F">
              <w:rPr>
                <w:rFonts w:ascii="Times New Roman" w:hAnsi="Times New Roman" w:cs="Times New Roman"/>
                <w:b/>
                <w:color w:val="auto"/>
                <w:sz w:val="44"/>
              </w:rPr>
              <w:t>Mollie Snape</w:t>
            </w:r>
          </w:p>
          <w:p w14:paraId="0B6CD0DB" w14:textId="689515B5" w:rsidR="009C337F" w:rsidRPr="00DE2F6F" w:rsidRDefault="009C337F" w:rsidP="005D3F07">
            <w:pPr>
              <w:overflowPunct/>
              <w:autoSpaceDE/>
              <w:autoSpaceDN/>
              <w:adjustRightInd/>
              <w:ind w:right="-957"/>
              <w:textAlignment w:val="auto"/>
              <w:rPr>
                <w:rFonts w:ascii="Times New Roman" w:hAnsi="Times New Roman" w:cs="Times New Roman"/>
                <w:b/>
                <w:color w:val="auto"/>
                <w:sz w:val="44"/>
              </w:rPr>
            </w:pPr>
          </w:p>
          <w:p w14:paraId="3A6EAAC7" w14:textId="0C1AF23C" w:rsidR="009C337F" w:rsidRPr="00DE2F6F" w:rsidRDefault="009C337F" w:rsidP="005D3F07">
            <w:pPr>
              <w:overflowPunct/>
              <w:autoSpaceDE/>
              <w:autoSpaceDN/>
              <w:adjustRightInd/>
              <w:ind w:right="-957"/>
              <w:textAlignment w:val="auto"/>
              <w:rPr>
                <w:rFonts w:ascii="Times New Roman" w:hAnsi="Times New Roman" w:cs="Times New Roman"/>
                <w:b/>
                <w:color w:val="auto"/>
                <w:sz w:val="44"/>
              </w:rPr>
            </w:pPr>
            <w:r w:rsidRPr="00DE2F6F">
              <w:rPr>
                <w:rFonts w:ascii="Times New Roman" w:hAnsi="Times New Roman" w:cs="Times New Roman"/>
                <w:b/>
                <w:color w:val="auto"/>
                <w:sz w:val="44"/>
              </w:rPr>
              <w:t>Email address:</w:t>
            </w:r>
            <w:r w:rsidR="00DE2F6F" w:rsidRPr="00DE2F6F">
              <w:rPr>
                <w:rFonts w:ascii="Times New Roman" w:hAnsi="Times New Roman" w:cs="Times New Roman"/>
                <w:b/>
                <w:color w:val="auto"/>
                <w:sz w:val="44"/>
              </w:rPr>
              <w:t xml:space="preserve"> molliesnape@yahoo.co.uk</w:t>
            </w:r>
          </w:p>
          <w:p w14:paraId="22E38809" w14:textId="77777777" w:rsidR="00986B43" w:rsidRPr="00DE2F6F" w:rsidRDefault="00986B43" w:rsidP="005D3F07">
            <w:pPr>
              <w:overflowPunct/>
              <w:autoSpaceDE/>
              <w:autoSpaceDN/>
              <w:adjustRightInd/>
              <w:ind w:right="-957"/>
              <w:textAlignment w:val="auto"/>
              <w:rPr>
                <w:rFonts w:ascii="Times New Roman" w:hAnsi="Times New Roman" w:cs="Times New Roman"/>
                <w:b/>
                <w:color w:val="auto"/>
                <w:sz w:val="44"/>
              </w:rPr>
            </w:pPr>
          </w:p>
          <w:p w14:paraId="0DE696B2" w14:textId="0F57664C" w:rsidR="00F927A1" w:rsidRPr="00DE2F6F" w:rsidRDefault="0085230E" w:rsidP="005D3F07">
            <w:pPr>
              <w:overflowPunct/>
              <w:autoSpaceDE/>
              <w:autoSpaceDN/>
              <w:adjustRightInd/>
              <w:ind w:right="-957"/>
              <w:textAlignment w:val="auto"/>
              <w:rPr>
                <w:rFonts w:ascii="Times New Roman" w:hAnsi="Times New Roman" w:cs="Times New Roman"/>
                <w:b/>
                <w:color w:val="auto"/>
                <w:sz w:val="44"/>
              </w:rPr>
            </w:pPr>
            <w:r w:rsidRPr="00DE2F6F">
              <w:rPr>
                <w:rFonts w:ascii="Times New Roman" w:hAnsi="Times New Roman" w:cs="Times New Roman"/>
                <w:b/>
                <w:color w:val="auto"/>
                <w:sz w:val="44"/>
              </w:rPr>
              <w:t>Learner’s University Registration</w:t>
            </w:r>
            <w:r w:rsidR="00F927A1" w:rsidRPr="00DE2F6F">
              <w:rPr>
                <w:rFonts w:ascii="Times New Roman" w:hAnsi="Times New Roman" w:cs="Times New Roman"/>
                <w:b/>
                <w:color w:val="auto"/>
                <w:sz w:val="44"/>
              </w:rPr>
              <w:t xml:space="preserve"> Number:</w:t>
            </w:r>
            <w:r w:rsidR="00DE2F6F" w:rsidRPr="00DE2F6F">
              <w:rPr>
                <w:rFonts w:ascii="Times New Roman" w:hAnsi="Times New Roman" w:cs="Times New Roman"/>
                <w:b/>
                <w:color w:val="auto"/>
                <w:sz w:val="44"/>
              </w:rPr>
              <w:t xml:space="preserve"> 2224345</w:t>
            </w:r>
          </w:p>
          <w:p w14:paraId="622FD17A" w14:textId="77777777" w:rsidR="0085230E" w:rsidRPr="00DE2F6F" w:rsidRDefault="0085230E" w:rsidP="005D3F07">
            <w:pPr>
              <w:overflowPunct/>
              <w:autoSpaceDE/>
              <w:autoSpaceDN/>
              <w:adjustRightInd/>
              <w:ind w:right="-957"/>
              <w:textAlignment w:val="auto"/>
              <w:rPr>
                <w:rFonts w:ascii="Times New Roman" w:hAnsi="Times New Roman" w:cs="Times New Roman"/>
                <w:b/>
                <w:color w:val="auto"/>
                <w:sz w:val="44"/>
              </w:rPr>
            </w:pPr>
          </w:p>
          <w:p w14:paraId="5F84129B" w14:textId="1BC92D79" w:rsidR="0085230E" w:rsidRPr="005D3F07" w:rsidRDefault="00706BB5" w:rsidP="00DE2F6F">
            <w:pPr>
              <w:overflowPunct/>
              <w:autoSpaceDE/>
              <w:autoSpaceDN/>
              <w:adjustRightInd/>
              <w:ind w:right="-957"/>
              <w:textAlignment w:val="auto"/>
              <w:rPr>
                <w:rFonts w:ascii="Times New Roman" w:hAnsi="Times New Roman" w:cs="Times New Roman"/>
                <w:b/>
                <w:color w:val="auto"/>
                <w:sz w:val="48"/>
              </w:rPr>
            </w:pPr>
            <w:r w:rsidRPr="00DE2F6F">
              <w:rPr>
                <w:rFonts w:ascii="Times New Roman" w:hAnsi="Times New Roman" w:cs="Times New Roman"/>
                <w:b/>
                <w:color w:val="auto"/>
                <w:sz w:val="44"/>
              </w:rPr>
              <w:t xml:space="preserve">Cohort: </w:t>
            </w:r>
            <w:r w:rsidR="00DE2F6F" w:rsidRPr="00DE2F6F">
              <w:rPr>
                <w:rFonts w:ascii="Times New Roman" w:hAnsi="Times New Roman" w:cs="Times New Roman"/>
                <w:b/>
                <w:color w:val="auto"/>
                <w:sz w:val="44"/>
              </w:rPr>
              <w:t>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0C7D2AC3" w14:textId="77777777" w:rsidR="00DE5F09" w:rsidRPr="00EE5BC3" w:rsidRDefault="00DE5F09" w:rsidP="00DE5F09">
      <w:pPr>
        <w:jc w:val="center"/>
        <w:rPr>
          <w:sz w:val="28"/>
          <w:szCs w:val="28"/>
        </w:rPr>
      </w:pPr>
      <w:r w:rsidRPr="00EE5BC3">
        <w:rPr>
          <w:b/>
          <w:sz w:val="28"/>
          <w:szCs w:val="28"/>
        </w:rPr>
        <w:lastRenderedPageBreak/>
        <w:t>Task 3</w:t>
      </w:r>
    </w:p>
    <w:p w14:paraId="38DE1F7B" w14:textId="77777777" w:rsidR="00DE5F09" w:rsidRPr="00EE5BC3" w:rsidRDefault="00DE5F09" w:rsidP="00DE5F09">
      <w:pPr>
        <w:jc w:val="center"/>
        <w:rPr>
          <w:b/>
          <w:sz w:val="28"/>
          <w:szCs w:val="28"/>
        </w:rPr>
      </w:pPr>
    </w:p>
    <w:p w14:paraId="3C6A84B4" w14:textId="77777777" w:rsidR="00DE5F09" w:rsidRPr="00EE5BC3" w:rsidRDefault="00DE5F09" w:rsidP="00DE5F09">
      <w:pPr>
        <w:jc w:val="center"/>
        <w:rPr>
          <w:b/>
          <w:color w:val="auto"/>
          <w:sz w:val="28"/>
          <w:szCs w:val="28"/>
        </w:rPr>
      </w:pPr>
      <w:r w:rsidRPr="00EE5BC3">
        <w:rPr>
          <w:b/>
          <w:color w:val="auto"/>
          <w:sz w:val="28"/>
          <w:szCs w:val="28"/>
        </w:rPr>
        <w:t>Safeguarding and working in complex situations – Case Study</w:t>
      </w:r>
    </w:p>
    <w:p w14:paraId="5D71D11E" w14:textId="77777777" w:rsidR="00DE5F09" w:rsidRDefault="00DE5F09" w:rsidP="00DE5F09">
      <w:pPr>
        <w:rPr>
          <w:i/>
          <w:sz w:val="24"/>
          <w:szCs w:val="24"/>
        </w:rPr>
      </w:pPr>
    </w:p>
    <w:p w14:paraId="72706308" w14:textId="77777777" w:rsidR="00DE5F09" w:rsidRDefault="00DE5F09" w:rsidP="00DE5F09">
      <w:pPr>
        <w:rPr>
          <w:i/>
          <w:sz w:val="24"/>
          <w:szCs w:val="24"/>
        </w:rPr>
      </w:pPr>
    </w:p>
    <w:p w14:paraId="5C9422C4" w14:textId="77777777" w:rsidR="00DE5F09" w:rsidRDefault="00DE5F09" w:rsidP="00DE5F09"/>
    <w:p w14:paraId="3A069298" w14:textId="77777777" w:rsidR="00DE5F09" w:rsidRDefault="00DE5F09" w:rsidP="00DE5F09">
      <w:pPr>
        <w:rPr>
          <w:sz w:val="24"/>
        </w:rPr>
      </w:pPr>
      <w:r w:rsidRPr="00DB3BE7">
        <w:rPr>
          <w:sz w:val="24"/>
        </w:rPr>
        <w:t>Critical reflection is a key element in continued professional development in social work practice, allowing space and time to analyse the emotion</w:t>
      </w:r>
      <w:r>
        <w:rPr>
          <w:sz w:val="24"/>
        </w:rPr>
        <w:t>s</w:t>
      </w:r>
      <w:r w:rsidRPr="00DB3BE7">
        <w:rPr>
          <w:sz w:val="24"/>
        </w:rPr>
        <w:t xml:space="preserve"> within the challenges</w:t>
      </w:r>
      <w:r>
        <w:rPr>
          <w:sz w:val="24"/>
        </w:rPr>
        <w:t xml:space="preserve"> faced</w:t>
      </w:r>
      <w:r w:rsidRPr="00DB3BE7">
        <w:rPr>
          <w:sz w:val="24"/>
        </w:rPr>
        <w:t xml:space="preserve">, and the complexity of daily tasks (Jones, 2015). </w:t>
      </w:r>
      <w:r>
        <w:rPr>
          <w:sz w:val="24"/>
        </w:rPr>
        <w:t xml:space="preserve">Morley (2012) argues that critical reflection can develop emancipatory changes for those we work alongside, ultimately making for positive shifts in policies and procedures. This can empower those we work alongside, promoting voice and control, as underlined within the Social Services and Wellbeing (Wales) Act (2014) (SSWBA). </w:t>
      </w:r>
    </w:p>
    <w:p w14:paraId="29329F72" w14:textId="77777777" w:rsidR="00DE5F09" w:rsidRDefault="00DE5F09" w:rsidP="00DE5F09">
      <w:pPr>
        <w:rPr>
          <w:sz w:val="24"/>
        </w:rPr>
      </w:pPr>
    </w:p>
    <w:p w14:paraId="161BA42B" w14:textId="77777777" w:rsidR="00DE5F09" w:rsidRDefault="00DE5F09" w:rsidP="00DE5F09">
      <w:pPr>
        <w:rPr>
          <w:sz w:val="24"/>
        </w:rPr>
      </w:pPr>
    </w:p>
    <w:p w14:paraId="3D75D199" w14:textId="77777777" w:rsidR="00DE5F09" w:rsidRDefault="00DE5F09" w:rsidP="00DE5F09">
      <w:pPr>
        <w:rPr>
          <w:sz w:val="24"/>
          <w:szCs w:val="24"/>
        </w:rPr>
      </w:pPr>
      <w:r>
        <w:rPr>
          <w:sz w:val="24"/>
        </w:rPr>
        <w:t xml:space="preserve">The SSWBA would also include the individual being at the centre of their own care, and giving them voice in, and control </w:t>
      </w:r>
      <w:proofErr w:type="gramStart"/>
      <w:r>
        <w:rPr>
          <w:sz w:val="24"/>
        </w:rPr>
        <w:t>over reaching</w:t>
      </w:r>
      <w:proofErr w:type="gramEnd"/>
      <w:r>
        <w:rPr>
          <w:sz w:val="24"/>
        </w:rPr>
        <w:t xml:space="preserve"> the outcomes that help them achieve wellbeing. This Act is specific to Wales, and is only followed in this country, as opposed to other parts of the United Kingdom, and European Union. However, The Children Act (1989) will be used in both England and Wales in specific circumstances. For example, Section 47 of the Children Act (1989) is used in both England and Wales when responding directly to a safeguarding concern for children. The Children Act (1989) also states that the child’s welfare is paramount, and places this with significance. In Wales, the Welsh Government is responsible for safeguarding children, although the child protection procedures in Wales are very similar to those in England (Brammer, 2010). </w:t>
      </w:r>
      <w:r>
        <w:rPr>
          <w:sz w:val="24"/>
          <w:szCs w:val="24"/>
        </w:rPr>
        <w:t xml:space="preserve">The Welsh Government has also adopted the United Nations Convention on the Rights of the Child as a foundation for </w:t>
      </w:r>
      <w:proofErr w:type="gramStart"/>
      <w:r>
        <w:rPr>
          <w:sz w:val="24"/>
          <w:szCs w:val="24"/>
        </w:rPr>
        <w:t>all of</w:t>
      </w:r>
      <w:proofErr w:type="gramEnd"/>
      <w:r>
        <w:rPr>
          <w:sz w:val="24"/>
          <w:szCs w:val="24"/>
        </w:rPr>
        <w:t xml:space="preserve"> its work with children and young people (WAG, 2004). </w:t>
      </w:r>
    </w:p>
    <w:p w14:paraId="6BF6BB76" w14:textId="77777777" w:rsidR="00DE5F09" w:rsidRDefault="00DE5F09" w:rsidP="00DE5F09">
      <w:pPr>
        <w:rPr>
          <w:sz w:val="24"/>
          <w:szCs w:val="24"/>
        </w:rPr>
      </w:pPr>
    </w:p>
    <w:p w14:paraId="738298BF" w14:textId="77777777" w:rsidR="00DE5F09" w:rsidRDefault="00DE5F09" w:rsidP="00DE5F09">
      <w:pPr>
        <w:rPr>
          <w:sz w:val="24"/>
          <w:szCs w:val="24"/>
        </w:rPr>
      </w:pPr>
    </w:p>
    <w:p w14:paraId="742AD364" w14:textId="77777777" w:rsidR="00DE5F09" w:rsidRDefault="00DE5F09" w:rsidP="00DE5F09">
      <w:pPr>
        <w:rPr>
          <w:sz w:val="24"/>
          <w:szCs w:val="24"/>
        </w:rPr>
      </w:pPr>
      <w:r>
        <w:rPr>
          <w:sz w:val="24"/>
          <w:szCs w:val="24"/>
        </w:rPr>
        <w:t xml:space="preserve">The SSWBA places a duty on social workers to respond to safeguarding concerns, and to work to minimise the risk to individuals receiving services. It also however places importance on early intervention and prevention, to avoid further strain on services, and to ensure that families are better equipped to support themselves without crisis intervention being needed. </w:t>
      </w:r>
      <w:proofErr w:type="gramStart"/>
      <w:r>
        <w:rPr>
          <w:sz w:val="24"/>
          <w:szCs w:val="24"/>
        </w:rPr>
        <w:t>This being said, safeguarding</w:t>
      </w:r>
      <w:proofErr w:type="gramEnd"/>
      <w:r>
        <w:rPr>
          <w:sz w:val="24"/>
          <w:szCs w:val="24"/>
        </w:rPr>
        <w:t xml:space="preserve"> is the responsibility of everyone, as stated within the Wales Safeguarding Procedures (WG, 2019), and this can be managed and approached differently by many professionals, even those working together in a multi-disciplinary setting (Westwood, 2012). The multi-agency aspect is key to safeguarding children and young people, to ensure that information is being shared holistically to better inform assessments and support those we are working alongside. </w:t>
      </w:r>
    </w:p>
    <w:p w14:paraId="29FC94D9" w14:textId="77777777" w:rsidR="00DE5F09" w:rsidRDefault="00DE5F09" w:rsidP="00DE5F09">
      <w:pPr>
        <w:rPr>
          <w:sz w:val="24"/>
          <w:szCs w:val="24"/>
        </w:rPr>
      </w:pPr>
    </w:p>
    <w:p w14:paraId="59E70380" w14:textId="77777777" w:rsidR="00DE5F09" w:rsidRDefault="00DE5F09" w:rsidP="00DE5F09">
      <w:pPr>
        <w:rPr>
          <w:sz w:val="24"/>
          <w:szCs w:val="24"/>
        </w:rPr>
      </w:pPr>
      <w:r>
        <w:rPr>
          <w:sz w:val="24"/>
        </w:rPr>
        <w:t xml:space="preserve">The case study being explored was chosen alongside my mentor, due to my </w:t>
      </w:r>
      <w:proofErr w:type="gramStart"/>
      <w:r>
        <w:rPr>
          <w:sz w:val="24"/>
        </w:rPr>
        <w:t>in depth</w:t>
      </w:r>
      <w:proofErr w:type="gramEnd"/>
      <w:r>
        <w:rPr>
          <w:sz w:val="24"/>
        </w:rPr>
        <w:t xml:space="preserve"> knowledge held of the case, and a number of safeguarding aspects which have been developed as a result of analysis within assessment. I have worked alongside this young person for some time, and therefore have already built up a good understanding of this case and the history over time. This case study will provide an exploration of child protection aspects, and legislation relating to this. As a </w:t>
      </w:r>
      <w:r>
        <w:rPr>
          <w:sz w:val="24"/>
          <w:szCs w:val="24"/>
        </w:rPr>
        <w:t xml:space="preserve">registered professional, Social Care Wales (SCW) </w:t>
      </w:r>
      <w:r>
        <w:rPr>
          <w:sz w:val="24"/>
          <w:szCs w:val="24"/>
        </w:rPr>
        <w:lastRenderedPageBreak/>
        <w:t xml:space="preserve">place an expectation of accountability and training to remain appropriate and updated to practice and legislation (Welsh Government, 2017). In addition, confidentiality has been considered for the individual and family discussed. Therefore, in depth information will be limited to that of a </w:t>
      </w:r>
      <w:proofErr w:type="gramStart"/>
      <w:r>
        <w:rPr>
          <w:sz w:val="24"/>
          <w:szCs w:val="24"/>
        </w:rPr>
        <w:t>need to know</w:t>
      </w:r>
      <w:proofErr w:type="gramEnd"/>
      <w:r>
        <w:rPr>
          <w:sz w:val="24"/>
          <w:szCs w:val="24"/>
        </w:rPr>
        <w:t xml:space="preserve"> basis for the assignment. Numbers will also be used to identify </w:t>
      </w:r>
      <w:proofErr w:type="gramStart"/>
      <w:r>
        <w:rPr>
          <w:sz w:val="24"/>
          <w:szCs w:val="24"/>
        </w:rPr>
        <w:t>each individual</w:t>
      </w:r>
      <w:proofErr w:type="gramEnd"/>
      <w:r>
        <w:rPr>
          <w:sz w:val="24"/>
          <w:szCs w:val="24"/>
        </w:rPr>
        <w:t xml:space="preserve"> within the assessment process. </w:t>
      </w:r>
    </w:p>
    <w:p w14:paraId="0E7E27F6" w14:textId="77777777" w:rsidR="00DE5F09" w:rsidRDefault="00DE5F09" w:rsidP="00DE5F09">
      <w:pPr>
        <w:rPr>
          <w:sz w:val="24"/>
          <w:szCs w:val="24"/>
        </w:rPr>
      </w:pPr>
    </w:p>
    <w:p w14:paraId="18CFAF68" w14:textId="77777777" w:rsidR="00DE5F09" w:rsidRDefault="00DE5F09" w:rsidP="00DE5F09">
      <w:pPr>
        <w:rPr>
          <w:sz w:val="24"/>
        </w:rPr>
      </w:pPr>
      <w:r>
        <w:rPr>
          <w:sz w:val="24"/>
        </w:rPr>
        <w:t xml:space="preserve">The safeguarding concern involved is child sexual exploitation (CSE) of young person 1, aged 15 years, living in residential care, in England. Person 1 was placed within a residential setting, with a voluntary agreement by parents, under section 76 of the SSWBA (2014). This of course differs from the legislation used in England, which would be the Children Act (1989), therefore it is important to ensure that English staff are aware of the different areas of legislation being followed. Person 1 was placed </w:t>
      </w:r>
      <w:proofErr w:type="gramStart"/>
      <w:r>
        <w:rPr>
          <w:sz w:val="24"/>
        </w:rPr>
        <w:t>as a result of</w:t>
      </w:r>
      <w:proofErr w:type="gramEnd"/>
      <w:r>
        <w:rPr>
          <w:sz w:val="24"/>
        </w:rPr>
        <w:t xml:space="preserve"> ongoing CSE concerns, placing her at significant risk. It became clear that this young person was not able to keep herself safe from harm, with her name on the child protection register </w:t>
      </w:r>
      <w:proofErr w:type="gramStart"/>
      <w:r>
        <w:rPr>
          <w:sz w:val="24"/>
        </w:rPr>
        <w:t>as a result of</w:t>
      </w:r>
      <w:proofErr w:type="gramEnd"/>
      <w:r>
        <w:rPr>
          <w:sz w:val="24"/>
        </w:rPr>
        <w:t xml:space="preserve"> the concerns. Person 1 was born in England originally, before moving to Wales at the age of 5, although speaks only English as her first language, and has not learned the Welsh Language, or any other languages. The Active offer was provided during the initial interactions, to ensure that person 1 was offered a service in Welsh if this was preferred (Welsh Government, 2015). This offer was declined, as person 1’s preferred language is English, although if person 1 accepted the offer, an alternative, Welsh speaking social worker would have completed the assessment to ensure the opportunity for person 1 to receive the services in her preferred language. </w:t>
      </w:r>
    </w:p>
    <w:p w14:paraId="7288F49B" w14:textId="77777777" w:rsidR="00DE5F09" w:rsidRDefault="00DE5F09" w:rsidP="00DE5F09">
      <w:pPr>
        <w:rPr>
          <w:sz w:val="24"/>
        </w:rPr>
      </w:pPr>
    </w:p>
    <w:p w14:paraId="0B1CD79F" w14:textId="77777777" w:rsidR="00DE5F09" w:rsidRDefault="00DE5F09" w:rsidP="00DE5F09">
      <w:pPr>
        <w:rPr>
          <w:sz w:val="24"/>
        </w:rPr>
      </w:pPr>
      <w:r>
        <w:rPr>
          <w:sz w:val="24"/>
        </w:rPr>
        <w:t xml:space="preserve">Person 1 has a long-standing history of </w:t>
      </w:r>
      <w:proofErr w:type="gramStart"/>
      <w:r>
        <w:rPr>
          <w:sz w:val="24"/>
        </w:rPr>
        <w:t>CSE, and</w:t>
      </w:r>
      <w:proofErr w:type="gramEnd"/>
      <w:r>
        <w:rPr>
          <w:sz w:val="24"/>
        </w:rPr>
        <w:t xml:space="preserve"> is at high risk of exploitation and abuse due to her experiences and vulnerability. Therefore, she was placed within a specialist CSE residential placement as a safeguarding measure, and to ensure she is appropriately supported. However, person 1 continued to abscond from the placement, which is statistically more likely to happen than if person 1 was living at home. Bowden and Lambie (2015) suggest that this is a result of </w:t>
      </w:r>
      <w:proofErr w:type="gramStart"/>
      <w:r>
        <w:rPr>
          <w:sz w:val="24"/>
        </w:rPr>
        <w:t>a number of</w:t>
      </w:r>
      <w:proofErr w:type="gramEnd"/>
      <w:r>
        <w:rPr>
          <w:sz w:val="24"/>
        </w:rPr>
        <w:t xml:space="preserve"> reasons, which includes the want of the young person to escape and engage with peers. This has been considered and implemented within person 1’s care and support plan, as part of the ‘looked after child’ process, to ensure that person 1 has her an element of control over her own care, another key element of the SSWBA. Intensive consideration has been </w:t>
      </w:r>
      <w:r w:rsidRPr="00421BC5">
        <w:rPr>
          <w:color w:val="auto"/>
          <w:sz w:val="24"/>
          <w:szCs w:val="24"/>
        </w:rPr>
        <w:t xml:space="preserve">given to the thought process in decision making of person 1, which appears to be surrounded by significant risk. Rational choice theory </w:t>
      </w:r>
      <w:r>
        <w:rPr>
          <w:color w:val="auto"/>
          <w:sz w:val="24"/>
          <w:szCs w:val="24"/>
        </w:rPr>
        <w:t xml:space="preserve">(Becker, 1968) </w:t>
      </w:r>
      <w:r w:rsidRPr="00421BC5">
        <w:rPr>
          <w:color w:val="auto"/>
          <w:sz w:val="24"/>
          <w:szCs w:val="24"/>
          <w:shd w:val="clear" w:color="auto" w:fill="FFFFFF"/>
        </w:rPr>
        <w:t>argues that people make decisions and carry out behaviours based on their own rational thought processes, especially if those decisions ultimately benefit the individual. Therefore, it could be suggested that person 1 appears to believe that her behaviours, including absconding have a beneficial aspect to her, which could by why she chooses to abscond continuously, despite the risk involved.</w:t>
      </w:r>
      <w:r w:rsidRPr="00421BC5">
        <w:rPr>
          <w:color w:val="auto"/>
          <w:sz w:val="23"/>
          <w:szCs w:val="23"/>
          <w:shd w:val="clear" w:color="auto" w:fill="FFFFFF"/>
        </w:rPr>
        <w:t xml:space="preserve"> </w:t>
      </w:r>
    </w:p>
    <w:p w14:paraId="6C88A53B" w14:textId="77777777" w:rsidR="00DE5F09" w:rsidRDefault="00DE5F09" w:rsidP="00DE5F09">
      <w:pPr>
        <w:rPr>
          <w:sz w:val="24"/>
        </w:rPr>
      </w:pPr>
    </w:p>
    <w:p w14:paraId="5137CAA9" w14:textId="77777777" w:rsidR="00DE5F09" w:rsidRDefault="00DE5F09" w:rsidP="00DE5F09">
      <w:pPr>
        <w:rPr>
          <w:sz w:val="24"/>
        </w:rPr>
      </w:pPr>
      <w:r>
        <w:rPr>
          <w:sz w:val="24"/>
        </w:rPr>
        <w:t xml:space="preserve">A recent missing episode resulted in person 1 being sexually exploited by older males, with a significant event of physical and sexual abuse during this episode, which led to further injuries and complications. Initial safeguards were asserted, with the need for person 1 to attend hospital for any injuries in the first instance, again when person 1 felt ready to do so. This initial safeguarding is in line with the Children Act’s (1989) statement of the child’s welfare being paramount. This intervention as needed initially to promote person 1’s welfare in the first instance, and to ensure safety firstly. This ensured that initial safeguarding responses were </w:t>
      </w:r>
      <w:r>
        <w:rPr>
          <w:sz w:val="24"/>
        </w:rPr>
        <w:lastRenderedPageBreak/>
        <w:t xml:space="preserve">followed, whilst also ensuring that person 1’s background was </w:t>
      </w:r>
      <w:proofErr w:type="gramStart"/>
      <w:r>
        <w:rPr>
          <w:sz w:val="24"/>
        </w:rPr>
        <w:t>taken into account</w:t>
      </w:r>
      <w:proofErr w:type="gramEnd"/>
      <w:r>
        <w:rPr>
          <w:sz w:val="24"/>
        </w:rPr>
        <w:t xml:space="preserve"> with regards to any previous trauma. Person 1 also had voice and control over this difficult aspect in her life, which is a person-centred way of working in social care (SCIE, 2015). The information provided initially was limited, due to the complexity of the incident, </w:t>
      </w:r>
      <w:proofErr w:type="gramStart"/>
      <w:r>
        <w:rPr>
          <w:sz w:val="24"/>
        </w:rPr>
        <w:t>taking into account</w:t>
      </w:r>
      <w:proofErr w:type="gramEnd"/>
      <w:r>
        <w:rPr>
          <w:sz w:val="24"/>
        </w:rPr>
        <w:t xml:space="preserve"> person 1’s background and experiences. Therefore, I retracted back to my social work training on safeguarding children and young people, and ensured the young person’s safety was paramount (CA89) in this situation, to avoid any further risk of harm. This was by ensuring a local, relevant health professional was contacted to support person 1, from a nearby hospital, with an additional sexual violence support officer present to ensure that person 1 was appropriately supported throughout a stressful process. </w:t>
      </w:r>
    </w:p>
    <w:p w14:paraId="6466838B" w14:textId="77777777" w:rsidR="00DE5F09" w:rsidRDefault="00DE5F09" w:rsidP="00DE5F09">
      <w:pPr>
        <w:rPr>
          <w:sz w:val="24"/>
        </w:rPr>
      </w:pPr>
    </w:p>
    <w:p w14:paraId="4BD156A5" w14:textId="77777777" w:rsidR="00DE5F09" w:rsidRDefault="00DE5F09" w:rsidP="00DE5F09">
      <w:pPr>
        <w:rPr>
          <w:sz w:val="24"/>
        </w:rPr>
      </w:pPr>
      <w:r>
        <w:rPr>
          <w:sz w:val="24"/>
        </w:rPr>
        <w:t xml:space="preserve">I worked closely with the police in the area to ensure that although person 1 is under a Welsh Local Authority, some English policies may apply for the area she is placed. Due to the distance, we used telephone communication to share appropriate information in a timely </w:t>
      </w:r>
      <w:proofErr w:type="gramStart"/>
      <w:r>
        <w:rPr>
          <w:sz w:val="24"/>
        </w:rPr>
        <w:t>manner, and</w:t>
      </w:r>
      <w:proofErr w:type="gramEnd"/>
      <w:r>
        <w:rPr>
          <w:sz w:val="24"/>
        </w:rPr>
        <w:t xml:space="preserve"> discuss how best to move forward. These are aspects underlined within the Wales Safeguarding Procedures (WG, 2019). Person 1 is supported by a Welsh Local authority, and therefore the Welsh Safeguarding Procedures played a vital role, and the appropriate aspects were followed to ensure she was appropriately safeguarded and supported. Again, some of the main areas of the procedures that are highlighted are collaborative working, sharing of information with other professionals, each practitioner to play their part in safeguarding, and co-productive relationship with the young person, all of which were followed. As a result of our sharing of information, and an emergency meeting held with my manager, it was agreed that a section 47 (CA89) enquiry was needed, due to the safeguarding concerns reaching a significant threshold, indicating he need for this type of assessment. This is part of child protection procedures used in England and Wales, with the aim of assessing if a child is at risk of significant harm, and whether any action should be taken to safeguard and promote the child’s welfare (SCIE, 2012). </w:t>
      </w:r>
    </w:p>
    <w:p w14:paraId="38F5C80A" w14:textId="77777777" w:rsidR="00DE5F09" w:rsidRDefault="00DE5F09" w:rsidP="00DE5F09">
      <w:pPr>
        <w:rPr>
          <w:sz w:val="24"/>
        </w:rPr>
      </w:pPr>
    </w:p>
    <w:p w14:paraId="48080824" w14:textId="77777777" w:rsidR="00DE5F09" w:rsidRDefault="00DE5F09" w:rsidP="00DE5F09">
      <w:pPr>
        <w:rPr>
          <w:sz w:val="24"/>
        </w:rPr>
      </w:pPr>
      <w:r>
        <w:rPr>
          <w:sz w:val="24"/>
        </w:rPr>
        <w:t xml:space="preserve">Prior to the section 47 enquiry, an emergency multi-agency strategy discussion was held to ensure that all appropriate information was shared and gathered with all relevant professionals involved. Owens and Lloyd (2023) highlight the complexity of multi-agency work in child protection, due to some conflicting legislation from agencies. However, outcomes for those using multi-agency work </w:t>
      </w:r>
      <w:proofErr w:type="gramStart"/>
      <w:r>
        <w:rPr>
          <w:sz w:val="24"/>
        </w:rPr>
        <w:t>is</w:t>
      </w:r>
      <w:proofErr w:type="gramEnd"/>
      <w:r>
        <w:rPr>
          <w:sz w:val="24"/>
        </w:rPr>
        <w:t xml:space="preserve"> also described as being child-centred, and collaborative, to ensure the best outcomes for the child. For example, during this process, collaboration with agencies, such as police and health professionals was detrimental to safeguarding person 1 in this </w:t>
      </w:r>
      <w:proofErr w:type="gramStart"/>
      <w:r>
        <w:rPr>
          <w:sz w:val="24"/>
        </w:rPr>
        <w:t>instance, and</w:t>
      </w:r>
      <w:proofErr w:type="gramEnd"/>
      <w:r>
        <w:rPr>
          <w:sz w:val="24"/>
        </w:rPr>
        <w:t xml:space="preserve"> is a key element when following the Wales Safeguarding Procedures (WG, 2019). Working together ensured that expertise from all areas was shared and developed, and that professional opinions were able to guide areas of person 1’s care moving forward. This also informed my sections 47 investigation with person 1, allowing me to have a </w:t>
      </w:r>
      <w:proofErr w:type="gramStart"/>
      <w:r>
        <w:rPr>
          <w:sz w:val="24"/>
        </w:rPr>
        <w:t>fully-informed</w:t>
      </w:r>
      <w:proofErr w:type="gramEnd"/>
      <w:r>
        <w:rPr>
          <w:sz w:val="24"/>
        </w:rPr>
        <w:t xml:space="preserve">, and sensitive approach towards the investigation. </w:t>
      </w:r>
    </w:p>
    <w:p w14:paraId="772D251E" w14:textId="77777777" w:rsidR="00DE5F09" w:rsidRDefault="00DE5F09" w:rsidP="00DE5F09">
      <w:pPr>
        <w:rPr>
          <w:sz w:val="24"/>
        </w:rPr>
      </w:pPr>
    </w:p>
    <w:p w14:paraId="19F5DA26" w14:textId="77777777" w:rsidR="00DE5F09" w:rsidRDefault="00DE5F09" w:rsidP="00DE5F09">
      <w:pPr>
        <w:rPr>
          <w:sz w:val="24"/>
        </w:rPr>
      </w:pPr>
      <w:r>
        <w:rPr>
          <w:sz w:val="24"/>
        </w:rPr>
        <w:t xml:space="preserve">The section 47 investigation was arranged for a date as soon as could possibly be arranged, to allow person 1 to have retained the information needed to inform my assessment. Person 1 was placed a long distance away, and therefore I made the decision to conduct the assessment virtually, to keep this assessment within the expected timescales, within my local authority’s expectations of a section 47 enquiry. However, upon reflection </w:t>
      </w:r>
      <w:proofErr w:type="gramStart"/>
      <w:r>
        <w:rPr>
          <w:sz w:val="24"/>
        </w:rPr>
        <w:t>it is clear that person</w:t>
      </w:r>
      <w:proofErr w:type="gramEnd"/>
      <w:r>
        <w:rPr>
          <w:sz w:val="24"/>
        </w:rPr>
        <w:t xml:space="preserve"> </w:t>
      </w:r>
      <w:r>
        <w:rPr>
          <w:sz w:val="24"/>
        </w:rPr>
        <w:lastRenderedPageBreak/>
        <w:t xml:space="preserve">1 did not feel as comfortable to discuss such a traumatic event virtually, and many non-verbal communications were missed as a result of this. Although virtual communication can be very useful at times, this may not have been the best form of communication, as it can be difficult to share stressful and emotional encounters virtually (Pink et al, 2021). As this was also a criminal investigation, the police joined the enquiry assessment session too, to gather evidence and offer support to person 1. </w:t>
      </w:r>
    </w:p>
    <w:p w14:paraId="07BEAD2A" w14:textId="77777777" w:rsidR="00DE5F09" w:rsidRDefault="00DE5F09" w:rsidP="00DE5F09">
      <w:pPr>
        <w:rPr>
          <w:sz w:val="24"/>
        </w:rPr>
      </w:pPr>
    </w:p>
    <w:p w14:paraId="3905D111" w14:textId="77777777" w:rsidR="00DE5F09" w:rsidRDefault="00DE5F09" w:rsidP="00DE5F09">
      <w:pPr>
        <w:rPr>
          <w:sz w:val="24"/>
        </w:rPr>
      </w:pPr>
      <w:r>
        <w:rPr>
          <w:sz w:val="24"/>
        </w:rPr>
        <w:t xml:space="preserve">Prior to the virtual assessment session with person 1, her parents were informed of the concerns and the section 47 enquiry that would be completed, and actioned. They provided their consent to the assessment, and to person 1 being spoken to alone, which was best practice in this situation. As I am fully aware of the young person’s history and experiences, I was very aware to take a non-judgemental approach to the assessment, making sure that person 1 felt as comfortable as possible to share her experiences with me. Backer (2022) recognises the hierarchy in social work, along with a need to adopt a robust approach to consider social work ethics in such sensitive matters. This underlines the importance of the child’s voice within </w:t>
      </w:r>
      <w:proofErr w:type="gramStart"/>
      <w:r>
        <w:rPr>
          <w:sz w:val="24"/>
        </w:rPr>
        <w:t>assessment, and</w:t>
      </w:r>
      <w:proofErr w:type="gramEnd"/>
      <w:r>
        <w:rPr>
          <w:sz w:val="24"/>
        </w:rPr>
        <w:t xml:space="preserve"> adopting my own strategies to accommodate to person 1’s needs. For example, when I reflect upon my practice on other assessments completed, I recognise that I would often ask numerous questions to gather the information I need. However, reading person 1’s facial expressions and tone of voice, it was clear that this was not appropriate. Therefore, I read the situation to the best of my </w:t>
      </w:r>
      <w:proofErr w:type="gramStart"/>
      <w:r>
        <w:rPr>
          <w:sz w:val="24"/>
        </w:rPr>
        <w:t>ability, and</w:t>
      </w:r>
      <w:proofErr w:type="gramEnd"/>
      <w:r>
        <w:rPr>
          <w:sz w:val="24"/>
        </w:rPr>
        <w:t xml:space="preserve"> using prior knowledge from specific training undergone to complete section 47 enquiries. This training provided me with a wealth of knowledge around safeguarding, section 47 child protection procedures and best practice, to allow me to utilise this within practice. However, it is now clear that this training did not account for specifically challenging situations like this one, and therefore my own emotional intelligence and empathy then became significant to the assessment process. Herland (2021) specifically indicates that these areas can be central to social work at times, especially across areas of social work, where there can be numerous challenges which can often be unexpected to practitioners. </w:t>
      </w:r>
    </w:p>
    <w:p w14:paraId="2F32447B" w14:textId="77777777" w:rsidR="00DE5F09" w:rsidRDefault="00DE5F09" w:rsidP="00DE5F09">
      <w:pPr>
        <w:rPr>
          <w:sz w:val="24"/>
        </w:rPr>
      </w:pPr>
    </w:p>
    <w:p w14:paraId="3679EB37" w14:textId="77777777" w:rsidR="00DE5F09" w:rsidRDefault="00DE5F09" w:rsidP="00DE5F09">
      <w:pPr>
        <w:rPr>
          <w:sz w:val="24"/>
        </w:rPr>
      </w:pPr>
      <w:r>
        <w:rPr>
          <w:sz w:val="24"/>
        </w:rPr>
        <w:t xml:space="preserve">My own experience of conducting section 47 enquiries over the past year has allowed me opportunities to encounter </w:t>
      </w:r>
      <w:proofErr w:type="gramStart"/>
      <w:r>
        <w:rPr>
          <w:sz w:val="24"/>
        </w:rPr>
        <w:t>a number of</w:t>
      </w:r>
      <w:proofErr w:type="gramEnd"/>
      <w:r>
        <w:rPr>
          <w:sz w:val="24"/>
        </w:rPr>
        <w:t xml:space="preserve"> different situations relating to child protection and safeguarding, and to act upon very challenging situations and scenarios. This better enabled me to manage my own emotions within the stressful and emotional assessment of person 1, and to evaluate the information being provided at that time. Upon reflection, I recognise that I adopted an avoidance style of working at this time with regards to my own emotions, as the conversations were focused on person 1’s trauma experienced with high emotion. Gil and Weinberg (2015) highlight the importance of understanding secondary trauma as a social worker, and implementing coping strategies into one’s own practice to promote better practice and support for individuals we work alongside. My own emotional resilience within this stressful situation was used to ensure that my own emotions did not affect person 1’s assessment, and their ability to engage fully in the assessment. This allowed for a safe space, for person 1 to explore her trauma in a planned and respectful way. This is a significant aspect of direct work with those who have experienced </w:t>
      </w:r>
      <w:proofErr w:type="gramStart"/>
      <w:r>
        <w:rPr>
          <w:sz w:val="24"/>
        </w:rPr>
        <w:t>trauma, and</w:t>
      </w:r>
      <w:proofErr w:type="gramEnd"/>
      <w:r>
        <w:rPr>
          <w:sz w:val="24"/>
        </w:rPr>
        <w:t xml:space="preserve"> allows for communication to support the process (Mind, 2023). </w:t>
      </w:r>
    </w:p>
    <w:p w14:paraId="7E417039" w14:textId="77777777" w:rsidR="00DE5F09" w:rsidRDefault="00DE5F09" w:rsidP="00DE5F09">
      <w:pPr>
        <w:rPr>
          <w:sz w:val="24"/>
        </w:rPr>
      </w:pPr>
    </w:p>
    <w:p w14:paraId="2F7B3358" w14:textId="77777777" w:rsidR="00DE5F09" w:rsidRDefault="00DE5F09" w:rsidP="00DE5F09">
      <w:pPr>
        <w:rPr>
          <w:sz w:val="24"/>
        </w:rPr>
      </w:pPr>
      <w:r>
        <w:rPr>
          <w:sz w:val="24"/>
        </w:rPr>
        <w:lastRenderedPageBreak/>
        <w:t xml:space="preserve">With regards to collaborative working, the police in the area were able to assist and support with the investigation; they engaged in a planning meeting ahead of the investigation to gather information, which promoted a positive working relationship between both agencies, police and social services. The police role was established ahead of the investigation, to ensure that this went as calmly and planned as possible. Police were assisting with the criminal aspect of the investigation, to establish any criminality, and offer person 1 their assistance and support with any onward criminal investigation. My role was also agreed prior, to gather information in a child-centred way, as I had an already-established relationship with person </w:t>
      </w:r>
      <w:proofErr w:type="gramStart"/>
      <w:r>
        <w:rPr>
          <w:sz w:val="24"/>
        </w:rPr>
        <w:t>1, and</w:t>
      </w:r>
      <w:proofErr w:type="gramEnd"/>
      <w:r>
        <w:rPr>
          <w:sz w:val="24"/>
        </w:rPr>
        <w:t xml:space="preserve"> was able to use my prior knowledge and understanding of this person, along with communication skills to ensure that the reason for the assessment was fully understood, along with the communication style being used. It is crucial to use plain language that can be understood, and to consider non-verbal communications within assessment too, which can provide a wealth of useful information (SCIE, 2007). </w:t>
      </w:r>
    </w:p>
    <w:p w14:paraId="246D7B88" w14:textId="77777777" w:rsidR="00DE5F09" w:rsidRDefault="00DE5F09" w:rsidP="00DE5F09">
      <w:pPr>
        <w:rPr>
          <w:sz w:val="24"/>
        </w:rPr>
      </w:pPr>
    </w:p>
    <w:p w14:paraId="1728CB9A" w14:textId="77777777" w:rsidR="00DE5F09" w:rsidRDefault="00DE5F09" w:rsidP="00DE5F09">
      <w:pPr>
        <w:rPr>
          <w:sz w:val="24"/>
        </w:rPr>
      </w:pPr>
      <w:r>
        <w:rPr>
          <w:sz w:val="24"/>
        </w:rPr>
        <w:t xml:space="preserve">The positive working relationship between myself and police within this assessment was key within this process, with a wealth of information sharing, and a good understanding of one another’s roles within the process. This aspect of the Wales Safeguarding Procedures (WG, 2019) allowed for us both to have a wealth of prior knowledge to avoid unnecessary questioning, and to understand how to better communicate with person 1 to gather information needed to assess and plan forward. My aim was to gather as much relevant information with regards to the incident, and to assess the risk to person 1 moving forward. This would then inform my written assessment of the circumstances, and best inform the interventions planning forward, with person 1. </w:t>
      </w:r>
    </w:p>
    <w:p w14:paraId="13179975" w14:textId="77777777" w:rsidR="00DE5F09" w:rsidRDefault="00DE5F09" w:rsidP="00DE5F09">
      <w:pPr>
        <w:rPr>
          <w:sz w:val="24"/>
        </w:rPr>
      </w:pPr>
    </w:p>
    <w:p w14:paraId="0B66CE10" w14:textId="77777777" w:rsidR="00DE5F09" w:rsidRDefault="00DE5F09" w:rsidP="00DE5F09">
      <w:pPr>
        <w:rPr>
          <w:sz w:val="24"/>
        </w:rPr>
      </w:pPr>
      <w:r>
        <w:rPr>
          <w:sz w:val="24"/>
        </w:rPr>
        <w:t xml:space="preserve">Upon reflection of the assessment, </w:t>
      </w:r>
      <w:proofErr w:type="gramStart"/>
      <w:r>
        <w:rPr>
          <w:sz w:val="24"/>
        </w:rPr>
        <w:t>it is clear that the</w:t>
      </w:r>
      <w:proofErr w:type="gramEnd"/>
      <w:r>
        <w:rPr>
          <w:sz w:val="24"/>
        </w:rPr>
        <w:t xml:space="preserve"> planning of this intervention was a significant positive, which allowed me to be present within the conversations and to perceive the non-verbal communication. My background knowledge and experience of the case was also a constructive element, including the extensive work completed with person 1 whilst living with family previously. This helped me to understand the history of the family, and person 1’s experiences throughout her life course, and how this could impact upon her daily life now. Within this, social learning theory (Bandura, 1977) has been considered, with person 1’s learnt behaviours and considering where this has arisen from. It is clear that the influential factors of her environment </w:t>
      </w:r>
      <w:proofErr w:type="gramStart"/>
      <w:r>
        <w:rPr>
          <w:sz w:val="24"/>
        </w:rPr>
        <w:t>has</w:t>
      </w:r>
      <w:proofErr w:type="gramEnd"/>
      <w:r>
        <w:rPr>
          <w:sz w:val="24"/>
        </w:rPr>
        <w:t xml:space="preserve"> played a key role in person 1’s outlook and behaviours. This includes family environment, and the environment with friends, whilst also considering person 1’s individual interpretation of these environments. It has been clear from observation that the learnt behaviours shown by person 1, such as absconding and substance misuse, have been observed with friends’ behaviours and reproduced in person 1’s own behaviours to seek feelings of acceptance or pleasure. During reproduction of these behaviours, person 1 has found that these behaviours have led to feelings of pleasure, and acceptance from peers. This reinforcement has provided the motivation for person1 to continue to reproduce these behaviours. </w:t>
      </w:r>
    </w:p>
    <w:p w14:paraId="01FBE3E7" w14:textId="77777777" w:rsidR="00DE5F09" w:rsidRDefault="00DE5F09" w:rsidP="00DE5F09">
      <w:pPr>
        <w:rPr>
          <w:sz w:val="24"/>
        </w:rPr>
      </w:pPr>
    </w:p>
    <w:p w14:paraId="3762CF37" w14:textId="77777777" w:rsidR="00DE5F09" w:rsidRDefault="00DE5F09" w:rsidP="00DE5F09">
      <w:pPr>
        <w:rPr>
          <w:sz w:val="24"/>
        </w:rPr>
      </w:pPr>
      <w:r>
        <w:rPr>
          <w:sz w:val="24"/>
        </w:rPr>
        <w:t xml:space="preserve">During the assessment process, although person 1 did appear reluctant to share information, there were some significant disclosures made, which were both difficult for person 1 to share, </w:t>
      </w:r>
      <w:proofErr w:type="gramStart"/>
      <w:r>
        <w:rPr>
          <w:sz w:val="24"/>
        </w:rPr>
        <w:t>and also</w:t>
      </w:r>
      <w:proofErr w:type="gramEnd"/>
      <w:r>
        <w:rPr>
          <w:sz w:val="24"/>
        </w:rPr>
        <w:t xml:space="preserve"> difficult for me to process within that situation. The information was directly linked to CSE, and therefore I had to ensure that I was approaching the topic sensitively, whilst also </w:t>
      </w:r>
      <w:r>
        <w:rPr>
          <w:sz w:val="24"/>
        </w:rPr>
        <w:lastRenderedPageBreak/>
        <w:t xml:space="preserve">gathering as much relevant information as possible, to inform my ongoing assessment. Iancu and Lanteigne (2020) highlight the complexity faced by many social workers within practice, and the importance of breaking down these complexities at times to make situations more manageable. With this considered, I allowed sufficient time for person 1 to talk about her experiences, as I actively listened. I used this information to then evaluate the implications of the different options moving forward, using my professional judgement within this increasingly complex situation, to ensure I can support person 1 with the best outcomes possible. This critical thinking is important within social work practice, to allow concepts of professional and person judgement to be explored in a rational way (Shimei et al, 2016). Of course, it was difficult to only withhold professional judgement on the situation, and refrain from allowing my own personal judgement to cloud my professionalism within this complex situation. </w:t>
      </w:r>
    </w:p>
    <w:p w14:paraId="64B43098" w14:textId="77777777" w:rsidR="00DE5F09" w:rsidRDefault="00DE5F09" w:rsidP="00DE5F09">
      <w:pPr>
        <w:rPr>
          <w:sz w:val="24"/>
        </w:rPr>
      </w:pPr>
    </w:p>
    <w:p w14:paraId="6FB9303A" w14:textId="77777777" w:rsidR="00DE5F09" w:rsidRDefault="00DE5F09" w:rsidP="00DE5F09">
      <w:pPr>
        <w:rPr>
          <w:sz w:val="24"/>
        </w:rPr>
      </w:pPr>
      <w:r>
        <w:rPr>
          <w:sz w:val="24"/>
        </w:rPr>
        <w:t xml:space="preserve">My professional judgement allowed me to calmly assess the </w:t>
      </w:r>
      <w:proofErr w:type="gramStart"/>
      <w:r>
        <w:rPr>
          <w:sz w:val="24"/>
        </w:rPr>
        <w:t>situation, and</w:t>
      </w:r>
      <w:proofErr w:type="gramEnd"/>
      <w:r>
        <w:rPr>
          <w:sz w:val="24"/>
        </w:rPr>
        <w:t xml:space="preserve"> consider the best interests of person 1 at this time. This included the emotional wellbeing of person 1 during this process, and the steps to be taken next, such as safeguarding steps and procedures. Person 1 was talked through the process of medical examination, and how this could be followed up and supported by her close support staff. Further safeguarding measures were needed such as follow-up police support, to ensure she feels fully supported in any further disclosures being made, and that she fully understands the police processes. Voice and control </w:t>
      </w:r>
      <w:proofErr w:type="gramStart"/>
      <w:r>
        <w:rPr>
          <w:sz w:val="24"/>
        </w:rPr>
        <w:t>is</w:t>
      </w:r>
      <w:proofErr w:type="gramEnd"/>
      <w:r>
        <w:rPr>
          <w:sz w:val="24"/>
        </w:rPr>
        <w:t xml:space="preserve"> a significant element of the assessment, and it was made clear to person 1 that she has a voice within this process, and control over what she shares and how things will proceed, which aims to be an empowering aspect. However, person 1 did not feel empowered to disclose any further, or to support with police investigations at this time, which was listened to and accepted by both </w:t>
      </w:r>
      <w:proofErr w:type="gramStart"/>
      <w:r>
        <w:rPr>
          <w:sz w:val="24"/>
        </w:rPr>
        <w:t>myself</w:t>
      </w:r>
      <w:proofErr w:type="gramEnd"/>
      <w:r>
        <w:rPr>
          <w:sz w:val="24"/>
        </w:rPr>
        <w:t xml:space="preserve"> and the police officer involved. </w:t>
      </w:r>
    </w:p>
    <w:p w14:paraId="2E7C0853" w14:textId="77777777" w:rsidR="00DE5F09" w:rsidRDefault="00DE5F09" w:rsidP="00DE5F09">
      <w:pPr>
        <w:rPr>
          <w:sz w:val="24"/>
        </w:rPr>
      </w:pPr>
    </w:p>
    <w:p w14:paraId="67581751" w14:textId="77777777" w:rsidR="00DE5F09" w:rsidRDefault="00DE5F09" w:rsidP="00DE5F09">
      <w:pPr>
        <w:rPr>
          <w:sz w:val="24"/>
        </w:rPr>
      </w:pPr>
      <w:r>
        <w:rPr>
          <w:sz w:val="24"/>
        </w:rPr>
        <w:t xml:space="preserve">This assessment was evaluated within an information supervision session with my manager, to explore information received and how best to move forward with this. It was helpful to review my </w:t>
      </w:r>
      <w:proofErr w:type="gramStart"/>
      <w:r>
        <w:rPr>
          <w:sz w:val="24"/>
        </w:rPr>
        <w:t>intervention, and</w:t>
      </w:r>
      <w:proofErr w:type="gramEnd"/>
      <w:r>
        <w:rPr>
          <w:sz w:val="24"/>
        </w:rPr>
        <w:t xml:space="preserve"> gain feedback to allow me to reflect formally on my own practice, and how this has impacted on person 1. Person 1 did remain at the centre of the discussions throughout, with the importance being placed on her experience, and how this has been supported. It was highlighted that the demographic of her placement may have played a role in the significance of the incident, </w:t>
      </w:r>
      <w:proofErr w:type="gramStart"/>
      <w:r>
        <w:rPr>
          <w:sz w:val="24"/>
        </w:rPr>
        <w:t>and also</w:t>
      </w:r>
      <w:proofErr w:type="gramEnd"/>
      <w:r>
        <w:rPr>
          <w:sz w:val="24"/>
        </w:rPr>
        <w:t xml:space="preserve"> person 1’s particular vulnerability. Evaluation within assessment is an area which is strongly encouraged, with a need to evaluate the outcomes of those we work alongside, </w:t>
      </w:r>
      <w:proofErr w:type="gramStart"/>
      <w:r>
        <w:rPr>
          <w:sz w:val="24"/>
        </w:rPr>
        <w:t>and also</w:t>
      </w:r>
      <w:proofErr w:type="gramEnd"/>
      <w:r>
        <w:rPr>
          <w:sz w:val="24"/>
        </w:rPr>
        <w:t xml:space="preserve"> to progress social work practice overall (Wharton and Kazi, 2012). Evaluation of the assessment was conducted also with person 1 herself following the assessment, which was important to ensure that she understood the assessment fully; to which she was able to recognise that she did not engage as fully as she feels she should </w:t>
      </w:r>
      <w:proofErr w:type="gramStart"/>
      <w:r>
        <w:rPr>
          <w:sz w:val="24"/>
        </w:rPr>
        <w:t>have, but</w:t>
      </w:r>
      <w:proofErr w:type="gramEnd"/>
      <w:r>
        <w:rPr>
          <w:sz w:val="24"/>
        </w:rPr>
        <w:t xml:space="preserve"> did feel she had the opportunity to say what she felt comfortable with at that stage. She did highlight that she would have preferred a face-to-face assessment, as this may have helped her feel more comfortable to discuss further. Therefore, this has been key to developing my social work </w:t>
      </w:r>
      <w:proofErr w:type="gramStart"/>
      <w:r>
        <w:rPr>
          <w:sz w:val="24"/>
        </w:rPr>
        <w:t>practice, and</w:t>
      </w:r>
      <w:proofErr w:type="gramEnd"/>
      <w:r>
        <w:rPr>
          <w:sz w:val="24"/>
        </w:rPr>
        <w:t xml:space="preserve"> will be considered in the future with any assessments. </w:t>
      </w:r>
    </w:p>
    <w:p w14:paraId="39835CFC" w14:textId="77777777" w:rsidR="00DE5F09" w:rsidRDefault="00DE5F09" w:rsidP="00DE5F09">
      <w:pPr>
        <w:rPr>
          <w:sz w:val="24"/>
        </w:rPr>
      </w:pPr>
    </w:p>
    <w:p w14:paraId="7F931239" w14:textId="77777777" w:rsidR="00DE5F09" w:rsidRDefault="00DE5F09" w:rsidP="00DE5F09">
      <w:pPr>
        <w:rPr>
          <w:sz w:val="24"/>
        </w:rPr>
      </w:pPr>
      <w:r>
        <w:rPr>
          <w:sz w:val="24"/>
        </w:rPr>
        <w:t xml:space="preserve">The information gathered was then able to be shared within a multi-agency setting, to ensure that all involved with the support of person 1 were aware of the disclosures, and her preferences of being supported. The assessment was shared, and evaluated within this setting, allowing for judgements of key informants on the outcomes (Washburn et al, 2021). </w:t>
      </w:r>
      <w:r>
        <w:rPr>
          <w:sz w:val="24"/>
        </w:rPr>
        <w:lastRenderedPageBreak/>
        <w:t xml:space="preserve">This process was </w:t>
      </w:r>
      <w:proofErr w:type="gramStart"/>
      <w:r>
        <w:rPr>
          <w:sz w:val="24"/>
        </w:rPr>
        <w:t>inclusive, and</w:t>
      </w:r>
      <w:proofErr w:type="gramEnd"/>
      <w:r>
        <w:rPr>
          <w:sz w:val="24"/>
        </w:rPr>
        <w:t xml:space="preserve"> promoted multi-agency working to ensure child-centred outcomes. </w:t>
      </w:r>
    </w:p>
    <w:p w14:paraId="482F1D60" w14:textId="77777777" w:rsidR="00DE5F09" w:rsidRDefault="00DE5F09" w:rsidP="00DE5F09">
      <w:pPr>
        <w:rPr>
          <w:sz w:val="24"/>
        </w:rPr>
      </w:pPr>
    </w:p>
    <w:p w14:paraId="5286D1B4" w14:textId="77777777" w:rsidR="00DE5F09" w:rsidRDefault="00DE5F09" w:rsidP="00DE5F09">
      <w:pPr>
        <w:rPr>
          <w:sz w:val="24"/>
        </w:rPr>
      </w:pPr>
      <w:r>
        <w:rPr>
          <w:sz w:val="24"/>
        </w:rPr>
        <w:t xml:space="preserve">This report has provided a narrative to a case study within children’s social work, with the focus being on the safeguarding of person 1. This case study was one that I found particularly challenging due to the complexities, but also felt I learned and developed from. I have reflected upon aspects that did go well, and that also I felt did not go so well, which in turn are areas I feel I have learned </w:t>
      </w:r>
      <w:proofErr w:type="gramStart"/>
      <w:r>
        <w:rPr>
          <w:sz w:val="24"/>
        </w:rPr>
        <w:t>from, and</w:t>
      </w:r>
      <w:proofErr w:type="gramEnd"/>
      <w:r>
        <w:rPr>
          <w:sz w:val="24"/>
        </w:rPr>
        <w:t xml:space="preserve"> will consider in future practice. Aspects of legislation have been covered, including Welsh legislation, and policies also have been discussed around the safeguarding of children and young people. It is evident that local authorities have their own policies, but also follow larger legislation and guidance, SSWBA and CA89. My own decision making has been outlined, and the reasons I did proceed with the assessment process as I did, and how I might proceed in the future. Feedback from person 1 was included, and aspects of voice and control, as this is a significant aspect of Welsh guidance under the SSWBA and Wales Safeguarding Procedures. Overall, it has been clear that safeguarding children is an area of complexity, with the need for multi-agency work, a child centred approach, and professional judgement in those complex situations to ensure best outcomes for children and young people. </w:t>
      </w:r>
    </w:p>
    <w:p w14:paraId="1927BA76" w14:textId="77777777" w:rsidR="00DE5F09" w:rsidRDefault="00DE5F09" w:rsidP="00DE5F09">
      <w:pPr>
        <w:rPr>
          <w:sz w:val="24"/>
        </w:rPr>
      </w:pPr>
    </w:p>
    <w:p w14:paraId="24291311" w14:textId="77777777" w:rsidR="00DE5F09" w:rsidRDefault="00DE5F09" w:rsidP="00DE5F09">
      <w:pPr>
        <w:rPr>
          <w:sz w:val="24"/>
        </w:rPr>
      </w:pPr>
    </w:p>
    <w:p w14:paraId="56CD309E" w14:textId="77777777" w:rsidR="00DE5F09" w:rsidRDefault="00DE5F09" w:rsidP="00DE5F09">
      <w:pPr>
        <w:rPr>
          <w:sz w:val="24"/>
        </w:rPr>
      </w:pPr>
    </w:p>
    <w:p w14:paraId="18CEF524" w14:textId="77777777" w:rsidR="00DE5F09" w:rsidRDefault="00DE5F09" w:rsidP="00DE5F09">
      <w:pPr>
        <w:rPr>
          <w:sz w:val="24"/>
        </w:rPr>
      </w:pPr>
    </w:p>
    <w:p w14:paraId="569F3474" w14:textId="77777777" w:rsidR="00DE5F09" w:rsidRDefault="00DE5F09" w:rsidP="00DE5F09">
      <w:pPr>
        <w:rPr>
          <w:sz w:val="24"/>
        </w:rPr>
      </w:pPr>
      <w:r>
        <w:rPr>
          <w:sz w:val="24"/>
        </w:rPr>
        <w:t xml:space="preserve">Word count – 3,728. </w:t>
      </w:r>
    </w:p>
    <w:p w14:paraId="34AC1FD5" w14:textId="77777777" w:rsidR="00DE5F09" w:rsidRDefault="00DE5F09" w:rsidP="00DE5F09">
      <w:pPr>
        <w:rPr>
          <w:sz w:val="24"/>
        </w:rPr>
      </w:pPr>
    </w:p>
    <w:p w14:paraId="4A4DF21D" w14:textId="77777777" w:rsidR="00DE5F09" w:rsidRDefault="00DE5F09" w:rsidP="00DE5F09">
      <w:pPr>
        <w:rPr>
          <w:sz w:val="24"/>
        </w:rPr>
      </w:pPr>
    </w:p>
    <w:p w14:paraId="2B4E242B" w14:textId="77777777" w:rsidR="00DE5F09" w:rsidRDefault="00DE5F09" w:rsidP="00DE5F09">
      <w:pPr>
        <w:rPr>
          <w:sz w:val="24"/>
        </w:rPr>
      </w:pPr>
    </w:p>
    <w:p w14:paraId="6FCE5318" w14:textId="77777777" w:rsidR="00DE5F09" w:rsidRDefault="00DE5F09" w:rsidP="00DE5F09">
      <w:pPr>
        <w:rPr>
          <w:sz w:val="24"/>
        </w:rPr>
      </w:pPr>
    </w:p>
    <w:p w14:paraId="5956B8E0" w14:textId="77777777" w:rsidR="00DE5F09" w:rsidRDefault="00DE5F09" w:rsidP="00DE5F09">
      <w:pPr>
        <w:rPr>
          <w:sz w:val="24"/>
        </w:rPr>
      </w:pPr>
    </w:p>
    <w:p w14:paraId="6EFF5EA3" w14:textId="77777777" w:rsidR="00DE5F09" w:rsidRDefault="00DE5F09" w:rsidP="00DE5F09">
      <w:pPr>
        <w:rPr>
          <w:sz w:val="24"/>
        </w:rPr>
      </w:pPr>
    </w:p>
    <w:p w14:paraId="55DE7751" w14:textId="77777777" w:rsidR="00DE5F09" w:rsidRDefault="00DE5F09" w:rsidP="00DE5F09">
      <w:pPr>
        <w:rPr>
          <w:sz w:val="24"/>
        </w:rPr>
      </w:pPr>
    </w:p>
    <w:p w14:paraId="5294520A" w14:textId="77777777" w:rsidR="00DE5F09" w:rsidRDefault="00DE5F09" w:rsidP="00DE5F09">
      <w:pPr>
        <w:rPr>
          <w:sz w:val="24"/>
        </w:rPr>
      </w:pPr>
    </w:p>
    <w:p w14:paraId="1F1C2DE4" w14:textId="77777777" w:rsidR="00DE5F09" w:rsidRDefault="00DE5F09" w:rsidP="00DE5F09">
      <w:pPr>
        <w:rPr>
          <w:sz w:val="24"/>
        </w:rPr>
      </w:pPr>
    </w:p>
    <w:p w14:paraId="171938A8" w14:textId="77777777" w:rsidR="00DE5F09" w:rsidRDefault="00DE5F09" w:rsidP="00DE5F09">
      <w:pPr>
        <w:rPr>
          <w:sz w:val="24"/>
        </w:rPr>
      </w:pPr>
    </w:p>
    <w:p w14:paraId="3D9F3AAE" w14:textId="77777777" w:rsidR="00DE5F09" w:rsidRPr="008B5E7A" w:rsidRDefault="00DE5F09" w:rsidP="00DE5F09">
      <w:pPr>
        <w:rPr>
          <w:i/>
          <w:sz w:val="24"/>
        </w:rPr>
      </w:pPr>
      <w:r w:rsidRPr="008B5E7A">
        <w:rPr>
          <w:i/>
          <w:sz w:val="24"/>
        </w:rPr>
        <w:t xml:space="preserve">References </w:t>
      </w:r>
    </w:p>
    <w:p w14:paraId="209B0126" w14:textId="77777777" w:rsidR="00DE5F09" w:rsidRDefault="00DE5F09" w:rsidP="00DE5F09">
      <w:pPr>
        <w:rPr>
          <w:sz w:val="24"/>
        </w:rPr>
      </w:pPr>
    </w:p>
    <w:p w14:paraId="7587E3C5" w14:textId="77777777" w:rsidR="00DE5F09" w:rsidRDefault="00DE5F09" w:rsidP="00DE5F09">
      <w:pPr>
        <w:overflowPunct/>
        <w:textAlignment w:val="auto"/>
        <w:rPr>
          <w:sz w:val="24"/>
          <w:szCs w:val="30"/>
          <w:shd w:val="clear" w:color="auto" w:fill="FFFFFF"/>
        </w:rPr>
      </w:pPr>
      <w:r w:rsidRPr="006B34A4">
        <w:rPr>
          <w:sz w:val="24"/>
          <w:szCs w:val="30"/>
          <w:shd w:val="clear" w:color="auto" w:fill="FFFFFF"/>
        </w:rPr>
        <w:t>Backer, Mattias De. (2022). Co-constructing participatory ethics to address hierarchy and inequality: Social work ethics in research practice. </w:t>
      </w:r>
      <w:r w:rsidRPr="006B34A4">
        <w:rPr>
          <w:i/>
          <w:iCs/>
          <w:sz w:val="24"/>
          <w:szCs w:val="30"/>
        </w:rPr>
        <w:t>Qualitative Research</w:t>
      </w:r>
      <w:r w:rsidRPr="006B34A4">
        <w:rPr>
          <w:sz w:val="24"/>
          <w:szCs w:val="30"/>
          <w:shd w:val="clear" w:color="auto" w:fill="FFFFFF"/>
        </w:rPr>
        <w:t>. 22(5).</w:t>
      </w:r>
    </w:p>
    <w:p w14:paraId="7939FC04" w14:textId="77777777" w:rsidR="00DE5F09" w:rsidRDefault="00DE5F09" w:rsidP="00DE5F09">
      <w:pPr>
        <w:overflowPunct/>
        <w:textAlignment w:val="auto"/>
        <w:rPr>
          <w:sz w:val="24"/>
          <w:szCs w:val="30"/>
          <w:shd w:val="clear" w:color="auto" w:fill="FFFFFF"/>
        </w:rPr>
      </w:pPr>
    </w:p>
    <w:p w14:paraId="4086249B" w14:textId="77777777" w:rsidR="00DE5F09" w:rsidRDefault="00DE5F09" w:rsidP="00DE5F09">
      <w:pPr>
        <w:shd w:val="clear" w:color="auto" w:fill="FFFFFF"/>
        <w:overflowPunct/>
        <w:autoSpaceDE/>
        <w:autoSpaceDN/>
        <w:adjustRightInd/>
        <w:spacing w:line="330" w:lineRule="atLeast"/>
        <w:textAlignment w:val="auto"/>
        <w:rPr>
          <w:color w:val="111111"/>
          <w:sz w:val="24"/>
          <w:szCs w:val="24"/>
        </w:rPr>
      </w:pPr>
      <w:r w:rsidRPr="00E07673">
        <w:rPr>
          <w:color w:val="111111"/>
          <w:sz w:val="24"/>
          <w:szCs w:val="24"/>
        </w:rPr>
        <w:t>Bandura, A. (1977). Social learning theory. Prentice-Hall.</w:t>
      </w:r>
    </w:p>
    <w:p w14:paraId="75373196" w14:textId="77777777" w:rsidR="00DE5F09" w:rsidRDefault="00DE5F09" w:rsidP="00DE5F09">
      <w:pPr>
        <w:shd w:val="clear" w:color="auto" w:fill="FFFFFF"/>
        <w:overflowPunct/>
        <w:autoSpaceDE/>
        <w:autoSpaceDN/>
        <w:adjustRightInd/>
        <w:spacing w:line="330" w:lineRule="atLeast"/>
        <w:textAlignment w:val="auto"/>
        <w:rPr>
          <w:color w:val="111111"/>
          <w:sz w:val="24"/>
          <w:szCs w:val="24"/>
        </w:rPr>
      </w:pPr>
    </w:p>
    <w:p w14:paraId="61763B2E" w14:textId="77777777" w:rsidR="00DE5F09" w:rsidRPr="00E07673" w:rsidRDefault="00DE5F09" w:rsidP="00DE5F09">
      <w:pPr>
        <w:shd w:val="clear" w:color="auto" w:fill="FFFFFF"/>
        <w:overflowPunct/>
        <w:autoSpaceDE/>
        <w:autoSpaceDN/>
        <w:adjustRightInd/>
        <w:spacing w:line="330" w:lineRule="atLeast"/>
        <w:textAlignment w:val="auto"/>
        <w:rPr>
          <w:color w:val="111111"/>
          <w:sz w:val="24"/>
          <w:szCs w:val="24"/>
        </w:rPr>
      </w:pPr>
      <w:r>
        <w:rPr>
          <w:color w:val="111111"/>
          <w:sz w:val="24"/>
          <w:szCs w:val="24"/>
        </w:rPr>
        <w:t>Becker, G. (1968).</w:t>
      </w:r>
      <w:r w:rsidRPr="000F2613">
        <w:rPr>
          <w:color w:val="auto"/>
          <w:sz w:val="32"/>
          <w:szCs w:val="24"/>
        </w:rPr>
        <w:t xml:space="preserve"> </w:t>
      </w:r>
      <w:r w:rsidRPr="000F2613">
        <w:rPr>
          <w:color w:val="auto"/>
          <w:sz w:val="24"/>
          <w:shd w:val="clear" w:color="auto" w:fill="FFFFFF"/>
        </w:rPr>
        <w:t>Crime and punishment: An economic approach. </w:t>
      </w:r>
      <w:r w:rsidRPr="000F2613">
        <w:rPr>
          <w:rStyle w:val="Emphasis"/>
          <w:color w:val="auto"/>
          <w:sz w:val="24"/>
          <w:shd w:val="clear" w:color="auto" w:fill="FFFFFF"/>
        </w:rPr>
        <w:t>Journal of Political Economy</w:t>
      </w:r>
      <w:r w:rsidRPr="000F2613">
        <w:rPr>
          <w:color w:val="auto"/>
          <w:sz w:val="24"/>
          <w:shd w:val="clear" w:color="auto" w:fill="FFFFFF"/>
        </w:rPr>
        <w:t> 76: 169-217.</w:t>
      </w:r>
    </w:p>
    <w:p w14:paraId="0FC93EF0" w14:textId="77777777" w:rsidR="00DE5F09" w:rsidRPr="006B34A4" w:rsidRDefault="00DE5F09" w:rsidP="00DE5F09">
      <w:pPr>
        <w:overflowPunct/>
        <w:textAlignment w:val="auto"/>
        <w:rPr>
          <w:szCs w:val="30"/>
          <w:shd w:val="clear" w:color="auto" w:fill="FFFFFF"/>
        </w:rPr>
      </w:pPr>
    </w:p>
    <w:p w14:paraId="36802DE4" w14:textId="77777777" w:rsidR="00DE5F09" w:rsidRDefault="00DE5F09" w:rsidP="00DE5F09">
      <w:pPr>
        <w:overflowPunct/>
        <w:textAlignment w:val="auto"/>
        <w:rPr>
          <w:sz w:val="24"/>
          <w:szCs w:val="30"/>
          <w:shd w:val="clear" w:color="auto" w:fill="FFFFFF"/>
        </w:rPr>
      </w:pPr>
    </w:p>
    <w:p w14:paraId="6E6D6036" w14:textId="77777777" w:rsidR="00DE5F09" w:rsidRPr="0057130F" w:rsidRDefault="00DE5F09" w:rsidP="00DE5F09">
      <w:pPr>
        <w:overflowPunct/>
        <w:textAlignment w:val="auto"/>
        <w:rPr>
          <w:color w:val="auto"/>
          <w:szCs w:val="24"/>
          <w:lang w:eastAsia="en-US"/>
        </w:rPr>
      </w:pPr>
      <w:r w:rsidRPr="0057130F">
        <w:rPr>
          <w:sz w:val="24"/>
          <w:szCs w:val="30"/>
          <w:shd w:val="clear" w:color="auto" w:fill="FFFFFF"/>
        </w:rPr>
        <w:t>Bowden, F and Lambie, I. (2015). What makes youth run or stay? A review of the literature on absconding. </w:t>
      </w:r>
      <w:r w:rsidRPr="0057130F">
        <w:rPr>
          <w:i/>
          <w:iCs/>
          <w:sz w:val="24"/>
          <w:szCs w:val="30"/>
        </w:rPr>
        <w:t xml:space="preserve">Aggression and Violent </w:t>
      </w:r>
      <w:proofErr w:type="spellStart"/>
      <w:r w:rsidRPr="0057130F">
        <w:rPr>
          <w:i/>
          <w:iCs/>
          <w:sz w:val="24"/>
          <w:szCs w:val="30"/>
        </w:rPr>
        <w:t>Behavior</w:t>
      </w:r>
      <w:proofErr w:type="spellEnd"/>
      <w:r w:rsidRPr="0057130F">
        <w:rPr>
          <w:sz w:val="24"/>
          <w:szCs w:val="30"/>
          <w:shd w:val="clear" w:color="auto" w:fill="FFFFFF"/>
        </w:rPr>
        <w:t>. 25(B), pp.266-279.</w:t>
      </w:r>
    </w:p>
    <w:p w14:paraId="7510F665" w14:textId="77777777" w:rsidR="00DE5F09" w:rsidRDefault="00DE5F09" w:rsidP="00DE5F09">
      <w:pPr>
        <w:overflowPunct/>
        <w:textAlignment w:val="auto"/>
        <w:rPr>
          <w:color w:val="auto"/>
          <w:sz w:val="24"/>
          <w:szCs w:val="24"/>
          <w:lang w:eastAsia="en-US"/>
        </w:rPr>
      </w:pPr>
    </w:p>
    <w:p w14:paraId="26C9676C" w14:textId="77777777" w:rsidR="00DE5F09" w:rsidRPr="005945E3" w:rsidRDefault="00DE5F09" w:rsidP="00DE5F09">
      <w:pPr>
        <w:overflowPunct/>
        <w:textAlignment w:val="auto"/>
        <w:rPr>
          <w:color w:val="auto"/>
          <w:sz w:val="24"/>
          <w:szCs w:val="24"/>
          <w:lang w:eastAsia="en-US"/>
        </w:rPr>
      </w:pPr>
      <w:r>
        <w:rPr>
          <w:color w:val="auto"/>
          <w:sz w:val="24"/>
          <w:szCs w:val="24"/>
          <w:lang w:eastAsia="en-US"/>
        </w:rPr>
        <w:t xml:space="preserve">Brammer, A. (2010) </w:t>
      </w:r>
      <w:r>
        <w:rPr>
          <w:i/>
          <w:color w:val="auto"/>
          <w:sz w:val="24"/>
          <w:szCs w:val="24"/>
          <w:lang w:eastAsia="en-US"/>
        </w:rPr>
        <w:t>Social Work Law</w:t>
      </w:r>
      <w:r>
        <w:rPr>
          <w:color w:val="auto"/>
          <w:sz w:val="24"/>
          <w:szCs w:val="24"/>
          <w:lang w:eastAsia="en-US"/>
        </w:rPr>
        <w:t>, 3</w:t>
      </w:r>
      <w:r>
        <w:rPr>
          <w:color w:val="auto"/>
          <w:sz w:val="24"/>
          <w:szCs w:val="24"/>
          <w:vertAlign w:val="superscript"/>
          <w:lang w:eastAsia="en-US"/>
        </w:rPr>
        <w:t>rd</w:t>
      </w:r>
      <w:r>
        <w:rPr>
          <w:color w:val="auto"/>
          <w:sz w:val="24"/>
          <w:szCs w:val="24"/>
          <w:lang w:eastAsia="en-US"/>
        </w:rPr>
        <w:t xml:space="preserve"> Edition, Essex: Pearson Education Limited.</w:t>
      </w:r>
    </w:p>
    <w:p w14:paraId="17914EE9" w14:textId="77777777" w:rsidR="00DE5F09" w:rsidRDefault="00DE5F09" w:rsidP="00DE5F09">
      <w:pPr>
        <w:rPr>
          <w:sz w:val="24"/>
          <w:szCs w:val="30"/>
          <w:shd w:val="clear" w:color="auto" w:fill="FFFFFF"/>
        </w:rPr>
      </w:pPr>
    </w:p>
    <w:p w14:paraId="3C8D0EB8" w14:textId="77777777" w:rsidR="00DE5F09" w:rsidRDefault="00DE5F09" w:rsidP="00DE5F09">
      <w:pPr>
        <w:rPr>
          <w:sz w:val="24"/>
          <w:szCs w:val="30"/>
          <w:shd w:val="clear" w:color="auto" w:fill="FFFFFF"/>
        </w:rPr>
      </w:pPr>
      <w:r>
        <w:rPr>
          <w:sz w:val="24"/>
          <w:szCs w:val="30"/>
          <w:shd w:val="clear" w:color="auto" w:fill="FFFFFF"/>
        </w:rPr>
        <w:t xml:space="preserve">Children Act. (1989). London. </w:t>
      </w:r>
    </w:p>
    <w:p w14:paraId="0A7A8D07" w14:textId="77777777" w:rsidR="00DE5F09" w:rsidRDefault="00DE5F09" w:rsidP="00DE5F09">
      <w:pPr>
        <w:rPr>
          <w:sz w:val="24"/>
          <w:szCs w:val="30"/>
          <w:shd w:val="clear" w:color="auto" w:fill="FFFFFF"/>
        </w:rPr>
      </w:pPr>
    </w:p>
    <w:p w14:paraId="1A80F367" w14:textId="77777777" w:rsidR="00DE5F09" w:rsidRPr="003312F4" w:rsidRDefault="00DE5F09" w:rsidP="00DE5F09">
      <w:pPr>
        <w:rPr>
          <w:szCs w:val="30"/>
          <w:shd w:val="clear" w:color="auto" w:fill="FFFFFF"/>
        </w:rPr>
      </w:pPr>
      <w:r w:rsidRPr="003312F4">
        <w:rPr>
          <w:sz w:val="24"/>
          <w:szCs w:val="30"/>
          <w:shd w:val="clear" w:color="auto" w:fill="FFFFFF"/>
        </w:rPr>
        <w:t>Gil, S and Weinberg, M. (2015). Secondary trauma among social workers treating trauma clients: The role of coping strategies and internal resources. </w:t>
      </w:r>
      <w:r w:rsidRPr="003312F4">
        <w:rPr>
          <w:i/>
          <w:iCs/>
          <w:sz w:val="24"/>
          <w:szCs w:val="30"/>
        </w:rPr>
        <w:t>International social work</w:t>
      </w:r>
      <w:r w:rsidRPr="003312F4">
        <w:rPr>
          <w:sz w:val="24"/>
          <w:szCs w:val="30"/>
          <w:shd w:val="clear" w:color="auto" w:fill="FFFFFF"/>
        </w:rPr>
        <w:t>. 58(4).</w:t>
      </w:r>
    </w:p>
    <w:p w14:paraId="60067030" w14:textId="77777777" w:rsidR="00DE5F09" w:rsidRDefault="00DE5F09" w:rsidP="00DE5F09">
      <w:pPr>
        <w:rPr>
          <w:sz w:val="24"/>
          <w:szCs w:val="30"/>
          <w:shd w:val="clear" w:color="auto" w:fill="FFFFFF"/>
        </w:rPr>
      </w:pPr>
    </w:p>
    <w:p w14:paraId="720ABCFF" w14:textId="77777777" w:rsidR="00DE5F09" w:rsidRDefault="00DE5F09" w:rsidP="00DE5F09">
      <w:pPr>
        <w:rPr>
          <w:sz w:val="24"/>
          <w:szCs w:val="30"/>
          <w:shd w:val="clear" w:color="auto" w:fill="FFFFFF"/>
        </w:rPr>
      </w:pPr>
      <w:r w:rsidRPr="003E2412">
        <w:rPr>
          <w:sz w:val="24"/>
          <w:szCs w:val="30"/>
          <w:shd w:val="clear" w:color="auto" w:fill="FFFFFF"/>
        </w:rPr>
        <w:t>Herland, Mari D. (2021). Emotional intelligence as a part of critical reflection in social work practice and research. </w:t>
      </w:r>
      <w:r w:rsidRPr="003E2412">
        <w:rPr>
          <w:i/>
          <w:iCs/>
          <w:sz w:val="24"/>
          <w:szCs w:val="30"/>
        </w:rPr>
        <w:t>Qualitative Social Work</w:t>
      </w:r>
      <w:r w:rsidRPr="003E2412">
        <w:rPr>
          <w:sz w:val="24"/>
          <w:szCs w:val="30"/>
          <w:shd w:val="clear" w:color="auto" w:fill="FFFFFF"/>
        </w:rPr>
        <w:t>. 21(4).</w:t>
      </w:r>
    </w:p>
    <w:p w14:paraId="2101817E" w14:textId="77777777" w:rsidR="00DE5F09" w:rsidRDefault="00DE5F09" w:rsidP="00DE5F09">
      <w:pPr>
        <w:rPr>
          <w:sz w:val="24"/>
          <w:szCs w:val="30"/>
          <w:shd w:val="clear" w:color="auto" w:fill="FFFFFF"/>
        </w:rPr>
      </w:pPr>
    </w:p>
    <w:p w14:paraId="51D1862E" w14:textId="77777777" w:rsidR="00DE5F09" w:rsidRPr="006717CB" w:rsidRDefault="00DE5F09" w:rsidP="00DE5F09">
      <w:pPr>
        <w:rPr>
          <w:sz w:val="16"/>
          <w:szCs w:val="30"/>
          <w:shd w:val="clear" w:color="auto" w:fill="FFFFFF"/>
        </w:rPr>
      </w:pPr>
      <w:r w:rsidRPr="006717CB">
        <w:rPr>
          <w:sz w:val="24"/>
          <w:szCs w:val="30"/>
          <w:shd w:val="clear" w:color="auto" w:fill="FFFFFF"/>
        </w:rPr>
        <w:t>Iancu, P and Lanteigne, I. (2020). Advances in social work practice: Understanding uncertainty and unpredictability of complex non-linear situations. </w:t>
      </w:r>
      <w:r w:rsidRPr="006717CB">
        <w:rPr>
          <w:i/>
          <w:iCs/>
          <w:sz w:val="24"/>
          <w:szCs w:val="30"/>
        </w:rPr>
        <w:t>Journal of Social Work</w:t>
      </w:r>
      <w:r w:rsidRPr="006717CB">
        <w:rPr>
          <w:sz w:val="24"/>
          <w:szCs w:val="30"/>
          <w:shd w:val="clear" w:color="auto" w:fill="FFFFFF"/>
        </w:rPr>
        <w:t>. 22(1), pp.130-149.</w:t>
      </w:r>
    </w:p>
    <w:p w14:paraId="6E157085" w14:textId="77777777" w:rsidR="00DE5F09" w:rsidRDefault="00DE5F09" w:rsidP="00DE5F09">
      <w:pPr>
        <w:rPr>
          <w:sz w:val="24"/>
          <w:szCs w:val="30"/>
          <w:shd w:val="clear" w:color="auto" w:fill="FFFFFF"/>
        </w:rPr>
      </w:pPr>
    </w:p>
    <w:p w14:paraId="478A880A" w14:textId="77777777" w:rsidR="00DE5F09" w:rsidRDefault="00DE5F09" w:rsidP="00DE5F09">
      <w:pPr>
        <w:rPr>
          <w:sz w:val="24"/>
          <w:szCs w:val="30"/>
          <w:shd w:val="clear" w:color="auto" w:fill="FFFFFF"/>
        </w:rPr>
      </w:pPr>
      <w:r w:rsidRPr="00DB3BE7">
        <w:rPr>
          <w:sz w:val="24"/>
          <w:szCs w:val="30"/>
          <w:shd w:val="clear" w:color="auto" w:fill="FFFFFF"/>
        </w:rPr>
        <w:t>Jones, S. (2015). Social Work Practice Placements: Critical and Reflective Approaches. </w:t>
      </w:r>
      <w:r w:rsidRPr="00DB3BE7">
        <w:rPr>
          <w:i/>
          <w:iCs/>
          <w:sz w:val="24"/>
          <w:szCs w:val="30"/>
        </w:rPr>
        <w:t>The British Journal of Social Work</w:t>
      </w:r>
      <w:r w:rsidRPr="00DB3BE7">
        <w:rPr>
          <w:sz w:val="24"/>
          <w:szCs w:val="30"/>
          <w:shd w:val="clear" w:color="auto" w:fill="FFFFFF"/>
        </w:rPr>
        <w:t>. 45(8), p.2476–2477.</w:t>
      </w:r>
    </w:p>
    <w:p w14:paraId="2891CCDD" w14:textId="77777777" w:rsidR="00DE5F09" w:rsidRDefault="00DE5F09" w:rsidP="00DE5F09">
      <w:pPr>
        <w:rPr>
          <w:sz w:val="24"/>
          <w:szCs w:val="30"/>
          <w:shd w:val="clear" w:color="auto" w:fill="FFFFFF"/>
        </w:rPr>
      </w:pPr>
    </w:p>
    <w:p w14:paraId="7C6CFCF8" w14:textId="77777777" w:rsidR="00DE5F09" w:rsidRPr="00FA4762" w:rsidRDefault="00DE5F09" w:rsidP="00DE5F09">
      <w:pPr>
        <w:rPr>
          <w:szCs w:val="30"/>
          <w:shd w:val="clear" w:color="auto" w:fill="FFFFFF"/>
        </w:rPr>
      </w:pPr>
      <w:r w:rsidRPr="00FA4762">
        <w:rPr>
          <w:sz w:val="24"/>
          <w:szCs w:val="30"/>
          <w:shd w:val="clear" w:color="auto" w:fill="FFFFFF"/>
        </w:rPr>
        <w:t>Mind. (2023). </w:t>
      </w:r>
      <w:r w:rsidRPr="00FA4762">
        <w:rPr>
          <w:i/>
          <w:iCs/>
          <w:sz w:val="24"/>
          <w:szCs w:val="30"/>
        </w:rPr>
        <w:t>Trauma</w:t>
      </w:r>
      <w:r w:rsidRPr="00FA4762">
        <w:rPr>
          <w:sz w:val="24"/>
          <w:szCs w:val="30"/>
          <w:shd w:val="clear" w:color="auto" w:fill="FFFFFF"/>
        </w:rPr>
        <w:t>. [Online]. Mind. Available at: https://www.mind.org.uk/information-support/types-of-mental-health-problems/trauma/for-friends-and-f [Accessed 21/07/2023].</w:t>
      </w:r>
    </w:p>
    <w:p w14:paraId="7C31A941" w14:textId="77777777" w:rsidR="00DE5F09" w:rsidRDefault="00DE5F09" w:rsidP="00DE5F09">
      <w:pPr>
        <w:rPr>
          <w:sz w:val="24"/>
          <w:szCs w:val="30"/>
          <w:shd w:val="clear" w:color="auto" w:fill="FFFFFF"/>
        </w:rPr>
      </w:pPr>
    </w:p>
    <w:p w14:paraId="183729DD" w14:textId="77777777" w:rsidR="00DE5F09" w:rsidRDefault="00DE5F09" w:rsidP="00DE5F09">
      <w:pPr>
        <w:rPr>
          <w:sz w:val="24"/>
          <w:szCs w:val="30"/>
          <w:shd w:val="clear" w:color="auto" w:fill="FFFFFF"/>
        </w:rPr>
      </w:pPr>
      <w:r w:rsidRPr="005060B7">
        <w:rPr>
          <w:sz w:val="24"/>
          <w:szCs w:val="30"/>
          <w:shd w:val="clear" w:color="auto" w:fill="FFFFFF"/>
        </w:rPr>
        <w:t>Morley, C. (2012). How Does Critical Reflection Develop Possibilities for Emancipatory Change? An Example from an Empirical Research Project. </w:t>
      </w:r>
      <w:r w:rsidRPr="005060B7">
        <w:rPr>
          <w:i/>
          <w:iCs/>
          <w:sz w:val="24"/>
          <w:szCs w:val="30"/>
        </w:rPr>
        <w:t>The British Journal of Social Work</w:t>
      </w:r>
      <w:r w:rsidRPr="005060B7">
        <w:rPr>
          <w:sz w:val="24"/>
          <w:szCs w:val="30"/>
          <w:shd w:val="clear" w:color="auto" w:fill="FFFFFF"/>
        </w:rPr>
        <w:t>. 42(8), p.1513–1532.</w:t>
      </w:r>
    </w:p>
    <w:p w14:paraId="174DB185" w14:textId="77777777" w:rsidR="00DE5F09" w:rsidRDefault="00DE5F09" w:rsidP="00DE5F09">
      <w:pPr>
        <w:rPr>
          <w:sz w:val="24"/>
          <w:szCs w:val="30"/>
          <w:shd w:val="clear" w:color="auto" w:fill="FFFFFF"/>
        </w:rPr>
      </w:pPr>
    </w:p>
    <w:p w14:paraId="1A9FF191" w14:textId="77777777" w:rsidR="00DE5F09" w:rsidRDefault="00DE5F09" w:rsidP="00DE5F09">
      <w:pPr>
        <w:rPr>
          <w:sz w:val="24"/>
          <w:szCs w:val="30"/>
          <w:shd w:val="clear" w:color="auto" w:fill="FFFFFF"/>
        </w:rPr>
      </w:pPr>
      <w:r w:rsidRPr="00412D5D">
        <w:rPr>
          <w:sz w:val="24"/>
          <w:szCs w:val="30"/>
          <w:shd w:val="clear" w:color="auto" w:fill="FFFFFF"/>
        </w:rPr>
        <w:t>Owens, R and Lloyd, J. (2023). From behaviour-based to ecological: Multi-agency partnership responses to extra-familial harm. </w:t>
      </w:r>
      <w:r w:rsidRPr="00412D5D">
        <w:rPr>
          <w:i/>
          <w:iCs/>
          <w:sz w:val="24"/>
          <w:szCs w:val="30"/>
        </w:rPr>
        <w:t>Journal of Social Work</w:t>
      </w:r>
      <w:r w:rsidRPr="00412D5D">
        <w:rPr>
          <w:sz w:val="24"/>
          <w:szCs w:val="30"/>
          <w:shd w:val="clear" w:color="auto" w:fill="FFFFFF"/>
        </w:rPr>
        <w:t>. 23(4).</w:t>
      </w:r>
    </w:p>
    <w:p w14:paraId="05030EA3" w14:textId="77777777" w:rsidR="00DE5F09" w:rsidRDefault="00DE5F09" w:rsidP="00DE5F09">
      <w:pPr>
        <w:rPr>
          <w:sz w:val="24"/>
          <w:szCs w:val="30"/>
          <w:shd w:val="clear" w:color="auto" w:fill="FFFFFF"/>
        </w:rPr>
      </w:pPr>
    </w:p>
    <w:p w14:paraId="61553737" w14:textId="77777777" w:rsidR="00DE5F09" w:rsidRDefault="00DE5F09" w:rsidP="00DE5F09">
      <w:pPr>
        <w:rPr>
          <w:sz w:val="24"/>
          <w:szCs w:val="30"/>
          <w:shd w:val="clear" w:color="auto" w:fill="FFFFFF"/>
        </w:rPr>
      </w:pPr>
      <w:r w:rsidRPr="00F92F88">
        <w:rPr>
          <w:sz w:val="24"/>
          <w:szCs w:val="30"/>
          <w:shd w:val="clear" w:color="auto" w:fill="FFFFFF"/>
        </w:rPr>
        <w:t>Pink, S, Ferguson, H and Kelly, L. (2021). Digital social work: Conceptualising a hybrid anticipatory practice. </w:t>
      </w:r>
      <w:r w:rsidRPr="00F92F88">
        <w:rPr>
          <w:i/>
          <w:iCs/>
          <w:sz w:val="24"/>
          <w:szCs w:val="30"/>
        </w:rPr>
        <w:t>Qualitative Social Work</w:t>
      </w:r>
      <w:r w:rsidRPr="00F92F88">
        <w:rPr>
          <w:sz w:val="24"/>
          <w:szCs w:val="30"/>
          <w:shd w:val="clear" w:color="auto" w:fill="FFFFFF"/>
        </w:rPr>
        <w:t>. 21(2).</w:t>
      </w:r>
    </w:p>
    <w:p w14:paraId="1D341512" w14:textId="77777777" w:rsidR="00DE5F09" w:rsidRPr="00CE456C" w:rsidRDefault="00DE5F09" w:rsidP="00DE5F09">
      <w:pPr>
        <w:rPr>
          <w:szCs w:val="30"/>
          <w:shd w:val="clear" w:color="auto" w:fill="FFFFFF"/>
        </w:rPr>
      </w:pPr>
    </w:p>
    <w:p w14:paraId="72191014" w14:textId="77777777" w:rsidR="00DE5F09" w:rsidRPr="00CE456C" w:rsidRDefault="00DE5F09" w:rsidP="00DE5F09">
      <w:pPr>
        <w:rPr>
          <w:sz w:val="12"/>
          <w:szCs w:val="30"/>
          <w:shd w:val="clear" w:color="auto" w:fill="FFFFFF"/>
        </w:rPr>
      </w:pPr>
      <w:r w:rsidRPr="00CE456C">
        <w:rPr>
          <w:sz w:val="24"/>
          <w:szCs w:val="30"/>
          <w:shd w:val="clear" w:color="auto" w:fill="FFFFFF"/>
        </w:rPr>
        <w:t>SCIE. (2007). </w:t>
      </w:r>
      <w:r w:rsidRPr="00CE456C">
        <w:rPr>
          <w:i/>
          <w:iCs/>
          <w:sz w:val="24"/>
          <w:szCs w:val="30"/>
        </w:rPr>
        <w:t>Assessment in social work: a guide for learning and teaching</w:t>
      </w:r>
      <w:r w:rsidRPr="00CE456C">
        <w:rPr>
          <w:sz w:val="24"/>
          <w:szCs w:val="30"/>
          <w:shd w:val="clear" w:color="auto" w:fill="FFFFFF"/>
        </w:rPr>
        <w:t>. [Online]. Social Care Institute for Excellence. Available at: https://www.scie.org.uk/publications/guides/guide18/contextofassessment/communication.asp [Accessed 21/07/2023].</w:t>
      </w:r>
    </w:p>
    <w:p w14:paraId="468AC67A" w14:textId="77777777" w:rsidR="00DE5F09" w:rsidRDefault="00DE5F09" w:rsidP="00DE5F09">
      <w:pPr>
        <w:rPr>
          <w:sz w:val="24"/>
          <w:szCs w:val="30"/>
          <w:shd w:val="clear" w:color="auto" w:fill="FFFFFF"/>
        </w:rPr>
      </w:pPr>
    </w:p>
    <w:p w14:paraId="54ED0FDC" w14:textId="77777777" w:rsidR="00DE5F09" w:rsidRPr="00587B12" w:rsidRDefault="00DE5F09" w:rsidP="00DE5F09">
      <w:pPr>
        <w:rPr>
          <w:szCs w:val="30"/>
          <w:shd w:val="clear" w:color="auto" w:fill="FFFFFF"/>
        </w:rPr>
      </w:pPr>
      <w:r w:rsidRPr="00587B12">
        <w:rPr>
          <w:sz w:val="24"/>
          <w:szCs w:val="30"/>
          <w:shd w:val="clear" w:color="auto" w:fill="FFFFFF"/>
        </w:rPr>
        <w:t>SCIE. (2012). </w:t>
      </w:r>
      <w:r w:rsidRPr="00587B12">
        <w:rPr>
          <w:i/>
          <w:iCs/>
          <w:sz w:val="24"/>
          <w:szCs w:val="30"/>
        </w:rPr>
        <w:t>Child protection procedures</w:t>
      </w:r>
      <w:r w:rsidRPr="00587B12">
        <w:rPr>
          <w:sz w:val="24"/>
          <w:szCs w:val="30"/>
          <w:shd w:val="clear" w:color="auto" w:fill="FFFFFF"/>
        </w:rPr>
        <w:t>. [Online]. Social Care Institute for Excellence. Available at: https://www.scie.org.uk/publications/introductionto/childrenssocialcare/childprotection.asp [Accessed 21/06/2023].</w:t>
      </w:r>
    </w:p>
    <w:p w14:paraId="25864716" w14:textId="77777777" w:rsidR="00DE5F09" w:rsidRDefault="00DE5F09" w:rsidP="00DE5F09">
      <w:pPr>
        <w:rPr>
          <w:sz w:val="24"/>
          <w:szCs w:val="30"/>
          <w:shd w:val="clear" w:color="auto" w:fill="FFFFFF"/>
        </w:rPr>
      </w:pPr>
    </w:p>
    <w:p w14:paraId="2B61DA81" w14:textId="77777777" w:rsidR="00DE5F09" w:rsidRDefault="00DE5F09" w:rsidP="00DE5F09">
      <w:pPr>
        <w:rPr>
          <w:sz w:val="24"/>
          <w:szCs w:val="30"/>
          <w:shd w:val="clear" w:color="auto" w:fill="FFFFFF"/>
        </w:rPr>
      </w:pPr>
      <w:r>
        <w:rPr>
          <w:sz w:val="24"/>
          <w:szCs w:val="30"/>
          <w:shd w:val="clear" w:color="auto" w:fill="FFFFFF"/>
        </w:rPr>
        <w:t>SCIE</w:t>
      </w:r>
      <w:r w:rsidRPr="004112AB">
        <w:rPr>
          <w:sz w:val="24"/>
          <w:szCs w:val="30"/>
          <w:shd w:val="clear" w:color="auto" w:fill="FFFFFF"/>
        </w:rPr>
        <w:t>. (2015). </w:t>
      </w:r>
      <w:r w:rsidRPr="004112AB">
        <w:rPr>
          <w:i/>
          <w:iCs/>
          <w:sz w:val="24"/>
          <w:szCs w:val="30"/>
        </w:rPr>
        <w:t>Voice, choice and control: how registered nurses, care and support staff in the care sector can support people to achiev</w:t>
      </w:r>
      <w:r>
        <w:rPr>
          <w:i/>
          <w:iCs/>
          <w:sz w:val="24"/>
          <w:szCs w:val="30"/>
        </w:rPr>
        <w:t>e</w:t>
      </w:r>
      <w:r>
        <w:rPr>
          <w:sz w:val="24"/>
          <w:szCs w:val="30"/>
          <w:shd w:val="clear" w:color="auto" w:fill="FFFFFF"/>
        </w:rPr>
        <w:t>. [Online]. Social Care Institute for Excellence</w:t>
      </w:r>
      <w:r w:rsidRPr="004112AB">
        <w:rPr>
          <w:sz w:val="24"/>
          <w:szCs w:val="30"/>
          <w:shd w:val="clear" w:color="auto" w:fill="FFFFFF"/>
        </w:rPr>
        <w:t>. Available at: https://www.scie-socialcareonline.org.uk/voice-choice-and-control-how-registered-nurses-care-and-sup [Accessed 21/06/2023].</w:t>
      </w:r>
    </w:p>
    <w:p w14:paraId="64085397" w14:textId="77777777" w:rsidR="00DE5F09" w:rsidRDefault="00DE5F09" w:rsidP="00DE5F09">
      <w:pPr>
        <w:rPr>
          <w:sz w:val="24"/>
          <w:szCs w:val="30"/>
          <w:shd w:val="clear" w:color="auto" w:fill="FFFFFF"/>
        </w:rPr>
      </w:pPr>
    </w:p>
    <w:p w14:paraId="2E7BA1B2" w14:textId="77777777" w:rsidR="00DE5F09" w:rsidRPr="00E01C47" w:rsidRDefault="00DE5F09" w:rsidP="00DE5F09">
      <w:pPr>
        <w:rPr>
          <w:sz w:val="12"/>
          <w:szCs w:val="30"/>
          <w:shd w:val="clear" w:color="auto" w:fill="FFFFFF"/>
        </w:rPr>
      </w:pPr>
      <w:proofErr w:type="spellStart"/>
      <w:r w:rsidRPr="00E01C47">
        <w:rPr>
          <w:sz w:val="24"/>
          <w:szCs w:val="30"/>
          <w:shd w:val="clear" w:color="auto" w:fill="FFFFFF"/>
        </w:rPr>
        <w:lastRenderedPageBreak/>
        <w:t>Shimey</w:t>
      </w:r>
      <w:proofErr w:type="spellEnd"/>
      <w:r w:rsidRPr="00E01C47">
        <w:rPr>
          <w:sz w:val="24"/>
          <w:szCs w:val="30"/>
          <w:shd w:val="clear" w:color="auto" w:fill="FFFFFF"/>
        </w:rPr>
        <w:t xml:space="preserve">, N, </w:t>
      </w:r>
      <w:proofErr w:type="spellStart"/>
      <w:r w:rsidRPr="00E01C47">
        <w:rPr>
          <w:sz w:val="24"/>
          <w:szCs w:val="30"/>
          <w:shd w:val="clear" w:color="auto" w:fill="FFFFFF"/>
        </w:rPr>
        <w:t>Krumer</w:t>
      </w:r>
      <w:proofErr w:type="spellEnd"/>
      <w:r w:rsidRPr="00E01C47">
        <w:rPr>
          <w:sz w:val="24"/>
          <w:szCs w:val="30"/>
          <w:shd w:val="clear" w:color="auto" w:fill="FFFFFF"/>
        </w:rPr>
        <w:t xml:space="preserve">-Nevo, M, Saar-Heiman, Y, Russo-Carmel, S, and </w:t>
      </w:r>
      <w:proofErr w:type="spellStart"/>
      <w:r w:rsidRPr="00E01C47">
        <w:rPr>
          <w:sz w:val="24"/>
          <w:szCs w:val="30"/>
          <w:shd w:val="clear" w:color="auto" w:fill="FFFFFF"/>
        </w:rPr>
        <w:t>Mirmovitch</w:t>
      </w:r>
      <w:proofErr w:type="spellEnd"/>
      <w:r w:rsidRPr="00E01C47">
        <w:rPr>
          <w:sz w:val="24"/>
          <w:szCs w:val="30"/>
          <w:shd w:val="clear" w:color="auto" w:fill="FFFFFF"/>
        </w:rPr>
        <w:t>, I. (2016). Critical Social Work: A Performance Ethnography. </w:t>
      </w:r>
      <w:r w:rsidRPr="00E01C47">
        <w:rPr>
          <w:i/>
          <w:iCs/>
          <w:sz w:val="24"/>
          <w:szCs w:val="30"/>
        </w:rPr>
        <w:t>Qualitative Inquiry</w:t>
      </w:r>
      <w:r w:rsidRPr="00E01C47">
        <w:rPr>
          <w:sz w:val="24"/>
          <w:szCs w:val="30"/>
          <w:shd w:val="clear" w:color="auto" w:fill="FFFFFF"/>
        </w:rPr>
        <w:t>. 22(8), pp.615-623.</w:t>
      </w:r>
    </w:p>
    <w:p w14:paraId="57F6FB56" w14:textId="77777777" w:rsidR="00DE5F09" w:rsidRDefault="00DE5F09" w:rsidP="00DE5F09">
      <w:pPr>
        <w:rPr>
          <w:sz w:val="24"/>
          <w:szCs w:val="30"/>
          <w:shd w:val="clear" w:color="auto" w:fill="FFFFFF"/>
        </w:rPr>
      </w:pPr>
    </w:p>
    <w:p w14:paraId="3914EBA2" w14:textId="77777777" w:rsidR="00DE5F09" w:rsidRDefault="00DE5F09" w:rsidP="00DE5F09">
      <w:pPr>
        <w:rPr>
          <w:sz w:val="24"/>
        </w:rPr>
      </w:pPr>
      <w:r>
        <w:rPr>
          <w:sz w:val="24"/>
        </w:rPr>
        <w:t>Social Services and Wellbeing (Wales) Act (2014).</w:t>
      </w:r>
    </w:p>
    <w:p w14:paraId="72A07413" w14:textId="77777777" w:rsidR="00DE5F09" w:rsidRDefault="00DE5F09" w:rsidP="00DE5F09">
      <w:pPr>
        <w:rPr>
          <w:sz w:val="24"/>
        </w:rPr>
      </w:pPr>
    </w:p>
    <w:p w14:paraId="1091EF05" w14:textId="77777777" w:rsidR="00DE5F09" w:rsidRPr="00A50F64" w:rsidRDefault="00DE5F09" w:rsidP="00DE5F09">
      <w:r w:rsidRPr="00A50F64">
        <w:rPr>
          <w:sz w:val="24"/>
          <w:szCs w:val="30"/>
          <w:shd w:val="clear" w:color="auto" w:fill="FFFFFF"/>
        </w:rPr>
        <w:t xml:space="preserve">Washburn, M, Parrish, D, Garrison, B, </w:t>
      </w:r>
      <w:proofErr w:type="spellStart"/>
      <w:r w:rsidRPr="00A50F64">
        <w:rPr>
          <w:sz w:val="24"/>
          <w:szCs w:val="30"/>
          <w:shd w:val="clear" w:color="auto" w:fill="FFFFFF"/>
        </w:rPr>
        <w:t>Oxhandler</w:t>
      </w:r>
      <w:proofErr w:type="spellEnd"/>
      <w:r w:rsidRPr="00A50F64">
        <w:rPr>
          <w:sz w:val="24"/>
          <w:szCs w:val="30"/>
          <w:shd w:val="clear" w:color="auto" w:fill="FFFFFF"/>
        </w:rPr>
        <w:t>, H and Ma, A. (2021). A Mixed-Methods Investigation of Licensed Masters-Level Social Worker’s Engagement in Outcome Evaluation. </w:t>
      </w:r>
      <w:r w:rsidRPr="00A50F64">
        <w:rPr>
          <w:i/>
          <w:iCs/>
          <w:sz w:val="24"/>
          <w:szCs w:val="30"/>
        </w:rPr>
        <w:t>Research on Social Work Practice</w:t>
      </w:r>
      <w:r w:rsidRPr="00A50F64">
        <w:rPr>
          <w:sz w:val="24"/>
          <w:szCs w:val="30"/>
          <w:shd w:val="clear" w:color="auto" w:fill="FFFFFF"/>
        </w:rPr>
        <w:t>. 32(2), pp.186-198.</w:t>
      </w:r>
    </w:p>
    <w:p w14:paraId="498B5EDE" w14:textId="77777777" w:rsidR="00DE5F09" w:rsidRDefault="00DE5F09" w:rsidP="00DE5F09">
      <w:pPr>
        <w:rPr>
          <w:sz w:val="24"/>
        </w:rPr>
      </w:pPr>
    </w:p>
    <w:p w14:paraId="02C35281" w14:textId="77777777" w:rsidR="00DE5F09" w:rsidRDefault="00DE5F09" w:rsidP="00DE5F09">
      <w:pPr>
        <w:overflowPunct/>
        <w:textAlignment w:val="auto"/>
        <w:rPr>
          <w:sz w:val="24"/>
        </w:rPr>
      </w:pPr>
      <w:r>
        <w:rPr>
          <w:rFonts w:eastAsia="MS Mincho"/>
          <w:bCs/>
          <w:color w:val="auto"/>
          <w:sz w:val="24"/>
          <w:szCs w:val="24"/>
        </w:rPr>
        <w:t xml:space="preserve">Welsh Assembly Government (2014) Continuing Health Care, The National Framework for Implementation in Wales (online), Available at </w:t>
      </w:r>
      <w:hyperlink r:id="rId11" w:history="1">
        <w:r w:rsidRPr="00DE5F09">
          <w:rPr>
            <w:rStyle w:val="Hyperlink"/>
            <w:color w:val="auto"/>
            <w:sz w:val="22"/>
            <w:u w:val="none"/>
          </w:rPr>
          <w:t>National framework for Continuing NHS Healthcare | GOV.WALES</w:t>
        </w:r>
      </w:hyperlink>
      <w:r w:rsidRPr="00DE5F09">
        <w:rPr>
          <w:color w:val="auto"/>
          <w:sz w:val="22"/>
        </w:rPr>
        <w:t>.</w:t>
      </w:r>
      <w:r w:rsidRPr="007E1682">
        <w:rPr>
          <w:color w:val="auto"/>
          <w:sz w:val="22"/>
        </w:rPr>
        <w:t xml:space="preserve"> </w:t>
      </w:r>
      <w:r>
        <w:rPr>
          <w:sz w:val="24"/>
        </w:rPr>
        <w:t>Last accessed 20/05</w:t>
      </w:r>
      <w:r w:rsidRPr="005945E3">
        <w:rPr>
          <w:sz w:val="24"/>
        </w:rPr>
        <w:t xml:space="preserve">/2023. </w:t>
      </w:r>
    </w:p>
    <w:p w14:paraId="1A40C8E7" w14:textId="77777777" w:rsidR="00DE5F09" w:rsidRDefault="00DE5F09" w:rsidP="00DE5F09">
      <w:pPr>
        <w:overflowPunct/>
        <w:textAlignment w:val="auto"/>
        <w:rPr>
          <w:sz w:val="24"/>
        </w:rPr>
      </w:pPr>
    </w:p>
    <w:p w14:paraId="4267F593" w14:textId="77777777" w:rsidR="00DE5F09" w:rsidRDefault="00DE5F09" w:rsidP="00DE5F09">
      <w:pPr>
        <w:overflowPunct/>
        <w:textAlignment w:val="auto"/>
        <w:rPr>
          <w:sz w:val="24"/>
          <w:szCs w:val="30"/>
          <w:shd w:val="clear" w:color="auto" w:fill="FFFFFF"/>
        </w:rPr>
      </w:pPr>
      <w:r w:rsidRPr="00C23303">
        <w:rPr>
          <w:sz w:val="24"/>
          <w:szCs w:val="30"/>
          <w:shd w:val="clear" w:color="auto" w:fill="FFFFFF"/>
        </w:rPr>
        <w:t>Welsh Government. (2017). </w:t>
      </w:r>
      <w:r w:rsidRPr="00C23303">
        <w:rPr>
          <w:i/>
          <w:iCs/>
          <w:sz w:val="24"/>
          <w:szCs w:val="30"/>
        </w:rPr>
        <w:t>Codes of Professional Practice for Social Care</w:t>
      </w:r>
      <w:r w:rsidRPr="00C23303">
        <w:rPr>
          <w:sz w:val="24"/>
          <w:szCs w:val="30"/>
          <w:shd w:val="clear" w:color="auto" w:fill="FFFFFF"/>
        </w:rPr>
        <w:t>. [Online]. Social Care Wales. Available at: https://www.bing.com/search?q=social+care+wales+2017&amp;cvid=99a70bbe60cc4ce0847239dadb</w:t>
      </w:r>
      <w:r>
        <w:rPr>
          <w:sz w:val="24"/>
          <w:szCs w:val="30"/>
          <w:shd w:val="clear" w:color="auto" w:fill="FFFFFF"/>
        </w:rPr>
        <w:t>2039a5&amp;aqs=edge. [Accessed 21/06</w:t>
      </w:r>
      <w:r w:rsidRPr="00C23303">
        <w:rPr>
          <w:sz w:val="24"/>
          <w:szCs w:val="30"/>
          <w:shd w:val="clear" w:color="auto" w:fill="FFFFFF"/>
        </w:rPr>
        <w:t>/2023].</w:t>
      </w:r>
    </w:p>
    <w:p w14:paraId="2944E6F7" w14:textId="77777777" w:rsidR="00DE5F09" w:rsidRDefault="00DE5F09" w:rsidP="00DE5F09">
      <w:pPr>
        <w:overflowPunct/>
        <w:textAlignment w:val="auto"/>
        <w:rPr>
          <w:sz w:val="24"/>
          <w:szCs w:val="30"/>
          <w:shd w:val="clear" w:color="auto" w:fill="FFFFFF"/>
        </w:rPr>
      </w:pPr>
    </w:p>
    <w:p w14:paraId="535D4E0C" w14:textId="77777777" w:rsidR="00DE5F09" w:rsidRPr="00A2128A" w:rsidRDefault="00DE5F09" w:rsidP="00DE5F09">
      <w:pPr>
        <w:overflowPunct/>
        <w:textAlignment w:val="auto"/>
        <w:rPr>
          <w:sz w:val="16"/>
        </w:rPr>
      </w:pPr>
      <w:r w:rsidRPr="00A2128A">
        <w:rPr>
          <w:sz w:val="24"/>
          <w:szCs w:val="30"/>
          <w:shd w:val="clear" w:color="auto" w:fill="FFFFFF"/>
        </w:rPr>
        <w:t>Welsh Government. (2015). </w:t>
      </w:r>
      <w:r w:rsidRPr="00A2128A">
        <w:rPr>
          <w:i/>
          <w:iCs/>
          <w:sz w:val="24"/>
          <w:szCs w:val="30"/>
        </w:rPr>
        <w:t>More than just words</w:t>
      </w:r>
      <w:r w:rsidRPr="00A2128A">
        <w:rPr>
          <w:sz w:val="24"/>
          <w:szCs w:val="30"/>
          <w:shd w:val="clear" w:color="auto" w:fill="FFFFFF"/>
        </w:rPr>
        <w:t xml:space="preserve">. [Online]. </w:t>
      </w:r>
      <w:proofErr w:type="spellStart"/>
      <w:proofErr w:type="gramStart"/>
      <w:r w:rsidRPr="00A2128A">
        <w:rPr>
          <w:sz w:val="24"/>
          <w:szCs w:val="30"/>
          <w:shd w:val="clear" w:color="auto" w:fill="FFFFFF"/>
        </w:rPr>
        <w:t>gov.wales</w:t>
      </w:r>
      <w:proofErr w:type="spellEnd"/>
      <w:proofErr w:type="gramEnd"/>
      <w:r w:rsidRPr="00A2128A">
        <w:rPr>
          <w:sz w:val="24"/>
          <w:szCs w:val="30"/>
          <w:shd w:val="clear" w:color="auto" w:fill="FFFFFF"/>
        </w:rPr>
        <w:t>. Available at: https://www.bing.com/search?q=welsh+active+offer&amp;cvid=740d94e45a6740c78654f8e1cff32b10&amp;aqs=edge.0.0l [Accessed 21/06/2023].</w:t>
      </w:r>
    </w:p>
    <w:p w14:paraId="3D8804AA" w14:textId="77777777" w:rsidR="00DE5F09" w:rsidRDefault="00DE5F09" w:rsidP="00DE5F09">
      <w:pPr>
        <w:overflowPunct/>
        <w:textAlignment w:val="auto"/>
        <w:rPr>
          <w:sz w:val="24"/>
        </w:rPr>
      </w:pPr>
    </w:p>
    <w:p w14:paraId="2627D396" w14:textId="77777777" w:rsidR="00DE5F09" w:rsidRPr="00883C83" w:rsidRDefault="00DE5F09" w:rsidP="00DE5F09">
      <w:pPr>
        <w:overflowPunct/>
        <w:textAlignment w:val="auto"/>
        <w:rPr>
          <w:sz w:val="16"/>
        </w:rPr>
      </w:pPr>
      <w:r w:rsidRPr="00883C83">
        <w:rPr>
          <w:sz w:val="24"/>
          <w:szCs w:val="30"/>
          <w:shd w:val="clear" w:color="auto" w:fill="FFFFFF"/>
        </w:rPr>
        <w:t>Westwood, J. (2012). Safeguarding Children across Services: Messages from Research. </w:t>
      </w:r>
      <w:r w:rsidRPr="00883C83">
        <w:rPr>
          <w:i/>
          <w:iCs/>
          <w:sz w:val="24"/>
          <w:szCs w:val="30"/>
        </w:rPr>
        <w:t>The British Journal of Social Work</w:t>
      </w:r>
      <w:r w:rsidRPr="00883C83">
        <w:rPr>
          <w:sz w:val="24"/>
          <w:szCs w:val="30"/>
          <w:shd w:val="clear" w:color="auto" w:fill="FFFFFF"/>
        </w:rPr>
        <w:t>. 42(7), p.1432–1433.</w:t>
      </w:r>
    </w:p>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4C868DE" w:rsidR="00A5656A" w:rsidRDefault="00A5656A">
    <w:pPr>
      <w:pStyle w:val="Footer"/>
      <w:jc w:val="right"/>
    </w:pPr>
    <w:r>
      <w:fldChar w:fldCharType="begin"/>
    </w:r>
    <w:r>
      <w:instrText xml:space="preserve"> PAGE   \* MERGEFORMAT </w:instrText>
    </w:r>
    <w:r>
      <w:fldChar w:fldCharType="separate"/>
    </w:r>
    <w:r w:rsidR="00DE2F6F">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46044546">
    <w:abstractNumId w:val="1"/>
    <w:lvlOverride w:ilvl="0">
      <w:lvl w:ilvl="0">
        <w:start w:val="1"/>
        <w:numFmt w:val="bullet"/>
        <w:lvlText w:val=""/>
        <w:lvlJc w:val="left"/>
        <w:pPr>
          <w:ind w:left="720" w:hanging="360"/>
        </w:pPr>
        <w:rPr>
          <w:rFonts w:ascii="Symbol" w:hAnsi="Symbol" w:hint="default"/>
        </w:rPr>
      </w:lvl>
    </w:lvlOverride>
  </w:num>
  <w:num w:numId="2" w16cid:durableId="267663907">
    <w:abstractNumId w:val="22"/>
  </w:num>
  <w:num w:numId="3" w16cid:durableId="1952394589">
    <w:abstractNumId w:val="45"/>
  </w:num>
  <w:num w:numId="4" w16cid:durableId="612133461">
    <w:abstractNumId w:val="47"/>
  </w:num>
  <w:num w:numId="5" w16cid:durableId="404111749">
    <w:abstractNumId w:val="34"/>
  </w:num>
  <w:num w:numId="6" w16cid:durableId="606814094">
    <w:abstractNumId w:val="32"/>
  </w:num>
  <w:num w:numId="7" w16cid:durableId="1746104133">
    <w:abstractNumId w:val="29"/>
  </w:num>
  <w:num w:numId="8" w16cid:durableId="258760353">
    <w:abstractNumId w:val="30"/>
  </w:num>
  <w:num w:numId="9" w16cid:durableId="1595018389">
    <w:abstractNumId w:val="10"/>
  </w:num>
  <w:num w:numId="10" w16cid:durableId="1428890384">
    <w:abstractNumId w:val="33"/>
  </w:num>
  <w:num w:numId="11" w16cid:durableId="1839425536">
    <w:abstractNumId w:val="17"/>
  </w:num>
  <w:num w:numId="12" w16cid:durableId="968628403">
    <w:abstractNumId w:val="16"/>
  </w:num>
  <w:num w:numId="13" w16cid:durableId="846478557">
    <w:abstractNumId w:val="27"/>
  </w:num>
  <w:num w:numId="14" w16cid:durableId="894049002">
    <w:abstractNumId w:val="8"/>
  </w:num>
  <w:num w:numId="15" w16cid:durableId="2082216039">
    <w:abstractNumId w:val="26"/>
  </w:num>
  <w:num w:numId="16" w16cid:durableId="897744849">
    <w:abstractNumId w:val="15"/>
  </w:num>
  <w:num w:numId="17" w16cid:durableId="1897620204">
    <w:abstractNumId w:val="13"/>
  </w:num>
  <w:num w:numId="18" w16cid:durableId="95263656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348293392">
    <w:abstractNumId w:val="23"/>
  </w:num>
  <w:num w:numId="20" w16cid:durableId="381684500">
    <w:abstractNumId w:val="18"/>
  </w:num>
  <w:num w:numId="21" w16cid:durableId="182986011">
    <w:abstractNumId w:val="14"/>
  </w:num>
  <w:num w:numId="22" w16cid:durableId="1385182854">
    <w:abstractNumId w:val="11"/>
  </w:num>
  <w:num w:numId="23" w16cid:durableId="721632521">
    <w:abstractNumId w:val="28"/>
  </w:num>
  <w:num w:numId="24" w16cid:durableId="357438695">
    <w:abstractNumId w:val="19"/>
  </w:num>
  <w:num w:numId="25" w16cid:durableId="1366444023">
    <w:abstractNumId w:val="41"/>
  </w:num>
  <w:num w:numId="26" w16cid:durableId="902106146">
    <w:abstractNumId w:val="35"/>
  </w:num>
  <w:num w:numId="27" w16cid:durableId="1671519091">
    <w:abstractNumId w:val="40"/>
  </w:num>
  <w:num w:numId="28" w16cid:durableId="62802826">
    <w:abstractNumId w:val="20"/>
  </w:num>
  <w:num w:numId="29" w16cid:durableId="694774066">
    <w:abstractNumId w:val="43"/>
  </w:num>
  <w:num w:numId="30" w16cid:durableId="470749373">
    <w:abstractNumId w:val="31"/>
  </w:num>
  <w:num w:numId="31" w16cid:durableId="824129410">
    <w:abstractNumId w:val="12"/>
  </w:num>
  <w:num w:numId="32" w16cid:durableId="1292980565">
    <w:abstractNumId w:val="44"/>
  </w:num>
  <w:num w:numId="33" w16cid:durableId="817958038">
    <w:abstractNumId w:val="39"/>
  </w:num>
  <w:num w:numId="34" w16cid:durableId="264925751">
    <w:abstractNumId w:val="5"/>
  </w:num>
  <w:num w:numId="35" w16cid:durableId="262961918">
    <w:abstractNumId w:val="46"/>
  </w:num>
  <w:num w:numId="36" w16cid:durableId="702512207">
    <w:abstractNumId w:val="42"/>
  </w:num>
  <w:num w:numId="37" w16cid:durableId="170147118">
    <w:abstractNumId w:val="36"/>
  </w:num>
  <w:num w:numId="38" w16cid:durableId="1297101715">
    <w:abstractNumId w:val="37"/>
  </w:num>
  <w:num w:numId="39" w16cid:durableId="1824277802">
    <w:abstractNumId w:val="4"/>
  </w:num>
  <w:num w:numId="40" w16cid:durableId="132211253">
    <w:abstractNumId w:val="6"/>
  </w:num>
  <w:num w:numId="41" w16cid:durableId="1696685531">
    <w:abstractNumId w:val="25"/>
  </w:num>
  <w:num w:numId="42" w16cid:durableId="1692030303">
    <w:abstractNumId w:val="7"/>
  </w:num>
  <w:num w:numId="43" w16cid:durableId="575895121">
    <w:abstractNumId w:val="3"/>
  </w:num>
  <w:num w:numId="44" w16cid:durableId="1908031611">
    <w:abstractNumId w:val="38"/>
  </w:num>
  <w:num w:numId="45" w16cid:durableId="930507410">
    <w:abstractNumId w:val="0"/>
  </w:num>
  <w:num w:numId="46" w16cid:durableId="88549350">
    <w:abstractNumId w:val="14"/>
  </w:num>
  <w:num w:numId="47" w16cid:durableId="642462910">
    <w:abstractNumId w:val="48"/>
  </w:num>
  <w:num w:numId="48" w16cid:durableId="7886987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407969203">
    <w:abstractNumId w:val="11"/>
  </w:num>
  <w:num w:numId="50" w16cid:durableId="1455712675">
    <w:abstractNumId w:val="28"/>
  </w:num>
  <w:num w:numId="51" w16cid:durableId="1629582371">
    <w:abstractNumId w:val="24"/>
  </w:num>
  <w:num w:numId="52" w16cid:durableId="2140872414">
    <w:abstractNumId w:val="21"/>
  </w:num>
  <w:num w:numId="53" w16cid:durableId="259334798">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6C78"/>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3305"/>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84D49"/>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2F6F"/>
    <w:rsid w:val="00DE4296"/>
    <w:rsid w:val="00DE5F09"/>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70B2"/>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Emphasis">
    <w:name w:val="Emphasis"/>
    <w:basedOn w:val="DefaultParagraphFont"/>
    <w:uiPriority w:val="20"/>
    <w:qFormat/>
    <w:rsid w:val="00DE5F0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wales/national-framework-continuing-nhs-healthcare"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69206AA1-59D6-4938-907B-612A892EF0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10</Pages>
  <Words>4241</Words>
  <Characters>23700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Mollie Snape</cp:lastModifiedBy>
  <cp:revision>4</cp:revision>
  <cp:lastPrinted>2020-02-11T19:20:00Z</cp:lastPrinted>
  <dcterms:created xsi:type="dcterms:W3CDTF">2023-10-24T11:10:00Z</dcterms:created>
  <dcterms:modified xsi:type="dcterms:W3CDTF">2024-08-07T08:40:00Z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