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68E" w:rsidRDefault="009700F6">
      <w:bookmarkStart w:id="0" w:name="_GoBack"/>
      <w:bookmarkEnd w:id="0"/>
      <w:r>
        <w:t>Aristotle’s Account of the Good</w:t>
      </w:r>
    </w:p>
    <w:p w:rsidR="007C768E" w:rsidRDefault="00A90338">
      <w:r>
        <w:t xml:space="preserve">Within this essay I will be looking at </w:t>
      </w:r>
      <w:r w:rsidR="000003A6">
        <w:t xml:space="preserve">the “Explain and assess Aristotle’s account of the good” essay question; in order to answer this, I will </w:t>
      </w:r>
      <w:proofErr w:type="gramStart"/>
      <w:r w:rsidR="000003A6">
        <w:t>providing</w:t>
      </w:r>
      <w:proofErr w:type="gramEnd"/>
      <w:r w:rsidR="000003A6">
        <w:t xml:space="preserve"> an overview of Aristotle’s account of goodness, with some critique and discussion.</w:t>
      </w:r>
    </w:p>
    <w:p w:rsidR="000003A6" w:rsidRDefault="00A46FFA" w:rsidP="000003A6">
      <w:r>
        <w:t>Aristotle’s ethics</w:t>
      </w:r>
      <w:r w:rsidR="000003A6">
        <w:t>,</w:t>
      </w:r>
      <w:r>
        <w:t xml:space="preserve"> </w:t>
      </w:r>
      <w:proofErr w:type="gramStart"/>
      <w:r w:rsidR="000003A6">
        <w:t>similar to</w:t>
      </w:r>
      <w:proofErr w:type="gramEnd"/>
      <w:r w:rsidR="000003A6">
        <w:t xml:space="preserve"> his predecessors Socrates and Plato, focused on the ideals and pursuit of virtuosity and a well lived life. This was</w:t>
      </w:r>
      <w:r>
        <w:t xml:space="preserve"> described over two treatises (Nicomachean Ethics and </w:t>
      </w:r>
      <w:proofErr w:type="spellStart"/>
      <w:r>
        <w:t>Eudemian</w:t>
      </w:r>
      <w:proofErr w:type="spellEnd"/>
      <w:r>
        <w:t xml:space="preserve"> Ethics), both covering the same ground, a discussion on </w:t>
      </w:r>
      <w:r w:rsidRPr="00A46FFA">
        <w:rPr>
          <w:i/>
        </w:rPr>
        <w:t>Eudaemonia</w:t>
      </w:r>
      <w:r>
        <w:t xml:space="preserve"> and an investigation into </w:t>
      </w:r>
      <w:r w:rsidRPr="00A46FFA">
        <w:rPr>
          <w:i/>
        </w:rPr>
        <w:t>Arete</w:t>
      </w:r>
      <w:r>
        <w:t xml:space="preserve"> (virtue, excellence).</w:t>
      </w:r>
      <w:r w:rsidR="000003A6">
        <w:t xml:space="preserve"> His work was the first ethical investigation of its kind, although Plato’s Republic touched </w:t>
      </w:r>
      <w:proofErr w:type="gramStart"/>
      <w:r w:rsidR="000003A6">
        <w:t>on the subject of morality</w:t>
      </w:r>
      <w:proofErr w:type="gramEnd"/>
      <w:r w:rsidR="000003A6">
        <w:t>, it was no where near a complete work, failing to examine fulfilment, virtue, pleasure and relationships fully, although they were mentioned, they were never unified or as complete as Aristotle’s account within these important treatises.</w:t>
      </w:r>
    </w:p>
    <w:p w:rsidR="00087FB1" w:rsidRPr="00A46FFA" w:rsidRDefault="000003A6">
      <w:r>
        <w:t>Despite the apparent similarities, Aristotle</w:t>
      </w:r>
      <w:r w:rsidR="00520E70">
        <w:t xml:space="preserve"> disagrees with Plato on a few points, one being that </w:t>
      </w:r>
      <w:r w:rsidR="00083EA3">
        <w:t xml:space="preserve">with Plato’s idea that one reaches virtuous must through the training in </w:t>
      </w:r>
      <w:r w:rsidR="00136CC2">
        <w:t xml:space="preserve">the </w:t>
      </w:r>
      <w:r w:rsidR="00083EA3">
        <w:t xml:space="preserve">natural sciences, in order to understand and achieve what goodness is. </w:t>
      </w:r>
      <w:r w:rsidR="00520E70">
        <w:t>Aristotle argues that</w:t>
      </w:r>
      <w:r w:rsidR="00083EA3">
        <w:t xml:space="preserve"> what we do need in order to live well and flourish is an understanding of a wide range of goods such as virtue, honour, moderate wealth, enjoyment and relationships. It suggests that through applying these goods, we can build up habits of appropriate behaviour which will lead us onto eudaemonia, or the state of flourishing. There also must be practical wisdom, this cannot be simply studied, instead a range of organically explored and learned practices which become habitual over time.</w:t>
      </w:r>
    </w:p>
    <w:p w:rsidR="00087FB1" w:rsidRDefault="00087FB1">
      <w:r>
        <w:t>Aristotle’s</w:t>
      </w:r>
      <w:r w:rsidR="002F17E6" w:rsidRPr="002F17E6">
        <w:t xml:space="preserve"> theory is distinct</w:t>
      </w:r>
      <w:r>
        <w:t xml:space="preserve"> from other writings of the time; it was in fact the first treatise on morality. Plato certainly touched on ethics within his work “</w:t>
      </w:r>
      <w:r w:rsidRPr="00993D81">
        <w:t>Republic</w:t>
      </w:r>
      <w:r>
        <w:rPr>
          <w:i/>
        </w:rPr>
        <w:t>”</w:t>
      </w:r>
      <w:r>
        <w:t>, stating many very important discussions, however this was far from a complete treatise when compared to Aristotle’s two main works on this field. His work is made up of two main pieces, “</w:t>
      </w:r>
      <w:proofErr w:type="spellStart"/>
      <w:r>
        <w:t>Eudemian</w:t>
      </w:r>
      <w:proofErr w:type="spellEnd"/>
      <w:r>
        <w:t xml:space="preserve"> Ethics”</w:t>
      </w:r>
      <w:r w:rsidR="00AB0C77">
        <w:t xml:space="preserve"> (edited by </w:t>
      </w:r>
      <w:r w:rsidR="00083EA3">
        <w:t xml:space="preserve">one of his </w:t>
      </w:r>
      <w:r w:rsidR="00AB0C77">
        <w:t>friend</w:t>
      </w:r>
      <w:r w:rsidR="00083EA3">
        <w:t>s,</w:t>
      </w:r>
      <w:r w:rsidR="00AB0C77">
        <w:t xml:space="preserve"> </w:t>
      </w:r>
      <w:proofErr w:type="spellStart"/>
      <w:r w:rsidR="00AB0C77">
        <w:t>Eudemus</w:t>
      </w:r>
      <w:proofErr w:type="spellEnd"/>
      <w:r w:rsidR="00AB0C77">
        <w:t xml:space="preserve">) and the later “Nicomachean Ethics” (edited by his son, </w:t>
      </w:r>
      <w:proofErr w:type="spellStart"/>
      <w:r w:rsidR="00AB0C77">
        <w:t>Nicomachus</w:t>
      </w:r>
      <w:proofErr w:type="spellEnd"/>
      <w:r w:rsidR="00AB0C77">
        <w:t xml:space="preserve">). Unlike </w:t>
      </w:r>
      <w:r w:rsidR="00083EA3">
        <w:t>some</w:t>
      </w:r>
      <w:r w:rsidR="00AB0C77">
        <w:t xml:space="preserve"> other thinkers, Aristotle makes it clear that this field and his enquiries are not of a theoretical nature, it is a requirement to achieve a good life and not to just</w:t>
      </w:r>
      <w:r w:rsidR="00083EA3">
        <w:t xml:space="preserve"> a pursuit to</w:t>
      </w:r>
      <w:r w:rsidR="00AB0C77">
        <w:t xml:space="preserve"> gain knowledge </w:t>
      </w:r>
      <w:r w:rsidR="00083EA3">
        <w:t>i</w:t>
      </w:r>
      <w:r w:rsidR="00AB0C77">
        <w:t>n this area</w:t>
      </w:r>
      <w:r w:rsidR="00083EA3">
        <w:t>; it is of absolute practical value.</w:t>
      </w:r>
    </w:p>
    <w:p w:rsidR="00C728A3" w:rsidRDefault="00AB0C77">
      <w:r>
        <w:t xml:space="preserve">It is of little interest to Aristotle to define what things are good, as anyone can see that health is preferable to illness, pleasure over pain and company over loneliness; </w:t>
      </w:r>
      <w:r w:rsidR="00C728A3">
        <w:t>he is not looking for what is good, but instead what the highest level of good is. The highest good, according to him is something that can fulfil three requirements; desirability for itself, not desirable for any other sake and that other goods are desirable for it</w:t>
      </w:r>
      <w:r w:rsidR="007E0CD3">
        <w:rPr>
          <w:rStyle w:val="FootnoteReference"/>
        </w:rPr>
        <w:footnoteReference w:id="1"/>
      </w:r>
      <w:r w:rsidR="00C728A3">
        <w:t>.</w:t>
      </w:r>
    </w:p>
    <w:p w:rsidR="00AB0C77" w:rsidRPr="00087FB1" w:rsidRDefault="00C728A3" w:rsidP="00083EA3">
      <w:r>
        <w:t xml:space="preserve">The highest good put forth by Aristotle is </w:t>
      </w:r>
      <w:r>
        <w:rPr>
          <w:i/>
        </w:rPr>
        <w:t>Eudaemonia</w:t>
      </w:r>
      <w:r>
        <w:t xml:space="preserve"> (flourishing, fulfilment or happiness), like </w:t>
      </w:r>
      <w:r>
        <w:rPr>
          <w:i/>
        </w:rPr>
        <w:t>Eu zen</w:t>
      </w:r>
      <w:r>
        <w:t xml:space="preserve"> (living well). Eudaemonia broken down with the help of etymology looks like </w:t>
      </w:r>
      <w:r w:rsidRPr="00083EA3">
        <w:t>Eu</w:t>
      </w:r>
      <w:r>
        <w:t xml:space="preserve"> (good or well) and </w:t>
      </w:r>
      <w:proofErr w:type="spellStart"/>
      <w:r>
        <w:t>Daimon</w:t>
      </w:r>
      <w:proofErr w:type="spellEnd"/>
      <w:r>
        <w:t xml:space="preserve"> (spirit, soul or divinity).</w:t>
      </w:r>
      <w:r w:rsidR="00083EA3">
        <w:t xml:space="preserve"> As well as </w:t>
      </w:r>
      <w:r w:rsidR="00083EA3" w:rsidRPr="00083EA3">
        <w:rPr>
          <w:i/>
        </w:rPr>
        <w:t>Eudaemonia</w:t>
      </w:r>
      <w:r w:rsidR="00083EA3">
        <w:t xml:space="preserve">, another important term that is introduced is </w:t>
      </w:r>
      <w:r w:rsidR="00083EA3" w:rsidRPr="00083EA3">
        <w:rPr>
          <w:i/>
        </w:rPr>
        <w:t>Arete</w:t>
      </w:r>
      <w:r w:rsidR="00083EA3">
        <w:t xml:space="preserve"> (</w:t>
      </w:r>
      <w:r w:rsidR="00083EA3" w:rsidRPr="00083EA3">
        <w:rPr>
          <w:i/>
        </w:rPr>
        <w:t>virtue</w:t>
      </w:r>
      <w:r w:rsidR="00083EA3">
        <w:t xml:space="preserve"> or </w:t>
      </w:r>
      <w:r w:rsidR="00083EA3" w:rsidRPr="00083EA3">
        <w:rPr>
          <w:i/>
        </w:rPr>
        <w:t>excellence</w:t>
      </w:r>
      <w:r w:rsidR="00083EA3">
        <w:t>), vital to this theory for the achievement of a good life and to improve one’s self.</w:t>
      </w:r>
    </w:p>
    <w:p w:rsidR="00083EA3" w:rsidRDefault="00083EA3">
      <w:r>
        <w:t xml:space="preserve">It is argued that you cannot strive to achieve Eudaimonia </w:t>
      </w:r>
      <w:r w:rsidR="0052579C">
        <w:t xml:space="preserve">to fulfil another goal, such as good health, or popularity; this is put because Eudaimonia surpasses all other forms of good. To ascertain Eudaimonia, one first needs to understand the </w:t>
      </w:r>
      <w:r w:rsidR="0052579C" w:rsidRPr="0052579C">
        <w:rPr>
          <w:i/>
        </w:rPr>
        <w:t>Ergon</w:t>
      </w:r>
      <w:r w:rsidR="0052579C">
        <w:t xml:space="preserve"> (the purpose, function, work or task) of the human species. He suggests that the </w:t>
      </w:r>
      <w:r w:rsidR="0052579C" w:rsidRPr="0052579C">
        <w:rPr>
          <w:i/>
        </w:rPr>
        <w:t>Ergon</w:t>
      </w:r>
      <w:r w:rsidR="0052579C">
        <w:t xml:space="preserve"> is having the virtues of a person’s soul in perfect balance; although this gets </w:t>
      </w:r>
      <w:r w:rsidR="00D74F94">
        <w:t xml:space="preserve">more </w:t>
      </w:r>
      <w:r w:rsidR="0052579C">
        <w:t xml:space="preserve">confusing once he breaks the soul down into varying forms by their </w:t>
      </w:r>
      <w:r w:rsidR="0052579C">
        <w:lastRenderedPageBreak/>
        <w:t>individual purposes</w:t>
      </w:r>
      <w:r w:rsidR="00D74F94">
        <w:t>, such as locomotive, perceptive and nutritive souls</w:t>
      </w:r>
      <w:r w:rsidR="0052579C">
        <w:t>.</w:t>
      </w:r>
      <w:r w:rsidR="00D74F94">
        <w:t xml:space="preserve"> Through this examination it becomes apparent that the meaning of “</w:t>
      </w:r>
      <w:r w:rsidR="00D74F94">
        <w:rPr>
          <w:i/>
        </w:rPr>
        <w:t>Good</w:t>
      </w:r>
      <w:r w:rsidR="00D74F94">
        <w:t>” to human beings must be specific to humans, to do with their fundamental nature, something that might not for example transfer equally to non-human persons.</w:t>
      </w:r>
    </w:p>
    <w:p w:rsidR="00F64822" w:rsidRDefault="00D74F94">
      <w:r>
        <w:t xml:space="preserve">It is not so much that </w:t>
      </w:r>
      <w:r w:rsidRPr="00D74F94">
        <w:rPr>
          <w:i/>
        </w:rPr>
        <w:t>Eudaemonia</w:t>
      </w:r>
      <w:r>
        <w:t xml:space="preserve"> is virtuous, but from living a virtuous life, that one achieves a state of </w:t>
      </w:r>
      <w:r w:rsidRPr="00D74F94">
        <w:rPr>
          <w:i/>
        </w:rPr>
        <w:t>Eudaemonia</w:t>
      </w:r>
      <w:r>
        <w:t xml:space="preserve">, the </w:t>
      </w:r>
      <w:r w:rsidRPr="00D74F94">
        <w:rPr>
          <w:i/>
        </w:rPr>
        <w:t>ultimate-goal</w:t>
      </w:r>
      <w:r>
        <w:t xml:space="preserve">. However it has to be stated that he makes distinction that </w:t>
      </w:r>
      <w:r w:rsidRPr="00D74F94">
        <w:rPr>
          <w:i/>
        </w:rPr>
        <w:t>virtue</w:t>
      </w:r>
      <w:r>
        <w:t xml:space="preserve"> will not lead to </w:t>
      </w:r>
      <w:r w:rsidRPr="00D74F94">
        <w:rPr>
          <w:i/>
        </w:rPr>
        <w:t>eudaemonia</w:t>
      </w:r>
      <w:r>
        <w:t xml:space="preserve">, if other </w:t>
      </w:r>
      <w:r w:rsidRPr="00D74F94">
        <w:rPr>
          <w:i/>
        </w:rPr>
        <w:t>goods</w:t>
      </w:r>
      <w:r>
        <w:t xml:space="preserve"> in life are lacking, such as wealth or friends, which does seem to be an unfair proposition, if one is </w:t>
      </w:r>
      <w:r w:rsidR="00F64822">
        <w:t>without good fortune</w:t>
      </w:r>
      <w:r>
        <w:t xml:space="preserve">, it will not matter how virtuous they are, they will fall short of the eventual goal, </w:t>
      </w:r>
      <w:r w:rsidR="00F64822">
        <w:t xml:space="preserve">this is because the will, according to Aristotle, be unable to find the right opportunities to express virtue and achieve a </w:t>
      </w:r>
      <w:proofErr w:type="spellStart"/>
      <w:r w:rsidR="00F64822" w:rsidRPr="00F64822">
        <w:rPr>
          <w:i/>
        </w:rPr>
        <w:t>Eudaemonious</w:t>
      </w:r>
      <w:proofErr w:type="spellEnd"/>
      <w:r w:rsidR="00F64822">
        <w:t xml:space="preserve"> life.</w:t>
      </w:r>
    </w:p>
    <w:p w:rsidR="000003A6" w:rsidRDefault="005C18C6" w:rsidP="000003A6">
      <w:r>
        <w:t xml:space="preserve">The issue with the </w:t>
      </w:r>
      <w:r>
        <w:rPr>
          <w:i/>
        </w:rPr>
        <w:t>virtues</w:t>
      </w:r>
      <w:r>
        <w:t xml:space="preserve"> as he puts them, is that there is not a clear enough examination of whether these are truly required for the ascertainment of happiness or fulfilment; </w:t>
      </w:r>
      <w:proofErr w:type="gramStart"/>
      <w:r>
        <w:t>however</w:t>
      </w:r>
      <w:proofErr w:type="gramEnd"/>
      <w:r>
        <w:t xml:space="preserve"> it could be argued that though they might not necessarily be central to the pursuit of happiness, they are no less a cornerstone to a well-lived life. It should be pointed out that Aristotle, unlike Plato in “Republic”, is addressing his writing to people who already perceive and welcome these traditional ethics, after all these virtues put by Aristotle, are imbued onto us from childhood, throughout life until death</w:t>
      </w:r>
      <w:r w:rsidR="00520E70">
        <w:rPr>
          <w:rStyle w:val="FootnoteReference"/>
        </w:rPr>
        <w:footnoteReference w:id="2"/>
      </w:r>
      <w:r>
        <w:t>; so for this reason, without these innate values, we would not start an inquiry into ethics</w:t>
      </w:r>
      <w:r w:rsidR="00DF2C42">
        <w:t>, we already find a degree of happiness from these traditional virtues.</w:t>
      </w:r>
    </w:p>
    <w:p w:rsidR="007E0CD3" w:rsidRDefault="007E0CD3" w:rsidP="000003A6">
      <w:r>
        <w:t xml:space="preserve">Another difference between Aristotle and Plato is within the rejection of Plato’s </w:t>
      </w:r>
      <w:r w:rsidRPr="007E0CD3">
        <w:rPr>
          <w:i/>
        </w:rPr>
        <w:t>Theory of Forms</w:t>
      </w:r>
      <w:r>
        <w:rPr>
          <w:i/>
        </w:rPr>
        <w:t>,</w:t>
      </w:r>
      <w:r>
        <w:t xml:space="preserve"> especially the form of the good; He also takes the point to defend the idea of virtue’s importance within a well-lived life; illustrating that an </w:t>
      </w:r>
      <w:proofErr w:type="spellStart"/>
      <w:r>
        <w:t>Eudaemon</w:t>
      </w:r>
      <w:proofErr w:type="spellEnd"/>
      <w:r>
        <w:t xml:space="preserve"> will not be without these other goods, such as friendship, pleasure and honour, however they will not be guaranteed in all aspects of life, something </w:t>
      </w:r>
      <w:r w:rsidR="0071081D">
        <w:t xml:space="preserve">that could suggest undertones of the </w:t>
      </w:r>
      <w:proofErr w:type="spellStart"/>
      <w:r>
        <w:t>Heraclitean</w:t>
      </w:r>
      <w:proofErr w:type="spellEnd"/>
      <w:r>
        <w:t xml:space="preserve"> </w:t>
      </w:r>
      <w:r w:rsidR="0071081D">
        <w:t>Unity of Opposites; in the end, the lesser goods will be encountered during the journey to Eudaemonia.</w:t>
      </w:r>
    </w:p>
    <w:p w:rsidR="0071081D" w:rsidRDefault="0071081D" w:rsidP="000003A6">
      <w:proofErr w:type="gramStart"/>
      <w:r>
        <w:t>On the subject of virtues</w:t>
      </w:r>
      <w:proofErr w:type="gramEnd"/>
      <w:r>
        <w:t>, Aristotle defined two sets of virtue, the first pertaining to reasoning (</w:t>
      </w:r>
      <w:r w:rsidRPr="0071081D">
        <w:rPr>
          <w:i/>
        </w:rPr>
        <w:t>Virtues of Intellect</w:t>
      </w:r>
      <w:r>
        <w:t>) and the second to the part of the soul that does not reason, however can determine these qualities (</w:t>
      </w:r>
      <w:r w:rsidRPr="0071081D">
        <w:rPr>
          <w:i/>
        </w:rPr>
        <w:t>Ethical Virtues</w:t>
      </w:r>
      <w:r>
        <w:t xml:space="preserve">). Virtues of intellect are then made up of two </w:t>
      </w:r>
      <w:r w:rsidR="008722D2">
        <w:t>sub classifications, Theoretical Reasoning and Practical Thinking</w:t>
      </w:r>
      <w:r w:rsidR="004E6162">
        <w:t>; he states that all free men have the potential to be wise and ethically virtuous, but only if they undergo the correct development, to develop proper habits and to then acquire the relevant practical wisdom, through experience in the world.</w:t>
      </w:r>
    </w:p>
    <w:p w:rsidR="0071081D" w:rsidRPr="00F43E20" w:rsidRDefault="00F43E20" w:rsidP="000003A6">
      <w:r>
        <w:t xml:space="preserve">To define what a virtue is, Aristotle suggests that a virtue rests in equilibrium between two vices, or extremes of the scale, so for example, looking to the virtue of </w:t>
      </w:r>
      <w:r>
        <w:rPr>
          <w:i/>
        </w:rPr>
        <w:t>Courage,</w:t>
      </w:r>
      <w:r>
        <w:t xml:space="preserve"> it sits between cowardice and recklessness; the point of absolute equilibrium being called the </w:t>
      </w:r>
      <w:r>
        <w:rPr>
          <w:i/>
        </w:rPr>
        <w:t>Golden Mean</w:t>
      </w:r>
      <w:r>
        <w:t>. This Golden Mean he likens to the skilled craftsperson, they know to avoid excess and deficiency. This said, the Golden Mean is not static rule, it is adjusted by the specific circumstances the person has found themselves.</w:t>
      </w:r>
    </w:p>
    <w:p w:rsidR="008722D2" w:rsidRPr="008722D2" w:rsidRDefault="008722D2" w:rsidP="000003A6">
      <w:r>
        <w:t xml:space="preserve">An interesting point to raise is that Aristotle seems to suggest that for one to live well, one needs to have </w:t>
      </w:r>
      <w:proofErr w:type="gramStart"/>
      <w:r>
        <w:t>sufficient</w:t>
      </w:r>
      <w:proofErr w:type="gramEnd"/>
      <w:r>
        <w:t xml:space="preserve"> access to resources to sustain a lifelong pursuit of virtue. This is interesting as Aristotle designed his theory in such a way to be far more accessible to more people than Plato did with his account of goodness; Aristotle however fails to bring into focus that although people in poverty are often stripped of vital resources, just treatment and opportunities in life; however even from the oppressive and depressing situation they are within, there should not be anything to restrict them from practicing a virtuous nature, to think that a shortage of material assets will stop </w:t>
      </w:r>
      <w:r>
        <w:lastRenderedPageBreak/>
        <w:t>people from being as “</w:t>
      </w:r>
      <w:r>
        <w:rPr>
          <w:i/>
        </w:rPr>
        <w:t>Good”</w:t>
      </w:r>
      <w:r w:rsidR="004E6162">
        <w:rPr>
          <w:i/>
        </w:rPr>
        <w:t>,</w:t>
      </w:r>
      <w:r>
        <w:t xml:space="preserve"> is a </w:t>
      </w:r>
      <w:r w:rsidR="004E6162">
        <w:t>good illustration</w:t>
      </w:r>
      <w:r>
        <w:t xml:space="preserve"> of elitist prejudice</w:t>
      </w:r>
      <w:r w:rsidR="004E6162">
        <w:t>, and seems to suggest, unfairly, savagery within the lower classes</w:t>
      </w:r>
      <w:r>
        <w:t>.</w:t>
      </w:r>
    </w:p>
    <w:p w:rsidR="005C18C6" w:rsidRDefault="00626114">
      <w:r>
        <w:t xml:space="preserve">Aristotle explains another important part of his account of good in </w:t>
      </w:r>
      <w:r w:rsidRPr="00626114">
        <w:rPr>
          <w:i/>
        </w:rPr>
        <w:t>Book VII</w:t>
      </w:r>
      <w:r>
        <w:t xml:space="preserve">, that of </w:t>
      </w:r>
      <w:r w:rsidRPr="00424981">
        <w:rPr>
          <w:i/>
        </w:rPr>
        <w:t>Akrasia</w:t>
      </w:r>
      <w:r>
        <w:t xml:space="preserve"> and </w:t>
      </w:r>
      <w:proofErr w:type="spellStart"/>
      <w:r w:rsidRPr="00424981">
        <w:rPr>
          <w:i/>
        </w:rPr>
        <w:t>Enkrateia</w:t>
      </w:r>
      <w:proofErr w:type="spellEnd"/>
      <w:r>
        <w:t>, or incontinence (lack of mastery) and continenc</w:t>
      </w:r>
      <w:r w:rsidR="00424981">
        <w:t xml:space="preserve">e (mastery). He defines these terms as someone </w:t>
      </w:r>
      <w:r w:rsidR="00424981" w:rsidRPr="00424981">
        <w:rPr>
          <w:i/>
        </w:rPr>
        <w:t>akratic</w:t>
      </w:r>
      <w:r w:rsidR="00424981">
        <w:t xml:space="preserve"> in tendency as going against reason due to experiencing a feeling or emotion and therefore acts out of passion, against that of reason. Two forms of </w:t>
      </w:r>
      <w:r w:rsidR="00424981" w:rsidRPr="00424981">
        <w:rPr>
          <w:i/>
        </w:rPr>
        <w:t>Akrasia</w:t>
      </w:r>
      <w:r w:rsidR="00424981">
        <w:t xml:space="preserve"> exist, they are </w:t>
      </w:r>
      <w:proofErr w:type="spellStart"/>
      <w:r w:rsidR="00424981" w:rsidRPr="00424981">
        <w:rPr>
          <w:i/>
        </w:rPr>
        <w:t>Propeteia</w:t>
      </w:r>
      <w:proofErr w:type="spellEnd"/>
      <w:r w:rsidR="00424981">
        <w:t xml:space="preserve"> (impetuosity) and </w:t>
      </w:r>
      <w:proofErr w:type="spellStart"/>
      <w:r w:rsidR="00424981" w:rsidRPr="00424981">
        <w:rPr>
          <w:i/>
        </w:rPr>
        <w:t>Astheneia</w:t>
      </w:r>
      <w:proofErr w:type="spellEnd"/>
      <w:r w:rsidR="00424981">
        <w:t xml:space="preserve"> (weakness). Someone of an </w:t>
      </w:r>
      <w:proofErr w:type="spellStart"/>
      <w:r w:rsidR="00424981">
        <w:t>Astheneia</w:t>
      </w:r>
      <w:proofErr w:type="spellEnd"/>
      <w:r w:rsidR="00424981">
        <w:t xml:space="preserve"> predisposition will ignore reason for an action backed up by passion after a process of deliberation, whereas someone who is </w:t>
      </w:r>
      <w:proofErr w:type="spellStart"/>
      <w:r w:rsidR="00424981">
        <w:t>Propeteia</w:t>
      </w:r>
      <w:proofErr w:type="spellEnd"/>
      <w:r w:rsidR="00424981">
        <w:t xml:space="preserve"> in character will be impetuous in their actions, with no time spent on deliberation, they act just out of passion, with no thought of consequences. At the time, a </w:t>
      </w:r>
      <w:proofErr w:type="spellStart"/>
      <w:r w:rsidR="00424981">
        <w:t>Propeteia</w:t>
      </w:r>
      <w:proofErr w:type="spellEnd"/>
      <w:r w:rsidR="00424981">
        <w:t xml:space="preserve"> inclined individual w</w:t>
      </w:r>
      <w:r w:rsidR="003A4103">
        <w:t>ill have no internal conflict, only to realise that once the situation is over; if their thought processes occurred before the action, they could prevent themselves from the potential error. It is important to not that Akrasia manifests as a chronic condition, not something infrequent in nature.</w:t>
      </w:r>
    </w:p>
    <w:p w:rsidR="009700F6" w:rsidRPr="005C18C6" w:rsidRDefault="009700F6">
      <w:r>
        <w:t>To conclude, although there are some issues with Aristotle’s account of “The Good”, his level of investigation was the first of its kind and broke new ground regarding the study of morality and ethics. Also, it provides a plausible breakdown of what “The Good” means; although it needs to be recognised that this is from an ancient Greek perception; while this has dated (by modern standards), it has stood the test of time regarding humanities evolving understanding of what could be considered “The Good”. Aristotle’s account therefore was the important seminal work, which started the engagement of many philosophers to discuss ethical dialogue and explore this new field.</w:t>
      </w:r>
    </w:p>
    <w:sectPr w:rsidR="009700F6" w:rsidRPr="005C18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FA5" w:rsidRDefault="00DA1FA5" w:rsidP="00520E70">
      <w:pPr>
        <w:spacing w:after="0" w:line="240" w:lineRule="auto"/>
      </w:pPr>
      <w:r>
        <w:separator/>
      </w:r>
    </w:p>
  </w:endnote>
  <w:endnote w:type="continuationSeparator" w:id="0">
    <w:p w:rsidR="00DA1FA5" w:rsidRDefault="00DA1FA5" w:rsidP="00520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FA5" w:rsidRDefault="00DA1FA5" w:rsidP="00520E70">
      <w:pPr>
        <w:spacing w:after="0" w:line="240" w:lineRule="auto"/>
      </w:pPr>
      <w:r>
        <w:separator/>
      </w:r>
    </w:p>
  </w:footnote>
  <w:footnote w:type="continuationSeparator" w:id="0">
    <w:p w:rsidR="00DA1FA5" w:rsidRDefault="00DA1FA5" w:rsidP="00520E70">
      <w:pPr>
        <w:spacing w:after="0" w:line="240" w:lineRule="auto"/>
      </w:pPr>
      <w:r>
        <w:continuationSeparator/>
      </w:r>
    </w:p>
  </w:footnote>
  <w:footnote w:id="1">
    <w:p w:rsidR="007E0CD3" w:rsidRDefault="007E0CD3">
      <w:pPr>
        <w:pStyle w:val="FootnoteText"/>
      </w:pPr>
      <w:r>
        <w:rPr>
          <w:rStyle w:val="FootnoteReference"/>
        </w:rPr>
        <w:footnoteRef/>
      </w:r>
      <w:r>
        <w:t xml:space="preserve"> “</w:t>
      </w:r>
      <w:r w:rsidRPr="007E0CD3">
        <w:t>if A is desirable for the sake of B, then B is better than A</w:t>
      </w:r>
      <w:r>
        <w:t>”</w:t>
      </w:r>
      <w:r w:rsidRPr="007E0CD3">
        <w:t xml:space="preserve"> (1094a14–16)</w:t>
      </w:r>
    </w:p>
  </w:footnote>
  <w:footnote w:id="2">
    <w:p w:rsidR="00520E70" w:rsidRDefault="00520E70">
      <w:pPr>
        <w:pStyle w:val="FootnoteText"/>
      </w:pPr>
      <w:r>
        <w:rPr>
          <w:rStyle w:val="FootnoteReference"/>
        </w:rPr>
        <w:footnoteRef/>
      </w:r>
      <w:r>
        <w:t xml:space="preserve"> Solon’s paradoxical dictum, “</w:t>
      </w:r>
      <w:r w:rsidRPr="00087FB1">
        <w:t>no man should be counted happy until he is dead</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296"/>
    <w:rsid w:val="000003A6"/>
    <w:rsid w:val="00083EA3"/>
    <w:rsid w:val="00087FB1"/>
    <w:rsid w:val="000F6203"/>
    <w:rsid w:val="00136CC2"/>
    <w:rsid w:val="002F17E6"/>
    <w:rsid w:val="00347A26"/>
    <w:rsid w:val="003A4103"/>
    <w:rsid w:val="00424981"/>
    <w:rsid w:val="004C1797"/>
    <w:rsid w:val="004E6162"/>
    <w:rsid w:val="00520E70"/>
    <w:rsid w:val="0052579C"/>
    <w:rsid w:val="005930C5"/>
    <w:rsid w:val="005C18C6"/>
    <w:rsid w:val="00626114"/>
    <w:rsid w:val="006A5420"/>
    <w:rsid w:val="0071081D"/>
    <w:rsid w:val="007A4422"/>
    <w:rsid w:val="007C768E"/>
    <w:rsid w:val="007E0CD3"/>
    <w:rsid w:val="00801E97"/>
    <w:rsid w:val="008722D2"/>
    <w:rsid w:val="008C679D"/>
    <w:rsid w:val="009700F6"/>
    <w:rsid w:val="00993D81"/>
    <w:rsid w:val="00A34DC0"/>
    <w:rsid w:val="00A46FFA"/>
    <w:rsid w:val="00A90338"/>
    <w:rsid w:val="00AB0C77"/>
    <w:rsid w:val="00B749FE"/>
    <w:rsid w:val="00C728A3"/>
    <w:rsid w:val="00CB2FD7"/>
    <w:rsid w:val="00D74F94"/>
    <w:rsid w:val="00DA1FA5"/>
    <w:rsid w:val="00DF2C42"/>
    <w:rsid w:val="00EF2296"/>
    <w:rsid w:val="00F43E20"/>
    <w:rsid w:val="00F64822"/>
    <w:rsid w:val="00FE5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97577"/>
  <w15:chartTrackingRefBased/>
  <w15:docId w15:val="{B18A0694-A31B-4BB7-9CD9-40502BB0D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20E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0E70"/>
    <w:rPr>
      <w:sz w:val="20"/>
      <w:szCs w:val="20"/>
    </w:rPr>
  </w:style>
  <w:style w:type="character" w:styleId="FootnoteReference">
    <w:name w:val="footnote reference"/>
    <w:basedOn w:val="DefaultParagraphFont"/>
    <w:uiPriority w:val="99"/>
    <w:semiHidden/>
    <w:unhideWhenUsed/>
    <w:rsid w:val="00520E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79C7EE-6E63-4B3F-B956-67A2B73E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3</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Alison</dc:creator>
  <cp:keywords/>
  <dc:description/>
  <cp:lastModifiedBy>James Alison</cp:lastModifiedBy>
  <cp:revision>3</cp:revision>
  <dcterms:created xsi:type="dcterms:W3CDTF">2019-04-11T10:27:00Z</dcterms:created>
  <dcterms:modified xsi:type="dcterms:W3CDTF">2019-04-19T22:11:00Z</dcterms:modified>
</cp:coreProperties>
</file>