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07397595"/>
        <w:docPartObj>
          <w:docPartGallery w:val="Cover Pages"/>
          <w:docPartUnique/>
        </w:docPartObj>
      </w:sdtPr>
      <w:sdtEndPr>
        <w:rPr>
          <w:rFonts w:ascii="Arial" w:hAnsi="Arial" w:cs="Arial"/>
          <w:noProof/>
          <w:lang w:eastAsia="en-IN" w:bidi="hi-IN"/>
        </w:rPr>
      </w:sdtEndPr>
      <w:sdtContent>
        <w:tbl>
          <w:tblPr>
            <w:tblW w:w="5000" w:type="pct"/>
            <w:jc w:val="center"/>
            <w:tblLook w:val="04A0" w:firstRow="1" w:lastRow="0" w:firstColumn="1" w:lastColumn="0" w:noHBand="0" w:noVBand="1"/>
          </w:tblPr>
          <w:tblGrid>
            <w:gridCol w:w="9026"/>
          </w:tblGrid>
          <w:tr w:rsidR="001D7B41" w:rsidRPr="00DC2A56" w14:paraId="3F8B1457" w14:textId="77777777">
            <w:trPr>
              <w:trHeight w:val="2880"/>
              <w:jc w:val="center"/>
            </w:trPr>
            <w:tc>
              <w:tcPr>
                <w:tcW w:w="5000" w:type="pct"/>
              </w:tcPr>
              <w:p w14:paraId="6EA15D74" w14:textId="6737A05A" w:rsidR="001D7B41" w:rsidRPr="00DC2A56" w:rsidRDefault="00DC2A56" w:rsidP="00DC2A56">
                <w:r>
                  <w:rPr>
                    <w:noProof/>
                  </w:rPr>
                  <w:drawing>
                    <wp:inline distT="0" distB="0" distL="0" distR="0" wp14:anchorId="1094CC9C" wp14:editId="73B7A4BB">
                      <wp:extent cx="2517775" cy="11645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7775" cy="1164590"/>
                              </a:xfrm>
                              <a:prstGeom prst="rect">
                                <a:avLst/>
                              </a:prstGeom>
                              <a:noFill/>
                            </pic:spPr>
                          </pic:pic>
                        </a:graphicData>
                      </a:graphic>
                    </wp:inline>
                  </w:drawing>
                </w:r>
              </w:p>
            </w:tc>
          </w:tr>
          <w:tr w:rsidR="001D7B41" w:rsidRPr="00DC2A56" w14:paraId="49509089" w14:textId="77777777">
            <w:trPr>
              <w:trHeight w:val="1440"/>
              <w:jc w:val="center"/>
            </w:trPr>
            <w:sdt>
              <w:sdtPr>
                <w:rPr>
                  <w:rFonts w:ascii="Arial" w:hAnsi="Arial" w:cs="Arial"/>
                  <w:b/>
                  <w:bCs/>
                  <w:color w:val="000000"/>
                  <w:sz w:val="72"/>
                  <w:szCs w:val="72"/>
                </w:rPr>
                <w:alias w:val="Title"/>
                <w:id w:val="15524250"/>
                <w:placeholder>
                  <w:docPart w:val="90A4E94AC78C4BA9A3C98BC447162106"/>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472C4" w:themeColor="accent1"/>
                    </w:tcBorders>
                    <w:vAlign w:val="center"/>
                  </w:tcPr>
                  <w:p w14:paraId="55982858" w14:textId="1C9B4697" w:rsidR="001D7B41" w:rsidRPr="00DC2A56" w:rsidRDefault="00137B0D">
                    <w:pPr>
                      <w:pStyle w:val="NoSpacing"/>
                      <w:jc w:val="center"/>
                      <w:rPr>
                        <w:rFonts w:ascii="Arial" w:eastAsiaTheme="majorEastAsia" w:hAnsi="Arial" w:cs="Arial"/>
                        <w:sz w:val="80"/>
                        <w:szCs w:val="80"/>
                      </w:rPr>
                    </w:pPr>
                    <w:r>
                      <w:rPr>
                        <w:rFonts w:ascii="Arial" w:hAnsi="Arial" w:cs="Arial"/>
                        <w:b/>
                        <w:bCs/>
                        <w:color w:val="000000"/>
                        <w:sz w:val="72"/>
                        <w:szCs w:val="72"/>
                      </w:rPr>
                      <w:t>BMHP5014: Changemakers: Creativity and Value Creation</w:t>
                    </w:r>
                  </w:p>
                </w:tc>
              </w:sdtContent>
            </w:sdt>
          </w:tr>
          <w:tr w:rsidR="001D7B41" w:rsidRPr="00DC2A56" w14:paraId="6380D342" w14:textId="77777777">
            <w:trPr>
              <w:trHeight w:val="720"/>
              <w:jc w:val="center"/>
            </w:trPr>
            <w:sdt>
              <w:sdtPr>
                <w:rPr>
                  <w:rFonts w:ascii="Arial" w:hAnsi="Arial" w:cs="Arial"/>
                  <w:b/>
                  <w:bCs/>
                  <w:color w:val="000000"/>
                  <w:sz w:val="44"/>
                  <w:szCs w:val="44"/>
                </w:rPr>
                <w:alias w:val="Subtitle"/>
                <w:id w:val="15524255"/>
                <w:placeholder>
                  <w:docPart w:val="BFA28CAE7D6B41DCBF0E49FB84E6FF4B"/>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472C4" w:themeColor="accent1"/>
                    </w:tcBorders>
                    <w:vAlign w:val="center"/>
                  </w:tcPr>
                  <w:p w14:paraId="32C5A612" w14:textId="506D135D" w:rsidR="001D7B41" w:rsidRPr="00DC2A56" w:rsidRDefault="002836B6" w:rsidP="002836B6">
                    <w:pPr>
                      <w:pStyle w:val="NoSpacing"/>
                      <w:jc w:val="center"/>
                      <w:rPr>
                        <w:rFonts w:ascii="Arial" w:eastAsiaTheme="majorEastAsia" w:hAnsi="Arial" w:cs="Arial"/>
                        <w:sz w:val="44"/>
                        <w:szCs w:val="44"/>
                      </w:rPr>
                    </w:pPr>
                    <w:r w:rsidRPr="00DC2A56">
                      <w:rPr>
                        <w:rFonts w:ascii="Arial" w:hAnsi="Arial" w:cs="Arial"/>
                        <w:b/>
                        <w:bCs/>
                        <w:color w:val="000000"/>
                        <w:sz w:val="44"/>
                        <w:szCs w:val="44"/>
                      </w:rPr>
                      <w:t>Component 2 - Poster and Pitch</w:t>
                    </w:r>
                  </w:p>
                </w:tc>
              </w:sdtContent>
            </w:sdt>
          </w:tr>
          <w:tr w:rsidR="001D7B41" w:rsidRPr="00DC2A56" w14:paraId="7E77546B" w14:textId="77777777">
            <w:trPr>
              <w:trHeight w:val="360"/>
              <w:jc w:val="center"/>
            </w:trPr>
            <w:tc>
              <w:tcPr>
                <w:tcW w:w="5000" w:type="pct"/>
                <w:vAlign w:val="center"/>
              </w:tcPr>
              <w:p w14:paraId="60357932" w14:textId="77777777" w:rsidR="001D7B41" w:rsidRPr="00DC2A56" w:rsidRDefault="001D7B41">
                <w:pPr>
                  <w:pStyle w:val="NoSpacing"/>
                  <w:jc w:val="center"/>
                  <w:rPr>
                    <w:rFonts w:ascii="Arial" w:hAnsi="Arial" w:cs="Arial"/>
                  </w:rPr>
                </w:pPr>
              </w:p>
            </w:tc>
          </w:tr>
          <w:tr w:rsidR="001D7B41" w:rsidRPr="00DC2A56" w14:paraId="5353B2E9" w14:textId="77777777">
            <w:trPr>
              <w:trHeight w:val="360"/>
              <w:jc w:val="center"/>
            </w:trPr>
            <w:tc>
              <w:tcPr>
                <w:tcW w:w="5000" w:type="pct"/>
                <w:vAlign w:val="center"/>
              </w:tcPr>
              <w:p w14:paraId="42EE843B" w14:textId="3AAF733B" w:rsidR="001D7B41" w:rsidRPr="00DC2A56" w:rsidRDefault="001D7B41" w:rsidP="001D7B41">
                <w:pPr>
                  <w:pStyle w:val="NoSpacing"/>
                  <w:jc w:val="center"/>
                  <w:rPr>
                    <w:rFonts w:ascii="Arial" w:hAnsi="Arial" w:cs="Arial"/>
                    <w:b/>
                    <w:bCs/>
                  </w:rPr>
                </w:pPr>
              </w:p>
            </w:tc>
          </w:tr>
          <w:tr w:rsidR="001D7B41" w:rsidRPr="00DC2A56" w14:paraId="16CF46F0" w14:textId="77777777">
            <w:trPr>
              <w:trHeight w:val="360"/>
              <w:jc w:val="center"/>
            </w:trPr>
            <w:tc>
              <w:tcPr>
                <w:tcW w:w="5000" w:type="pct"/>
                <w:vAlign w:val="center"/>
              </w:tcPr>
              <w:p w14:paraId="4D036890" w14:textId="47D21CB7" w:rsidR="001D7B41" w:rsidRPr="00DC2A56" w:rsidRDefault="001D7B41">
                <w:pPr>
                  <w:pStyle w:val="NoSpacing"/>
                  <w:jc w:val="center"/>
                  <w:rPr>
                    <w:rFonts w:ascii="Arial" w:hAnsi="Arial" w:cs="Arial"/>
                    <w:b/>
                    <w:bCs/>
                  </w:rPr>
                </w:pPr>
              </w:p>
            </w:tc>
          </w:tr>
        </w:tbl>
        <w:p w14:paraId="28E12ADF" w14:textId="77777777" w:rsidR="001D7B41" w:rsidRPr="00DC2A56" w:rsidRDefault="001D7B41">
          <w:pPr>
            <w:rPr>
              <w:rFonts w:ascii="Arial" w:hAnsi="Arial" w:cs="Arial"/>
            </w:rPr>
          </w:pPr>
        </w:p>
        <w:p w14:paraId="61368400" w14:textId="77777777" w:rsidR="001D7B41" w:rsidRPr="00DC2A56" w:rsidRDefault="001D7B41">
          <w:pPr>
            <w:rPr>
              <w:rFonts w:ascii="Arial" w:hAnsi="Arial" w:cs="Arial"/>
            </w:rPr>
          </w:pPr>
        </w:p>
        <w:tbl>
          <w:tblPr>
            <w:tblpPr w:leftFromText="187" w:rightFromText="187" w:horzAnchor="margin" w:tblpXSpec="center" w:tblpYSpec="bottom"/>
            <w:tblW w:w="5000" w:type="pct"/>
            <w:tblLook w:val="04A0" w:firstRow="1" w:lastRow="0" w:firstColumn="1" w:lastColumn="0" w:noHBand="0" w:noVBand="1"/>
          </w:tblPr>
          <w:tblGrid>
            <w:gridCol w:w="9026"/>
          </w:tblGrid>
          <w:tr w:rsidR="001D7B41" w:rsidRPr="00DC2A56" w14:paraId="6B65A831" w14:textId="77777777">
            <w:tc>
              <w:tcPr>
                <w:tcW w:w="5000" w:type="pct"/>
              </w:tcPr>
              <w:p w14:paraId="0372EFC9" w14:textId="280CA1D3" w:rsidR="001D7B41" w:rsidRPr="00DC2A56" w:rsidRDefault="001D7B41">
                <w:pPr>
                  <w:pStyle w:val="NoSpacing"/>
                  <w:rPr>
                    <w:rFonts w:ascii="Arial" w:hAnsi="Arial" w:cs="Arial"/>
                  </w:rPr>
                </w:pPr>
              </w:p>
            </w:tc>
          </w:tr>
        </w:tbl>
        <w:p w14:paraId="726B9FA6" w14:textId="794E17FF" w:rsidR="00944F12" w:rsidRPr="00DC2A56" w:rsidRDefault="00944F12" w:rsidP="00944F12">
          <w:pPr>
            <w:spacing w:line="360" w:lineRule="auto"/>
            <w:jc w:val="center"/>
            <w:rPr>
              <w:rFonts w:ascii="Arial" w:hAnsi="Arial" w:cs="Arial"/>
              <w:b/>
              <w:bCs/>
              <w:sz w:val="22"/>
              <w:szCs w:val="22"/>
            </w:rPr>
          </w:pPr>
          <w:r w:rsidRPr="04DA7AD2">
            <w:rPr>
              <w:rFonts w:ascii="Arial" w:hAnsi="Arial" w:cs="Arial"/>
              <w:b/>
              <w:bCs/>
              <w:sz w:val="22"/>
              <w:szCs w:val="22"/>
            </w:rPr>
            <w:t>Student Name:</w:t>
          </w:r>
          <w:r w:rsidR="4F033D3D" w:rsidRPr="04DA7AD2">
            <w:rPr>
              <w:rFonts w:ascii="Arial" w:hAnsi="Arial" w:cs="Arial"/>
              <w:b/>
              <w:bCs/>
              <w:sz w:val="22"/>
              <w:szCs w:val="22"/>
            </w:rPr>
            <w:t xml:space="preserve"> Rawan Abushamma</w:t>
          </w:r>
        </w:p>
        <w:p w14:paraId="35F24627" w14:textId="3AF6388B" w:rsidR="001D7B41" w:rsidRPr="00DC2A56" w:rsidRDefault="00944F12" w:rsidP="00944F12">
          <w:pPr>
            <w:spacing w:line="360" w:lineRule="auto"/>
            <w:jc w:val="center"/>
            <w:rPr>
              <w:rFonts w:ascii="Arial" w:hAnsi="Arial" w:cs="Arial"/>
              <w:b/>
              <w:bCs/>
              <w:sz w:val="22"/>
              <w:szCs w:val="22"/>
            </w:rPr>
          </w:pPr>
          <w:r w:rsidRPr="04DA7AD2">
            <w:rPr>
              <w:rFonts w:ascii="Arial" w:hAnsi="Arial" w:cs="Arial"/>
              <w:b/>
              <w:bCs/>
              <w:sz w:val="22"/>
              <w:szCs w:val="22"/>
            </w:rPr>
            <w:t>Student Number:</w:t>
          </w:r>
          <w:r w:rsidR="0D6C24D3" w:rsidRPr="04DA7AD2">
            <w:rPr>
              <w:rFonts w:ascii="Arial" w:hAnsi="Arial" w:cs="Arial"/>
              <w:b/>
              <w:bCs/>
              <w:sz w:val="22"/>
              <w:szCs w:val="22"/>
            </w:rPr>
            <w:t xml:space="preserve"> 2407178</w:t>
          </w:r>
        </w:p>
        <w:p w14:paraId="6563093C" w14:textId="77777777" w:rsidR="00944F12" w:rsidRPr="00DC2A56" w:rsidRDefault="00944F12">
          <w:pPr>
            <w:rPr>
              <w:rFonts w:ascii="Arial" w:hAnsi="Arial" w:cs="Arial"/>
            </w:rPr>
          </w:pPr>
        </w:p>
        <w:p w14:paraId="5C7DAF8F" w14:textId="3AEA8AF9" w:rsidR="04DA7AD2" w:rsidRDefault="04DA7AD2" w:rsidP="04DA7AD2">
          <w:pPr>
            <w:rPr>
              <w:rFonts w:ascii="Arial" w:hAnsi="Arial" w:cs="Arial"/>
            </w:rPr>
          </w:pPr>
        </w:p>
        <w:p w14:paraId="17602FA4" w14:textId="68FFA7F4" w:rsidR="04DA7AD2" w:rsidRDefault="04DA7AD2" w:rsidP="04DA7AD2">
          <w:pPr>
            <w:rPr>
              <w:rFonts w:ascii="Arial" w:hAnsi="Arial" w:cs="Arial"/>
            </w:rPr>
          </w:pPr>
        </w:p>
        <w:p w14:paraId="17D66677" w14:textId="0E349930" w:rsidR="04DA7AD2" w:rsidRDefault="04DA7AD2" w:rsidP="04DA7AD2">
          <w:pPr>
            <w:rPr>
              <w:rFonts w:ascii="Arial" w:hAnsi="Arial" w:cs="Arial"/>
            </w:rPr>
          </w:pPr>
        </w:p>
        <w:p w14:paraId="682F0360" w14:textId="08C96C3C" w:rsidR="001D7B41" w:rsidRPr="00DC2A56" w:rsidRDefault="001D7B41">
          <w:pPr>
            <w:rPr>
              <w:rFonts w:ascii="Arial" w:hAnsi="Arial" w:cs="Arial"/>
              <w:b/>
              <w:bCs/>
              <w:noProof/>
              <w:sz w:val="22"/>
              <w:szCs w:val="22"/>
              <w:lang w:eastAsia="en-IN" w:bidi="hi-IN"/>
            </w:rPr>
          </w:pPr>
          <w:r w:rsidRPr="00DC2A56">
            <w:rPr>
              <w:rFonts w:ascii="Arial" w:hAnsi="Arial" w:cs="Arial"/>
              <w:noProof/>
              <w:sz w:val="22"/>
              <w:szCs w:val="22"/>
              <w:lang w:eastAsia="en-IN" w:bidi="hi-IN"/>
            </w:rPr>
            <w:br w:type="page"/>
          </w:r>
        </w:p>
      </w:sdtContent>
    </w:sdt>
    <w:sdt>
      <w:sdtPr>
        <w:rPr>
          <w:rFonts w:ascii="Arial" w:eastAsiaTheme="minorEastAsia" w:hAnsi="Arial" w:cs="Arial"/>
          <w:b w:val="0"/>
          <w:bCs w:val="0"/>
          <w:color w:val="auto"/>
          <w:kern w:val="2"/>
          <w:sz w:val="24"/>
          <w:szCs w:val="24"/>
          <w:lang w:val="en-IN" w:eastAsia="en-US"/>
          <w14:ligatures w14:val="standardContextual"/>
        </w:rPr>
        <w:id w:val="1115947636"/>
        <w:docPartObj>
          <w:docPartGallery w:val="Table of Contents"/>
          <w:docPartUnique/>
        </w:docPartObj>
      </w:sdtPr>
      <w:sdtContent>
        <w:p w14:paraId="7D082985" w14:textId="64D205A2" w:rsidR="001D7B41" w:rsidRPr="00DC2A56" w:rsidRDefault="001D7B41" w:rsidP="001D7B41">
          <w:pPr>
            <w:pStyle w:val="TOCHeading"/>
            <w:spacing w:line="360" w:lineRule="auto"/>
            <w:jc w:val="both"/>
            <w:rPr>
              <w:rFonts w:ascii="Arial" w:hAnsi="Arial" w:cs="Arial"/>
              <w:color w:val="000000" w:themeColor="text1"/>
              <w:sz w:val="22"/>
              <w:szCs w:val="22"/>
            </w:rPr>
          </w:pPr>
          <w:r w:rsidRPr="00DC2A56">
            <w:rPr>
              <w:rFonts w:ascii="Arial" w:hAnsi="Arial" w:cs="Arial"/>
              <w:color w:val="000000" w:themeColor="text1"/>
              <w:sz w:val="22"/>
              <w:szCs w:val="22"/>
            </w:rPr>
            <w:t>Table of Contents</w:t>
          </w:r>
        </w:p>
        <w:p w14:paraId="032F64CD" w14:textId="1FAB6614" w:rsidR="00DC2A56" w:rsidRPr="00DC2A56" w:rsidRDefault="001D7B41">
          <w:pPr>
            <w:pStyle w:val="TOC1"/>
            <w:tabs>
              <w:tab w:val="right" w:leader="dot" w:pos="9016"/>
            </w:tabs>
            <w:rPr>
              <w:rFonts w:ascii="Arial" w:eastAsiaTheme="minorEastAsia" w:hAnsi="Arial" w:cs="Arial"/>
              <w:noProof/>
              <w:kern w:val="0"/>
              <w:sz w:val="22"/>
              <w:szCs w:val="22"/>
              <w:lang w:eastAsia="en-IN"/>
              <w14:ligatures w14:val="none"/>
            </w:rPr>
          </w:pPr>
          <w:r w:rsidRPr="00DC2A56">
            <w:rPr>
              <w:rFonts w:ascii="Arial" w:hAnsi="Arial" w:cs="Arial"/>
              <w:color w:val="000000" w:themeColor="text1"/>
              <w:sz w:val="22"/>
              <w:szCs w:val="22"/>
            </w:rPr>
            <w:fldChar w:fldCharType="begin"/>
          </w:r>
          <w:r w:rsidRPr="00DC2A56">
            <w:rPr>
              <w:rFonts w:ascii="Arial" w:hAnsi="Arial" w:cs="Arial"/>
              <w:color w:val="000000" w:themeColor="text1"/>
              <w:sz w:val="22"/>
              <w:szCs w:val="22"/>
            </w:rPr>
            <w:instrText xml:space="preserve"> TOC \o "1-3" \h \z \u </w:instrText>
          </w:r>
          <w:r w:rsidRPr="00DC2A56">
            <w:rPr>
              <w:rFonts w:ascii="Arial" w:hAnsi="Arial" w:cs="Arial"/>
              <w:color w:val="000000" w:themeColor="text1"/>
              <w:sz w:val="22"/>
              <w:szCs w:val="22"/>
            </w:rPr>
            <w:fldChar w:fldCharType="separate"/>
          </w:r>
          <w:hyperlink w:anchor="_Toc225858595" w:history="1">
            <w:r w:rsidR="00DC2A56" w:rsidRPr="00DC2A56">
              <w:rPr>
                <w:rStyle w:val="Hyperlink"/>
                <w:rFonts w:ascii="Arial" w:hAnsi="Arial" w:cs="Arial"/>
                <w:noProof/>
                <w:sz w:val="22"/>
                <w:szCs w:val="22"/>
                <w:lang w:eastAsia="en-IN" w:bidi="hi-IN"/>
              </w:rPr>
              <w:t>Poster: Innovative health and social care solution</w:t>
            </w:r>
            <w:r w:rsidR="00DC2A56" w:rsidRPr="00DC2A56">
              <w:rPr>
                <w:rFonts w:ascii="Arial" w:hAnsi="Arial" w:cs="Arial"/>
                <w:noProof/>
                <w:webHidden/>
                <w:sz w:val="22"/>
                <w:szCs w:val="22"/>
              </w:rPr>
              <w:tab/>
            </w:r>
            <w:r w:rsidR="00DC2A56" w:rsidRPr="00DC2A56">
              <w:rPr>
                <w:rFonts w:ascii="Arial" w:hAnsi="Arial" w:cs="Arial"/>
                <w:noProof/>
                <w:webHidden/>
                <w:sz w:val="22"/>
                <w:szCs w:val="22"/>
              </w:rPr>
              <w:fldChar w:fldCharType="begin"/>
            </w:r>
            <w:r w:rsidR="00DC2A56" w:rsidRPr="00DC2A56">
              <w:rPr>
                <w:rFonts w:ascii="Arial" w:hAnsi="Arial" w:cs="Arial"/>
                <w:noProof/>
                <w:webHidden/>
                <w:sz w:val="22"/>
                <w:szCs w:val="22"/>
              </w:rPr>
              <w:instrText xml:space="preserve"> PAGEREF _Toc225858595 \h </w:instrText>
            </w:r>
            <w:r w:rsidR="00DC2A56" w:rsidRPr="00DC2A56">
              <w:rPr>
                <w:rFonts w:ascii="Arial" w:hAnsi="Arial" w:cs="Arial"/>
                <w:noProof/>
                <w:webHidden/>
                <w:sz w:val="22"/>
                <w:szCs w:val="22"/>
              </w:rPr>
            </w:r>
            <w:r w:rsidR="00DC2A56" w:rsidRPr="00DC2A56">
              <w:rPr>
                <w:rFonts w:ascii="Arial" w:hAnsi="Arial" w:cs="Arial"/>
                <w:noProof/>
                <w:webHidden/>
                <w:sz w:val="22"/>
                <w:szCs w:val="22"/>
              </w:rPr>
              <w:fldChar w:fldCharType="separate"/>
            </w:r>
            <w:r w:rsidR="00DC2A56" w:rsidRPr="00DC2A56">
              <w:rPr>
                <w:rFonts w:ascii="Arial" w:hAnsi="Arial" w:cs="Arial"/>
                <w:noProof/>
                <w:webHidden/>
                <w:sz w:val="22"/>
                <w:szCs w:val="22"/>
              </w:rPr>
              <w:t>2</w:t>
            </w:r>
            <w:r w:rsidR="00DC2A56" w:rsidRPr="00DC2A56">
              <w:rPr>
                <w:rFonts w:ascii="Arial" w:hAnsi="Arial" w:cs="Arial"/>
                <w:noProof/>
                <w:webHidden/>
                <w:sz w:val="22"/>
                <w:szCs w:val="22"/>
              </w:rPr>
              <w:fldChar w:fldCharType="end"/>
            </w:r>
          </w:hyperlink>
        </w:p>
        <w:p w14:paraId="4C3ACC89" w14:textId="353C7A47" w:rsidR="00DC2A56" w:rsidRPr="00DC2A56" w:rsidRDefault="00DC2A56">
          <w:pPr>
            <w:pStyle w:val="TOC1"/>
            <w:tabs>
              <w:tab w:val="right" w:leader="dot" w:pos="9016"/>
            </w:tabs>
            <w:rPr>
              <w:rFonts w:ascii="Arial" w:eastAsiaTheme="minorEastAsia" w:hAnsi="Arial" w:cs="Arial"/>
              <w:noProof/>
              <w:kern w:val="0"/>
              <w:sz w:val="22"/>
              <w:szCs w:val="22"/>
              <w:lang w:eastAsia="en-IN"/>
              <w14:ligatures w14:val="none"/>
            </w:rPr>
          </w:pPr>
          <w:hyperlink w:anchor="_Toc225858596" w:history="1">
            <w:r w:rsidRPr="00DC2A56">
              <w:rPr>
                <w:rStyle w:val="Hyperlink"/>
                <w:rFonts w:ascii="Arial" w:hAnsi="Arial" w:cs="Arial"/>
                <w:noProof/>
                <w:sz w:val="22"/>
                <w:szCs w:val="22"/>
              </w:rPr>
              <w:t>Poster content</w:t>
            </w:r>
            <w:r w:rsidRPr="00DC2A56">
              <w:rPr>
                <w:rFonts w:ascii="Arial" w:hAnsi="Arial" w:cs="Arial"/>
                <w:noProof/>
                <w:webHidden/>
                <w:sz w:val="22"/>
                <w:szCs w:val="22"/>
              </w:rPr>
              <w:tab/>
            </w:r>
            <w:r w:rsidRPr="00DC2A56">
              <w:rPr>
                <w:rFonts w:ascii="Arial" w:hAnsi="Arial" w:cs="Arial"/>
                <w:noProof/>
                <w:webHidden/>
                <w:sz w:val="22"/>
                <w:szCs w:val="22"/>
              </w:rPr>
              <w:fldChar w:fldCharType="begin"/>
            </w:r>
            <w:r w:rsidRPr="00DC2A56">
              <w:rPr>
                <w:rFonts w:ascii="Arial" w:hAnsi="Arial" w:cs="Arial"/>
                <w:noProof/>
                <w:webHidden/>
                <w:sz w:val="22"/>
                <w:szCs w:val="22"/>
              </w:rPr>
              <w:instrText xml:space="preserve"> PAGEREF _Toc225858596 \h </w:instrText>
            </w:r>
            <w:r w:rsidRPr="00DC2A56">
              <w:rPr>
                <w:rFonts w:ascii="Arial" w:hAnsi="Arial" w:cs="Arial"/>
                <w:noProof/>
                <w:webHidden/>
                <w:sz w:val="22"/>
                <w:szCs w:val="22"/>
              </w:rPr>
            </w:r>
            <w:r w:rsidRPr="00DC2A56">
              <w:rPr>
                <w:rFonts w:ascii="Arial" w:hAnsi="Arial" w:cs="Arial"/>
                <w:noProof/>
                <w:webHidden/>
                <w:sz w:val="22"/>
                <w:szCs w:val="22"/>
              </w:rPr>
              <w:fldChar w:fldCharType="separate"/>
            </w:r>
            <w:r w:rsidRPr="00DC2A56">
              <w:rPr>
                <w:rFonts w:ascii="Arial" w:hAnsi="Arial" w:cs="Arial"/>
                <w:noProof/>
                <w:webHidden/>
                <w:sz w:val="22"/>
                <w:szCs w:val="22"/>
              </w:rPr>
              <w:t>3</w:t>
            </w:r>
            <w:r w:rsidRPr="00DC2A56">
              <w:rPr>
                <w:rFonts w:ascii="Arial" w:hAnsi="Arial" w:cs="Arial"/>
                <w:noProof/>
                <w:webHidden/>
                <w:sz w:val="22"/>
                <w:szCs w:val="22"/>
              </w:rPr>
              <w:fldChar w:fldCharType="end"/>
            </w:r>
          </w:hyperlink>
        </w:p>
        <w:p w14:paraId="06C5893B" w14:textId="4AC5250B" w:rsidR="00DC2A56" w:rsidRPr="00DC2A56" w:rsidRDefault="00DC2A56">
          <w:pPr>
            <w:pStyle w:val="TOC1"/>
            <w:tabs>
              <w:tab w:val="right" w:leader="dot" w:pos="9016"/>
            </w:tabs>
            <w:rPr>
              <w:rFonts w:ascii="Arial" w:eastAsiaTheme="minorEastAsia" w:hAnsi="Arial" w:cs="Arial"/>
              <w:noProof/>
              <w:kern w:val="0"/>
              <w:sz w:val="22"/>
              <w:szCs w:val="22"/>
              <w:lang w:eastAsia="en-IN"/>
              <w14:ligatures w14:val="none"/>
            </w:rPr>
          </w:pPr>
          <w:hyperlink w:anchor="_Toc225858597" w:history="1">
            <w:r w:rsidRPr="00DC2A56">
              <w:rPr>
                <w:rStyle w:val="Hyperlink"/>
                <w:rFonts w:ascii="Arial" w:hAnsi="Arial" w:cs="Arial"/>
                <w:noProof/>
                <w:sz w:val="22"/>
                <w:szCs w:val="22"/>
              </w:rPr>
              <w:t>Pitch</w:t>
            </w:r>
            <w:r w:rsidRPr="00DC2A56">
              <w:rPr>
                <w:rFonts w:ascii="Arial" w:hAnsi="Arial" w:cs="Arial"/>
                <w:noProof/>
                <w:webHidden/>
                <w:sz w:val="22"/>
                <w:szCs w:val="22"/>
              </w:rPr>
              <w:tab/>
            </w:r>
            <w:r w:rsidRPr="00DC2A56">
              <w:rPr>
                <w:rFonts w:ascii="Arial" w:hAnsi="Arial" w:cs="Arial"/>
                <w:noProof/>
                <w:webHidden/>
                <w:sz w:val="22"/>
                <w:szCs w:val="22"/>
              </w:rPr>
              <w:fldChar w:fldCharType="begin"/>
            </w:r>
            <w:r w:rsidRPr="00DC2A56">
              <w:rPr>
                <w:rFonts w:ascii="Arial" w:hAnsi="Arial" w:cs="Arial"/>
                <w:noProof/>
                <w:webHidden/>
                <w:sz w:val="22"/>
                <w:szCs w:val="22"/>
              </w:rPr>
              <w:instrText xml:space="preserve"> PAGEREF _Toc225858597 \h </w:instrText>
            </w:r>
            <w:r w:rsidRPr="00DC2A56">
              <w:rPr>
                <w:rFonts w:ascii="Arial" w:hAnsi="Arial" w:cs="Arial"/>
                <w:noProof/>
                <w:webHidden/>
                <w:sz w:val="22"/>
                <w:szCs w:val="22"/>
              </w:rPr>
            </w:r>
            <w:r w:rsidRPr="00DC2A56">
              <w:rPr>
                <w:rFonts w:ascii="Arial" w:hAnsi="Arial" w:cs="Arial"/>
                <w:noProof/>
                <w:webHidden/>
                <w:sz w:val="22"/>
                <w:szCs w:val="22"/>
              </w:rPr>
              <w:fldChar w:fldCharType="separate"/>
            </w:r>
            <w:r w:rsidRPr="00DC2A56">
              <w:rPr>
                <w:rFonts w:ascii="Arial" w:hAnsi="Arial" w:cs="Arial"/>
                <w:noProof/>
                <w:webHidden/>
                <w:sz w:val="22"/>
                <w:szCs w:val="22"/>
              </w:rPr>
              <w:t>6</w:t>
            </w:r>
            <w:r w:rsidRPr="00DC2A56">
              <w:rPr>
                <w:rFonts w:ascii="Arial" w:hAnsi="Arial" w:cs="Arial"/>
                <w:noProof/>
                <w:webHidden/>
                <w:sz w:val="22"/>
                <w:szCs w:val="22"/>
              </w:rPr>
              <w:fldChar w:fldCharType="end"/>
            </w:r>
          </w:hyperlink>
        </w:p>
        <w:p w14:paraId="632E3E4D" w14:textId="77464974" w:rsidR="00DC2A56" w:rsidRPr="00DC2A56" w:rsidRDefault="00DC2A56">
          <w:pPr>
            <w:pStyle w:val="TOC1"/>
            <w:tabs>
              <w:tab w:val="right" w:leader="dot" w:pos="9016"/>
            </w:tabs>
            <w:rPr>
              <w:rFonts w:ascii="Arial" w:eastAsiaTheme="minorEastAsia" w:hAnsi="Arial" w:cs="Arial"/>
              <w:noProof/>
              <w:kern w:val="0"/>
              <w:sz w:val="22"/>
              <w:szCs w:val="22"/>
              <w:lang w:eastAsia="en-IN"/>
              <w14:ligatures w14:val="none"/>
            </w:rPr>
          </w:pPr>
          <w:hyperlink w:anchor="_Toc225858598" w:history="1">
            <w:r w:rsidRPr="00DC2A56">
              <w:rPr>
                <w:rStyle w:val="Hyperlink"/>
                <w:rFonts w:ascii="Arial" w:hAnsi="Arial" w:cs="Arial"/>
                <w:noProof/>
                <w:sz w:val="22"/>
                <w:szCs w:val="22"/>
              </w:rPr>
              <w:t>References</w:t>
            </w:r>
            <w:r w:rsidRPr="00DC2A56">
              <w:rPr>
                <w:rFonts w:ascii="Arial" w:hAnsi="Arial" w:cs="Arial"/>
                <w:noProof/>
                <w:webHidden/>
                <w:sz w:val="22"/>
                <w:szCs w:val="22"/>
              </w:rPr>
              <w:tab/>
            </w:r>
            <w:r w:rsidRPr="00DC2A56">
              <w:rPr>
                <w:rFonts w:ascii="Arial" w:hAnsi="Arial" w:cs="Arial"/>
                <w:noProof/>
                <w:webHidden/>
                <w:sz w:val="22"/>
                <w:szCs w:val="22"/>
              </w:rPr>
              <w:fldChar w:fldCharType="begin"/>
            </w:r>
            <w:r w:rsidRPr="00DC2A56">
              <w:rPr>
                <w:rFonts w:ascii="Arial" w:hAnsi="Arial" w:cs="Arial"/>
                <w:noProof/>
                <w:webHidden/>
                <w:sz w:val="22"/>
                <w:szCs w:val="22"/>
              </w:rPr>
              <w:instrText xml:space="preserve"> PAGEREF _Toc225858598 \h </w:instrText>
            </w:r>
            <w:r w:rsidRPr="00DC2A56">
              <w:rPr>
                <w:rFonts w:ascii="Arial" w:hAnsi="Arial" w:cs="Arial"/>
                <w:noProof/>
                <w:webHidden/>
                <w:sz w:val="22"/>
                <w:szCs w:val="22"/>
              </w:rPr>
            </w:r>
            <w:r w:rsidRPr="00DC2A56">
              <w:rPr>
                <w:rFonts w:ascii="Arial" w:hAnsi="Arial" w:cs="Arial"/>
                <w:noProof/>
                <w:webHidden/>
                <w:sz w:val="22"/>
                <w:szCs w:val="22"/>
              </w:rPr>
              <w:fldChar w:fldCharType="separate"/>
            </w:r>
            <w:r w:rsidRPr="00DC2A56">
              <w:rPr>
                <w:rFonts w:ascii="Arial" w:hAnsi="Arial" w:cs="Arial"/>
                <w:noProof/>
                <w:webHidden/>
                <w:sz w:val="22"/>
                <w:szCs w:val="22"/>
              </w:rPr>
              <w:t>10</w:t>
            </w:r>
            <w:r w:rsidRPr="00DC2A56">
              <w:rPr>
                <w:rFonts w:ascii="Arial" w:hAnsi="Arial" w:cs="Arial"/>
                <w:noProof/>
                <w:webHidden/>
                <w:sz w:val="22"/>
                <w:szCs w:val="22"/>
              </w:rPr>
              <w:fldChar w:fldCharType="end"/>
            </w:r>
          </w:hyperlink>
        </w:p>
        <w:p w14:paraId="3D2DE01B" w14:textId="0018EDB6" w:rsidR="001D7B41" w:rsidRPr="00DC2A56" w:rsidRDefault="001D7B41" w:rsidP="001D7B41">
          <w:pPr>
            <w:spacing w:line="360" w:lineRule="auto"/>
            <w:jc w:val="both"/>
            <w:rPr>
              <w:rFonts w:ascii="Arial" w:hAnsi="Arial" w:cs="Arial"/>
            </w:rPr>
          </w:pPr>
          <w:r w:rsidRPr="00DC2A56">
            <w:rPr>
              <w:rFonts w:ascii="Arial" w:hAnsi="Arial" w:cs="Arial"/>
              <w:b/>
              <w:bCs/>
              <w:noProof/>
              <w:color w:val="000000" w:themeColor="text1"/>
              <w:sz w:val="22"/>
              <w:szCs w:val="22"/>
            </w:rPr>
            <w:fldChar w:fldCharType="end"/>
          </w:r>
        </w:p>
      </w:sdtContent>
    </w:sdt>
    <w:p w14:paraId="28986078" w14:textId="77777777" w:rsidR="00F045FF" w:rsidRPr="00DC2A56" w:rsidRDefault="00F045FF">
      <w:pPr>
        <w:rPr>
          <w:rFonts w:ascii="Arial" w:hAnsi="Arial" w:cs="Arial"/>
          <w:b/>
          <w:bCs/>
          <w:noProof/>
          <w:sz w:val="22"/>
          <w:szCs w:val="22"/>
          <w:lang w:eastAsia="en-IN" w:bidi="hi-IN"/>
        </w:rPr>
      </w:pPr>
      <w:r w:rsidRPr="00DC2A56">
        <w:rPr>
          <w:rFonts w:ascii="Arial" w:hAnsi="Arial" w:cs="Arial"/>
          <w:b/>
          <w:bCs/>
          <w:noProof/>
          <w:sz w:val="22"/>
          <w:szCs w:val="22"/>
          <w:lang w:eastAsia="en-IN" w:bidi="hi-IN"/>
        </w:rPr>
        <w:br w:type="page"/>
      </w:r>
    </w:p>
    <w:p w14:paraId="387E4A7C" w14:textId="1D2ED46F" w:rsidR="00AE70EA" w:rsidRPr="00DC2A56" w:rsidRDefault="00AE70EA" w:rsidP="00F045FF">
      <w:pPr>
        <w:pStyle w:val="Heading1"/>
        <w:rPr>
          <w:rFonts w:cs="Arial"/>
          <w:noProof/>
          <w:lang w:eastAsia="en-IN" w:bidi="hi-IN"/>
        </w:rPr>
      </w:pPr>
      <w:bookmarkStart w:id="0" w:name="_Toc225858595"/>
      <w:r w:rsidRPr="00DC2A56">
        <w:rPr>
          <w:rFonts w:cs="Arial"/>
          <w:noProof/>
          <w:lang w:eastAsia="en-IN" w:bidi="hi-IN"/>
        </w:rPr>
        <w:t>Poster: Innovative health and social care solution</w:t>
      </w:r>
      <w:bookmarkEnd w:id="0"/>
    </w:p>
    <w:p w14:paraId="63B1DC56" w14:textId="07216CA9" w:rsidR="00543747" w:rsidRPr="00DC2A56" w:rsidRDefault="00242B0F" w:rsidP="00242B0F">
      <w:pPr>
        <w:spacing w:line="360" w:lineRule="auto"/>
        <w:rPr>
          <w:rFonts w:ascii="Arial" w:hAnsi="Arial" w:cs="Arial"/>
          <w:b/>
          <w:bCs/>
          <w:sz w:val="22"/>
          <w:szCs w:val="22"/>
        </w:rPr>
      </w:pPr>
      <w:r w:rsidRPr="00DC2A56">
        <w:rPr>
          <w:rFonts w:ascii="Arial" w:hAnsi="Arial" w:cs="Arial"/>
          <w:noProof/>
        </w:rPr>
        <w:drawing>
          <wp:inline distT="0" distB="0" distL="0" distR="0" wp14:anchorId="28524592" wp14:editId="4EC554B3">
            <wp:extent cx="3421880" cy="8515350"/>
            <wp:effectExtent l="0" t="0" r="7620" b="0"/>
            <wp:docPr id="13952302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230208" name=""/>
                    <pic:cNvPicPr/>
                  </pic:nvPicPr>
                  <pic:blipFill>
                    <a:blip r:embed="rId9">
                      <a:extLst>
                        <a:ext uri="{96DAC541-7B7A-43D3-8B79-37D633B846F1}">
                          <asvg:svgBlip xmlns:asvg="http://schemas.microsoft.com/office/drawing/2016/SVG/main" r:embed="rId10"/>
                        </a:ext>
                      </a:extLst>
                    </a:blip>
                    <a:stretch>
                      <a:fillRect/>
                    </a:stretch>
                  </pic:blipFill>
                  <pic:spPr>
                    <a:xfrm>
                      <a:off x="0" y="0"/>
                      <a:ext cx="3422671" cy="8517319"/>
                    </a:xfrm>
                    <a:prstGeom prst="rect">
                      <a:avLst/>
                    </a:prstGeom>
                  </pic:spPr>
                </pic:pic>
              </a:graphicData>
            </a:graphic>
          </wp:inline>
        </w:drawing>
      </w:r>
      <w:r w:rsidR="00543747" w:rsidRPr="00DC2A56">
        <w:rPr>
          <w:rFonts w:ascii="Arial" w:hAnsi="Arial" w:cs="Arial"/>
          <w:b/>
          <w:bCs/>
          <w:sz w:val="22"/>
          <w:szCs w:val="22"/>
        </w:rPr>
        <w:br w:type="page"/>
      </w:r>
    </w:p>
    <w:p w14:paraId="509CDAAE" w14:textId="406D511E" w:rsidR="00376241" w:rsidRPr="00DC2A56" w:rsidRDefault="00376241" w:rsidP="00DC2A56">
      <w:pPr>
        <w:pStyle w:val="Heading1"/>
        <w:spacing w:line="360" w:lineRule="auto"/>
        <w:rPr>
          <w:rFonts w:cs="Arial"/>
          <w:szCs w:val="22"/>
        </w:rPr>
      </w:pPr>
      <w:bookmarkStart w:id="1" w:name="_Toc225858596"/>
      <w:r w:rsidRPr="00DC2A56">
        <w:rPr>
          <w:rFonts w:cs="Arial"/>
          <w:szCs w:val="22"/>
        </w:rPr>
        <w:t>Poster content</w:t>
      </w:r>
      <w:bookmarkEnd w:id="1"/>
    </w:p>
    <w:p w14:paraId="13092953" w14:textId="77777777" w:rsidR="00376241" w:rsidRPr="00DC2A56" w:rsidRDefault="00376241" w:rsidP="00DC2A56">
      <w:pPr>
        <w:spacing w:line="360" w:lineRule="auto"/>
        <w:rPr>
          <w:rFonts w:ascii="Arial" w:hAnsi="Arial" w:cs="Arial"/>
          <w:b/>
          <w:bCs/>
          <w:sz w:val="22"/>
          <w:szCs w:val="22"/>
        </w:rPr>
      </w:pPr>
      <w:r w:rsidRPr="00DC2A56">
        <w:rPr>
          <w:rFonts w:ascii="Arial" w:hAnsi="Arial" w:cs="Arial"/>
          <w:b/>
          <w:bCs/>
          <w:sz w:val="22"/>
          <w:szCs w:val="22"/>
          <w:lang w:val="en-US"/>
        </w:rPr>
        <w:t>Community Digital Support Kiosk in GP surgeries</w:t>
      </w:r>
    </w:p>
    <w:p w14:paraId="3CCDBB9F" w14:textId="4E3CFC0C" w:rsidR="00376241" w:rsidRPr="00DC2A56" w:rsidRDefault="00376241" w:rsidP="00DC2A56">
      <w:pPr>
        <w:spacing w:line="360" w:lineRule="auto"/>
        <w:rPr>
          <w:rFonts w:ascii="Arial" w:hAnsi="Arial" w:cs="Arial"/>
          <w:sz w:val="22"/>
          <w:szCs w:val="22"/>
          <w:lang w:val="en-US"/>
        </w:rPr>
      </w:pPr>
      <w:r w:rsidRPr="00DC2A56">
        <w:rPr>
          <w:rFonts w:ascii="Arial" w:hAnsi="Arial" w:cs="Arial"/>
          <w:b/>
          <w:bCs/>
          <w:sz w:val="22"/>
          <w:szCs w:val="22"/>
          <w:u w:val="single"/>
        </w:rPr>
        <w:t>Innovation overview</w:t>
      </w:r>
      <w:r w:rsidRPr="00DC2A56">
        <w:rPr>
          <w:rFonts w:ascii="Arial" w:hAnsi="Arial" w:cs="Arial"/>
          <w:sz w:val="22"/>
          <w:szCs w:val="22"/>
        </w:rPr>
        <w:br/>
      </w:r>
      <w:r w:rsidRPr="00DC2A56">
        <w:rPr>
          <w:rFonts w:ascii="Arial" w:hAnsi="Arial" w:cs="Arial"/>
          <w:sz w:val="22"/>
          <w:szCs w:val="22"/>
          <w:lang w:val="en-US"/>
        </w:rPr>
        <w:t>This innovation is an important approach to improve the health and well-being of the individuals of the community who cannot access the primary healthcare facilities in person. In general physician surgeries, the introduction of a web-based approach can combat the inequalities towards the aged population. A digital kiosk in reach can help in scheduling the appointments easily, repeating the prescribed medication and contacting for any advice from the GP surgeons for relevant ailments. Medically vulnerable and underserved populations of the community can benefit from this digital and virtual level of healthcare (Leach et al.,2022). Individuals who lack knowledge of technology can be helped by the community and social workers appointed to manage the kiosk system.</w:t>
      </w:r>
    </w:p>
    <w:p w14:paraId="739EA3D6" w14:textId="77777777" w:rsidR="00376241" w:rsidRPr="00DC2A56" w:rsidRDefault="00376241" w:rsidP="00DC2A56">
      <w:pPr>
        <w:spacing w:line="360" w:lineRule="auto"/>
        <w:rPr>
          <w:rFonts w:ascii="Arial" w:hAnsi="Arial" w:cs="Arial"/>
          <w:sz w:val="22"/>
          <w:szCs w:val="22"/>
        </w:rPr>
      </w:pPr>
      <w:r w:rsidRPr="00DC2A56">
        <w:rPr>
          <w:rFonts w:ascii="Arial" w:hAnsi="Arial" w:cs="Arial"/>
          <w:b/>
          <w:bCs/>
          <w:sz w:val="22"/>
          <w:szCs w:val="22"/>
          <w:u w:val="single"/>
          <w:lang w:val="en-US"/>
        </w:rPr>
        <w:t>Need for a digital kiosk in the community setting</w:t>
      </w:r>
      <w:r w:rsidRPr="00DC2A56">
        <w:rPr>
          <w:rFonts w:ascii="Arial" w:hAnsi="Arial" w:cs="Arial"/>
          <w:sz w:val="22"/>
          <w:szCs w:val="22"/>
          <w:u w:val="single"/>
          <w:lang w:val="en-US"/>
        </w:rPr>
        <w:t>.</w:t>
      </w:r>
    </w:p>
    <w:p w14:paraId="28004E31" w14:textId="77777777" w:rsidR="00376241" w:rsidRPr="00DC2A56" w:rsidRDefault="00376241" w:rsidP="00DC2A56">
      <w:pPr>
        <w:spacing w:line="360" w:lineRule="auto"/>
        <w:rPr>
          <w:rFonts w:ascii="Arial" w:hAnsi="Arial" w:cs="Arial"/>
          <w:sz w:val="22"/>
          <w:szCs w:val="22"/>
        </w:rPr>
      </w:pPr>
      <w:r w:rsidRPr="00DC2A56">
        <w:rPr>
          <w:rFonts w:ascii="Arial" w:hAnsi="Arial" w:cs="Arial"/>
          <w:sz w:val="22"/>
          <w:szCs w:val="22"/>
          <w:lang w:val="en-US"/>
        </w:rPr>
        <w:t>Improve the inclusion of excluded communities-Some communities that are excluded or marginalised from society can benefit from these digital kiosk machines, as they don’t have to go to healthcare centres for basic allergies and diseases that they avoid, causing an increased rate of infection and mortality rates in these communities.Reduce transportation for primary healthcare and repetition of prescribed medications- the aged population and pregnant mothers often cannot access even the nearest healthcare centres due to their condition. For regular check-ins and repetition of the prescribed medications, this digitalisation in the form of kiosk machinery can be a helpful approach in their care and wellbeing (Martinez et al.,2024).Benefit the less tech-friendly population to access the healthcare providers and avoid long waiting lines for appointments- Appointments and regular check-ins can be done for the comfort of home from a smartphone itself, but for the low-income communities without this kind of asset and the population that is not tack savvy can easily do so with these digital kiosks with the help of a social worker and employee appointed for this reason to help the people access these kiosks.</w:t>
      </w:r>
    </w:p>
    <w:p w14:paraId="2A2191B7" w14:textId="77777777" w:rsidR="00376241" w:rsidRPr="00DC2A56" w:rsidRDefault="00376241" w:rsidP="00DC2A56">
      <w:pPr>
        <w:spacing w:line="360" w:lineRule="auto"/>
        <w:rPr>
          <w:rFonts w:ascii="Arial" w:hAnsi="Arial" w:cs="Arial"/>
          <w:sz w:val="22"/>
          <w:szCs w:val="22"/>
        </w:rPr>
      </w:pPr>
      <w:r w:rsidRPr="00DC2A56">
        <w:rPr>
          <w:rFonts w:ascii="Arial" w:hAnsi="Arial" w:cs="Arial"/>
          <w:b/>
          <w:bCs/>
          <w:sz w:val="22"/>
          <w:szCs w:val="22"/>
          <w:u w:val="single"/>
          <w:lang w:val="en-US"/>
        </w:rPr>
        <w:t>Target Population</w:t>
      </w:r>
    </w:p>
    <w:p w14:paraId="1423FE2B" w14:textId="77777777" w:rsidR="00376241" w:rsidRPr="00DC2A56" w:rsidRDefault="00376241" w:rsidP="00DC2A56">
      <w:pPr>
        <w:numPr>
          <w:ilvl w:val="0"/>
          <w:numId w:val="2"/>
        </w:numPr>
        <w:spacing w:line="360" w:lineRule="auto"/>
        <w:rPr>
          <w:rFonts w:ascii="Arial" w:hAnsi="Arial" w:cs="Arial"/>
          <w:sz w:val="22"/>
          <w:szCs w:val="22"/>
        </w:rPr>
      </w:pPr>
      <w:r w:rsidRPr="00DC2A56">
        <w:rPr>
          <w:rFonts w:ascii="Arial" w:hAnsi="Arial" w:cs="Arial"/>
          <w:b/>
          <w:bCs/>
          <w:sz w:val="22"/>
          <w:szCs w:val="22"/>
        </w:rPr>
        <w:t xml:space="preserve">Individuals of social and economically vulnerable backgrounds </w:t>
      </w:r>
      <w:r w:rsidRPr="00DC2A56">
        <w:rPr>
          <w:rFonts w:ascii="Arial" w:hAnsi="Arial" w:cs="Arial"/>
          <w:sz w:val="22"/>
          <w:szCs w:val="22"/>
        </w:rPr>
        <w:t>(Masquillier et al., 2023) – communities that are considered socially backward or those who are of low-income classes with limited resources can benefit from this innovation. Undeserved communities of urban areas or those living in neglected zones of urban areas can access the healthcare services virtually without disrupting their daily routines, as most of these individuals work on a daily wage basis.</w:t>
      </w:r>
    </w:p>
    <w:p w14:paraId="43DA78CF" w14:textId="77777777" w:rsidR="00376241" w:rsidRPr="00DC2A56" w:rsidRDefault="00376241" w:rsidP="00DC2A56">
      <w:pPr>
        <w:numPr>
          <w:ilvl w:val="1"/>
          <w:numId w:val="2"/>
        </w:numPr>
        <w:spacing w:line="360" w:lineRule="auto"/>
        <w:rPr>
          <w:rFonts w:ascii="Arial" w:hAnsi="Arial" w:cs="Arial"/>
          <w:sz w:val="22"/>
          <w:szCs w:val="22"/>
        </w:rPr>
      </w:pPr>
      <w:r w:rsidRPr="00DC2A56">
        <w:rPr>
          <w:rFonts w:ascii="Arial" w:hAnsi="Arial" w:cs="Arial"/>
          <w:b/>
          <w:bCs/>
          <w:sz w:val="22"/>
          <w:szCs w:val="22"/>
        </w:rPr>
        <w:t xml:space="preserve">Older population- </w:t>
      </w:r>
      <w:r w:rsidRPr="00DC2A56">
        <w:rPr>
          <w:rFonts w:ascii="Arial" w:hAnsi="Arial" w:cs="Arial"/>
          <w:sz w:val="22"/>
          <w:szCs w:val="22"/>
        </w:rPr>
        <w:t>aged people who have difficulty making appointments online or cannot stand in long waiting lines can benefit from these digital kiosks. This will reduce transportation chaos, long waiting hours, and, in turn, improve their health and social care.</w:t>
      </w:r>
    </w:p>
    <w:p w14:paraId="4CC50922" w14:textId="77777777" w:rsidR="00376241" w:rsidRPr="00DC2A56" w:rsidRDefault="00376241" w:rsidP="00DC2A56">
      <w:pPr>
        <w:spacing w:line="360" w:lineRule="auto"/>
        <w:rPr>
          <w:rFonts w:ascii="Arial" w:hAnsi="Arial" w:cs="Arial"/>
          <w:sz w:val="22"/>
          <w:szCs w:val="22"/>
        </w:rPr>
      </w:pPr>
      <w:r w:rsidRPr="00DC2A56">
        <w:rPr>
          <w:rFonts w:ascii="Arial" w:hAnsi="Arial" w:cs="Arial"/>
          <w:b/>
          <w:bCs/>
          <w:sz w:val="22"/>
          <w:szCs w:val="22"/>
          <w:u w:val="single"/>
          <w:lang w:val="en-US"/>
        </w:rPr>
        <w:t>Importance</w:t>
      </w:r>
      <w:r w:rsidRPr="00DC2A56">
        <w:rPr>
          <w:rFonts w:ascii="Arial" w:hAnsi="Arial" w:cs="Arial"/>
          <w:sz w:val="22"/>
          <w:szCs w:val="22"/>
          <w:lang w:val="en-US"/>
        </w:rPr>
        <w:t xml:space="preserve"> </w:t>
      </w:r>
    </w:p>
    <w:p w14:paraId="3DFC44FA" w14:textId="77777777" w:rsidR="00376241" w:rsidRPr="00DC2A56" w:rsidRDefault="00376241" w:rsidP="00DC2A56">
      <w:pPr>
        <w:spacing w:line="360" w:lineRule="auto"/>
        <w:rPr>
          <w:rFonts w:ascii="Arial" w:hAnsi="Arial" w:cs="Arial"/>
          <w:sz w:val="22"/>
          <w:szCs w:val="22"/>
        </w:rPr>
      </w:pPr>
      <w:r w:rsidRPr="00DC2A56">
        <w:rPr>
          <w:rFonts w:ascii="Arial" w:hAnsi="Arial" w:cs="Arial"/>
          <w:sz w:val="22"/>
          <w:szCs w:val="22"/>
          <w:lang w:val="en-US"/>
        </w:rPr>
        <w:t>Digital kiosks help patients to access and use web-based healthcare services. They help to chat or take advice from the healthcare providers for diseases like the common cold or even chronic illnesses. They are a form of educator about health and diseases most prevalent in the area. This innovation increases the participation of excluded groups and communities that face inequalities and disparities in society based on ethnicity, race or gender. Digital kiosks raise public awareness through visual campaigns and provide passive awareness to the people of the communities (Leach et al.,2022). It is a beneficial innovation, especially in low-income and vulnerable communities of society, making them feel more included and respected in the healthcare sector. Older people are also an important target population who can avoid long waiting hours or standing in lines for them. Provide them with repetition of medications without visiting the clinics. This approach improves the overall health and well-being of the communities and social groups irrespective of their social status, gender, and age.</w:t>
      </w:r>
    </w:p>
    <w:p w14:paraId="04C1A299" w14:textId="77777777" w:rsidR="00376241" w:rsidRPr="00DC2A56" w:rsidRDefault="00376241" w:rsidP="00DC2A56">
      <w:pPr>
        <w:spacing w:line="360" w:lineRule="auto"/>
        <w:rPr>
          <w:rFonts w:ascii="Arial" w:hAnsi="Arial" w:cs="Arial"/>
          <w:sz w:val="22"/>
          <w:szCs w:val="22"/>
        </w:rPr>
      </w:pPr>
      <w:r w:rsidRPr="00DC2A56">
        <w:rPr>
          <w:rFonts w:ascii="Arial" w:hAnsi="Arial" w:cs="Arial"/>
          <w:b/>
          <w:bCs/>
          <w:sz w:val="22"/>
          <w:szCs w:val="22"/>
          <w:u w:val="single"/>
          <w:lang w:val="en-US"/>
        </w:rPr>
        <w:t>Timeline of the innovation diffusion process</w:t>
      </w:r>
    </w:p>
    <w:p w14:paraId="061729A1" w14:textId="77777777" w:rsidR="00376241" w:rsidRPr="00DC2A56" w:rsidRDefault="00376241" w:rsidP="00DC2A56">
      <w:pPr>
        <w:numPr>
          <w:ilvl w:val="0"/>
          <w:numId w:val="5"/>
        </w:numPr>
        <w:tabs>
          <w:tab w:val="num" w:pos="720"/>
        </w:tabs>
        <w:spacing w:line="360" w:lineRule="auto"/>
        <w:rPr>
          <w:rFonts w:ascii="Arial" w:hAnsi="Arial" w:cs="Arial"/>
          <w:sz w:val="22"/>
          <w:szCs w:val="22"/>
        </w:rPr>
      </w:pPr>
      <w:r w:rsidRPr="00DC2A56">
        <w:rPr>
          <w:rFonts w:ascii="Arial" w:hAnsi="Arial" w:cs="Arial"/>
          <w:sz w:val="22"/>
          <w:szCs w:val="22"/>
        </w:rPr>
        <w:t>The timeline of the innovation diffusion is 4 months.</w:t>
      </w:r>
    </w:p>
    <w:p w14:paraId="41A4B8F7" w14:textId="77777777" w:rsidR="00376241" w:rsidRPr="00DC2A56" w:rsidRDefault="00376241" w:rsidP="00DC2A56">
      <w:pPr>
        <w:numPr>
          <w:ilvl w:val="0"/>
          <w:numId w:val="5"/>
        </w:numPr>
        <w:tabs>
          <w:tab w:val="num" w:pos="720"/>
        </w:tabs>
        <w:spacing w:line="360" w:lineRule="auto"/>
        <w:rPr>
          <w:rFonts w:ascii="Arial" w:hAnsi="Arial" w:cs="Arial"/>
          <w:sz w:val="22"/>
          <w:szCs w:val="22"/>
        </w:rPr>
      </w:pPr>
      <w:r w:rsidRPr="00DC2A56">
        <w:rPr>
          <w:rFonts w:ascii="Arial" w:hAnsi="Arial" w:cs="Arial"/>
          <w:sz w:val="22"/>
          <w:szCs w:val="22"/>
        </w:rPr>
        <w:t>For the first month, before establishing the digital kiosk, a brief awareness and educational program should be started for the users, that is, the people of the community, so that they can accept this innovation and can become familiar with it (Muhajir et al.,2025).</w:t>
      </w:r>
    </w:p>
    <w:p w14:paraId="6758AD66" w14:textId="77777777" w:rsidR="00376241" w:rsidRPr="00DC2A56" w:rsidRDefault="00376241" w:rsidP="00DC2A56">
      <w:pPr>
        <w:numPr>
          <w:ilvl w:val="0"/>
          <w:numId w:val="5"/>
        </w:numPr>
        <w:tabs>
          <w:tab w:val="num" w:pos="720"/>
        </w:tabs>
        <w:spacing w:line="360" w:lineRule="auto"/>
        <w:rPr>
          <w:rFonts w:ascii="Arial" w:hAnsi="Arial" w:cs="Arial"/>
          <w:sz w:val="22"/>
          <w:szCs w:val="22"/>
        </w:rPr>
      </w:pPr>
      <w:r w:rsidRPr="00DC2A56">
        <w:rPr>
          <w:rFonts w:ascii="Arial" w:hAnsi="Arial" w:cs="Arial"/>
          <w:sz w:val="22"/>
          <w:szCs w:val="22"/>
        </w:rPr>
        <w:t>In the second month, visual campaigns and promotion of the digital kiosk can be done, where people can clear their fears and queries regarding the use of the machine. They need to be informed that their health is the priority, and their privacy will not be an issue. This is an important discussion towards the popularity of technology in these communities.</w:t>
      </w:r>
    </w:p>
    <w:p w14:paraId="500121CF" w14:textId="77777777" w:rsidR="00376241" w:rsidRPr="00DC2A56" w:rsidRDefault="00376241" w:rsidP="00DC2A56">
      <w:pPr>
        <w:numPr>
          <w:ilvl w:val="0"/>
          <w:numId w:val="5"/>
        </w:numPr>
        <w:tabs>
          <w:tab w:val="num" w:pos="720"/>
        </w:tabs>
        <w:spacing w:line="360" w:lineRule="auto"/>
        <w:rPr>
          <w:rFonts w:ascii="Arial" w:hAnsi="Arial" w:cs="Arial"/>
          <w:sz w:val="22"/>
          <w:szCs w:val="22"/>
        </w:rPr>
      </w:pPr>
      <w:r w:rsidRPr="00DC2A56">
        <w:rPr>
          <w:rFonts w:ascii="Arial" w:hAnsi="Arial" w:cs="Arial"/>
          <w:sz w:val="22"/>
          <w:szCs w:val="22"/>
        </w:rPr>
        <w:t>In the third month, social workers and local community leaders can organise a session to influence the people of their community, and explain the functions and working of the digital kiosk.</w:t>
      </w:r>
    </w:p>
    <w:p w14:paraId="567AD06C" w14:textId="77777777" w:rsidR="00376241" w:rsidRPr="00DC2A56" w:rsidRDefault="00376241" w:rsidP="00DC2A56">
      <w:pPr>
        <w:numPr>
          <w:ilvl w:val="0"/>
          <w:numId w:val="5"/>
        </w:numPr>
        <w:tabs>
          <w:tab w:val="num" w:pos="720"/>
        </w:tabs>
        <w:spacing w:line="360" w:lineRule="auto"/>
        <w:rPr>
          <w:rFonts w:ascii="Arial" w:hAnsi="Arial" w:cs="Arial"/>
          <w:sz w:val="22"/>
          <w:szCs w:val="22"/>
        </w:rPr>
      </w:pPr>
      <w:r w:rsidRPr="00DC2A56">
        <w:rPr>
          <w:rFonts w:ascii="Arial" w:hAnsi="Arial" w:cs="Arial"/>
          <w:sz w:val="22"/>
          <w:szCs w:val="22"/>
        </w:rPr>
        <w:t>In the last month, a final security and quality assurance of the machine can be done in front of the people to make them participate and engage in the usage of the digital kiosk.</w:t>
      </w:r>
    </w:p>
    <w:p w14:paraId="70444957" w14:textId="77777777" w:rsidR="00376241" w:rsidRPr="00DC2A56" w:rsidRDefault="00376241" w:rsidP="00DC2A56">
      <w:pPr>
        <w:spacing w:line="360" w:lineRule="auto"/>
        <w:rPr>
          <w:rFonts w:ascii="Arial" w:hAnsi="Arial" w:cs="Arial"/>
          <w:sz w:val="22"/>
          <w:szCs w:val="22"/>
        </w:rPr>
      </w:pPr>
      <w:r w:rsidRPr="00DC2A56">
        <w:rPr>
          <w:rFonts w:ascii="Arial" w:hAnsi="Arial" w:cs="Arial"/>
          <w:b/>
          <w:bCs/>
          <w:sz w:val="22"/>
          <w:szCs w:val="22"/>
          <w:u w:val="single"/>
          <w:lang w:val="en-US"/>
        </w:rPr>
        <w:t>Implementation</w:t>
      </w:r>
    </w:p>
    <w:p w14:paraId="06BE77A9" w14:textId="77777777" w:rsidR="00376241" w:rsidRPr="00DC2A56" w:rsidRDefault="00376241" w:rsidP="00DC2A56">
      <w:pPr>
        <w:spacing w:line="360" w:lineRule="auto"/>
        <w:rPr>
          <w:rFonts w:ascii="Arial" w:hAnsi="Arial" w:cs="Arial"/>
          <w:sz w:val="22"/>
          <w:szCs w:val="22"/>
        </w:rPr>
      </w:pPr>
      <w:r w:rsidRPr="00DC2A56">
        <w:rPr>
          <w:rFonts w:ascii="Arial" w:hAnsi="Arial" w:cs="Arial"/>
          <w:sz w:val="22"/>
          <w:szCs w:val="22"/>
          <w:lang w:val="en-US"/>
        </w:rPr>
        <w:t>Implementation of the digital kiosk for the benefit of the community can be done by making people friendly with the working of the machine user-friendly. Some campaigns and posters that explain how and why the machine can be used. Its functions and other services that it provides can be explained to the people of the community in the presence of social workers and local community heads to increase the participation of the people (Mohamud,2022). Big hospitals and healthcare centres can either donate this digital kiosk, or the local communities can set up these machines with the help of the government and other public forums. This digital kiosk will be set up in the community centre so that it is accessible to everyone and is available in cases of emergency.</w:t>
      </w:r>
    </w:p>
    <w:p w14:paraId="6F63BA90" w14:textId="77777777" w:rsidR="00B20DA5" w:rsidRPr="00DC2A56" w:rsidRDefault="00B20DA5" w:rsidP="00DC2A56">
      <w:pPr>
        <w:spacing w:line="360" w:lineRule="auto"/>
        <w:rPr>
          <w:rFonts w:ascii="Arial" w:hAnsi="Arial" w:cs="Arial"/>
          <w:sz w:val="22"/>
          <w:szCs w:val="22"/>
        </w:rPr>
      </w:pPr>
      <w:r w:rsidRPr="00DC2A56">
        <w:rPr>
          <w:rFonts w:ascii="Arial" w:hAnsi="Arial" w:cs="Arial"/>
          <w:b/>
          <w:bCs/>
          <w:sz w:val="22"/>
          <w:szCs w:val="22"/>
          <w:u w:val="single"/>
          <w:lang w:val="en-US"/>
        </w:rPr>
        <w:t>Technology Integration</w:t>
      </w:r>
    </w:p>
    <w:p w14:paraId="5FF92B75" w14:textId="77777777" w:rsidR="00B20DA5" w:rsidRPr="00DC2A56" w:rsidRDefault="00B20DA5" w:rsidP="00DC2A56">
      <w:pPr>
        <w:spacing w:line="360" w:lineRule="auto"/>
        <w:rPr>
          <w:rFonts w:ascii="Arial" w:hAnsi="Arial" w:cs="Arial"/>
          <w:sz w:val="22"/>
          <w:szCs w:val="22"/>
        </w:rPr>
      </w:pPr>
      <w:r w:rsidRPr="00DC2A56">
        <w:rPr>
          <w:rFonts w:ascii="Arial" w:hAnsi="Arial" w:cs="Arial"/>
          <w:sz w:val="22"/>
          <w:szCs w:val="22"/>
          <w:lang w:val="en-US"/>
        </w:rPr>
        <w:t>To improve the healthcare services and make primary services accessible to all, a novel approach integrating technology with medical research is the best approach. User ID recognition and facial recognition, options to order prescription medications, consultation and chat with service providers, disease prediction with proper accountable data of research, chat boxes and video calls with the general physicians, real-time image analysis, possible disease diagnosis with reference to the research papers (Shaikh et al., 2024). Strong privacy and data security protocols are added to the kiosk to protect the data and avoid misuse of information.</w:t>
      </w:r>
    </w:p>
    <w:p w14:paraId="534C74BE" w14:textId="77777777" w:rsidR="00B20DA5" w:rsidRPr="00DC2A56" w:rsidRDefault="00B20DA5" w:rsidP="00DC2A56">
      <w:pPr>
        <w:spacing w:line="360" w:lineRule="auto"/>
        <w:rPr>
          <w:rFonts w:ascii="Arial" w:hAnsi="Arial" w:cs="Arial"/>
          <w:sz w:val="22"/>
          <w:szCs w:val="22"/>
        </w:rPr>
      </w:pPr>
      <w:r w:rsidRPr="00DC2A56">
        <w:rPr>
          <w:rFonts w:ascii="Arial" w:hAnsi="Arial" w:cs="Arial"/>
          <w:b/>
          <w:bCs/>
          <w:sz w:val="22"/>
          <w:szCs w:val="22"/>
          <w:u w:val="single"/>
          <w:lang w:val="en-US"/>
        </w:rPr>
        <w:t>Development and Regulations</w:t>
      </w:r>
    </w:p>
    <w:p w14:paraId="37277F41" w14:textId="77777777" w:rsidR="00B20DA5" w:rsidRPr="00DC2A56" w:rsidRDefault="00B20DA5" w:rsidP="00DC2A56">
      <w:pPr>
        <w:spacing w:line="360" w:lineRule="auto"/>
        <w:rPr>
          <w:rFonts w:ascii="Arial" w:hAnsi="Arial" w:cs="Arial"/>
          <w:sz w:val="22"/>
          <w:szCs w:val="22"/>
        </w:rPr>
      </w:pPr>
      <w:r w:rsidRPr="00DC2A56">
        <w:rPr>
          <w:rFonts w:ascii="Arial" w:hAnsi="Arial" w:cs="Arial"/>
          <w:sz w:val="22"/>
          <w:szCs w:val="22"/>
          <w:lang w:val="en-US"/>
        </w:rPr>
        <w:t>The digitalisation approach faces several legal and ethical challenges. To avoid such issues, a framework of certain laws and regulation are in place Like The Medical Devices Rules (“MDR”)5 May 2017 or the Digital Personal Data Protection Bill (DPDP Bill) 18 November 2022, Clause 8 (Jain, 2023). Under the DPDP bill, consent is considered one of the key aspects to use the patient's personal information for further medical advice and use by the healthcare providers. Under MDR, the healthcare service providers are required to ensure the safety and quality of the medical care in the form of devices or prescriptions and undergo regular quality checks.</w:t>
      </w:r>
    </w:p>
    <w:p w14:paraId="5F96B98D" w14:textId="77777777" w:rsidR="00B20DA5" w:rsidRPr="00DC2A56" w:rsidRDefault="00B20DA5" w:rsidP="00DC2A56">
      <w:pPr>
        <w:spacing w:line="360" w:lineRule="auto"/>
        <w:rPr>
          <w:rFonts w:ascii="Arial" w:hAnsi="Arial" w:cs="Arial"/>
          <w:sz w:val="22"/>
          <w:szCs w:val="22"/>
        </w:rPr>
      </w:pPr>
      <w:r w:rsidRPr="00DC2A56">
        <w:rPr>
          <w:rFonts w:ascii="Arial" w:hAnsi="Arial" w:cs="Arial"/>
          <w:b/>
          <w:bCs/>
          <w:sz w:val="22"/>
          <w:szCs w:val="22"/>
          <w:u w:val="single"/>
          <w:lang w:val="en-US"/>
        </w:rPr>
        <w:t>Dissemination</w:t>
      </w:r>
    </w:p>
    <w:p w14:paraId="34593382" w14:textId="77777777" w:rsidR="00B20DA5" w:rsidRPr="00DC2A56" w:rsidRDefault="00B20DA5" w:rsidP="00DC2A56">
      <w:pPr>
        <w:spacing w:line="360" w:lineRule="auto"/>
        <w:rPr>
          <w:rFonts w:ascii="Arial" w:hAnsi="Arial" w:cs="Arial"/>
          <w:sz w:val="22"/>
          <w:szCs w:val="22"/>
        </w:rPr>
      </w:pPr>
      <w:r w:rsidRPr="00DC2A56">
        <w:rPr>
          <w:rFonts w:ascii="Arial" w:hAnsi="Arial" w:cs="Arial"/>
          <w:sz w:val="22"/>
          <w:szCs w:val="22"/>
        </w:rPr>
        <w:t>The innovation diffusion theory aims to understand the integration of technology into the normal population at the macro level, that is influencing the novel approaches in the social system. The most important part of this theory is compatibility (Almaiah et al., 2022). Compatibility between the requirements of the consumers and users and their experiences. An individual's readiness to work with the increasing digitalisation paves the path for growth and development. Main components of this theory for the adoption of new technologies are relative advantage, compatibility, complexity, trialability and observability. People adopt the innovation at their own pace and are categorised as innovators, early or late adopters and laggards, those who have a traditional approach towards technology. Innovators and early adopters include big hospitals and healthcare organisations, late adopters include common men, workers and excluded communities, while the laggards include the indigenous and traditional population who generally belong to low-income communities and the aged population. Moreover, set up in an area where people can engage more or where the natives generally gather around to meet, like a community centre or near local parks, so that they can visit and see the work whenever they pass by it.</w:t>
      </w:r>
    </w:p>
    <w:p w14:paraId="7867A913" w14:textId="77777777" w:rsidR="00B20DA5" w:rsidRPr="00DC2A56" w:rsidRDefault="00B20DA5" w:rsidP="00DC2A56">
      <w:pPr>
        <w:spacing w:line="360" w:lineRule="auto"/>
        <w:rPr>
          <w:rFonts w:ascii="Arial" w:hAnsi="Arial" w:cs="Arial"/>
          <w:sz w:val="22"/>
          <w:szCs w:val="22"/>
        </w:rPr>
      </w:pPr>
      <w:r w:rsidRPr="00DC2A56">
        <w:rPr>
          <w:rFonts w:ascii="Arial" w:hAnsi="Arial" w:cs="Arial"/>
          <w:b/>
          <w:bCs/>
          <w:sz w:val="22"/>
          <w:szCs w:val="22"/>
          <w:u w:val="single"/>
          <w:lang w:val="en-US"/>
        </w:rPr>
        <w:t>Conclusion</w:t>
      </w:r>
    </w:p>
    <w:p w14:paraId="3BCE2887" w14:textId="77777777" w:rsidR="00B20DA5" w:rsidRPr="00DC2A56" w:rsidRDefault="00B20DA5" w:rsidP="00DC2A56">
      <w:pPr>
        <w:spacing w:line="360" w:lineRule="auto"/>
        <w:rPr>
          <w:rFonts w:ascii="Arial" w:hAnsi="Arial" w:cs="Arial"/>
          <w:sz w:val="22"/>
          <w:szCs w:val="22"/>
        </w:rPr>
      </w:pPr>
      <w:r w:rsidRPr="00DC2A56">
        <w:rPr>
          <w:rFonts w:ascii="Arial" w:hAnsi="Arial" w:cs="Arial"/>
          <w:sz w:val="22"/>
          <w:szCs w:val="22"/>
          <w:lang w:val="en-US"/>
        </w:rPr>
        <w:t>A digital support kiosk is an integration of technology with medical science to improve the health and well-being of the community. As discussed in the poster, this is a beneficial innovation, especially in the working and low-income communities and for the older population. This also enhances the inclusion of excluded classes of the community and avoids inequalities and discrimination. With several software and technologies, a consultation with healthcare providers in the form of a chat box and video calls without waiting in long lines is made possible.</w:t>
      </w:r>
    </w:p>
    <w:p w14:paraId="3FB0C145" w14:textId="2738FF0A" w:rsidR="00AE70EA" w:rsidRPr="00DC2A56" w:rsidRDefault="00F045FF" w:rsidP="00DC2A56">
      <w:pPr>
        <w:pStyle w:val="Heading1"/>
        <w:spacing w:line="360" w:lineRule="auto"/>
        <w:rPr>
          <w:rFonts w:cs="Arial"/>
          <w:szCs w:val="22"/>
        </w:rPr>
      </w:pPr>
      <w:bookmarkStart w:id="2" w:name="_Toc225858597"/>
      <w:r w:rsidRPr="00DC2A56">
        <w:rPr>
          <w:rFonts w:cs="Arial"/>
          <w:szCs w:val="22"/>
        </w:rPr>
        <w:t>Pitch</w:t>
      </w:r>
      <w:bookmarkEnd w:id="2"/>
    </w:p>
    <w:p w14:paraId="7AF34429" w14:textId="77777777" w:rsidR="00AE70EA" w:rsidRPr="00DC2A56" w:rsidRDefault="00AE70EA" w:rsidP="00DC2A56">
      <w:pPr>
        <w:spacing w:line="360" w:lineRule="auto"/>
        <w:jc w:val="both"/>
        <w:rPr>
          <w:rFonts w:ascii="Arial" w:hAnsi="Arial" w:cs="Arial"/>
          <w:sz w:val="22"/>
          <w:szCs w:val="22"/>
        </w:rPr>
      </w:pPr>
      <w:r w:rsidRPr="00DC2A56">
        <w:rPr>
          <w:rFonts w:ascii="Arial" w:hAnsi="Arial" w:cs="Arial"/>
          <w:sz w:val="22"/>
          <w:szCs w:val="22"/>
        </w:rPr>
        <w:t>In this pitch, an innovation in the healthcare sector will be discussed to enhance primary care and make healthcare more accessible to the communities. A focus will be made on the vulnerable and undeserved communities of the society, along with the older age population of the country. This innovation will benefit the people who have little to no access to healthcare services or are unable to reach the healthcare centres due to their condition or lack of financial resources. The innovation in question is the Digital support kiosk for GP surgeries and primary healthcare facilities.</w:t>
      </w:r>
    </w:p>
    <w:p w14:paraId="618ADFC4" w14:textId="77777777" w:rsidR="00AE70EA" w:rsidRPr="00DC2A56" w:rsidRDefault="00AE70EA" w:rsidP="00DC2A56">
      <w:pPr>
        <w:spacing w:line="360" w:lineRule="auto"/>
        <w:jc w:val="both"/>
        <w:rPr>
          <w:rFonts w:ascii="Arial" w:hAnsi="Arial" w:cs="Arial"/>
          <w:sz w:val="22"/>
          <w:szCs w:val="22"/>
        </w:rPr>
      </w:pPr>
      <w:r w:rsidRPr="00DC2A56">
        <w:rPr>
          <w:rFonts w:ascii="Arial" w:hAnsi="Arial" w:cs="Arial"/>
          <w:sz w:val="22"/>
          <w:szCs w:val="22"/>
        </w:rPr>
        <w:t>This innovation is an important approach to improve the health and well-being of the individuals of the community who cannot access the primary healthcare facilities in person. In general physician surgeries, the introduction of a web-based approach can combat the inequalities towards the aged population. A digital kiosk in reach can help in scheduling the appointments easily, repeating the prescribed medication and contacting for any advice from the GP surgeons for relevant ailments. Medically vulnerable and underserved populations of the community can benefit from this digital and virtual level of healthcare (Leach et al.,2022). Individuals who lack knowledge of technology can be helped by the community and social workers appointed to manage the kiosk system. A digital kiosk is a web-based computing device that helps patients to make regular check-ins, online consultation with a physician, help in recovery and reordering their prescribed medications. This makes patients self-aware and independently handles their condition. Individuals who lack knowledge of technology can be helped by the community and social workers appointed to manage the kiosk system.</w:t>
      </w:r>
    </w:p>
    <w:p w14:paraId="27B73A3F" w14:textId="77777777" w:rsidR="00AE70EA" w:rsidRPr="00DC2A56" w:rsidRDefault="00AE70EA" w:rsidP="00DC2A56">
      <w:pPr>
        <w:spacing w:line="360" w:lineRule="auto"/>
        <w:jc w:val="both"/>
        <w:rPr>
          <w:rFonts w:ascii="Arial" w:hAnsi="Arial" w:cs="Arial"/>
          <w:sz w:val="22"/>
          <w:szCs w:val="22"/>
        </w:rPr>
      </w:pPr>
      <w:r w:rsidRPr="00DC2A56">
        <w:rPr>
          <w:rFonts w:ascii="Arial" w:hAnsi="Arial" w:cs="Arial"/>
          <w:sz w:val="22"/>
          <w:szCs w:val="22"/>
        </w:rPr>
        <w:t>Individuals of socially and economically vulnerable backgrounds (Masquillier et al., 2023), who are considered socially backward or those who are of low-income classes with limited resources, can benefit from this innovation. Aged people who have difficulty making appointments online or cannot stand in long waiting lines can benefit from these digital kiosks. This will reduce transportation chaos, long waiting hours, and, in turn, improve their health and social care. Older people have to wait in long lines, and due to all this commotion, they avoid the physical healthcare services and don’t consult their general physician. This can result in chronic diseases and increased mortality rates in them.</w:t>
      </w:r>
    </w:p>
    <w:p w14:paraId="3B4246C6" w14:textId="77777777" w:rsidR="00AE70EA" w:rsidRPr="00DC2A56" w:rsidRDefault="00AE70EA" w:rsidP="00DC2A56">
      <w:pPr>
        <w:spacing w:line="360" w:lineRule="auto"/>
        <w:jc w:val="both"/>
        <w:rPr>
          <w:rFonts w:ascii="Arial" w:hAnsi="Arial" w:cs="Arial"/>
          <w:sz w:val="22"/>
          <w:szCs w:val="22"/>
        </w:rPr>
      </w:pPr>
      <w:r w:rsidRPr="00DC2A56">
        <w:rPr>
          <w:rFonts w:ascii="Arial" w:hAnsi="Arial" w:cs="Arial"/>
          <w:sz w:val="22"/>
          <w:szCs w:val="22"/>
        </w:rPr>
        <w:t>The timeline of the innovation diffusion is 4 months. For the first month, before establishing the digital kiosk, a brief awareness and educational program should be started for the users, that is, the people of the community, so that they can accept this innovation and can become familiar with it (Muhajir et al.,2025). In the second month, visual campaigns and promotion of the digital kiosk can be done, where people can clear their fears and queries regarding the use of the machine. They need to be informed that their health is the priority, and their privacy will not be an issue. This is an important discussion towards the popularity of technology in these communities. In the third month, social workers and local community leaders can organise a session to influence the people of their community, and explain the functions and working of the digital kiosk. In the last month, a final security and quality assurance of the machine can be done in front of the people to make them participate and engage in the usage of the digital kiosk.</w:t>
      </w:r>
    </w:p>
    <w:p w14:paraId="78A1E322" w14:textId="1ACC06B8" w:rsidR="00AE70EA" w:rsidRPr="00DC2A56" w:rsidRDefault="00AE70EA" w:rsidP="00DC2A56">
      <w:pPr>
        <w:spacing w:line="360" w:lineRule="auto"/>
        <w:jc w:val="both"/>
        <w:rPr>
          <w:rFonts w:ascii="Arial" w:hAnsi="Arial" w:cs="Arial"/>
          <w:sz w:val="22"/>
          <w:szCs w:val="22"/>
        </w:rPr>
      </w:pPr>
      <w:r w:rsidRPr="00DC2A56">
        <w:rPr>
          <w:rFonts w:ascii="Arial" w:hAnsi="Arial" w:cs="Arial"/>
          <w:sz w:val="22"/>
          <w:szCs w:val="22"/>
        </w:rPr>
        <w:t>Implementation of the digital kiosk for the benefit of the community can be done by making people friendly with the working of the machine user-friendly. Some campaigns and posters that explain how and why the machine can be used. Its functions and other services that it provides can be explained to the people of the community in the presence of social workers and local community heads to increase the participation of the people (Mohamud,</w:t>
      </w:r>
      <w:r w:rsidR="00740849" w:rsidRPr="00DC2A56">
        <w:rPr>
          <w:rFonts w:ascii="Arial" w:hAnsi="Arial" w:cs="Arial"/>
          <w:sz w:val="22"/>
          <w:szCs w:val="22"/>
        </w:rPr>
        <w:t xml:space="preserve"> </w:t>
      </w:r>
      <w:r w:rsidRPr="00DC2A56">
        <w:rPr>
          <w:rFonts w:ascii="Arial" w:hAnsi="Arial" w:cs="Arial"/>
          <w:sz w:val="22"/>
          <w:szCs w:val="22"/>
        </w:rPr>
        <w:t xml:space="preserve">2022). Big hospitals and healthcare centres can either donate this digital kiosk, or the local communities can set up these machines with the help of the government and other public forums. </w:t>
      </w:r>
    </w:p>
    <w:p w14:paraId="35E08FD3" w14:textId="3E471F42" w:rsidR="00AE70EA" w:rsidRPr="00DC2A56" w:rsidRDefault="00AE70EA" w:rsidP="00DC2A56">
      <w:pPr>
        <w:spacing w:line="360" w:lineRule="auto"/>
        <w:jc w:val="both"/>
        <w:rPr>
          <w:rFonts w:ascii="Arial" w:hAnsi="Arial" w:cs="Arial"/>
          <w:sz w:val="22"/>
          <w:szCs w:val="22"/>
        </w:rPr>
      </w:pPr>
      <w:r w:rsidRPr="00DC2A56">
        <w:rPr>
          <w:rFonts w:ascii="Arial" w:hAnsi="Arial" w:cs="Arial"/>
          <w:sz w:val="22"/>
          <w:szCs w:val="22"/>
        </w:rPr>
        <w:t>Before establishing the digital kiosk, a brief awareness and educational program should be started for the users, that is, the people of the community, so that they can accept this innovation and can become familiar with it (Muhajir et al.,2025)</w:t>
      </w:r>
      <w:r w:rsidR="003174B0" w:rsidRPr="00DC2A56">
        <w:rPr>
          <w:rFonts w:ascii="Arial" w:hAnsi="Arial" w:cs="Arial"/>
          <w:sz w:val="22"/>
          <w:szCs w:val="22"/>
        </w:rPr>
        <w:t>. In order t</w:t>
      </w:r>
      <w:r w:rsidRPr="00DC2A56">
        <w:rPr>
          <w:rFonts w:ascii="Arial" w:hAnsi="Arial" w:cs="Arial"/>
          <w:sz w:val="22"/>
          <w:szCs w:val="22"/>
        </w:rPr>
        <w:t>o avoid ethical issues and conflicts regarding the privacy of patients regarding their personal information and health concerns, a framework of certain laws and regulation are in place, like The Medical Devices Rules (“MDR”)5 May 2017 or the Digital Personal Data Protection Bill (DPDP Bill) 18 November 2022, Clause 8 (Jain, 2023). Under the DPDP bill, consent is considered one of the key aspects to use the patient's personal information for further medical advice and use by the healthcare providers. Under MDR, the healthcare service providers are required to ensure the safety and quality of the medical care in the form of devices or prescriptions and undergo regular quality checks.</w:t>
      </w:r>
    </w:p>
    <w:p w14:paraId="02FA5983" w14:textId="77777777" w:rsidR="00AE70EA" w:rsidRPr="00DC2A56" w:rsidRDefault="00AE70EA" w:rsidP="00DC2A56">
      <w:pPr>
        <w:spacing w:line="360" w:lineRule="auto"/>
        <w:jc w:val="both"/>
        <w:rPr>
          <w:rFonts w:ascii="Arial" w:hAnsi="Arial" w:cs="Arial"/>
          <w:sz w:val="22"/>
          <w:szCs w:val="22"/>
        </w:rPr>
      </w:pPr>
      <w:r w:rsidRPr="00DC2A56">
        <w:rPr>
          <w:rFonts w:ascii="Arial" w:hAnsi="Arial" w:cs="Arial"/>
          <w:sz w:val="22"/>
          <w:szCs w:val="22"/>
        </w:rPr>
        <w:t>User ID recognition and facial recognition, options to order prescription medications, consultation and chat with service providers, disease prediction with proper accountable data of research, chat boxes and video calls with the general physicians, real-time image analysis, possible disease diagnosis with reference to the research papers (Shaikh et al., 2024). Strong privacy and data security protocols are added to the kiosk to protect the data and avoid misuse of information.</w:t>
      </w:r>
    </w:p>
    <w:p w14:paraId="54CDB30C" w14:textId="7764876C" w:rsidR="00AE70EA" w:rsidRPr="00DC2A56" w:rsidRDefault="00AE70EA" w:rsidP="00DC2A56">
      <w:pPr>
        <w:spacing w:line="360" w:lineRule="auto"/>
        <w:jc w:val="both"/>
        <w:rPr>
          <w:rFonts w:ascii="Arial" w:hAnsi="Arial" w:cs="Arial"/>
          <w:sz w:val="22"/>
          <w:szCs w:val="22"/>
        </w:rPr>
      </w:pPr>
      <w:r w:rsidRPr="00DC2A56">
        <w:rPr>
          <w:rFonts w:ascii="Arial" w:hAnsi="Arial" w:cs="Arial"/>
          <w:sz w:val="22"/>
          <w:szCs w:val="22"/>
        </w:rPr>
        <w:t xml:space="preserve">The innovation diffusion theory aims to understand the integration of technology into the normal population at the macro </w:t>
      </w:r>
      <w:r w:rsidR="00944F12" w:rsidRPr="00DC2A56">
        <w:rPr>
          <w:rFonts w:ascii="Arial" w:hAnsi="Arial" w:cs="Arial"/>
          <w:sz w:val="22"/>
          <w:szCs w:val="22"/>
        </w:rPr>
        <w:t>level that</w:t>
      </w:r>
      <w:r w:rsidRPr="00DC2A56">
        <w:rPr>
          <w:rFonts w:ascii="Arial" w:hAnsi="Arial" w:cs="Arial"/>
          <w:sz w:val="22"/>
          <w:szCs w:val="22"/>
        </w:rPr>
        <w:t xml:space="preserve"> is influencing the novel approaches in the social system. The most important part of this theory is compatibility (Almaiah et al., 2022). </w:t>
      </w:r>
      <w:r w:rsidR="003463B0" w:rsidRPr="00DC2A56">
        <w:rPr>
          <w:rFonts w:ascii="Arial" w:hAnsi="Arial" w:cs="Arial"/>
          <w:sz w:val="22"/>
          <w:szCs w:val="22"/>
        </w:rPr>
        <w:t>It includes c</w:t>
      </w:r>
      <w:r w:rsidRPr="00DC2A56">
        <w:rPr>
          <w:rFonts w:ascii="Arial" w:hAnsi="Arial" w:cs="Arial"/>
          <w:sz w:val="22"/>
          <w:szCs w:val="22"/>
        </w:rPr>
        <w:t>ompatibility between the requirements of the consumers and users and their experiences. An individual's readiness to work with the increasing digitalisation paves the path for growth and development. Main components of this theory for the adoption of new technologies are relative advantage, compatibility, complexity, trialability and observability. People adopt the innovation at their own pace and are categorised as innovators, early or late adopters and laggards, those who have a traditional approach towards technology. Innovators and early adopters include big hospitals and healthcare organisations, late adopters include common men, workers and excluded communities, while the laggards include the indigenous and traditional population who generally belong to low-income communities and the aged population.</w:t>
      </w:r>
    </w:p>
    <w:p w14:paraId="725AAB66" w14:textId="77777777" w:rsidR="00AE70EA" w:rsidRPr="00DC2A56" w:rsidRDefault="00AE70EA" w:rsidP="00DC2A56">
      <w:pPr>
        <w:spacing w:line="360" w:lineRule="auto"/>
        <w:jc w:val="both"/>
        <w:rPr>
          <w:rFonts w:ascii="Arial" w:hAnsi="Arial" w:cs="Arial"/>
          <w:sz w:val="22"/>
          <w:szCs w:val="22"/>
        </w:rPr>
      </w:pPr>
      <w:r w:rsidRPr="00DC2A56">
        <w:rPr>
          <w:rFonts w:ascii="Arial" w:hAnsi="Arial" w:cs="Arial"/>
          <w:sz w:val="22"/>
          <w:szCs w:val="22"/>
        </w:rPr>
        <w:t>A digital support kiosk is an integration of technology with medical science to improve the health and well-being of the community. As discussed in the poster, this is a beneficial innovation, especially in the working and low-income communities and for the older population. This also enhances the inclusion of excluded classes of the community and avoids inequalities and discrimination. With several software and technologies, a consultation with healthcare providers in the form of a chat box and video calls without waiting in long lines is made possible.</w:t>
      </w:r>
    </w:p>
    <w:p w14:paraId="3EE3AEAC" w14:textId="77777777" w:rsidR="00AE70EA" w:rsidRPr="00DC2A56" w:rsidRDefault="00AE70EA" w:rsidP="00DC2A56">
      <w:pPr>
        <w:spacing w:line="360" w:lineRule="auto"/>
        <w:jc w:val="both"/>
        <w:rPr>
          <w:rFonts w:ascii="Arial" w:hAnsi="Arial" w:cs="Arial"/>
          <w:b/>
          <w:bCs/>
          <w:sz w:val="22"/>
          <w:szCs w:val="22"/>
        </w:rPr>
      </w:pPr>
      <w:r w:rsidRPr="00DC2A56">
        <w:rPr>
          <w:rFonts w:ascii="Arial" w:hAnsi="Arial" w:cs="Arial"/>
          <w:b/>
          <w:bCs/>
          <w:sz w:val="22"/>
          <w:szCs w:val="22"/>
        </w:rPr>
        <w:br w:type="page"/>
      </w:r>
    </w:p>
    <w:p w14:paraId="59D86EE2" w14:textId="405CB049" w:rsidR="00D359B2" w:rsidRPr="00DC2A56" w:rsidRDefault="00B34F10" w:rsidP="00DC2A56">
      <w:pPr>
        <w:pStyle w:val="Heading1"/>
        <w:spacing w:line="360" w:lineRule="auto"/>
        <w:rPr>
          <w:rFonts w:cs="Arial"/>
          <w:szCs w:val="22"/>
        </w:rPr>
      </w:pPr>
      <w:bookmarkStart w:id="3" w:name="_Toc225858598"/>
      <w:r w:rsidRPr="00DC2A56">
        <w:rPr>
          <w:rFonts w:cs="Arial"/>
          <w:szCs w:val="22"/>
        </w:rPr>
        <w:t>R</w:t>
      </w:r>
      <w:r w:rsidR="00871BD5" w:rsidRPr="00DC2A56">
        <w:rPr>
          <w:rFonts w:cs="Arial"/>
          <w:szCs w:val="22"/>
        </w:rPr>
        <w:t>eferences</w:t>
      </w:r>
      <w:bookmarkEnd w:id="3"/>
    </w:p>
    <w:p w14:paraId="0F09747D" w14:textId="282933A0" w:rsidR="00CA41D6" w:rsidRPr="00DC2A56" w:rsidRDefault="00CA41D6" w:rsidP="00DC2A56">
      <w:pPr>
        <w:spacing w:line="360" w:lineRule="auto"/>
        <w:jc w:val="both"/>
        <w:rPr>
          <w:rFonts w:ascii="Arial" w:hAnsi="Arial" w:cs="Arial"/>
          <w:sz w:val="22"/>
          <w:szCs w:val="22"/>
        </w:rPr>
      </w:pPr>
      <w:r w:rsidRPr="00DC2A56">
        <w:rPr>
          <w:rFonts w:ascii="Arial" w:hAnsi="Arial" w:cs="Arial"/>
          <w:sz w:val="22"/>
          <w:szCs w:val="22"/>
        </w:rPr>
        <w:t xml:space="preserve">Abernethy, A., Adams, L., Barrett, M., Bechtel, C., Brennan, P., Butte, A., Faulkner, J., Fontaine, E., Friedhoff, S., Halamka, J. and Howell, M., (2022) ‘The promise of digital health: then, now, and the future.’ </w:t>
      </w:r>
      <w:r w:rsidRPr="00DC2A56">
        <w:rPr>
          <w:rFonts w:ascii="Arial" w:hAnsi="Arial" w:cs="Arial"/>
          <w:i/>
          <w:iCs/>
          <w:sz w:val="22"/>
          <w:szCs w:val="22"/>
        </w:rPr>
        <w:t>NAM perspectives</w:t>
      </w:r>
      <w:r w:rsidRPr="00DC2A56">
        <w:rPr>
          <w:rFonts w:ascii="Arial" w:hAnsi="Arial" w:cs="Arial"/>
          <w:sz w:val="22"/>
          <w:szCs w:val="22"/>
        </w:rPr>
        <w:t>, 2022, pp.10-31478. Available at: https://pmc.ncbi.nlm.nih.gov/articles/PMC9499383/pdf/nampsp-2022-202206e.pdf</w:t>
      </w:r>
    </w:p>
    <w:p w14:paraId="78C68A7E" w14:textId="4FAE3BB8" w:rsidR="00CA41D6" w:rsidRPr="00DC2A56" w:rsidRDefault="00CA41D6" w:rsidP="00DC2A56">
      <w:pPr>
        <w:spacing w:line="360" w:lineRule="auto"/>
        <w:jc w:val="both"/>
        <w:rPr>
          <w:rFonts w:ascii="Arial" w:hAnsi="Arial" w:cs="Arial"/>
          <w:sz w:val="22"/>
          <w:szCs w:val="22"/>
        </w:rPr>
      </w:pPr>
      <w:r w:rsidRPr="00DC2A56">
        <w:rPr>
          <w:rFonts w:ascii="Arial" w:hAnsi="Arial" w:cs="Arial"/>
          <w:sz w:val="22"/>
          <w:szCs w:val="22"/>
        </w:rPr>
        <w:t>Almaiah, M.A., Alfaisal, R., Salloum, S.A., Hajjej, F., Shishakly, R., Lutfi, A., Alrawad, M., Al Mulhem, A., Alkhdour, T. and Al-Maroof, R.S., (2022) ‘Measuring institutions’ adoption of artificial intelligence applications in online learning environments: integrating the innovation diffusion theory with technology adoption rate’. </w:t>
      </w:r>
      <w:r w:rsidRPr="00DC2A56">
        <w:rPr>
          <w:rFonts w:ascii="Arial" w:hAnsi="Arial" w:cs="Arial"/>
          <w:i/>
          <w:iCs/>
          <w:sz w:val="22"/>
          <w:szCs w:val="22"/>
        </w:rPr>
        <w:t>Electronics</w:t>
      </w:r>
      <w:r w:rsidRPr="00DC2A56">
        <w:rPr>
          <w:rFonts w:ascii="Arial" w:hAnsi="Arial" w:cs="Arial"/>
          <w:sz w:val="22"/>
          <w:szCs w:val="22"/>
        </w:rPr>
        <w:t>, 11(20), p.3291.  Available at: https://www.mdpi.com/2079-9292/11/20/3291</w:t>
      </w:r>
    </w:p>
    <w:p w14:paraId="73BBEE9E" w14:textId="6A35DD54" w:rsidR="00CA41D6" w:rsidRPr="00DC2A56" w:rsidRDefault="00CA41D6" w:rsidP="00DC2A56">
      <w:pPr>
        <w:spacing w:line="360" w:lineRule="auto"/>
        <w:jc w:val="both"/>
        <w:rPr>
          <w:rFonts w:ascii="Arial" w:hAnsi="Arial" w:cs="Arial"/>
          <w:sz w:val="22"/>
          <w:szCs w:val="22"/>
        </w:rPr>
      </w:pPr>
      <w:r w:rsidRPr="00DC2A56">
        <w:rPr>
          <w:rFonts w:ascii="Arial" w:hAnsi="Arial" w:cs="Arial"/>
          <w:sz w:val="22"/>
          <w:szCs w:val="22"/>
        </w:rPr>
        <w:t>De Santis, K.K., Mergenthal, L., Christianson, L., Busskamp, A., Vonstein, C. and Zeeb, H., (2023) ‘Digital technologies for health promotion and disease prevention in older people: scoping review’. </w:t>
      </w:r>
      <w:r w:rsidRPr="00DC2A56">
        <w:rPr>
          <w:rFonts w:ascii="Arial" w:hAnsi="Arial" w:cs="Arial"/>
          <w:i/>
          <w:iCs/>
          <w:sz w:val="22"/>
          <w:szCs w:val="22"/>
        </w:rPr>
        <w:t>Journal of Medical Internet Research</w:t>
      </w:r>
      <w:r w:rsidRPr="00DC2A56">
        <w:rPr>
          <w:rFonts w:ascii="Arial" w:hAnsi="Arial" w:cs="Arial"/>
          <w:sz w:val="22"/>
          <w:szCs w:val="22"/>
        </w:rPr>
        <w:t>, 25, p.e43542. Available at: https://www.jmir.org/2023/1/e43542/</w:t>
      </w:r>
    </w:p>
    <w:p w14:paraId="0BBE2481" w14:textId="2F78D767" w:rsidR="00CA41D6" w:rsidRPr="00DC2A56" w:rsidRDefault="00CA41D6" w:rsidP="00DC2A56">
      <w:pPr>
        <w:spacing w:line="360" w:lineRule="auto"/>
        <w:jc w:val="both"/>
        <w:rPr>
          <w:rFonts w:ascii="Arial" w:hAnsi="Arial" w:cs="Arial"/>
          <w:sz w:val="22"/>
          <w:szCs w:val="22"/>
        </w:rPr>
      </w:pPr>
      <w:r w:rsidRPr="00DC2A56">
        <w:rPr>
          <w:rFonts w:ascii="Arial" w:hAnsi="Arial" w:cs="Arial"/>
          <w:sz w:val="22"/>
          <w:szCs w:val="22"/>
        </w:rPr>
        <w:t xml:space="preserve">Fatehi, F., Samadbeik, M. and Kazemi, A., (2020) ‘What is digital health? Review of definitions. In Integrated citizen-centred digital health and social care’ (pp. 67-71). </w:t>
      </w:r>
      <w:r w:rsidRPr="00DC2A56">
        <w:rPr>
          <w:rFonts w:ascii="Arial" w:hAnsi="Arial" w:cs="Arial"/>
          <w:i/>
          <w:iCs/>
          <w:sz w:val="22"/>
          <w:szCs w:val="22"/>
        </w:rPr>
        <w:t>IOS Press</w:t>
      </w:r>
      <w:r w:rsidRPr="00DC2A56">
        <w:rPr>
          <w:rFonts w:ascii="Arial" w:hAnsi="Arial" w:cs="Arial"/>
          <w:sz w:val="22"/>
          <w:szCs w:val="22"/>
        </w:rPr>
        <w:t>. Available at:  https://www.academia.edu/download/90758585/SHTI275.pdf#page=83</w:t>
      </w:r>
    </w:p>
    <w:p w14:paraId="188B1B25" w14:textId="49EC55DF" w:rsidR="00CA41D6" w:rsidRPr="00DC2A56" w:rsidRDefault="00CA41D6" w:rsidP="00DC2A56">
      <w:pPr>
        <w:spacing w:line="360" w:lineRule="auto"/>
        <w:jc w:val="both"/>
        <w:rPr>
          <w:rFonts w:ascii="Arial" w:hAnsi="Arial" w:cs="Arial"/>
          <w:sz w:val="22"/>
          <w:szCs w:val="22"/>
        </w:rPr>
      </w:pPr>
      <w:r w:rsidRPr="00DC2A56">
        <w:rPr>
          <w:rFonts w:ascii="Arial" w:hAnsi="Arial" w:cs="Arial"/>
          <w:sz w:val="22"/>
          <w:szCs w:val="22"/>
        </w:rPr>
        <w:t>Jain, D., (2023, March) ‘Regulation of digital healthcare in India: ethical and legal challenges’. In </w:t>
      </w:r>
      <w:r w:rsidRPr="00DC2A56">
        <w:rPr>
          <w:rFonts w:ascii="Arial" w:hAnsi="Arial" w:cs="Arial"/>
          <w:i/>
          <w:iCs/>
          <w:sz w:val="22"/>
          <w:szCs w:val="22"/>
        </w:rPr>
        <w:t>Healthcare</w:t>
      </w:r>
      <w:r w:rsidRPr="00DC2A56">
        <w:rPr>
          <w:rFonts w:ascii="Arial" w:hAnsi="Arial" w:cs="Arial"/>
          <w:sz w:val="22"/>
          <w:szCs w:val="22"/>
        </w:rPr>
        <w:t xml:space="preserve"> (Vol. 11, No. 6, p. 911). </w:t>
      </w:r>
      <w:r w:rsidRPr="00DC2A56">
        <w:rPr>
          <w:rFonts w:ascii="Arial" w:hAnsi="Arial" w:cs="Arial"/>
          <w:i/>
          <w:iCs/>
          <w:sz w:val="22"/>
          <w:szCs w:val="22"/>
        </w:rPr>
        <w:t>MDPI</w:t>
      </w:r>
      <w:r w:rsidRPr="00DC2A56">
        <w:rPr>
          <w:rFonts w:ascii="Arial" w:hAnsi="Arial" w:cs="Arial"/>
          <w:sz w:val="22"/>
          <w:szCs w:val="22"/>
        </w:rPr>
        <w:t>. Available at: https://www.mdpi.com/2227-9032/11/6/911</w:t>
      </w:r>
    </w:p>
    <w:p w14:paraId="2B9D0959" w14:textId="0AA7227C" w:rsidR="00CA41D6" w:rsidRPr="00DC2A56" w:rsidRDefault="00CA41D6" w:rsidP="00DC2A56">
      <w:pPr>
        <w:spacing w:line="360" w:lineRule="auto"/>
        <w:jc w:val="both"/>
        <w:rPr>
          <w:rFonts w:ascii="Arial" w:hAnsi="Arial" w:cs="Arial"/>
          <w:sz w:val="22"/>
          <w:szCs w:val="22"/>
        </w:rPr>
      </w:pPr>
      <w:r w:rsidRPr="00DC2A56">
        <w:rPr>
          <w:rFonts w:ascii="Arial" w:hAnsi="Arial" w:cs="Arial"/>
          <w:sz w:val="22"/>
          <w:szCs w:val="22"/>
        </w:rPr>
        <w:t xml:space="preserve">Leach, B., Parkinson, S., Gkousis, E., Abel, G., Atherton, H., Campbell, J., Clark, C., Cockcroft, E., Marriott, C., Pitchforth, E. and Sussex, J., (2022) ‘Digital facilitation to support patient access to web-based primary care services: scoping literature review.’ </w:t>
      </w:r>
      <w:r w:rsidRPr="00DC2A56">
        <w:rPr>
          <w:rFonts w:ascii="Arial" w:hAnsi="Arial" w:cs="Arial"/>
          <w:i/>
          <w:iCs/>
          <w:sz w:val="22"/>
          <w:szCs w:val="22"/>
        </w:rPr>
        <w:t>Journal of Medical Internet Research</w:t>
      </w:r>
      <w:r w:rsidRPr="00DC2A56">
        <w:rPr>
          <w:rFonts w:ascii="Arial" w:hAnsi="Arial" w:cs="Arial"/>
          <w:sz w:val="22"/>
          <w:szCs w:val="22"/>
        </w:rPr>
        <w:t>, 24(7), p.e33911. Available at: https://www.jmir.org/2022/7/e33911/</w:t>
      </w:r>
    </w:p>
    <w:p w14:paraId="427C69EF" w14:textId="48E293B0" w:rsidR="00CA41D6" w:rsidRPr="00DC2A56" w:rsidRDefault="00CA41D6" w:rsidP="00DC2A56">
      <w:pPr>
        <w:spacing w:line="360" w:lineRule="auto"/>
        <w:jc w:val="both"/>
        <w:rPr>
          <w:rFonts w:ascii="Arial" w:hAnsi="Arial" w:cs="Arial"/>
          <w:sz w:val="22"/>
          <w:szCs w:val="22"/>
        </w:rPr>
      </w:pPr>
      <w:r w:rsidRPr="00DC2A56">
        <w:rPr>
          <w:rFonts w:ascii="Arial" w:hAnsi="Arial" w:cs="Arial"/>
          <w:sz w:val="22"/>
          <w:szCs w:val="22"/>
        </w:rPr>
        <w:t xml:space="preserve">Martinez, L., Garritsen, K., Baguet, J., Grigolon, A., Münzel, K., Keserü, I. and Geurs, K., (2024) ‘Digital kiosks and inclusivity: a novel perspective on mobility hubs’. </w:t>
      </w:r>
      <w:r w:rsidRPr="00DC2A56">
        <w:rPr>
          <w:rFonts w:ascii="Arial" w:hAnsi="Arial" w:cs="Arial"/>
          <w:i/>
          <w:iCs/>
          <w:sz w:val="22"/>
          <w:szCs w:val="22"/>
        </w:rPr>
        <w:t>European Transport Research Review,</w:t>
      </w:r>
      <w:r w:rsidRPr="00DC2A56">
        <w:rPr>
          <w:rFonts w:ascii="Arial" w:hAnsi="Arial" w:cs="Arial"/>
          <w:sz w:val="22"/>
          <w:szCs w:val="22"/>
        </w:rPr>
        <w:t xml:space="preserve"> 16(1), p.53. Available at: https://link.springer.com/content/pdf/10.1186/s12544-024-00676-8.pdf</w:t>
      </w:r>
    </w:p>
    <w:p w14:paraId="39F8BE0E" w14:textId="214C4291" w:rsidR="00CA41D6" w:rsidRPr="00DC2A56" w:rsidRDefault="00CA41D6" w:rsidP="00DC2A56">
      <w:pPr>
        <w:spacing w:line="360" w:lineRule="auto"/>
        <w:jc w:val="both"/>
        <w:rPr>
          <w:rFonts w:ascii="Arial" w:hAnsi="Arial" w:cs="Arial"/>
          <w:sz w:val="22"/>
          <w:szCs w:val="22"/>
        </w:rPr>
      </w:pPr>
      <w:r w:rsidRPr="00DC2A56">
        <w:rPr>
          <w:rFonts w:ascii="Arial" w:hAnsi="Arial" w:cs="Arial"/>
          <w:sz w:val="22"/>
          <w:szCs w:val="22"/>
        </w:rPr>
        <w:t xml:space="preserve">Masquillier, C., Van Royen, K., Van Pelt, P., Onsea, D. and Bastiaens, H., (2023) ‘Development and implementation of a community health literacy hub, ‘Health Kiosk'—A grassroots innovation’. </w:t>
      </w:r>
      <w:r w:rsidRPr="00DC2A56">
        <w:rPr>
          <w:rFonts w:ascii="Arial" w:hAnsi="Arial" w:cs="Arial"/>
          <w:i/>
          <w:iCs/>
          <w:sz w:val="22"/>
          <w:szCs w:val="22"/>
        </w:rPr>
        <w:t>Frontiers in Public Health</w:t>
      </w:r>
      <w:r w:rsidRPr="00DC2A56">
        <w:rPr>
          <w:rFonts w:ascii="Arial" w:hAnsi="Arial" w:cs="Arial"/>
          <w:sz w:val="22"/>
          <w:szCs w:val="22"/>
        </w:rPr>
        <w:t>, 10, p.1069255.  Available at: https://www.frontiersin.org/journals/public-health/articles/10.3389/fpubh.2022.1069255/pdf</w:t>
      </w:r>
    </w:p>
    <w:p w14:paraId="169FFCD3" w14:textId="374899F5" w:rsidR="00CA41D6" w:rsidRPr="00DC2A56" w:rsidRDefault="00CA41D6" w:rsidP="00DC2A56">
      <w:pPr>
        <w:spacing w:line="360" w:lineRule="auto"/>
        <w:jc w:val="both"/>
        <w:rPr>
          <w:rFonts w:ascii="Arial" w:hAnsi="Arial" w:cs="Arial"/>
          <w:sz w:val="22"/>
          <w:szCs w:val="22"/>
        </w:rPr>
      </w:pPr>
      <w:r w:rsidRPr="00DC2A56">
        <w:rPr>
          <w:rFonts w:ascii="Arial" w:hAnsi="Arial" w:cs="Arial"/>
          <w:sz w:val="22"/>
          <w:szCs w:val="22"/>
        </w:rPr>
        <w:t xml:space="preserve">Mohamud, K.A., (2022) ‘Digital Technologies For Development: The Role Of Social And Cultural Structures In Influencing Experiences Of Low-Income Communities With Internet Kiosks In Uganda.’ </w:t>
      </w:r>
      <w:r w:rsidRPr="00DC2A56">
        <w:rPr>
          <w:rFonts w:ascii="Arial" w:hAnsi="Arial" w:cs="Arial"/>
          <w:i/>
          <w:iCs/>
          <w:sz w:val="22"/>
          <w:szCs w:val="22"/>
        </w:rPr>
        <w:t>Open University</w:t>
      </w:r>
      <w:r w:rsidRPr="00DC2A56">
        <w:rPr>
          <w:rFonts w:ascii="Arial" w:hAnsi="Arial" w:cs="Arial"/>
          <w:sz w:val="22"/>
          <w:szCs w:val="22"/>
        </w:rPr>
        <w:t xml:space="preserve"> (United Kingdom). Available at: https://oro.open.ac.uk/85332/7/Mohamud%20Khadija%20Amal%20E-thesis%20redacted%20version.pdf</w:t>
      </w:r>
    </w:p>
    <w:p w14:paraId="12B2E70C" w14:textId="77472FBB" w:rsidR="00CA41D6" w:rsidRPr="00DC2A56" w:rsidRDefault="00CA41D6" w:rsidP="00DC2A56">
      <w:pPr>
        <w:spacing w:line="360" w:lineRule="auto"/>
        <w:jc w:val="both"/>
        <w:rPr>
          <w:rFonts w:ascii="Arial" w:hAnsi="Arial" w:cs="Arial"/>
          <w:sz w:val="22"/>
          <w:szCs w:val="22"/>
        </w:rPr>
      </w:pPr>
      <w:r w:rsidRPr="00DC2A56">
        <w:rPr>
          <w:rFonts w:ascii="Arial" w:hAnsi="Arial" w:cs="Arial"/>
          <w:sz w:val="22"/>
          <w:szCs w:val="22"/>
        </w:rPr>
        <w:t>Muhajir, D., Rasmana, S.T., Oktavia, V.R., Fauzi, M.D. and Tjahyanto, A., (2025, September) ‘Development of a Self-Service Health Check-Up Kiosk Using Design Science Research Methods’. In </w:t>
      </w:r>
      <w:r w:rsidRPr="00DC2A56">
        <w:rPr>
          <w:rFonts w:ascii="Arial" w:hAnsi="Arial" w:cs="Arial"/>
          <w:i/>
          <w:iCs/>
          <w:sz w:val="22"/>
          <w:szCs w:val="22"/>
        </w:rPr>
        <w:t>2025 International Conference on ICT for Smart Society (ICISS)</w:t>
      </w:r>
      <w:r w:rsidRPr="00DC2A56">
        <w:rPr>
          <w:rFonts w:ascii="Arial" w:hAnsi="Arial" w:cs="Arial"/>
          <w:sz w:val="22"/>
          <w:szCs w:val="22"/>
        </w:rPr>
        <w:t> (pp. 1-6). IEEE.  Available at: https://www.e-sir.org/archive/view_article?pid=sir-6-3-214#B49</w:t>
      </w:r>
    </w:p>
    <w:p w14:paraId="74567A44" w14:textId="00FF1013" w:rsidR="00CA41D6" w:rsidRPr="00DC2A56" w:rsidRDefault="00CA41D6" w:rsidP="00DC2A56">
      <w:pPr>
        <w:spacing w:line="360" w:lineRule="auto"/>
        <w:jc w:val="both"/>
        <w:rPr>
          <w:rFonts w:ascii="Arial" w:hAnsi="Arial" w:cs="Arial"/>
          <w:sz w:val="22"/>
          <w:szCs w:val="22"/>
        </w:rPr>
      </w:pPr>
      <w:r w:rsidRPr="00DC2A56">
        <w:rPr>
          <w:rFonts w:ascii="Arial" w:hAnsi="Arial" w:cs="Arial"/>
          <w:sz w:val="22"/>
          <w:szCs w:val="22"/>
        </w:rPr>
        <w:t xml:space="preserve">Shaikh, A.J., Takbhate, S.B., Gawai, S., Limbore, A.M. and Patil, V.A., (2024, September) ‘Revolutionising healthcare: AI-powered solutions, technological integration for accessible and effective medical service. In 2024 International Conference on Advances in Computing Research on Science, Engineering and Technology (ACROSET)’ (pp. 1-7). </w:t>
      </w:r>
      <w:r w:rsidRPr="00DC2A56">
        <w:rPr>
          <w:rFonts w:ascii="Arial" w:hAnsi="Arial" w:cs="Arial"/>
          <w:i/>
          <w:iCs/>
          <w:sz w:val="22"/>
          <w:szCs w:val="22"/>
        </w:rPr>
        <w:t>IEEE.</w:t>
      </w:r>
      <w:r w:rsidRPr="00DC2A56">
        <w:rPr>
          <w:rFonts w:ascii="Arial" w:hAnsi="Arial" w:cs="Arial"/>
          <w:sz w:val="22"/>
          <w:szCs w:val="22"/>
        </w:rPr>
        <w:t xml:space="preserve"> Available at: https://ieeexplore.ieee.org/abstract/document/10743713</w:t>
      </w:r>
    </w:p>
    <w:p w14:paraId="349D8AC6" w14:textId="5418552F" w:rsidR="00CA41D6" w:rsidRPr="00DC2A56" w:rsidRDefault="00CA41D6" w:rsidP="00DC2A56">
      <w:pPr>
        <w:spacing w:line="360" w:lineRule="auto"/>
        <w:jc w:val="both"/>
        <w:rPr>
          <w:rFonts w:ascii="Arial" w:hAnsi="Arial" w:cs="Arial"/>
          <w:sz w:val="22"/>
          <w:szCs w:val="22"/>
        </w:rPr>
      </w:pPr>
      <w:r w:rsidRPr="00DC2A56">
        <w:rPr>
          <w:rFonts w:ascii="Arial" w:hAnsi="Arial" w:cs="Arial"/>
          <w:sz w:val="22"/>
          <w:szCs w:val="22"/>
        </w:rPr>
        <w:t xml:space="preserve">Stark, A.L., Geukes, C. and Dockweiler, C., (2022) ‘Digital health promotion and prevention in settings: scoping review’. </w:t>
      </w:r>
      <w:r w:rsidRPr="00DC2A56">
        <w:rPr>
          <w:rFonts w:ascii="Arial" w:hAnsi="Arial" w:cs="Arial"/>
          <w:i/>
          <w:iCs/>
          <w:sz w:val="22"/>
          <w:szCs w:val="22"/>
        </w:rPr>
        <w:t>Journal of Medical Internet Research</w:t>
      </w:r>
      <w:r w:rsidRPr="00DC2A56">
        <w:rPr>
          <w:rFonts w:ascii="Arial" w:hAnsi="Arial" w:cs="Arial"/>
          <w:sz w:val="22"/>
          <w:szCs w:val="22"/>
        </w:rPr>
        <w:t>, 24(1), p.e21063. Available at: https://www.jmir.org/2022/1/e21063/</w:t>
      </w:r>
    </w:p>
    <w:p w14:paraId="77CC4658" w14:textId="77777777" w:rsidR="00AE70EA" w:rsidRPr="00DC2A56" w:rsidRDefault="00AE70EA" w:rsidP="00DC2A56">
      <w:pPr>
        <w:spacing w:line="360" w:lineRule="auto"/>
        <w:jc w:val="both"/>
        <w:rPr>
          <w:rFonts w:ascii="Arial" w:hAnsi="Arial" w:cs="Arial"/>
          <w:sz w:val="22"/>
          <w:szCs w:val="22"/>
        </w:rPr>
      </w:pPr>
    </w:p>
    <w:p w14:paraId="67D74F6C" w14:textId="77777777" w:rsidR="00F07A3E" w:rsidRPr="00DC2A56" w:rsidRDefault="00F07A3E" w:rsidP="00DC2A56">
      <w:pPr>
        <w:spacing w:line="360" w:lineRule="auto"/>
        <w:jc w:val="both"/>
        <w:rPr>
          <w:rFonts w:ascii="Arial" w:hAnsi="Arial" w:cs="Arial"/>
          <w:sz w:val="22"/>
          <w:szCs w:val="22"/>
        </w:rPr>
      </w:pPr>
    </w:p>
    <w:p w14:paraId="34CA5A20" w14:textId="77777777" w:rsidR="00F07A3E" w:rsidRPr="00DC2A56" w:rsidRDefault="00F07A3E" w:rsidP="00DC2A56">
      <w:pPr>
        <w:spacing w:line="360" w:lineRule="auto"/>
        <w:jc w:val="both"/>
        <w:rPr>
          <w:rFonts w:ascii="Arial" w:hAnsi="Arial" w:cs="Arial"/>
          <w:sz w:val="22"/>
          <w:szCs w:val="22"/>
        </w:rPr>
      </w:pPr>
    </w:p>
    <w:p w14:paraId="228CC82C" w14:textId="0C6093B6" w:rsidR="00CB5102" w:rsidRPr="00DC2A56" w:rsidRDefault="00CB5102" w:rsidP="00DC2A56">
      <w:pPr>
        <w:spacing w:line="360" w:lineRule="auto"/>
        <w:jc w:val="both"/>
        <w:rPr>
          <w:rFonts w:ascii="Arial" w:hAnsi="Arial" w:cs="Arial"/>
          <w:b/>
          <w:bCs/>
          <w:sz w:val="22"/>
          <w:szCs w:val="22"/>
          <w:u w:val="single"/>
        </w:rPr>
      </w:pPr>
    </w:p>
    <w:sectPr w:rsidR="00CB5102" w:rsidRPr="00DC2A56" w:rsidSect="001D7B41">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0F575" w14:textId="77777777" w:rsidR="00042FB5" w:rsidRDefault="00042FB5" w:rsidP="00F045FF">
      <w:pPr>
        <w:spacing w:after="0" w:line="240" w:lineRule="auto"/>
      </w:pPr>
      <w:r>
        <w:separator/>
      </w:r>
    </w:p>
  </w:endnote>
  <w:endnote w:type="continuationSeparator" w:id="0">
    <w:p w14:paraId="68004218" w14:textId="77777777" w:rsidR="00042FB5" w:rsidRDefault="00042FB5" w:rsidP="00F04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0702230"/>
      <w:docPartObj>
        <w:docPartGallery w:val="Page Numbers (Bottom of Page)"/>
        <w:docPartUnique/>
      </w:docPartObj>
    </w:sdtPr>
    <w:sdtEndPr>
      <w:rPr>
        <w:noProof/>
      </w:rPr>
    </w:sdtEndPr>
    <w:sdtContent>
      <w:p w14:paraId="0F3475BA" w14:textId="75D84EE3" w:rsidR="00F045FF" w:rsidRDefault="00F045FF">
        <w:pPr>
          <w:pStyle w:val="Footer"/>
          <w:jc w:val="center"/>
        </w:pPr>
        <w:r>
          <w:fldChar w:fldCharType="begin"/>
        </w:r>
        <w:r>
          <w:instrText xml:space="preserve"> PAGE   \* MERGEFORMAT </w:instrText>
        </w:r>
        <w:r>
          <w:fldChar w:fldCharType="separate"/>
        </w:r>
        <w:r w:rsidR="003174B0">
          <w:rPr>
            <w:noProof/>
          </w:rPr>
          <w:t>4</w:t>
        </w:r>
        <w:r>
          <w:rPr>
            <w:noProof/>
          </w:rPr>
          <w:fldChar w:fldCharType="end"/>
        </w:r>
      </w:p>
    </w:sdtContent>
  </w:sdt>
  <w:p w14:paraId="60E81BB0" w14:textId="77777777" w:rsidR="00F045FF" w:rsidRDefault="00F045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8DF4D" w14:textId="77777777" w:rsidR="00042FB5" w:rsidRDefault="00042FB5" w:rsidP="00F045FF">
      <w:pPr>
        <w:spacing w:after="0" w:line="240" w:lineRule="auto"/>
      </w:pPr>
      <w:r>
        <w:separator/>
      </w:r>
    </w:p>
  </w:footnote>
  <w:footnote w:type="continuationSeparator" w:id="0">
    <w:p w14:paraId="099A0538" w14:textId="77777777" w:rsidR="00042FB5" w:rsidRDefault="00042FB5" w:rsidP="00F045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A5FB7"/>
    <w:multiLevelType w:val="hybridMultilevel"/>
    <w:tmpl w:val="F51A83E0"/>
    <w:lvl w:ilvl="0" w:tplc="9A02E0E2">
      <w:start w:val="1"/>
      <w:numFmt w:val="lowerLetter"/>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6935468"/>
    <w:multiLevelType w:val="hybridMultilevel"/>
    <w:tmpl w:val="C00C321A"/>
    <w:lvl w:ilvl="0" w:tplc="8A4CFC64">
      <w:start w:val="1"/>
      <w:numFmt w:val="bullet"/>
      <w:lvlText w:val="•"/>
      <w:lvlJc w:val="left"/>
      <w:pPr>
        <w:tabs>
          <w:tab w:val="num" w:pos="360"/>
        </w:tabs>
        <w:ind w:left="360" w:hanging="360"/>
      </w:pPr>
      <w:rPr>
        <w:rFonts w:ascii="Times New Roman" w:hAnsi="Times New Roman" w:hint="default"/>
      </w:rPr>
    </w:lvl>
    <w:lvl w:ilvl="1" w:tplc="202A6654" w:tentative="1">
      <w:start w:val="1"/>
      <w:numFmt w:val="bullet"/>
      <w:lvlText w:val="•"/>
      <w:lvlJc w:val="left"/>
      <w:pPr>
        <w:tabs>
          <w:tab w:val="num" w:pos="1080"/>
        </w:tabs>
        <w:ind w:left="1080" w:hanging="360"/>
      </w:pPr>
      <w:rPr>
        <w:rFonts w:ascii="Times New Roman" w:hAnsi="Times New Roman" w:hint="default"/>
      </w:rPr>
    </w:lvl>
    <w:lvl w:ilvl="2" w:tplc="FFDC2C30" w:tentative="1">
      <w:start w:val="1"/>
      <w:numFmt w:val="bullet"/>
      <w:lvlText w:val="•"/>
      <w:lvlJc w:val="left"/>
      <w:pPr>
        <w:tabs>
          <w:tab w:val="num" w:pos="1800"/>
        </w:tabs>
        <w:ind w:left="1800" w:hanging="360"/>
      </w:pPr>
      <w:rPr>
        <w:rFonts w:ascii="Times New Roman" w:hAnsi="Times New Roman" w:hint="default"/>
      </w:rPr>
    </w:lvl>
    <w:lvl w:ilvl="3" w:tplc="A614BB22" w:tentative="1">
      <w:start w:val="1"/>
      <w:numFmt w:val="bullet"/>
      <w:lvlText w:val="•"/>
      <w:lvlJc w:val="left"/>
      <w:pPr>
        <w:tabs>
          <w:tab w:val="num" w:pos="2520"/>
        </w:tabs>
        <w:ind w:left="2520" w:hanging="360"/>
      </w:pPr>
      <w:rPr>
        <w:rFonts w:ascii="Times New Roman" w:hAnsi="Times New Roman" w:hint="default"/>
      </w:rPr>
    </w:lvl>
    <w:lvl w:ilvl="4" w:tplc="7B4CB754" w:tentative="1">
      <w:start w:val="1"/>
      <w:numFmt w:val="bullet"/>
      <w:lvlText w:val="•"/>
      <w:lvlJc w:val="left"/>
      <w:pPr>
        <w:tabs>
          <w:tab w:val="num" w:pos="3240"/>
        </w:tabs>
        <w:ind w:left="3240" w:hanging="360"/>
      </w:pPr>
      <w:rPr>
        <w:rFonts w:ascii="Times New Roman" w:hAnsi="Times New Roman" w:hint="default"/>
      </w:rPr>
    </w:lvl>
    <w:lvl w:ilvl="5" w:tplc="C5D89AFC" w:tentative="1">
      <w:start w:val="1"/>
      <w:numFmt w:val="bullet"/>
      <w:lvlText w:val="•"/>
      <w:lvlJc w:val="left"/>
      <w:pPr>
        <w:tabs>
          <w:tab w:val="num" w:pos="3960"/>
        </w:tabs>
        <w:ind w:left="3960" w:hanging="360"/>
      </w:pPr>
      <w:rPr>
        <w:rFonts w:ascii="Times New Roman" w:hAnsi="Times New Roman" w:hint="default"/>
      </w:rPr>
    </w:lvl>
    <w:lvl w:ilvl="6" w:tplc="508A52F2" w:tentative="1">
      <w:start w:val="1"/>
      <w:numFmt w:val="bullet"/>
      <w:lvlText w:val="•"/>
      <w:lvlJc w:val="left"/>
      <w:pPr>
        <w:tabs>
          <w:tab w:val="num" w:pos="4680"/>
        </w:tabs>
        <w:ind w:left="4680" w:hanging="360"/>
      </w:pPr>
      <w:rPr>
        <w:rFonts w:ascii="Times New Roman" w:hAnsi="Times New Roman" w:hint="default"/>
      </w:rPr>
    </w:lvl>
    <w:lvl w:ilvl="7" w:tplc="8F182624" w:tentative="1">
      <w:start w:val="1"/>
      <w:numFmt w:val="bullet"/>
      <w:lvlText w:val="•"/>
      <w:lvlJc w:val="left"/>
      <w:pPr>
        <w:tabs>
          <w:tab w:val="num" w:pos="5400"/>
        </w:tabs>
        <w:ind w:left="5400" w:hanging="360"/>
      </w:pPr>
      <w:rPr>
        <w:rFonts w:ascii="Times New Roman" w:hAnsi="Times New Roman" w:hint="default"/>
      </w:rPr>
    </w:lvl>
    <w:lvl w:ilvl="8" w:tplc="7F821F7C" w:tentative="1">
      <w:start w:val="1"/>
      <w:numFmt w:val="bullet"/>
      <w:lvlText w:val="•"/>
      <w:lvlJc w:val="left"/>
      <w:pPr>
        <w:tabs>
          <w:tab w:val="num" w:pos="6120"/>
        </w:tabs>
        <w:ind w:left="6120" w:hanging="360"/>
      </w:pPr>
      <w:rPr>
        <w:rFonts w:ascii="Times New Roman" w:hAnsi="Times New Roman" w:hint="default"/>
      </w:rPr>
    </w:lvl>
  </w:abstractNum>
  <w:abstractNum w:abstractNumId="2" w15:restartNumberingAfterBreak="0">
    <w:nsid w:val="44E54327"/>
    <w:multiLevelType w:val="hybridMultilevel"/>
    <w:tmpl w:val="F3629D9A"/>
    <w:lvl w:ilvl="0" w:tplc="9A2AA59A">
      <w:start w:val="1"/>
      <w:numFmt w:val="bullet"/>
      <w:lvlText w:val="•"/>
      <w:lvlJc w:val="left"/>
      <w:pPr>
        <w:tabs>
          <w:tab w:val="num" w:pos="720"/>
        </w:tabs>
        <w:ind w:left="720" w:hanging="360"/>
      </w:pPr>
      <w:rPr>
        <w:rFonts w:ascii="Times New Roman" w:hAnsi="Times New Roman" w:hint="default"/>
      </w:rPr>
    </w:lvl>
    <w:lvl w:ilvl="1" w:tplc="9ABA3E1C" w:tentative="1">
      <w:start w:val="1"/>
      <w:numFmt w:val="bullet"/>
      <w:lvlText w:val="•"/>
      <w:lvlJc w:val="left"/>
      <w:pPr>
        <w:tabs>
          <w:tab w:val="num" w:pos="1440"/>
        </w:tabs>
        <w:ind w:left="1440" w:hanging="360"/>
      </w:pPr>
      <w:rPr>
        <w:rFonts w:ascii="Times New Roman" w:hAnsi="Times New Roman" w:hint="default"/>
      </w:rPr>
    </w:lvl>
    <w:lvl w:ilvl="2" w:tplc="0AF0D78A" w:tentative="1">
      <w:start w:val="1"/>
      <w:numFmt w:val="bullet"/>
      <w:lvlText w:val="•"/>
      <w:lvlJc w:val="left"/>
      <w:pPr>
        <w:tabs>
          <w:tab w:val="num" w:pos="2160"/>
        </w:tabs>
        <w:ind w:left="2160" w:hanging="360"/>
      </w:pPr>
      <w:rPr>
        <w:rFonts w:ascii="Times New Roman" w:hAnsi="Times New Roman" w:hint="default"/>
      </w:rPr>
    </w:lvl>
    <w:lvl w:ilvl="3" w:tplc="85847A7A" w:tentative="1">
      <w:start w:val="1"/>
      <w:numFmt w:val="bullet"/>
      <w:lvlText w:val="•"/>
      <w:lvlJc w:val="left"/>
      <w:pPr>
        <w:tabs>
          <w:tab w:val="num" w:pos="2880"/>
        </w:tabs>
        <w:ind w:left="2880" w:hanging="360"/>
      </w:pPr>
      <w:rPr>
        <w:rFonts w:ascii="Times New Roman" w:hAnsi="Times New Roman" w:hint="default"/>
      </w:rPr>
    </w:lvl>
    <w:lvl w:ilvl="4" w:tplc="1B82D414" w:tentative="1">
      <w:start w:val="1"/>
      <w:numFmt w:val="bullet"/>
      <w:lvlText w:val="•"/>
      <w:lvlJc w:val="left"/>
      <w:pPr>
        <w:tabs>
          <w:tab w:val="num" w:pos="3600"/>
        </w:tabs>
        <w:ind w:left="3600" w:hanging="360"/>
      </w:pPr>
      <w:rPr>
        <w:rFonts w:ascii="Times New Roman" w:hAnsi="Times New Roman" w:hint="default"/>
      </w:rPr>
    </w:lvl>
    <w:lvl w:ilvl="5" w:tplc="8AE624BA" w:tentative="1">
      <w:start w:val="1"/>
      <w:numFmt w:val="bullet"/>
      <w:lvlText w:val="•"/>
      <w:lvlJc w:val="left"/>
      <w:pPr>
        <w:tabs>
          <w:tab w:val="num" w:pos="4320"/>
        </w:tabs>
        <w:ind w:left="4320" w:hanging="360"/>
      </w:pPr>
      <w:rPr>
        <w:rFonts w:ascii="Times New Roman" w:hAnsi="Times New Roman" w:hint="default"/>
      </w:rPr>
    </w:lvl>
    <w:lvl w:ilvl="6" w:tplc="69E263CE" w:tentative="1">
      <w:start w:val="1"/>
      <w:numFmt w:val="bullet"/>
      <w:lvlText w:val="•"/>
      <w:lvlJc w:val="left"/>
      <w:pPr>
        <w:tabs>
          <w:tab w:val="num" w:pos="5040"/>
        </w:tabs>
        <w:ind w:left="5040" w:hanging="360"/>
      </w:pPr>
      <w:rPr>
        <w:rFonts w:ascii="Times New Roman" w:hAnsi="Times New Roman" w:hint="default"/>
      </w:rPr>
    </w:lvl>
    <w:lvl w:ilvl="7" w:tplc="5E5411D6" w:tentative="1">
      <w:start w:val="1"/>
      <w:numFmt w:val="bullet"/>
      <w:lvlText w:val="•"/>
      <w:lvlJc w:val="left"/>
      <w:pPr>
        <w:tabs>
          <w:tab w:val="num" w:pos="5760"/>
        </w:tabs>
        <w:ind w:left="5760" w:hanging="360"/>
      </w:pPr>
      <w:rPr>
        <w:rFonts w:ascii="Times New Roman" w:hAnsi="Times New Roman" w:hint="default"/>
      </w:rPr>
    </w:lvl>
    <w:lvl w:ilvl="8" w:tplc="A9B0758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4D736A5D"/>
    <w:multiLevelType w:val="hybridMultilevel"/>
    <w:tmpl w:val="722209E6"/>
    <w:lvl w:ilvl="0" w:tplc="1F963E76">
      <w:start w:val="1"/>
      <w:numFmt w:val="bullet"/>
      <w:lvlText w:val="•"/>
      <w:lvlJc w:val="left"/>
      <w:pPr>
        <w:tabs>
          <w:tab w:val="num" w:pos="720"/>
        </w:tabs>
        <w:ind w:left="720" w:hanging="360"/>
      </w:pPr>
      <w:rPr>
        <w:rFonts w:ascii="Times New Roman" w:hAnsi="Times New Roman" w:hint="default"/>
      </w:rPr>
    </w:lvl>
    <w:lvl w:ilvl="1" w:tplc="A2F04206">
      <w:numFmt w:val="bullet"/>
      <w:lvlText w:val="•"/>
      <w:lvlJc w:val="left"/>
      <w:pPr>
        <w:tabs>
          <w:tab w:val="num" w:pos="1440"/>
        </w:tabs>
        <w:ind w:left="1440" w:hanging="360"/>
      </w:pPr>
      <w:rPr>
        <w:rFonts w:ascii="Times New Roman" w:hAnsi="Times New Roman" w:hint="default"/>
      </w:rPr>
    </w:lvl>
    <w:lvl w:ilvl="2" w:tplc="63D8E868" w:tentative="1">
      <w:start w:val="1"/>
      <w:numFmt w:val="bullet"/>
      <w:lvlText w:val="•"/>
      <w:lvlJc w:val="left"/>
      <w:pPr>
        <w:tabs>
          <w:tab w:val="num" w:pos="2160"/>
        </w:tabs>
        <w:ind w:left="2160" w:hanging="360"/>
      </w:pPr>
      <w:rPr>
        <w:rFonts w:ascii="Times New Roman" w:hAnsi="Times New Roman" w:hint="default"/>
      </w:rPr>
    </w:lvl>
    <w:lvl w:ilvl="3" w:tplc="7AE66C72" w:tentative="1">
      <w:start w:val="1"/>
      <w:numFmt w:val="bullet"/>
      <w:lvlText w:val="•"/>
      <w:lvlJc w:val="left"/>
      <w:pPr>
        <w:tabs>
          <w:tab w:val="num" w:pos="2880"/>
        </w:tabs>
        <w:ind w:left="2880" w:hanging="360"/>
      </w:pPr>
      <w:rPr>
        <w:rFonts w:ascii="Times New Roman" w:hAnsi="Times New Roman" w:hint="default"/>
      </w:rPr>
    </w:lvl>
    <w:lvl w:ilvl="4" w:tplc="A964ED0A" w:tentative="1">
      <w:start w:val="1"/>
      <w:numFmt w:val="bullet"/>
      <w:lvlText w:val="•"/>
      <w:lvlJc w:val="left"/>
      <w:pPr>
        <w:tabs>
          <w:tab w:val="num" w:pos="3600"/>
        </w:tabs>
        <w:ind w:left="3600" w:hanging="360"/>
      </w:pPr>
      <w:rPr>
        <w:rFonts w:ascii="Times New Roman" w:hAnsi="Times New Roman" w:hint="default"/>
      </w:rPr>
    </w:lvl>
    <w:lvl w:ilvl="5" w:tplc="26ACFE96" w:tentative="1">
      <w:start w:val="1"/>
      <w:numFmt w:val="bullet"/>
      <w:lvlText w:val="•"/>
      <w:lvlJc w:val="left"/>
      <w:pPr>
        <w:tabs>
          <w:tab w:val="num" w:pos="4320"/>
        </w:tabs>
        <w:ind w:left="4320" w:hanging="360"/>
      </w:pPr>
      <w:rPr>
        <w:rFonts w:ascii="Times New Roman" w:hAnsi="Times New Roman" w:hint="default"/>
      </w:rPr>
    </w:lvl>
    <w:lvl w:ilvl="6" w:tplc="7E04FC78" w:tentative="1">
      <w:start w:val="1"/>
      <w:numFmt w:val="bullet"/>
      <w:lvlText w:val="•"/>
      <w:lvlJc w:val="left"/>
      <w:pPr>
        <w:tabs>
          <w:tab w:val="num" w:pos="5040"/>
        </w:tabs>
        <w:ind w:left="5040" w:hanging="360"/>
      </w:pPr>
      <w:rPr>
        <w:rFonts w:ascii="Times New Roman" w:hAnsi="Times New Roman" w:hint="default"/>
      </w:rPr>
    </w:lvl>
    <w:lvl w:ilvl="7" w:tplc="32568C6C" w:tentative="1">
      <w:start w:val="1"/>
      <w:numFmt w:val="bullet"/>
      <w:lvlText w:val="•"/>
      <w:lvlJc w:val="left"/>
      <w:pPr>
        <w:tabs>
          <w:tab w:val="num" w:pos="5760"/>
        </w:tabs>
        <w:ind w:left="5760" w:hanging="360"/>
      </w:pPr>
      <w:rPr>
        <w:rFonts w:ascii="Times New Roman" w:hAnsi="Times New Roman" w:hint="default"/>
      </w:rPr>
    </w:lvl>
    <w:lvl w:ilvl="8" w:tplc="8CDA067A"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B176AC9"/>
    <w:multiLevelType w:val="hybridMultilevel"/>
    <w:tmpl w:val="CBB690D6"/>
    <w:lvl w:ilvl="0" w:tplc="CEB4879A">
      <w:start w:val="1"/>
      <w:numFmt w:val="bullet"/>
      <w:lvlText w:val="•"/>
      <w:lvlJc w:val="left"/>
      <w:pPr>
        <w:tabs>
          <w:tab w:val="num" w:pos="360"/>
        </w:tabs>
        <w:ind w:left="360" w:hanging="360"/>
      </w:pPr>
      <w:rPr>
        <w:rFonts w:ascii="Times New Roman" w:hAnsi="Times New Roman" w:hint="default"/>
      </w:rPr>
    </w:lvl>
    <w:lvl w:ilvl="1" w:tplc="97EEEC10">
      <w:start w:val="1"/>
      <w:numFmt w:val="bullet"/>
      <w:lvlText w:val="•"/>
      <w:lvlJc w:val="left"/>
      <w:pPr>
        <w:tabs>
          <w:tab w:val="num" w:pos="1080"/>
        </w:tabs>
        <w:ind w:left="1080" w:hanging="360"/>
      </w:pPr>
      <w:rPr>
        <w:rFonts w:ascii="Times New Roman" w:hAnsi="Times New Roman" w:hint="default"/>
      </w:rPr>
    </w:lvl>
    <w:lvl w:ilvl="2" w:tplc="B03222B0" w:tentative="1">
      <w:start w:val="1"/>
      <w:numFmt w:val="bullet"/>
      <w:lvlText w:val="•"/>
      <w:lvlJc w:val="left"/>
      <w:pPr>
        <w:tabs>
          <w:tab w:val="num" w:pos="1800"/>
        </w:tabs>
        <w:ind w:left="1800" w:hanging="360"/>
      </w:pPr>
      <w:rPr>
        <w:rFonts w:ascii="Times New Roman" w:hAnsi="Times New Roman" w:hint="default"/>
      </w:rPr>
    </w:lvl>
    <w:lvl w:ilvl="3" w:tplc="21B4748E" w:tentative="1">
      <w:start w:val="1"/>
      <w:numFmt w:val="bullet"/>
      <w:lvlText w:val="•"/>
      <w:lvlJc w:val="left"/>
      <w:pPr>
        <w:tabs>
          <w:tab w:val="num" w:pos="2520"/>
        </w:tabs>
        <w:ind w:left="2520" w:hanging="360"/>
      </w:pPr>
      <w:rPr>
        <w:rFonts w:ascii="Times New Roman" w:hAnsi="Times New Roman" w:hint="default"/>
      </w:rPr>
    </w:lvl>
    <w:lvl w:ilvl="4" w:tplc="EBACD7AE" w:tentative="1">
      <w:start w:val="1"/>
      <w:numFmt w:val="bullet"/>
      <w:lvlText w:val="•"/>
      <w:lvlJc w:val="left"/>
      <w:pPr>
        <w:tabs>
          <w:tab w:val="num" w:pos="3240"/>
        </w:tabs>
        <w:ind w:left="3240" w:hanging="360"/>
      </w:pPr>
      <w:rPr>
        <w:rFonts w:ascii="Times New Roman" w:hAnsi="Times New Roman" w:hint="default"/>
      </w:rPr>
    </w:lvl>
    <w:lvl w:ilvl="5" w:tplc="D8F6ED9E" w:tentative="1">
      <w:start w:val="1"/>
      <w:numFmt w:val="bullet"/>
      <w:lvlText w:val="•"/>
      <w:lvlJc w:val="left"/>
      <w:pPr>
        <w:tabs>
          <w:tab w:val="num" w:pos="3960"/>
        </w:tabs>
        <w:ind w:left="3960" w:hanging="360"/>
      </w:pPr>
      <w:rPr>
        <w:rFonts w:ascii="Times New Roman" w:hAnsi="Times New Roman" w:hint="default"/>
      </w:rPr>
    </w:lvl>
    <w:lvl w:ilvl="6" w:tplc="4E84A798" w:tentative="1">
      <w:start w:val="1"/>
      <w:numFmt w:val="bullet"/>
      <w:lvlText w:val="•"/>
      <w:lvlJc w:val="left"/>
      <w:pPr>
        <w:tabs>
          <w:tab w:val="num" w:pos="4680"/>
        </w:tabs>
        <w:ind w:left="4680" w:hanging="360"/>
      </w:pPr>
      <w:rPr>
        <w:rFonts w:ascii="Times New Roman" w:hAnsi="Times New Roman" w:hint="default"/>
      </w:rPr>
    </w:lvl>
    <w:lvl w:ilvl="7" w:tplc="E0B4F16A" w:tentative="1">
      <w:start w:val="1"/>
      <w:numFmt w:val="bullet"/>
      <w:lvlText w:val="•"/>
      <w:lvlJc w:val="left"/>
      <w:pPr>
        <w:tabs>
          <w:tab w:val="num" w:pos="5400"/>
        </w:tabs>
        <w:ind w:left="5400" w:hanging="360"/>
      </w:pPr>
      <w:rPr>
        <w:rFonts w:ascii="Times New Roman" w:hAnsi="Times New Roman" w:hint="default"/>
      </w:rPr>
    </w:lvl>
    <w:lvl w:ilvl="8" w:tplc="1ABC2904" w:tentative="1">
      <w:start w:val="1"/>
      <w:numFmt w:val="bullet"/>
      <w:lvlText w:val="•"/>
      <w:lvlJc w:val="left"/>
      <w:pPr>
        <w:tabs>
          <w:tab w:val="num" w:pos="6120"/>
        </w:tabs>
        <w:ind w:left="6120" w:hanging="360"/>
      </w:pPr>
      <w:rPr>
        <w:rFonts w:ascii="Times New Roman" w:hAnsi="Times New Roman" w:hint="default"/>
      </w:rPr>
    </w:lvl>
  </w:abstractNum>
  <w:num w:numId="1" w16cid:durableId="1637639329">
    <w:abstractNumId w:val="0"/>
  </w:num>
  <w:num w:numId="2" w16cid:durableId="1258295747">
    <w:abstractNumId w:val="4"/>
  </w:num>
  <w:num w:numId="3" w16cid:durableId="157693777">
    <w:abstractNumId w:val="3"/>
  </w:num>
  <w:num w:numId="4" w16cid:durableId="1626307694">
    <w:abstractNumId w:val="2"/>
  </w:num>
  <w:num w:numId="5" w16cid:durableId="639116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DQxMjQ2NTE2MbewMDBW0lEKTi0uzszPAykwrAUAt61Q8ywAAAA="/>
  </w:docVars>
  <w:rsids>
    <w:rsidRoot w:val="00D359B2"/>
    <w:rsid w:val="000039E6"/>
    <w:rsid w:val="00005AAC"/>
    <w:rsid w:val="00015073"/>
    <w:rsid w:val="00033122"/>
    <w:rsid w:val="00040DAD"/>
    <w:rsid w:val="00042FB5"/>
    <w:rsid w:val="00053FFE"/>
    <w:rsid w:val="00073670"/>
    <w:rsid w:val="00074A85"/>
    <w:rsid w:val="00075E0A"/>
    <w:rsid w:val="000776F6"/>
    <w:rsid w:val="000854C2"/>
    <w:rsid w:val="000B0C52"/>
    <w:rsid w:val="000B35D6"/>
    <w:rsid w:val="000B4002"/>
    <w:rsid w:val="000C1302"/>
    <w:rsid w:val="000C58A7"/>
    <w:rsid w:val="000C6E20"/>
    <w:rsid w:val="000D27F8"/>
    <w:rsid w:val="000F66D8"/>
    <w:rsid w:val="00100268"/>
    <w:rsid w:val="00100764"/>
    <w:rsid w:val="00106730"/>
    <w:rsid w:val="001226C3"/>
    <w:rsid w:val="001268F3"/>
    <w:rsid w:val="00137B0D"/>
    <w:rsid w:val="00137CE2"/>
    <w:rsid w:val="0014289C"/>
    <w:rsid w:val="00161AE3"/>
    <w:rsid w:val="00165179"/>
    <w:rsid w:val="00170F40"/>
    <w:rsid w:val="001764B6"/>
    <w:rsid w:val="00176EBC"/>
    <w:rsid w:val="001A5EC6"/>
    <w:rsid w:val="001A7ADF"/>
    <w:rsid w:val="001B7D08"/>
    <w:rsid w:val="001C298A"/>
    <w:rsid w:val="001D0870"/>
    <w:rsid w:val="001D7B41"/>
    <w:rsid w:val="001E6644"/>
    <w:rsid w:val="001F6C88"/>
    <w:rsid w:val="00201E0A"/>
    <w:rsid w:val="002076D7"/>
    <w:rsid w:val="002176A9"/>
    <w:rsid w:val="0022765F"/>
    <w:rsid w:val="00237997"/>
    <w:rsid w:val="00241C64"/>
    <w:rsid w:val="00242B0F"/>
    <w:rsid w:val="00251A70"/>
    <w:rsid w:val="00261A32"/>
    <w:rsid w:val="00265F42"/>
    <w:rsid w:val="00271CA0"/>
    <w:rsid w:val="00276150"/>
    <w:rsid w:val="00281534"/>
    <w:rsid w:val="00282A62"/>
    <w:rsid w:val="002836B6"/>
    <w:rsid w:val="002C0A04"/>
    <w:rsid w:val="002C1FDA"/>
    <w:rsid w:val="002D6A4A"/>
    <w:rsid w:val="002E3EC0"/>
    <w:rsid w:val="002F3E07"/>
    <w:rsid w:val="00303286"/>
    <w:rsid w:val="00303A1A"/>
    <w:rsid w:val="003174B0"/>
    <w:rsid w:val="00321FF1"/>
    <w:rsid w:val="00324E61"/>
    <w:rsid w:val="00333F99"/>
    <w:rsid w:val="00343E51"/>
    <w:rsid w:val="003463B0"/>
    <w:rsid w:val="003515E0"/>
    <w:rsid w:val="00355A4A"/>
    <w:rsid w:val="00355B16"/>
    <w:rsid w:val="00356EF1"/>
    <w:rsid w:val="00367A83"/>
    <w:rsid w:val="003710D6"/>
    <w:rsid w:val="00374EA4"/>
    <w:rsid w:val="00376241"/>
    <w:rsid w:val="00380887"/>
    <w:rsid w:val="00392162"/>
    <w:rsid w:val="003A4E7C"/>
    <w:rsid w:val="003A7F91"/>
    <w:rsid w:val="003B19B0"/>
    <w:rsid w:val="003B2FB4"/>
    <w:rsid w:val="003B4EFA"/>
    <w:rsid w:val="003C2F3A"/>
    <w:rsid w:val="003C6E09"/>
    <w:rsid w:val="003C7254"/>
    <w:rsid w:val="003D5072"/>
    <w:rsid w:val="003E0A9B"/>
    <w:rsid w:val="003E6BBF"/>
    <w:rsid w:val="003F14BF"/>
    <w:rsid w:val="003F33F7"/>
    <w:rsid w:val="003F5A15"/>
    <w:rsid w:val="00401C7A"/>
    <w:rsid w:val="00403E1A"/>
    <w:rsid w:val="004251DE"/>
    <w:rsid w:val="00434109"/>
    <w:rsid w:val="0044501C"/>
    <w:rsid w:val="00447777"/>
    <w:rsid w:val="00483B0B"/>
    <w:rsid w:val="00485B7B"/>
    <w:rsid w:val="00487031"/>
    <w:rsid w:val="00492B5F"/>
    <w:rsid w:val="004A619B"/>
    <w:rsid w:val="004A61BD"/>
    <w:rsid w:val="004B1FA5"/>
    <w:rsid w:val="004C2C78"/>
    <w:rsid w:val="004D74C9"/>
    <w:rsid w:val="004E1111"/>
    <w:rsid w:val="005037B4"/>
    <w:rsid w:val="005060EE"/>
    <w:rsid w:val="005117C6"/>
    <w:rsid w:val="005168CE"/>
    <w:rsid w:val="00521AD0"/>
    <w:rsid w:val="00522F54"/>
    <w:rsid w:val="00532B58"/>
    <w:rsid w:val="005361C6"/>
    <w:rsid w:val="00543747"/>
    <w:rsid w:val="00554048"/>
    <w:rsid w:val="00577C31"/>
    <w:rsid w:val="00580FA8"/>
    <w:rsid w:val="00583EFC"/>
    <w:rsid w:val="00585A70"/>
    <w:rsid w:val="00592DDC"/>
    <w:rsid w:val="005A6D52"/>
    <w:rsid w:val="005B60CF"/>
    <w:rsid w:val="005D3411"/>
    <w:rsid w:val="005D405C"/>
    <w:rsid w:val="005E1201"/>
    <w:rsid w:val="005F639C"/>
    <w:rsid w:val="00603CB5"/>
    <w:rsid w:val="00613873"/>
    <w:rsid w:val="00614012"/>
    <w:rsid w:val="00654423"/>
    <w:rsid w:val="0066587B"/>
    <w:rsid w:val="00673658"/>
    <w:rsid w:val="00682690"/>
    <w:rsid w:val="006A32FC"/>
    <w:rsid w:val="006C1DDA"/>
    <w:rsid w:val="006C6C7E"/>
    <w:rsid w:val="006F0725"/>
    <w:rsid w:val="0070386E"/>
    <w:rsid w:val="00703EE6"/>
    <w:rsid w:val="007058E2"/>
    <w:rsid w:val="00714673"/>
    <w:rsid w:val="00731906"/>
    <w:rsid w:val="00731FFF"/>
    <w:rsid w:val="007347F0"/>
    <w:rsid w:val="00740849"/>
    <w:rsid w:val="00756A2B"/>
    <w:rsid w:val="0077325A"/>
    <w:rsid w:val="00796A34"/>
    <w:rsid w:val="007A6BBD"/>
    <w:rsid w:val="007B3693"/>
    <w:rsid w:val="007B61CC"/>
    <w:rsid w:val="007C06FA"/>
    <w:rsid w:val="007D2394"/>
    <w:rsid w:val="007D6A99"/>
    <w:rsid w:val="007E010A"/>
    <w:rsid w:val="007E2A81"/>
    <w:rsid w:val="007E33B4"/>
    <w:rsid w:val="00814AB9"/>
    <w:rsid w:val="00820C46"/>
    <w:rsid w:val="00821386"/>
    <w:rsid w:val="0082243C"/>
    <w:rsid w:val="0082799E"/>
    <w:rsid w:val="00836DC9"/>
    <w:rsid w:val="00847020"/>
    <w:rsid w:val="00862517"/>
    <w:rsid w:val="00863342"/>
    <w:rsid w:val="00866BC3"/>
    <w:rsid w:val="00871BD5"/>
    <w:rsid w:val="00885354"/>
    <w:rsid w:val="0089246C"/>
    <w:rsid w:val="008962B6"/>
    <w:rsid w:val="008A00F3"/>
    <w:rsid w:val="008A26A0"/>
    <w:rsid w:val="008B4DFD"/>
    <w:rsid w:val="008C7DF6"/>
    <w:rsid w:val="008E3FF1"/>
    <w:rsid w:val="008F4CB7"/>
    <w:rsid w:val="009140D7"/>
    <w:rsid w:val="00924EC0"/>
    <w:rsid w:val="009355E7"/>
    <w:rsid w:val="00944F12"/>
    <w:rsid w:val="00946D18"/>
    <w:rsid w:val="009533C6"/>
    <w:rsid w:val="009755A8"/>
    <w:rsid w:val="009873C5"/>
    <w:rsid w:val="00997BAD"/>
    <w:rsid w:val="009B0796"/>
    <w:rsid w:val="009B159E"/>
    <w:rsid w:val="009B5772"/>
    <w:rsid w:val="009C021B"/>
    <w:rsid w:val="009C3B9A"/>
    <w:rsid w:val="009C555C"/>
    <w:rsid w:val="009D088D"/>
    <w:rsid w:val="009D0F1E"/>
    <w:rsid w:val="009D2633"/>
    <w:rsid w:val="009F36F0"/>
    <w:rsid w:val="009F64E6"/>
    <w:rsid w:val="00A06D77"/>
    <w:rsid w:val="00A25ED6"/>
    <w:rsid w:val="00A5769D"/>
    <w:rsid w:val="00A57CA8"/>
    <w:rsid w:val="00A641A1"/>
    <w:rsid w:val="00A67DF9"/>
    <w:rsid w:val="00A77D59"/>
    <w:rsid w:val="00A9472A"/>
    <w:rsid w:val="00AA63EE"/>
    <w:rsid w:val="00AB3B4A"/>
    <w:rsid w:val="00AC2778"/>
    <w:rsid w:val="00AC4CE4"/>
    <w:rsid w:val="00AD02A9"/>
    <w:rsid w:val="00AD0A4F"/>
    <w:rsid w:val="00AD6363"/>
    <w:rsid w:val="00AE6426"/>
    <w:rsid w:val="00AE70EA"/>
    <w:rsid w:val="00AF6872"/>
    <w:rsid w:val="00B032D9"/>
    <w:rsid w:val="00B1117B"/>
    <w:rsid w:val="00B15633"/>
    <w:rsid w:val="00B15F7A"/>
    <w:rsid w:val="00B17F21"/>
    <w:rsid w:val="00B20DA5"/>
    <w:rsid w:val="00B26285"/>
    <w:rsid w:val="00B34F10"/>
    <w:rsid w:val="00B47011"/>
    <w:rsid w:val="00B55292"/>
    <w:rsid w:val="00B62E30"/>
    <w:rsid w:val="00B75CAD"/>
    <w:rsid w:val="00B865DA"/>
    <w:rsid w:val="00B9238D"/>
    <w:rsid w:val="00B9445E"/>
    <w:rsid w:val="00B97822"/>
    <w:rsid w:val="00BA1DCA"/>
    <w:rsid w:val="00BA3DA7"/>
    <w:rsid w:val="00BA6B4D"/>
    <w:rsid w:val="00BB0113"/>
    <w:rsid w:val="00BB6E93"/>
    <w:rsid w:val="00BC1B62"/>
    <w:rsid w:val="00BC7531"/>
    <w:rsid w:val="00BE4D0E"/>
    <w:rsid w:val="00BF1C92"/>
    <w:rsid w:val="00C21439"/>
    <w:rsid w:val="00C25DAA"/>
    <w:rsid w:val="00C33B62"/>
    <w:rsid w:val="00C45CB7"/>
    <w:rsid w:val="00C4652C"/>
    <w:rsid w:val="00C53949"/>
    <w:rsid w:val="00C53B8D"/>
    <w:rsid w:val="00C54602"/>
    <w:rsid w:val="00C5643F"/>
    <w:rsid w:val="00C74753"/>
    <w:rsid w:val="00CA41D6"/>
    <w:rsid w:val="00CA60C4"/>
    <w:rsid w:val="00CB4733"/>
    <w:rsid w:val="00CB5102"/>
    <w:rsid w:val="00CB7C8F"/>
    <w:rsid w:val="00CC31A5"/>
    <w:rsid w:val="00CC6067"/>
    <w:rsid w:val="00CD1755"/>
    <w:rsid w:val="00CE18A5"/>
    <w:rsid w:val="00CE51D9"/>
    <w:rsid w:val="00CE5258"/>
    <w:rsid w:val="00CF30F1"/>
    <w:rsid w:val="00D04A9C"/>
    <w:rsid w:val="00D04E9D"/>
    <w:rsid w:val="00D12F12"/>
    <w:rsid w:val="00D33CDE"/>
    <w:rsid w:val="00D359B2"/>
    <w:rsid w:val="00D47183"/>
    <w:rsid w:val="00D54F77"/>
    <w:rsid w:val="00D56B44"/>
    <w:rsid w:val="00D57476"/>
    <w:rsid w:val="00D73EB5"/>
    <w:rsid w:val="00D75D61"/>
    <w:rsid w:val="00D76768"/>
    <w:rsid w:val="00DA4644"/>
    <w:rsid w:val="00DB1797"/>
    <w:rsid w:val="00DB2EAC"/>
    <w:rsid w:val="00DB6A39"/>
    <w:rsid w:val="00DC2A56"/>
    <w:rsid w:val="00DC4B67"/>
    <w:rsid w:val="00DE36FC"/>
    <w:rsid w:val="00DE441B"/>
    <w:rsid w:val="00E0409B"/>
    <w:rsid w:val="00E060EE"/>
    <w:rsid w:val="00E072F9"/>
    <w:rsid w:val="00E12536"/>
    <w:rsid w:val="00E15A26"/>
    <w:rsid w:val="00E21C1C"/>
    <w:rsid w:val="00E27694"/>
    <w:rsid w:val="00E31A52"/>
    <w:rsid w:val="00E6773F"/>
    <w:rsid w:val="00E85CCB"/>
    <w:rsid w:val="00E8727E"/>
    <w:rsid w:val="00E92959"/>
    <w:rsid w:val="00E94ED6"/>
    <w:rsid w:val="00EA4202"/>
    <w:rsid w:val="00EA61D3"/>
    <w:rsid w:val="00EA7757"/>
    <w:rsid w:val="00EB4484"/>
    <w:rsid w:val="00ED04BD"/>
    <w:rsid w:val="00ED1EF9"/>
    <w:rsid w:val="00ED3C2A"/>
    <w:rsid w:val="00EE5485"/>
    <w:rsid w:val="00F045FF"/>
    <w:rsid w:val="00F07A3E"/>
    <w:rsid w:val="00F144A1"/>
    <w:rsid w:val="00F41062"/>
    <w:rsid w:val="00F411C6"/>
    <w:rsid w:val="00F53555"/>
    <w:rsid w:val="00F71B57"/>
    <w:rsid w:val="00F75C76"/>
    <w:rsid w:val="00F82D5A"/>
    <w:rsid w:val="00F82DBC"/>
    <w:rsid w:val="00F87CAD"/>
    <w:rsid w:val="00F939CF"/>
    <w:rsid w:val="00FA333C"/>
    <w:rsid w:val="00FC650E"/>
    <w:rsid w:val="04DA7AD2"/>
    <w:rsid w:val="0D6C24D3"/>
    <w:rsid w:val="305F716E"/>
    <w:rsid w:val="4F033D3D"/>
  </w:rsids>
  <m:mathPr>
    <m:mathFont m:val="Cambria Math"/>
    <m:brkBin m:val="before"/>
    <m:brkBinSub m:val="--"/>
    <m:smallFrac m:val="0"/>
    <m:dispDef/>
    <m:lMargin m:val="0"/>
    <m:rMargin m:val="0"/>
    <m:defJc m:val="centerGroup"/>
    <m:wrapIndent m:val="1440"/>
    <m:intLim m:val="subSup"/>
    <m:naryLim m:val="undOvr"/>
  </m:mathPr>
  <w:themeFontLang w:val="en-IN"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11450"/>
  <w15:docId w15:val="{F5B483F1-A08A-4523-8BC7-126AE7C6A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45FF"/>
    <w:pPr>
      <w:keepNext/>
      <w:keepLines/>
      <w:spacing w:before="360" w:after="80"/>
      <w:outlineLvl w:val="0"/>
    </w:pPr>
    <w:rPr>
      <w:rFonts w:ascii="Arial" w:eastAsiaTheme="majorEastAsia" w:hAnsi="Arial" w:cstheme="majorBidi"/>
      <w:b/>
      <w:color w:val="000000" w:themeColor="text1"/>
      <w:sz w:val="22"/>
      <w:szCs w:val="40"/>
    </w:rPr>
  </w:style>
  <w:style w:type="paragraph" w:styleId="Heading2">
    <w:name w:val="heading 2"/>
    <w:basedOn w:val="Normal"/>
    <w:next w:val="Normal"/>
    <w:link w:val="Heading2Char"/>
    <w:uiPriority w:val="9"/>
    <w:semiHidden/>
    <w:unhideWhenUsed/>
    <w:qFormat/>
    <w:rsid w:val="00D359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59B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59B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59B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59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59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59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59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5FF"/>
    <w:rPr>
      <w:rFonts w:ascii="Arial" w:eastAsiaTheme="majorEastAsia" w:hAnsi="Arial" w:cstheme="majorBidi"/>
      <w:b/>
      <w:color w:val="000000" w:themeColor="text1"/>
      <w:sz w:val="22"/>
      <w:szCs w:val="40"/>
    </w:rPr>
  </w:style>
  <w:style w:type="character" w:customStyle="1" w:styleId="Heading2Char">
    <w:name w:val="Heading 2 Char"/>
    <w:basedOn w:val="DefaultParagraphFont"/>
    <w:link w:val="Heading2"/>
    <w:uiPriority w:val="9"/>
    <w:semiHidden/>
    <w:rsid w:val="00D359B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59B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59B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59B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59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59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59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59B2"/>
    <w:rPr>
      <w:rFonts w:eastAsiaTheme="majorEastAsia" w:cstheme="majorBidi"/>
      <w:color w:val="272727" w:themeColor="text1" w:themeTint="D8"/>
    </w:rPr>
  </w:style>
  <w:style w:type="paragraph" w:styleId="Title">
    <w:name w:val="Title"/>
    <w:basedOn w:val="Normal"/>
    <w:next w:val="Normal"/>
    <w:link w:val="TitleChar"/>
    <w:uiPriority w:val="10"/>
    <w:qFormat/>
    <w:rsid w:val="00D359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59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59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59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59B2"/>
    <w:pPr>
      <w:spacing w:before="160"/>
      <w:jc w:val="center"/>
    </w:pPr>
    <w:rPr>
      <w:i/>
      <w:iCs/>
      <w:color w:val="404040" w:themeColor="text1" w:themeTint="BF"/>
    </w:rPr>
  </w:style>
  <w:style w:type="character" w:customStyle="1" w:styleId="QuoteChar">
    <w:name w:val="Quote Char"/>
    <w:basedOn w:val="DefaultParagraphFont"/>
    <w:link w:val="Quote"/>
    <w:uiPriority w:val="29"/>
    <w:rsid w:val="00D359B2"/>
    <w:rPr>
      <w:i/>
      <w:iCs/>
      <w:color w:val="404040" w:themeColor="text1" w:themeTint="BF"/>
    </w:rPr>
  </w:style>
  <w:style w:type="paragraph" w:styleId="ListParagraph">
    <w:name w:val="List Paragraph"/>
    <w:basedOn w:val="Normal"/>
    <w:uiPriority w:val="34"/>
    <w:qFormat/>
    <w:rsid w:val="00D359B2"/>
    <w:pPr>
      <w:ind w:left="720"/>
      <w:contextualSpacing/>
    </w:pPr>
  </w:style>
  <w:style w:type="character" w:styleId="IntenseEmphasis">
    <w:name w:val="Intense Emphasis"/>
    <w:basedOn w:val="DefaultParagraphFont"/>
    <w:uiPriority w:val="21"/>
    <w:qFormat/>
    <w:rsid w:val="00D359B2"/>
    <w:rPr>
      <w:i/>
      <w:iCs/>
      <w:color w:val="2F5496" w:themeColor="accent1" w:themeShade="BF"/>
    </w:rPr>
  </w:style>
  <w:style w:type="paragraph" w:styleId="IntenseQuote">
    <w:name w:val="Intense Quote"/>
    <w:basedOn w:val="Normal"/>
    <w:next w:val="Normal"/>
    <w:link w:val="IntenseQuoteChar"/>
    <w:uiPriority w:val="30"/>
    <w:qFormat/>
    <w:rsid w:val="00D359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59B2"/>
    <w:rPr>
      <w:i/>
      <w:iCs/>
      <w:color w:val="2F5496" w:themeColor="accent1" w:themeShade="BF"/>
    </w:rPr>
  </w:style>
  <w:style w:type="character" w:styleId="IntenseReference">
    <w:name w:val="Intense Reference"/>
    <w:basedOn w:val="DefaultParagraphFont"/>
    <w:uiPriority w:val="32"/>
    <w:qFormat/>
    <w:rsid w:val="00D359B2"/>
    <w:rPr>
      <w:b/>
      <w:bCs/>
      <w:smallCaps/>
      <w:color w:val="2F5496" w:themeColor="accent1" w:themeShade="BF"/>
      <w:spacing w:val="5"/>
    </w:rPr>
  </w:style>
  <w:style w:type="character" w:styleId="Hyperlink">
    <w:name w:val="Hyperlink"/>
    <w:basedOn w:val="DefaultParagraphFont"/>
    <w:uiPriority w:val="99"/>
    <w:unhideWhenUsed/>
    <w:rsid w:val="00871BD5"/>
    <w:rPr>
      <w:color w:val="0563C1" w:themeColor="hyperlink"/>
      <w:u w:val="single"/>
    </w:rPr>
  </w:style>
  <w:style w:type="character" w:customStyle="1" w:styleId="UnresolvedMention1">
    <w:name w:val="Unresolved Mention1"/>
    <w:basedOn w:val="DefaultParagraphFont"/>
    <w:uiPriority w:val="99"/>
    <w:semiHidden/>
    <w:unhideWhenUsed/>
    <w:rsid w:val="00871BD5"/>
    <w:rPr>
      <w:color w:val="605E5C"/>
      <w:shd w:val="clear" w:color="auto" w:fill="E1DFDD"/>
    </w:rPr>
  </w:style>
  <w:style w:type="paragraph" w:styleId="BalloonText">
    <w:name w:val="Balloon Text"/>
    <w:basedOn w:val="Normal"/>
    <w:link w:val="BalloonTextChar"/>
    <w:uiPriority w:val="99"/>
    <w:semiHidden/>
    <w:unhideWhenUsed/>
    <w:rsid w:val="00731F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1FFF"/>
    <w:rPr>
      <w:rFonts w:ascii="Tahoma" w:hAnsi="Tahoma" w:cs="Tahoma"/>
      <w:sz w:val="16"/>
      <w:szCs w:val="16"/>
    </w:rPr>
  </w:style>
  <w:style w:type="paragraph" w:styleId="Header">
    <w:name w:val="header"/>
    <w:basedOn w:val="Normal"/>
    <w:link w:val="HeaderChar"/>
    <w:uiPriority w:val="99"/>
    <w:unhideWhenUsed/>
    <w:rsid w:val="00F045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5FF"/>
  </w:style>
  <w:style w:type="paragraph" w:styleId="Footer">
    <w:name w:val="footer"/>
    <w:basedOn w:val="Normal"/>
    <w:link w:val="FooterChar"/>
    <w:uiPriority w:val="99"/>
    <w:unhideWhenUsed/>
    <w:rsid w:val="00F045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5FF"/>
  </w:style>
  <w:style w:type="paragraph" w:styleId="TOCHeading">
    <w:name w:val="TOC Heading"/>
    <w:basedOn w:val="Heading1"/>
    <w:next w:val="Normal"/>
    <w:uiPriority w:val="39"/>
    <w:semiHidden/>
    <w:unhideWhenUsed/>
    <w:qFormat/>
    <w:rsid w:val="001D7B41"/>
    <w:pPr>
      <w:spacing w:before="480" w:after="0" w:line="276" w:lineRule="auto"/>
      <w:outlineLvl w:val="9"/>
    </w:pPr>
    <w:rPr>
      <w:rFonts w:asciiTheme="majorHAnsi" w:hAnsiTheme="majorHAnsi"/>
      <w:bCs/>
      <w:color w:val="2F5496" w:themeColor="accent1" w:themeShade="BF"/>
      <w:kern w:val="0"/>
      <w:sz w:val="28"/>
      <w:szCs w:val="28"/>
      <w:lang w:val="en-US" w:eastAsia="ja-JP"/>
      <w14:ligatures w14:val="none"/>
    </w:rPr>
  </w:style>
  <w:style w:type="paragraph" w:styleId="TOC1">
    <w:name w:val="toc 1"/>
    <w:basedOn w:val="Normal"/>
    <w:next w:val="Normal"/>
    <w:autoRedefine/>
    <w:uiPriority w:val="39"/>
    <w:unhideWhenUsed/>
    <w:rsid w:val="001D7B41"/>
    <w:pPr>
      <w:spacing w:after="100"/>
    </w:pPr>
  </w:style>
  <w:style w:type="paragraph" w:styleId="NoSpacing">
    <w:name w:val="No Spacing"/>
    <w:link w:val="NoSpacingChar"/>
    <w:uiPriority w:val="1"/>
    <w:qFormat/>
    <w:rsid w:val="001D7B41"/>
    <w:pPr>
      <w:spacing w:after="0" w:line="240" w:lineRule="auto"/>
    </w:pPr>
    <w:rPr>
      <w:rFonts w:eastAsiaTheme="minorEastAsia"/>
      <w:kern w:val="0"/>
      <w:sz w:val="22"/>
      <w:szCs w:val="22"/>
      <w:lang w:val="en-US" w:eastAsia="ja-JP"/>
      <w14:ligatures w14:val="none"/>
    </w:rPr>
  </w:style>
  <w:style w:type="character" w:customStyle="1" w:styleId="NoSpacingChar">
    <w:name w:val="No Spacing Char"/>
    <w:basedOn w:val="DefaultParagraphFont"/>
    <w:link w:val="NoSpacing"/>
    <w:uiPriority w:val="1"/>
    <w:rsid w:val="001D7B41"/>
    <w:rPr>
      <w:rFonts w:eastAsiaTheme="minorEastAsia"/>
      <w:kern w:val="0"/>
      <w:sz w:val="22"/>
      <w:szCs w:val="22"/>
      <w:lang w:val="en-US"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272238">
      <w:bodyDiv w:val="1"/>
      <w:marLeft w:val="0"/>
      <w:marRight w:val="0"/>
      <w:marTop w:val="0"/>
      <w:marBottom w:val="0"/>
      <w:divBdr>
        <w:top w:val="none" w:sz="0" w:space="0" w:color="auto"/>
        <w:left w:val="none" w:sz="0" w:space="0" w:color="auto"/>
        <w:bottom w:val="none" w:sz="0" w:space="0" w:color="auto"/>
        <w:right w:val="none" w:sz="0" w:space="0" w:color="auto"/>
      </w:divBdr>
      <w:divsChild>
        <w:div w:id="942809327">
          <w:marLeft w:val="547"/>
          <w:marRight w:val="0"/>
          <w:marTop w:val="0"/>
          <w:marBottom w:val="0"/>
          <w:divBdr>
            <w:top w:val="none" w:sz="0" w:space="0" w:color="auto"/>
            <w:left w:val="none" w:sz="0" w:space="0" w:color="auto"/>
            <w:bottom w:val="none" w:sz="0" w:space="0" w:color="auto"/>
            <w:right w:val="none" w:sz="0" w:space="0" w:color="auto"/>
          </w:divBdr>
        </w:div>
      </w:divsChild>
    </w:div>
    <w:div w:id="570964037">
      <w:bodyDiv w:val="1"/>
      <w:marLeft w:val="0"/>
      <w:marRight w:val="0"/>
      <w:marTop w:val="0"/>
      <w:marBottom w:val="0"/>
      <w:divBdr>
        <w:top w:val="none" w:sz="0" w:space="0" w:color="auto"/>
        <w:left w:val="none" w:sz="0" w:space="0" w:color="auto"/>
        <w:bottom w:val="none" w:sz="0" w:space="0" w:color="auto"/>
        <w:right w:val="none" w:sz="0" w:space="0" w:color="auto"/>
      </w:divBdr>
    </w:div>
    <w:div w:id="618298721">
      <w:bodyDiv w:val="1"/>
      <w:marLeft w:val="0"/>
      <w:marRight w:val="0"/>
      <w:marTop w:val="0"/>
      <w:marBottom w:val="0"/>
      <w:divBdr>
        <w:top w:val="none" w:sz="0" w:space="0" w:color="auto"/>
        <w:left w:val="none" w:sz="0" w:space="0" w:color="auto"/>
        <w:bottom w:val="none" w:sz="0" w:space="0" w:color="auto"/>
        <w:right w:val="none" w:sz="0" w:space="0" w:color="auto"/>
      </w:divBdr>
    </w:div>
    <w:div w:id="748842818">
      <w:bodyDiv w:val="1"/>
      <w:marLeft w:val="0"/>
      <w:marRight w:val="0"/>
      <w:marTop w:val="0"/>
      <w:marBottom w:val="0"/>
      <w:divBdr>
        <w:top w:val="none" w:sz="0" w:space="0" w:color="auto"/>
        <w:left w:val="none" w:sz="0" w:space="0" w:color="auto"/>
        <w:bottom w:val="none" w:sz="0" w:space="0" w:color="auto"/>
        <w:right w:val="none" w:sz="0" w:space="0" w:color="auto"/>
      </w:divBdr>
    </w:div>
    <w:div w:id="806895228">
      <w:bodyDiv w:val="1"/>
      <w:marLeft w:val="0"/>
      <w:marRight w:val="0"/>
      <w:marTop w:val="0"/>
      <w:marBottom w:val="0"/>
      <w:divBdr>
        <w:top w:val="none" w:sz="0" w:space="0" w:color="auto"/>
        <w:left w:val="none" w:sz="0" w:space="0" w:color="auto"/>
        <w:bottom w:val="none" w:sz="0" w:space="0" w:color="auto"/>
        <w:right w:val="none" w:sz="0" w:space="0" w:color="auto"/>
      </w:divBdr>
    </w:div>
    <w:div w:id="926884101">
      <w:bodyDiv w:val="1"/>
      <w:marLeft w:val="0"/>
      <w:marRight w:val="0"/>
      <w:marTop w:val="0"/>
      <w:marBottom w:val="0"/>
      <w:divBdr>
        <w:top w:val="none" w:sz="0" w:space="0" w:color="auto"/>
        <w:left w:val="none" w:sz="0" w:space="0" w:color="auto"/>
        <w:bottom w:val="none" w:sz="0" w:space="0" w:color="auto"/>
        <w:right w:val="none" w:sz="0" w:space="0" w:color="auto"/>
      </w:divBdr>
    </w:div>
    <w:div w:id="1106004652">
      <w:bodyDiv w:val="1"/>
      <w:marLeft w:val="0"/>
      <w:marRight w:val="0"/>
      <w:marTop w:val="0"/>
      <w:marBottom w:val="0"/>
      <w:divBdr>
        <w:top w:val="none" w:sz="0" w:space="0" w:color="auto"/>
        <w:left w:val="none" w:sz="0" w:space="0" w:color="auto"/>
        <w:bottom w:val="none" w:sz="0" w:space="0" w:color="auto"/>
        <w:right w:val="none" w:sz="0" w:space="0" w:color="auto"/>
      </w:divBdr>
    </w:div>
    <w:div w:id="1716153026">
      <w:bodyDiv w:val="1"/>
      <w:marLeft w:val="0"/>
      <w:marRight w:val="0"/>
      <w:marTop w:val="0"/>
      <w:marBottom w:val="0"/>
      <w:divBdr>
        <w:top w:val="none" w:sz="0" w:space="0" w:color="auto"/>
        <w:left w:val="none" w:sz="0" w:space="0" w:color="auto"/>
        <w:bottom w:val="none" w:sz="0" w:space="0" w:color="auto"/>
        <w:right w:val="none" w:sz="0" w:space="0" w:color="auto"/>
      </w:divBdr>
      <w:divsChild>
        <w:div w:id="991177236">
          <w:marLeft w:val="547"/>
          <w:marRight w:val="0"/>
          <w:marTop w:val="0"/>
          <w:marBottom w:val="0"/>
          <w:divBdr>
            <w:top w:val="none" w:sz="0" w:space="0" w:color="auto"/>
            <w:left w:val="none" w:sz="0" w:space="0" w:color="auto"/>
            <w:bottom w:val="none" w:sz="0" w:space="0" w:color="auto"/>
            <w:right w:val="none" w:sz="0" w:space="0" w:color="auto"/>
          </w:divBdr>
        </w:div>
      </w:divsChild>
    </w:div>
    <w:div w:id="1763140032">
      <w:bodyDiv w:val="1"/>
      <w:marLeft w:val="0"/>
      <w:marRight w:val="0"/>
      <w:marTop w:val="0"/>
      <w:marBottom w:val="0"/>
      <w:divBdr>
        <w:top w:val="none" w:sz="0" w:space="0" w:color="auto"/>
        <w:left w:val="none" w:sz="0" w:space="0" w:color="auto"/>
        <w:bottom w:val="none" w:sz="0" w:space="0" w:color="auto"/>
        <w:right w:val="none" w:sz="0" w:space="0" w:color="auto"/>
      </w:divBdr>
    </w:div>
    <w:div w:id="1913852195">
      <w:bodyDiv w:val="1"/>
      <w:marLeft w:val="0"/>
      <w:marRight w:val="0"/>
      <w:marTop w:val="0"/>
      <w:marBottom w:val="0"/>
      <w:divBdr>
        <w:top w:val="none" w:sz="0" w:space="0" w:color="auto"/>
        <w:left w:val="none" w:sz="0" w:space="0" w:color="auto"/>
        <w:bottom w:val="none" w:sz="0" w:space="0" w:color="auto"/>
        <w:right w:val="none" w:sz="0" w:space="0" w:color="auto"/>
      </w:divBdr>
      <w:divsChild>
        <w:div w:id="600991702">
          <w:marLeft w:val="547"/>
          <w:marRight w:val="0"/>
          <w:marTop w:val="0"/>
          <w:marBottom w:val="0"/>
          <w:divBdr>
            <w:top w:val="none" w:sz="0" w:space="0" w:color="auto"/>
            <w:left w:val="none" w:sz="0" w:space="0" w:color="auto"/>
            <w:bottom w:val="none" w:sz="0" w:space="0" w:color="auto"/>
            <w:right w:val="none" w:sz="0" w:space="0" w:color="auto"/>
          </w:divBdr>
        </w:div>
        <w:div w:id="827597656">
          <w:marLeft w:val="1166"/>
          <w:marRight w:val="0"/>
          <w:marTop w:val="0"/>
          <w:marBottom w:val="0"/>
          <w:divBdr>
            <w:top w:val="none" w:sz="0" w:space="0" w:color="auto"/>
            <w:left w:val="none" w:sz="0" w:space="0" w:color="auto"/>
            <w:bottom w:val="none" w:sz="0" w:space="0" w:color="auto"/>
            <w:right w:val="none" w:sz="0" w:space="0" w:color="auto"/>
          </w:divBdr>
        </w:div>
      </w:divsChild>
    </w:div>
    <w:div w:id="1996644070">
      <w:bodyDiv w:val="1"/>
      <w:marLeft w:val="0"/>
      <w:marRight w:val="0"/>
      <w:marTop w:val="0"/>
      <w:marBottom w:val="0"/>
      <w:divBdr>
        <w:top w:val="none" w:sz="0" w:space="0" w:color="auto"/>
        <w:left w:val="none" w:sz="0" w:space="0" w:color="auto"/>
        <w:bottom w:val="none" w:sz="0" w:space="0" w:color="auto"/>
        <w:right w:val="none" w:sz="0" w:space="0" w:color="auto"/>
      </w:divBdr>
    </w:div>
    <w:div w:id="2056928213">
      <w:bodyDiv w:val="1"/>
      <w:marLeft w:val="0"/>
      <w:marRight w:val="0"/>
      <w:marTop w:val="0"/>
      <w:marBottom w:val="0"/>
      <w:divBdr>
        <w:top w:val="none" w:sz="0" w:space="0" w:color="auto"/>
        <w:left w:val="none" w:sz="0" w:space="0" w:color="auto"/>
        <w:bottom w:val="none" w:sz="0" w:space="0" w:color="auto"/>
        <w:right w:val="none" w:sz="0" w:space="0" w:color="auto"/>
      </w:divBdr>
    </w:div>
    <w:div w:id="2086953417">
      <w:bodyDiv w:val="1"/>
      <w:marLeft w:val="0"/>
      <w:marRight w:val="0"/>
      <w:marTop w:val="0"/>
      <w:marBottom w:val="0"/>
      <w:divBdr>
        <w:top w:val="none" w:sz="0" w:space="0" w:color="auto"/>
        <w:left w:val="none" w:sz="0" w:space="0" w:color="auto"/>
        <w:bottom w:val="none" w:sz="0" w:space="0" w:color="auto"/>
        <w:right w:val="none" w:sz="0" w:space="0" w:color="auto"/>
      </w:divBdr>
      <w:divsChild>
        <w:div w:id="384909310">
          <w:marLeft w:val="547"/>
          <w:marRight w:val="0"/>
          <w:marTop w:val="0"/>
          <w:marBottom w:val="0"/>
          <w:divBdr>
            <w:top w:val="none" w:sz="0" w:space="0" w:color="auto"/>
            <w:left w:val="none" w:sz="0" w:space="0" w:color="auto"/>
            <w:bottom w:val="none" w:sz="0" w:space="0" w:color="auto"/>
            <w:right w:val="none" w:sz="0" w:space="0" w:color="auto"/>
          </w:divBdr>
        </w:div>
        <w:div w:id="1071586197">
          <w:marLeft w:val="547"/>
          <w:marRight w:val="0"/>
          <w:marTop w:val="0"/>
          <w:marBottom w:val="0"/>
          <w:divBdr>
            <w:top w:val="none" w:sz="0" w:space="0" w:color="auto"/>
            <w:left w:val="none" w:sz="0" w:space="0" w:color="auto"/>
            <w:bottom w:val="none" w:sz="0" w:space="0" w:color="auto"/>
            <w:right w:val="none" w:sz="0" w:space="0" w:color="auto"/>
          </w:divBdr>
        </w:div>
        <w:div w:id="1160150979">
          <w:marLeft w:val="547"/>
          <w:marRight w:val="0"/>
          <w:marTop w:val="0"/>
          <w:marBottom w:val="0"/>
          <w:divBdr>
            <w:top w:val="none" w:sz="0" w:space="0" w:color="auto"/>
            <w:left w:val="none" w:sz="0" w:space="0" w:color="auto"/>
            <w:bottom w:val="none" w:sz="0" w:space="0" w:color="auto"/>
            <w:right w:val="none" w:sz="0" w:space="0" w:color="auto"/>
          </w:divBdr>
        </w:div>
        <w:div w:id="1379357894">
          <w:marLeft w:val="547"/>
          <w:marRight w:val="0"/>
          <w:marTop w:val="0"/>
          <w:marBottom w:val="0"/>
          <w:divBdr>
            <w:top w:val="none" w:sz="0" w:space="0" w:color="auto"/>
            <w:left w:val="none" w:sz="0" w:space="0" w:color="auto"/>
            <w:bottom w:val="none" w:sz="0" w:space="0" w:color="auto"/>
            <w:right w:val="none" w:sz="0" w:space="0" w:color="auto"/>
          </w:divBdr>
        </w:div>
        <w:div w:id="181397986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0A4E94AC78C4BA9A3C98BC447162106"/>
        <w:category>
          <w:name w:val="General"/>
          <w:gallery w:val="placeholder"/>
        </w:category>
        <w:types>
          <w:type w:val="bbPlcHdr"/>
        </w:types>
        <w:behaviors>
          <w:behavior w:val="content"/>
        </w:behaviors>
        <w:guid w:val="{A2403527-15AC-4552-B20A-3818407DECDE}"/>
      </w:docPartPr>
      <w:docPartBody>
        <w:p w:rsidR="008E6C1F" w:rsidRDefault="00C53949" w:rsidP="00C53949">
          <w:pPr>
            <w:pStyle w:val="90A4E94AC78C4BA9A3C98BC447162106"/>
          </w:pPr>
          <w:r>
            <w:rPr>
              <w:rFonts w:asciiTheme="majorHAnsi" w:eastAsiaTheme="majorEastAsia" w:hAnsiTheme="majorHAnsi" w:cstheme="majorBidi"/>
              <w:sz w:val="80"/>
              <w:szCs w:val="80"/>
            </w:rPr>
            <w:t>[Type the document title]</w:t>
          </w:r>
        </w:p>
      </w:docPartBody>
    </w:docPart>
    <w:docPart>
      <w:docPartPr>
        <w:name w:val="BFA28CAE7D6B41DCBF0E49FB84E6FF4B"/>
        <w:category>
          <w:name w:val="General"/>
          <w:gallery w:val="placeholder"/>
        </w:category>
        <w:types>
          <w:type w:val="bbPlcHdr"/>
        </w:types>
        <w:behaviors>
          <w:behavior w:val="content"/>
        </w:behaviors>
        <w:guid w:val="{7AA42F64-DB60-4E41-AD12-A461844B31FF}"/>
      </w:docPartPr>
      <w:docPartBody>
        <w:p w:rsidR="008E6C1F" w:rsidRDefault="00C53949" w:rsidP="00C53949">
          <w:pPr>
            <w:pStyle w:val="BFA28CAE7D6B41DCBF0E49FB84E6FF4B"/>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altName w:val="游明朝"/>
    <w:panose1 w:val="00000000000000000000"/>
    <w:charset w:val="8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53949"/>
    <w:rsid w:val="001450E8"/>
    <w:rsid w:val="00171A4E"/>
    <w:rsid w:val="00184F4D"/>
    <w:rsid w:val="003A7F91"/>
    <w:rsid w:val="00471712"/>
    <w:rsid w:val="00483B0B"/>
    <w:rsid w:val="00522F54"/>
    <w:rsid w:val="008E6C1F"/>
    <w:rsid w:val="00C53949"/>
    <w:rsid w:val="00C902EF"/>
    <w:rsid w:val="00CB7C8F"/>
    <w:rsid w:val="00D1324E"/>
    <w:rsid w:val="00F774D2"/>
    <w:rsid w:val="00F939CF"/>
  </w:rsids>
  <m:mathPr>
    <m:mathFont m:val="Cambria Math"/>
    <m:brkBin m:val="before"/>
    <m:brkBinSub m:val="--"/>
    <m:smallFrac m:val="0"/>
    <m:dispDef/>
    <m:lMargin m:val="0"/>
    <m:rMargin m:val="0"/>
    <m:defJc m:val="centerGroup"/>
    <m:wrapIndent m:val="1440"/>
    <m:intLim m:val="subSup"/>
    <m:naryLim m:val="undOvr"/>
  </m:mathPr>
  <w:themeFontLang w:val="en-IN" w:eastAsia="ja-JP" w:bidi="hi-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lang w:val="en-IN" w:eastAsia="en-IN"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A4E94AC78C4BA9A3C98BC447162106">
    <w:name w:val="90A4E94AC78C4BA9A3C98BC447162106"/>
    <w:rsid w:val="00C53949"/>
  </w:style>
  <w:style w:type="paragraph" w:customStyle="1" w:styleId="BFA28CAE7D6B41DCBF0E49FB84E6FF4B">
    <w:name w:val="BFA28CAE7D6B41DCBF0E49FB84E6FF4B"/>
    <w:rsid w:val="00C539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421A4-A376-4303-B84B-D9C74D4DA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3111</Words>
  <Characters>17738</Characters>
  <Application>Microsoft Office Word</Application>
  <DocSecurity>4</DocSecurity>
  <Lines>147</Lines>
  <Paragraphs>41</Paragraphs>
  <ScaleCrop>false</ScaleCrop>
  <Company/>
  <LinksUpToDate>false</LinksUpToDate>
  <CharactersWithSpaces>20808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BMHP5014: Changemakers: Creativity and Value Creation</dc:title>
  <dc:subject>Component 2 - Poster and Pitch</dc:subject>
  <dc:creator/>
  <cp:keywords/>
  <dc:description/>
  <cp:lastModifiedBy>Rawan Abushamma (2407871)</cp:lastModifiedBy>
  <cp:revision>4</cp:revision>
  <dcterms:created xsi:type="dcterms:W3CDTF">2026-04-01T16:28:00Z</dcterms:created>
  <dcterms:modified xsi:type="dcterms:W3CDTF">2026-04-01T16:39:00Z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69c5e59c-b46c-4052-8e2e-8bc10a4d6746</vt:lpwstr>
  </property>
</Properties>
</file>