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46D279" w14:textId="230FB5F6" w:rsidR="003850FD" w:rsidRDefault="00DB4770" w:rsidP="00DB4770">
      <w:pPr>
        <w:spacing w:line="480" w:lineRule="auto"/>
        <w:jc w:val="both"/>
      </w:pPr>
      <w:bookmarkStart w:id="0" w:name="_Hlk528777992"/>
      <w:bookmarkEnd w:id="0"/>
      <w:r>
        <w:t>Jacques-Louis David, Tennis Court Oath (1791)</w:t>
      </w:r>
    </w:p>
    <w:p w14:paraId="096B0354" w14:textId="77777777" w:rsidR="00597641" w:rsidRDefault="00640FEE" w:rsidP="00597641">
      <w:pPr>
        <w:spacing w:line="480" w:lineRule="auto"/>
        <w:jc w:val="both"/>
      </w:pPr>
      <w:r>
        <w:t xml:space="preserve">The Tennis Court Oath </w:t>
      </w:r>
      <w:r w:rsidR="0042582D">
        <w:t>(</w:t>
      </w:r>
      <w:r w:rsidR="002251FC">
        <w:t xml:space="preserve">Le </w:t>
      </w:r>
      <w:proofErr w:type="spellStart"/>
      <w:r w:rsidR="002251FC">
        <w:t>Serment</w:t>
      </w:r>
      <w:proofErr w:type="spellEnd"/>
      <w:r w:rsidR="002251FC">
        <w:t xml:space="preserve"> du </w:t>
      </w:r>
      <w:proofErr w:type="spellStart"/>
      <w:r w:rsidR="002251FC">
        <w:t>Jeu</w:t>
      </w:r>
      <w:proofErr w:type="spellEnd"/>
      <w:r w:rsidR="002251FC">
        <w:t xml:space="preserve"> de </w:t>
      </w:r>
      <w:proofErr w:type="spellStart"/>
      <w:r w:rsidR="002251FC">
        <w:t>Paume</w:t>
      </w:r>
      <w:proofErr w:type="spellEnd"/>
      <w:r w:rsidR="002251FC">
        <w:t xml:space="preserve">) 1791, </w:t>
      </w:r>
      <w:r>
        <w:t xml:space="preserve">is a painting by Jacques-Louis David. </w:t>
      </w:r>
      <w:r w:rsidR="002251FC">
        <w:t>This image is the sketch for the painting and</w:t>
      </w:r>
      <w:r>
        <w:t xml:space="preserve"> is currently held in</w:t>
      </w:r>
      <w:r w:rsidR="00205904">
        <w:t xml:space="preserve"> </w:t>
      </w:r>
      <w:proofErr w:type="spellStart"/>
      <w:r w:rsidR="001355BD" w:rsidRPr="001355BD">
        <w:t>Musée</w:t>
      </w:r>
      <w:proofErr w:type="spellEnd"/>
      <w:r w:rsidR="001355BD" w:rsidRPr="001355BD">
        <w:t xml:space="preserve"> National du Château</w:t>
      </w:r>
      <w:r w:rsidR="001355BD" w:rsidRPr="001355BD">
        <w:t xml:space="preserve"> </w:t>
      </w:r>
      <w:r w:rsidR="00D77DA5">
        <w:t>de Versailles,</w:t>
      </w:r>
      <w:r>
        <w:t xml:space="preserve"> </w:t>
      </w:r>
      <w:r w:rsidR="00D77DA5">
        <w:t>(</w:t>
      </w:r>
      <w:r w:rsidRPr="00640FEE">
        <w:t>INV.DESS 736</w:t>
      </w:r>
      <w:r w:rsidR="00D77DA5">
        <w:t>).</w:t>
      </w:r>
      <w:r w:rsidR="00D77DA5">
        <w:rPr>
          <w:rStyle w:val="FootnoteReference"/>
        </w:rPr>
        <w:footnoteReference w:id="1"/>
      </w:r>
      <w:r w:rsidR="00D77DA5">
        <w:t xml:space="preserve"> The painting was </w:t>
      </w:r>
      <w:r w:rsidR="00D77DA5" w:rsidRPr="00D77DA5">
        <w:t>commissioned by the Society of Friends of the Constitution</w:t>
      </w:r>
      <w:r w:rsidR="00D77DA5">
        <w:t>.</w:t>
      </w:r>
      <w:r w:rsidR="00D77DA5">
        <w:rPr>
          <w:rStyle w:val="FootnoteReference"/>
        </w:rPr>
        <w:footnoteReference w:id="2"/>
      </w:r>
      <w:r w:rsidR="00D77DA5" w:rsidRPr="00D77DA5">
        <w:t xml:space="preserve"> </w:t>
      </w:r>
      <w:r w:rsidR="00D77DA5">
        <w:t>A</w:t>
      </w:r>
      <w:r w:rsidR="00D77DA5" w:rsidRPr="00D77DA5">
        <w:t>fter the death of David,</w:t>
      </w:r>
      <w:r w:rsidR="00D77DA5">
        <w:t xml:space="preserve"> the </w:t>
      </w:r>
      <w:r w:rsidR="002251FC">
        <w:t>sketch</w:t>
      </w:r>
      <w:r w:rsidR="00D77DA5">
        <w:t xml:space="preserve"> was bought for 15,000 francs and then passed down through his family and then acquired by the Louvre in October 1893.</w:t>
      </w:r>
      <w:r w:rsidR="00D77DA5">
        <w:rPr>
          <w:rStyle w:val="FootnoteReference"/>
        </w:rPr>
        <w:footnoteReference w:id="3"/>
      </w:r>
      <w:r w:rsidR="00D77DA5">
        <w:t xml:space="preserve"> Eventually it had arrived in its current location, </w:t>
      </w:r>
      <w:r w:rsidR="0042582D">
        <w:t>in the palace of Versailles in 1939.</w:t>
      </w:r>
      <w:r w:rsidR="0042582D">
        <w:rPr>
          <w:rStyle w:val="FootnoteReference"/>
        </w:rPr>
        <w:footnoteReference w:id="4"/>
      </w:r>
      <w:r w:rsidR="00D77DA5" w:rsidRPr="00D77DA5">
        <w:t xml:space="preserve"> </w:t>
      </w:r>
      <w:r w:rsidR="0042582D">
        <w:t>The catalogue describes the image as being ‘</w:t>
      </w:r>
      <w:r w:rsidR="0042582D" w:rsidRPr="0042582D">
        <w:t>pen, ink, wash and heightening white on pencil on paper</w:t>
      </w:r>
      <w:r w:rsidR="0042582D">
        <w:t xml:space="preserve">’, it measures </w:t>
      </w:r>
      <w:r w:rsidR="0042582D" w:rsidRPr="0042582D">
        <w:t>65.5 x 101 cm frame: 86.5 x 122 x 9.5 cm</w:t>
      </w:r>
      <w:r w:rsidR="0042582D">
        <w:t>.</w:t>
      </w:r>
      <w:r w:rsidR="0042582D">
        <w:rPr>
          <w:rStyle w:val="FootnoteReference"/>
        </w:rPr>
        <w:footnoteReference w:id="5"/>
      </w:r>
      <w:r w:rsidR="002251FC">
        <w:t xml:space="preserve"> The painting produced from the sketch is held at the</w:t>
      </w:r>
      <w:r w:rsidR="00205904">
        <w:t xml:space="preserve"> </w:t>
      </w:r>
      <w:proofErr w:type="spellStart"/>
      <w:r w:rsidR="00205904" w:rsidRPr="00205904">
        <w:t>Musée</w:t>
      </w:r>
      <w:proofErr w:type="spellEnd"/>
      <w:r w:rsidR="00205904" w:rsidRPr="00205904">
        <w:t xml:space="preserve"> </w:t>
      </w:r>
      <w:proofErr w:type="spellStart"/>
      <w:r w:rsidR="002251FC">
        <w:t>Carnavalet</w:t>
      </w:r>
      <w:proofErr w:type="spellEnd"/>
      <w:r w:rsidR="002251FC">
        <w:t xml:space="preserve"> in Paris and was never completed.</w:t>
      </w:r>
      <w:r w:rsidR="00205904">
        <w:rPr>
          <w:rStyle w:val="FootnoteReference"/>
        </w:rPr>
        <w:footnoteReference w:id="6"/>
      </w:r>
      <w:r w:rsidR="002251FC">
        <w:t xml:space="preserve"> </w:t>
      </w:r>
    </w:p>
    <w:p w14:paraId="1C2113C8" w14:textId="0F289CE8" w:rsidR="003850FD" w:rsidRDefault="002251FC" w:rsidP="00597641">
      <w:pPr>
        <w:spacing w:line="480" w:lineRule="auto"/>
        <w:ind w:firstLine="720"/>
        <w:jc w:val="both"/>
      </w:pPr>
      <w:r>
        <w:t xml:space="preserve">The sketch of the Tennis Court Oath </w:t>
      </w:r>
      <w:r w:rsidR="00205904">
        <w:t xml:space="preserve">was drawn by a French painter called </w:t>
      </w:r>
      <w:r w:rsidR="003850FD">
        <w:t>Jacques-Louis David</w:t>
      </w:r>
      <w:r w:rsidR="00596C8D">
        <w:t>.</w:t>
      </w:r>
      <w:r w:rsidR="00205904">
        <w:t xml:space="preserve"> </w:t>
      </w:r>
      <w:r w:rsidR="00596C8D">
        <w:t>D</w:t>
      </w:r>
      <w:r w:rsidR="00205904">
        <w:t xml:space="preserve">uring </w:t>
      </w:r>
      <w:r w:rsidR="008537D4">
        <w:t>his active years</w:t>
      </w:r>
      <w:r w:rsidR="00205904">
        <w:t xml:space="preserve"> in the late 18</w:t>
      </w:r>
      <w:r w:rsidR="00205904" w:rsidRPr="00205904">
        <w:rPr>
          <w:vertAlign w:val="superscript"/>
        </w:rPr>
        <w:t>th</w:t>
      </w:r>
      <w:r w:rsidR="00205904">
        <w:t xml:space="preserve"> and </w:t>
      </w:r>
      <w:r w:rsidR="009D2718">
        <w:t xml:space="preserve">early </w:t>
      </w:r>
      <w:r w:rsidR="00205904">
        <w:t>19</w:t>
      </w:r>
      <w:r w:rsidR="00205904" w:rsidRPr="00205904">
        <w:rPr>
          <w:vertAlign w:val="superscript"/>
        </w:rPr>
        <w:t>th</w:t>
      </w:r>
      <w:r w:rsidR="00205904">
        <w:t xml:space="preserve"> centur</w:t>
      </w:r>
      <w:r w:rsidR="009D2718">
        <w:t>ies</w:t>
      </w:r>
      <w:r w:rsidR="006C09FB">
        <w:t>,</w:t>
      </w:r>
      <w:r w:rsidR="008537D4">
        <w:t xml:space="preserve"> he became one of the most influential neoclassical painters within Europe.</w:t>
      </w:r>
      <w:r w:rsidR="008537D4">
        <w:rPr>
          <w:rStyle w:val="FootnoteReference"/>
        </w:rPr>
        <w:footnoteReference w:id="7"/>
      </w:r>
      <w:r w:rsidR="008537D4">
        <w:t xml:space="preserve"> </w:t>
      </w:r>
      <w:r w:rsidR="006E4F77">
        <w:t xml:space="preserve">David had many famous works such as; Oath of the </w:t>
      </w:r>
      <w:proofErr w:type="spellStart"/>
      <w:r w:rsidR="006E4F77">
        <w:t>Horatii</w:t>
      </w:r>
      <w:proofErr w:type="spellEnd"/>
      <w:r w:rsidR="006E4F77">
        <w:t xml:space="preserve"> (1784-5), </w:t>
      </w:r>
      <w:r w:rsidR="009D18C2">
        <w:t>T</w:t>
      </w:r>
      <w:r w:rsidR="006E4F77">
        <w:t>he Death of Socrates (1787) and Lictors Brining Brutus the Bodies of his Sons (1789).</w:t>
      </w:r>
      <w:r w:rsidR="006E4F77">
        <w:rPr>
          <w:rStyle w:val="FootnoteReference"/>
        </w:rPr>
        <w:footnoteReference w:id="8"/>
      </w:r>
      <w:r w:rsidR="006E4F77">
        <w:t xml:space="preserve"> The primary source that will be analysed in this gobbet will be </w:t>
      </w:r>
      <w:r w:rsidR="00547671">
        <w:t>David’s work ‘</w:t>
      </w:r>
      <w:r w:rsidR="006E4F77">
        <w:t>Tennis Court Oath</w:t>
      </w:r>
      <w:r w:rsidR="00547671">
        <w:t xml:space="preserve">’ (1791). </w:t>
      </w:r>
    </w:p>
    <w:p w14:paraId="15C04360" w14:textId="100DEABF" w:rsidR="00597641" w:rsidRDefault="0002501C" w:rsidP="00DB4770">
      <w:pPr>
        <w:spacing w:line="480" w:lineRule="auto"/>
        <w:jc w:val="both"/>
      </w:pPr>
      <w:r>
        <w:tab/>
        <w:t xml:space="preserve">The </w:t>
      </w:r>
      <w:r w:rsidR="00900D77">
        <w:t>T</w:t>
      </w:r>
      <w:r>
        <w:t xml:space="preserve">ennis </w:t>
      </w:r>
      <w:r w:rsidR="00900D77">
        <w:t>C</w:t>
      </w:r>
      <w:r>
        <w:t xml:space="preserve">ourt </w:t>
      </w:r>
      <w:r w:rsidR="00900D77">
        <w:t>O</w:t>
      </w:r>
      <w:r>
        <w:t>ath happened in Versailles</w:t>
      </w:r>
      <w:r w:rsidR="006C09FB">
        <w:t>,</w:t>
      </w:r>
      <w:r w:rsidR="00900D77">
        <w:t xml:space="preserve"> </w:t>
      </w:r>
      <w:r w:rsidR="009351FB">
        <w:t>in</w:t>
      </w:r>
      <w:r>
        <w:t xml:space="preserve"> 1789 after the third estate were denied access to their usual gathering place by King Louis XVI</w:t>
      </w:r>
      <w:r w:rsidR="00586C40">
        <w:t>.</w:t>
      </w:r>
      <w:r w:rsidR="005578BD">
        <w:rPr>
          <w:rStyle w:val="FootnoteReference"/>
        </w:rPr>
        <w:footnoteReference w:id="9"/>
      </w:r>
      <w:r>
        <w:t xml:space="preserve"> </w:t>
      </w:r>
      <w:r w:rsidR="00586C40">
        <w:t xml:space="preserve">As a </w:t>
      </w:r>
      <w:r w:rsidR="00205904">
        <w:t>result,</w:t>
      </w:r>
      <w:r w:rsidRPr="00671737">
        <w:t xml:space="preserve"> they decided to meet </w:t>
      </w:r>
      <w:r w:rsidR="006C09FB">
        <w:t>at</w:t>
      </w:r>
      <w:r w:rsidRPr="00671737">
        <w:t xml:space="preserve"> an indoor tennis court</w:t>
      </w:r>
      <w:r w:rsidR="007231E6">
        <w:t xml:space="preserve"> nearby</w:t>
      </w:r>
      <w:r w:rsidR="00586C40">
        <w:t>,</w:t>
      </w:r>
      <w:r w:rsidRPr="00671737">
        <w:t xml:space="preserve"> where they</w:t>
      </w:r>
      <w:r w:rsidR="00671737" w:rsidRPr="00671737">
        <w:t xml:space="preserve"> ‘took an oath to remain in permanent </w:t>
      </w:r>
      <w:r w:rsidR="00671737" w:rsidRPr="00671737">
        <w:lastRenderedPageBreak/>
        <w:t>assembly’</w:t>
      </w:r>
      <w:r w:rsidRPr="00671737">
        <w:t xml:space="preserve"> </w:t>
      </w:r>
      <w:r w:rsidR="00671737" w:rsidRPr="00671737">
        <w:t xml:space="preserve">until </w:t>
      </w:r>
      <w:r w:rsidRPr="00671737">
        <w:t>a written constitution for France</w:t>
      </w:r>
      <w:r w:rsidR="00671737" w:rsidRPr="00671737">
        <w:t xml:space="preserve"> was created.</w:t>
      </w:r>
      <w:r w:rsidR="00671737" w:rsidRPr="00671737">
        <w:rPr>
          <w:rStyle w:val="FootnoteReference"/>
        </w:rPr>
        <w:footnoteReference w:id="10"/>
      </w:r>
      <w:r w:rsidR="002779F4">
        <w:t xml:space="preserve"> With these events in place</w:t>
      </w:r>
      <w:r w:rsidR="00EF3B99">
        <w:t>,</w:t>
      </w:r>
      <w:r w:rsidR="002779F4">
        <w:t xml:space="preserve"> </w:t>
      </w:r>
      <w:r w:rsidR="00DF7BE2">
        <w:t>it set in motion the start of the French Revolution and would bring about the idea of a constitutional monarchy.</w:t>
      </w:r>
      <w:r w:rsidR="00DF7BE2">
        <w:rPr>
          <w:rStyle w:val="FootnoteReference"/>
        </w:rPr>
        <w:footnoteReference w:id="11"/>
      </w:r>
      <w:r w:rsidR="002779F4">
        <w:t xml:space="preserve"> </w:t>
      </w:r>
    </w:p>
    <w:p w14:paraId="44697A9D" w14:textId="77777777" w:rsidR="0067095E" w:rsidRDefault="00597641" w:rsidP="0067095E">
      <w:pPr>
        <w:spacing w:line="480" w:lineRule="auto"/>
        <w:ind w:firstLine="720"/>
        <w:jc w:val="both"/>
      </w:pPr>
      <w:r>
        <w:t>In the</w:t>
      </w:r>
      <w:r w:rsidR="009D18C2">
        <w:t xml:space="preserve"> sketch</w:t>
      </w:r>
      <w:r w:rsidR="0067095E">
        <w:t>,</w:t>
      </w:r>
      <w:r w:rsidR="009D18C2">
        <w:t xml:space="preserve"> David ha</w:t>
      </w:r>
      <w:r w:rsidR="00D7559D">
        <w:t xml:space="preserve">s </w:t>
      </w:r>
      <w:r w:rsidR="009D18C2">
        <w:t>put a focus on key figures in the crowd so th</w:t>
      </w:r>
      <w:r w:rsidR="00D7559D">
        <w:t xml:space="preserve">at they </w:t>
      </w:r>
      <w:r w:rsidR="009D18C2">
        <w:t>can stand out and</w:t>
      </w:r>
      <w:r w:rsidR="0067095E">
        <w:t>,</w:t>
      </w:r>
      <w:r w:rsidR="009D18C2">
        <w:t xml:space="preserve"> importantly</w:t>
      </w:r>
      <w:r w:rsidR="0067095E">
        <w:t>,</w:t>
      </w:r>
      <w:r w:rsidR="009D18C2">
        <w:t xml:space="preserve"> not be missed and shown</w:t>
      </w:r>
      <w:r w:rsidR="0067095E">
        <w:t xml:space="preserve"> as</w:t>
      </w:r>
      <w:r w:rsidR="009D18C2">
        <w:t xml:space="preserve"> present </w:t>
      </w:r>
      <w:r w:rsidR="00D7559D">
        <w:t xml:space="preserve">in </w:t>
      </w:r>
      <w:r w:rsidR="009D18C2">
        <w:t>this historical event.</w:t>
      </w:r>
      <w:r w:rsidR="00B23385">
        <w:t xml:space="preserve"> With the drama in the image being a clear representative of the importance and significan</w:t>
      </w:r>
      <w:r w:rsidR="00EF3B99">
        <w:t>ce</w:t>
      </w:r>
      <w:r w:rsidR="00B23385">
        <w:t xml:space="preserve"> of the event</w:t>
      </w:r>
      <w:r w:rsidR="00A22D38">
        <w:t>, a closer analysis of some of the key characters and moments David has portrayed shall be briefly discussed.</w:t>
      </w:r>
      <w:r w:rsidR="000D01D2">
        <w:t xml:space="preserve"> In the centre of the sketch</w:t>
      </w:r>
      <w:r w:rsidR="00EF3B99">
        <w:t>,</w:t>
      </w:r>
      <w:r w:rsidR="000D01D2">
        <w:t xml:space="preserve"> a man believed to be </w:t>
      </w:r>
      <w:r w:rsidR="000D01D2" w:rsidRPr="000D01D2">
        <w:t>Jean-</w:t>
      </w:r>
      <w:proofErr w:type="spellStart"/>
      <w:r w:rsidR="000D01D2" w:rsidRPr="000D01D2">
        <w:t>Sylvestre</w:t>
      </w:r>
      <w:proofErr w:type="spellEnd"/>
      <w:r w:rsidR="000D01D2" w:rsidRPr="000D01D2">
        <w:t xml:space="preserve"> Bailly</w:t>
      </w:r>
      <w:r w:rsidR="000D01D2">
        <w:t xml:space="preserve"> has a hand outstretched and a pose showing evidence of an oath being taken.</w:t>
      </w:r>
      <w:r w:rsidR="000D01D2">
        <w:rPr>
          <w:rStyle w:val="FootnoteReference"/>
        </w:rPr>
        <w:footnoteReference w:id="12"/>
      </w:r>
      <w:r w:rsidR="000D01D2">
        <w:t xml:space="preserve"> Just </w:t>
      </w:r>
      <w:r w:rsidR="00EF3B99">
        <w:t>b</w:t>
      </w:r>
      <w:r w:rsidR="000D01D2">
        <w:t>eneath Bailly there are three men embraced together</w:t>
      </w:r>
      <w:r w:rsidR="006E3DE9">
        <w:t xml:space="preserve">; Grégoire, </w:t>
      </w:r>
      <w:proofErr w:type="spellStart"/>
      <w:r w:rsidR="006E3DE9">
        <w:t>Rabaut</w:t>
      </w:r>
      <w:proofErr w:type="spellEnd"/>
      <w:r w:rsidR="006E3DE9">
        <w:t xml:space="preserve"> Saint-Etienne and Dom </w:t>
      </w:r>
      <w:proofErr w:type="spellStart"/>
      <w:r w:rsidR="006E3DE9">
        <w:t>Gerle</w:t>
      </w:r>
      <w:proofErr w:type="spellEnd"/>
      <w:r w:rsidR="00573BF5">
        <w:t>,</w:t>
      </w:r>
      <w:r w:rsidR="006E3DE9">
        <w:t xml:space="preserve"> </w:t>
      </w:r>
      <w:r w:rsidR="000652C5">
        <w:t>representing ‘religious confraternity’,</w:t>
      </w:r>
      <w:r w:rsidR="00573BF5">
        <w:t xml:space="preserve"> th</w:t>
      </w:r>
      <w:r w:rsidR="00D214D0">
        <w:t>u</w:t>
      </w:r>
      <w:r w:rsidR="00573BF5">
        <w:t>s showing David’s symbolic touch of unity.</w:t>
      </w:r>
      <w:r w:rsidR="000652C5">
        <w:rPr>
          <w:rStyle w:val="FootnoteReference"/>
        </w:rPr>
        <w:footnoteReference w:id="13"/>
      </w:r>
      <w:r w:rsidR="00573BF5">
        <w:t xml:space="preserve"> </w:t>
      </w:r>
      <w:r w:rsidR="00D214D0">
        <w:t xml:space="preserve">David’s inclusion of </w:t>
      </w:r>
      <w:r w:rsidR="00573BF5">
        <w:t xml:space="preserve">Maximilien Robespierre within the crowd </w:t>
      </w:r>
      <w:r w:rsidR="0067095E">
        <w:t xml:space="preserve">reiterates </w:t>
      </w:r>
      <w:r w:rsidR="00D214D0">
        <w:t>his desire to focus on key figures. Robespierre can be seen</w:t>
      </w:r>
      <w:r w:rsidR="00573BF5">
        <w:t xml:space="preserve"> with </w:t>
      </w:r>
      <w:r w:rsidR="00D214D0">
        <w:t>both</w:t>
      </w:r>
      <w:r w:rsidR="00573BF5">
        <w:t xml:space="preserve"> arms</w:t>
      </w:r>
      <w:r w:rsidR="0067095E">
        <w:t>,</w:t>
      </w:r>
      <w:r w:rsidR="00573BF5">
        <w:t xml:space="preserve"> in the ai</w:t>
      </w:r>
      <w:r w:rsidR="00D214D0">
        <w:t>r and</w:t>
      </w:r>
      <w:r w:rsidR="00573BF5">
        <w:t xml:space="preserve"> with a hat in one hand</w:t>
      </w:r>
      <w:r w:rsidR="0067095E">
        <w:t>,</w:t>
      </w:r>
      <w:r w:rsidR="00573BF5">
        <w:t xml:space="preserve"> he seems to be rejoicing the events unfolding before him. </w:t>
      </w:r>
      <w:r w:rsidR="00D214D0">
        <w:t>T</w:t>
      </w:r>
      <w:r w:rsidR="00573BF5">
        <w:t>he clear passion</w:t>
      </w:r>
      <w:r w:rsidR="00D214D0">
        <w:t xml:space="preserve"> shown</w:t>
      </w:r>
      <w:r w:rsidR="00573BF5">
        <w:t xml:space="preserve"> from the crowd and with </w:t>
      </w:r>
      <w:r w:rsidR="00573BF5" w:rsidRPr="000D01D2">
        <w:t>Jean-</w:t>
      </w:r>
      <w:proofErr w:type="spellStart"/>
      <w:r w:rsidR="00573BF5" w:rsidRPr="000D01D2">
        <w:t>Sylvestre</w:t>
      </w:r>
      <w:proofErr w:type="spellEnd"/>
      <w:r w:rsidR="00573BF5" w:rsidRPr="000D01D2">
        <w:t xml:space="preserve"> Bailly</w:t>
      </w:r>
      <w:r w:rsidR="00573BF5">
        <w:t xml:space="preserve"> </w:t>
      </w:r>
      <w:r w:rsidR="00D214D0">
        <w:t xml:space="preserve">at </w:t>
      </w:r>
      <w:r w:rsidR="00573BF5">
        <w:t>the centre of the</w:t>
      </w:r>
      <w:r w:rsidR="00B10DF9">
        <w:t xml:space="preserve"> event,</w:t>
      </w:r>
      <w:r w:rsidR="00D214D0">
        <w:t xml:space="preserve"> it is evident that</w:t>
      </w:r>
      <w:r w:rsidR="00B10DF9">
        <w:t xml:space="preserve"> the scenes above are of importance as well as the men on the court itself. </w:t>
      </w:r>
      <w:r w:rsidR="0040598A">
        <w:t>T</w:t>
      </w:r>
      <w:r w:rsidR="00B10DF9">
        <w:t xml:space="preserve">he curtains being blown inside the tennis court could be David’s way of symbolising some sort of change in power </w:t>
      </w:r>
      <w:r w:rsidR="0040598A">
        <w:t>and the fact</w:t>
      </w:r>
      <w:r w:rsidR="00B10DF9">
        <w:t xml:space="preserve"> that women can be seen in the galleries as well as men and children, could also </w:t>
      </w:r>
      <w:proofErr w:type="gramStart"/>
      <w:r w:rsidR="00B10DF9">
        <w:t xml:space="preserve">be seen </w:t>
      </w:r>
      <w:r w:rsidR="0040598A">
        <w:t>as</w:t>
      </w:r>
      <w:proofErr w:type="gramEnd"/>
      <w:r w:rsidR="0040598A">
        <w:t xml:space="preserve"> </w:t>
      </w:r>
      <w:r w:rsidR="00B10DF9">
        <w:t>signifying unity.</w:t>
      </w:r>
      <w:r w:rsidR="006C09FB">
        <w:t xml:space="preserve"> </w:t>
      </w:r>
    </w:p>
    <w:p w14:paraId="3369D111" w14:textId="4A33E874" w:rsidR="00B10DF9" w:rsidRDefault="006C09FB" w:rsidP="0067095E">
      <w:pPr>
        <w:spacing w:line="480" w:lineRule="auto"/>
        <w:ind w:firstLine="720"/>
        <w:jc w:val="both"/>
      </w:pPr>
      <w:r w:rsidRPr="006C09FB">
        <w:t>With David being an influential figure within the French Revolution, he may have seen this as a monumental occasion and therefore, his interpretation of the event at the tennis court could have been portrayed grander than its real event.</w:t>
      </w:r>
      <w:r w:rsidRPr="006C09FB">
        <w:rPr>
          <w:vertAlign w:val="superscript"/>
        </w:rPr>
        <w:footnoteReference w:id="14"/>
      </w:r>
      <w:r w:rsidRPr="006C09FB">
        <w:t xml:space="preserve"> Whereas, someone </w:t>
      </w:r>
      <w:r w:rsidRPr="006C09FB">
        <w:lastRenderedPageBreak/>
        <w:t>who was opposed to the French Revolution may have depicted the meeting in a much more negative way.</w:t>
      </w:r>
    </w:p>
    <w:p w14:paraId="3F7A3750" w14:textId="1C2D705C" w:rsidR="00B10DF9" w:rsidRDefault="00B10DF9" w:rsidP="00020B29">
      <w:pPr>
        <w:spacing w:line="480" w:lineRule="auto"/>
        <w:jc w:val="both"/>
      </w:pPr>
      <w:r>
        <w:tab/>
        <w:t xml:space="preserve">With the </w:t>
      </w:r>
      <w:r w:rsidR="00020B29">
        <w:t>sketch</w:t>
      </w:r>
      <w:r>
        <w:t xml:space="preserve"> being held in the Louvre, Paris, from 1893 to 1939</w:t>
      </w:r>
      <w:r w:rsidR="0067095E">
        <w:t xml:space="preserve"> it</w:t>
      </w:r>
      <w:r>
        <w:t xml:space="preserve"> </w:t>
      </w:r>
      <w:r w:rsidR="0067095E">
        <w:t>shows</w:t>
      </w:r>
      <w:r>
        <w:t xml:space="preserve"> the importance of </w:t>
      </w:r>
      <w:r w:rsidR="00020B29">
        <w:t xml:space="preserve">the Tennis Court Oath event and the way the image is depicted. The </w:t>
      </w:r>
      <w:r w:rsidR="00E60245">
        <w:t xml:space="preserve">opening of the </w:t>
      </w:r>
      <w:r w:rsidR="00020B29">
        <w:t xml:space="preserve">Louvre museum was an important </w:t>
      </w:r>
      <w:r w:rsidR="00E60245">
        <w:t xml:space="preserve">symbolic act for the French Revolution as </w:t>
      </w:r>
      <w:r w:rsidR="00417A02">
        <w:t>‘the levelling intent of the Revolution was vividly demonstrated through the accessible display of the once untouchable’</w:t>
      </w:r>
      <w:r w:rsidR="008A7300">
        <w:t>,</w:t>
      </w:r>
      <w:r w:rsidR="002D0127">
        <w:t xml:space="preserve"> driving forward the revolutionaries inten</w:t>
      </w:r>
      <w:r w:rsidR="0067095E">
        <w:t>t</w:t>
      </w:r>
      <w:r w:rsidR="002D0127">
        <w:t xml:space="preserve"> of equality</w:t>
      </w:r>
      <w:r w:rsidR="00E60245">
        <w:t>.</w:t>
      </w:r>
      <w:r w:rsidR="00FC72D5">
        <w:rPr>
          <w:rStyle w:val="FootnoteReference"/>
        </w:rPr>
        <w:footnoteReference w:id="15"/>
      </w:r>
      <w:r w:rsidR="00E60245">
        <w:t xml:space="preserve"> </w:t>
      </w:r>
      <w:r w:rsidR="00C13034">
        <w:t xml:space="preserve">Although the sketch is now in the </w:t>
      </w:r>
      <w:proofErr w:type="spellStart"/>
      <w:r w:rsidR="00C13034" w:rsidRPr="00C13034">
        <w:t>Musée</w:t>
      </w:r>
      <w:proofErr w:type="spellEnd"/>
      <w:r w:rsidR="00C13034" w:rsidRPr="00C13034">
        <w:t xml:space="preserve"> </w:t>
      </w:r>
      <w:proofErr w:type="spellStart"/>
      <w:r w:rsidR="00C13034" w:rsidRPr="00C13034">
        <w:t>Carnav</w:t>
      </w:r>
      <w:bookmarkStart w:id="7" w:name="_GoBack"/>
      <w:bookmarkEnd w:id="7"/>
      <w:r w:rsidR="00C13034" w:rsidRPr="00C13034">
        <w:t>alet</w:t>
      </w:r>
      <w:proofErr w:type="spellEnd"/>
      <w:r w:rsidR="00C13034">
        <w:t>,</w:t>
      </w:r>
      <w:r w:rsidR="00C13034" w:rsidRPr="00C13034">
        <w:t xml:space="preserve"> </w:t>
      </w:r>
      <w:r w:rsidR="00C13034">
        <w:t>t</w:t>
      </w:r>
      <w:r w:rsidR="00E60245">
        <w:t xml:space="preserve">he fact that this piece of work from David </w:t>
      </w:r>
      <w:r w:rsidR="0002476C">
        <w:t>had been kept in the</w:t>
      </w:r>
      <w:r w:rsidR="00E60245">
        <w:t xml:space="preserve"> Louvre</w:t>
      </w:r>
      <w:r w:rsidR="00C13034">
        <w:t xml:space="preserve"> for a significant time</w:t>
      </w:r>
      <w:r w:rsidR="00E60245">
        <w:t xml:space="preserve"> </w:t>
      </w:r>
      <w:r w:rsidR="007E0565">
        <w:t>shows its importance among the people and the country</w:t>
      </w:r>
      <w:r w:rsidR="00B15523">
        <w:t>.</w:t>
      </w:r>
    </w:p>
    <w:p w14:paraId="1ECFA8B1" w14:textId="52C31369" w:rsidR="00542A2F" w:rsidRDefault="003701A6" w:rsidP="00DB4770">
      <w:pPr>
        <w:spacing w:line="480" w:lineRule="auto"/>
        <w:jc w:val="both"/>
      </w:pPr>
      <w:r>
        <w:t xml:space="preserve"> </w:t>
      </w:r>
    </w:p>
    <w:p w14:paraId="257D0027" w14:textId="01476935" w:rsidR="007A61CD" w:rsidRDefault="007A61CD" w:rsidP="00DB4770">
      <w:pPr>
        <w:spacing w:line="480" w:lineRule="auto"/>
        <w:jc w:val="both"/>
      </w:pPr>
    </w:p>
    <w:p w14:paraId="2B9BCCBB" w14:textId="77777777" w:rsidR="007A61CD" w:rsidRDefault="007A61CD">
      <w:r>
        <w:br w:type="page"/>
      </w:r>
    </w:p>
    <w:p w14:paraId="007C6567" w14:textId="7114C23B" w:rsidR="004778F9" w:rsidRPr="00033DEC" w:rsidRDefault="004778F9" w:rsidP="00DB4770">
      <w:pPr>
        <w:spacing w:line="480" w:lineRule="auto"/>
        <w:jc w:val="both"/>
        <w:rPr>
          <w:b/>
        </w:rPr>
      </w:pPr>
      <w:r w:rsidRPr="00033DEC">
        <w:rPr>
          <w:b/>
        </w:rPr>
        <w:lastRenderedPageBreak/>
        <w:t xml:space="preserve">Bibliography </w:t>
      </w:r>
    </w:p>
    <w:p w14:paraId="5171A7E7" w14:textId="13400864" w:rsidR="004778F9" w:rsidRPr="00033DEC" w:rsidRDefault="007A61CD" w:rsidP="00DB4770">
      <w:pPr>
        <w:spacing w:line="480" w:lineRule="auto"/>
        <w:jc w:val="both"/>
        <w:rPr>
          <w:b/>
        </w:rPr>
      </w:pPr>
      <w:r w:rsidRPr="00033DEC">
        <w:rPr>
          <w:b/>
        </w:rPr>
        <w:t>Primary Sources</w:t>
      </w:r>
    </w:p>
    <w:p w14:paraId="01759E9C" w14:textId="77777777" w:rsidR="00033DEC" w:rsidRDefault="0078394A" w:rsidP="00033DEC">
      <w:pPr>
        <w:spacing w:line="480" w:lineRule="auto"/>
        <w:jc w:val="both"/>
      </w:pPr>
      <w:proofErr w:type="spellStart"/>
      <w:r w:rsidRPr="0078394A">
        <w:t>Carnavalet</w:t>
      </w:r>
      <w:proofErr w:type="spellEnd"/>
      <w:r w:rsidRPr="0078394A">
        <w:t xml:space="preserve"> </w:t>
      </w:r>
      <w:proofErr w:type="spellStart"/>
      <w:r w:rsidRPr="0078394A">
        <w:t>Histoire</w:t>
      </w:r>
      <w:proofErr w:type="spellEnd"/>
      <w:r w:rsidRPr="0078394A">
        <w:t xml:space="preserve"> de Paris, </w:t>
      </w:r>
      <w:r w:rsidRPr="00AF7F2C">
        <w:rPr>
          <w:i/>
        </w:rPr>
        <w:t xml:space="preserve">Le </w:t>
      </w:r>
      <w:proofErr w:type="spellStart"/>
      <w:r w:rsidRPr="00AF7F2C">
        <w:rPr>
          <w:i/>
        </w:rPr>
        <w:t>serment</w:t>
      </w:r>
      <w:proofErr w:type="spellEnd"/>
      <w:r w:rsidRPr="00AF7F2C">
        <w:rPr>
          <w:i/>
        </w:rPr>
        <w:t xml:space="preserve"> du </w:t>
      </w:r>
      <w:proofErr w:type="spellStart"/>
      <w:r w:rsidRPr="00AF7F2C">
        <w:rPr>
          <w:i/>
        </w:rPr>
        <w:t>Jeu</w:t>
      </w:r>
      <w:proofErr w:type="spellEnd"/>
      <w:r w:rsidRPr="00AF7F2C">
        <w:rPr>
          <w:i/>
        </w:rPr>
        <w:t xml:space="preserve"> de </w:t>
      </w:r>
      <w:proofErr w:type="spellStart"/>
      <w:r w:rsidRPr="00AF7F2C">
        <w:rPr>
          <w:i/>
        </w:rPr>
        <w:t>Paume</w:t>
      </w:r>
      <w:proofErr w:type="spellEnd"/>
      <w:r w:rsidRPr="00AF7F2C">
        <w:rPr>
          <w:i/>
        </w:rPr>
        <w:t xml:space="preserve"> le 20 </w:t>
      </w:r>
      <w:proofErr w:type="spellStart"/>
      <w:r w:rsidRPr="00AF7F2C">
        <w:rPr>
          <w:i/>
        </w:rPr>
        <w:t>juin</w:t>
      </w:r>
      <w:proofErr w:type="spellEnd"/>
      <w:r w:rsidRPr="00AF7F2C">
        <w:rPr>
          <w:i/>
        </w:rPr>
        <w:t xml:space="preserve"> 1789</w:t>
      </w:r>
      <w:r w:rsidRPr="0078394A">
        <w:t>, http://www.carnavalet.paris.fr/en/collections/le-serment-du-jeu-de-paume-le-20-juin-1789 [Accessed 27 October 2018].</w:t>
      </w:r>
    </w:p>
    <w:p w14:paraId="547491D6" w14:textId="5B0F9FE3" w:rsidR="004778F9" w:rsidRDefault="004778F9" w:rsidP="00033DEC">
      <w:pPr>
        <w:spacing w:line="480" w:lineRule="auto"/>
        <w:jc w:val="both"/>
      </w:pPr>
      <w:r w:rsidRPr="004778F9">
        <w:t>Château de Versailles</w:t>
      </w:r>
      <w:r w:rsidR="0078394A">
        <w:t xml:space="preserve">, </w:t>
      </w:r>
      <w:proofErr w:type="gramStart"/>
      <w:r w:rsidRPr="00AF7F2C">
        <w:rPr>
          <w:i/>
        </w:rPr>
        <w:t>The</w:t>
      </w:r>
      <w:proofErr w:type="gramEnd"/>
      <w:r w:rsidRPr="00AF7F2C">
        <w:rPr>
          <w:i/>
        </w:rPr>
        <w:t xml:space="preserve"> oath of the </w:t>
      </w:r>
      <w:proofErr w:type="spellStart"/>
      <w:r w:rsidRPr="00AF7F2C">
        <w:rPr>
          <w:i/>
        </w:rPr>
        <w:t>Jeu</w:t>
      </w:r>
      <w:proofErr w:type="spellEnd"/>
      <w:r w:rsidRPr="00AF7F2C">
        <w:rPr>
          <w:i/>
        </w:rPr>
        <w:t xml:space="preserve"> de </w:t>
      </w:r>
      <w:proofErr w:type="spellStart"/>
      <w:r w:rsidRPr="00AF7F2C">
        <w:rPr>
          <w:i/>
        </w:rPr>
        <w:t>Paume</w:t>
      </w:r>
      <w:proofErr w:type="spellEnd"/>
      <w:r w:rsidRPr="00AF7F2C">
        <w:rPr>
          <w:i/>
        </w:rPr>
        <w:t>, June 20</w:t>
      </w:r>
      <w:r w:rsidRPr="004778F9">
        <w:t>, 1789, http://collections.chateauversailles.fr/#44b4a8c3-73a9-42c5-8aa5-3e3ff432459f [Accessed 27 October 2018].</w:t>
      </w:r>
    </w:p>
    <w:p w14:paraId="2F78F8E8" w14:textId="35FEB8E2" w:rsidR="007A61CD" w:rsidRPr="00033DEC" w:rsidRDefault="007A61CD" w:rsidP="00DB4770">
      <w:pPr>
        <w:spacing w:line="480" w:lineRule="auto"/>
        <w:jc w:val="both"/>
        <w:rPr>
          <w:b/>
        </w:rPr>
      </w:pPr>
      <w:r w:rsidRPr="00033DEC">
        <w:rPr>
          <w:b/>
        </w:rPr>
        <w:t>Secondary Sources</w:t>
      </w:r>
    </w:p>
    <w:p w14:paraId="5E39E615" w14:textId="6A322342" w:rsidR="00AF7F2C" w:rsidRDefault="00AF7F2C" w:rsidP="00DB4770">
      <w:pPr>
        <w:spacing w:line="480" w:lineRule="auto"/>
        <w:jc w:val="both"/>
      </w:pPr>
      <w:proofErr w:type="spellStart"/>
      <w:r w:rsidRPr="00AF7F2C">
        <w:t>Bordes</w:t>
      </w:r>
      <w:proofErr w:type="spellEnd"/>
      <w:r w:rsidRPr="00AF7F2C">
        <w:t>,</w:t>
      </w:r>
      <w:r>
        <w:t xml:space="preserve"> P.</w:t>
      </w:r>
      <w:r w:rsidRPr="00AF7F2C">
        <w:t xml:space="preserve"> ‘Jacques-Louis David's '</w:t>
      </w:r>
      <w:proofErr w:type="spellStart"/>
      <w:r w:rsidRPr="00AF7F2C">
        <w:t>Serment</w:t>
      </w:r>
      <w:proofErr w:type="spellEnd"/>
      <w:r w:rsidRPr="00AF7F2C">
        <w:t xml:space="preserve"> du </w:t>
      </w:r>
      <w:proofErr w:type="spellStart"/>
      <w:r w:rsidRPr="00AF7F2C">
        <w:t>Jeu</w:t>
      </w:r>
      <w:proofErr w:type="spellEnd"/>
      <w:r w:rsidRPr="00AF7F2C">
        <w:t xml:space="preserve"> de </w:t>
      </w:r>
      <w:proofErr w:type="spellStart"/>
      <w:r w:rsidRPr="00AF7F2C">
        <w:t>Paume</w:t>
      </w:r>
      <w:proofErr w:type="spellEnd"/>
      <w:r w:rsidRPr="00AF7F2C">
        <w:t xml:space="preserve">': Propaganda without a Cause?’ </w:t>
      </w:r>
      <w:r w:rsidRPr="00AF7F2C">
        <w:rPr>
          <w:i/>
        </w:rPr>
        <w:t>Oxford Art Journal</w:t>
      </w:r>
      <w:r w:rsidRPr="00AF7F2C">
        <w:t xml:space="preserve">, Vol: 3, 2, 1980, </w:t>
      </w:r>
      <w:r>
        <w:t xml:space="preserve">pp. </w:t>
      </w:r>
      <w:r w:rsidRPr="00AF7F2C">
        <w:t>19-25</w:t>
      </w:r>
      <w:r>
        <w:t>.</w:t>
      </w:r>
      <w:r w:rsidRPr="00AF7F2C">
        <w:t xml:space="preserve"> </w:t>
      </w:r>
    </w:p>
    <w:p w14:paraId="14BF31BA" w14:textId="00CF7C69" w:rsidR="00033DEC" w:rsidRDefault="001D29A8" w:rsidP="00DB4770">
      <w:pPr>
        <w:spacing w:line="480" w:lineRule="auto"/>
        <w:jc w:val="both"/>
      </w:pPr>
      <w:r>
        <w:t xml:space="preserve">David, </w:t>
      </w:r>
      <w:r w:rsidRPr="001D29A8">
        <w:t>Jacques Louis</w:t>
      </w:r>
      <w:r>
        <w:t>.</w:t>
      </w:r>
      <w:r w:rsidRPr="001D29A8">
        <w:t xml:space="preserve"> </w:t>
      </w:r>
      <w:r>
        <w:t xml:space="preserve">2002 </w:t>
      </w:r>
      <w:r w:rsidRPr="001D29A8">
        <w:rPr>
          <w:i/>
        </w:rPr>
        <w:t>The Complete Works</w:t>
      </w:r>
      <w:r w:rsidRPr="001D29A8">
        <w:t>. https://www.jacqueslouisdavid.org/the-complete-works.html [Accessed 27 October 2018].</w:t>
      </w:r>
    </w:p>
    <w:p w14:paraId="32E47853" w14:textId="4CE63150" w:rsidR="00033DEC" w:rsidRDefault="00033DEC" w:rsidP="00DB4770">
      <w:pPr>
        <w:spacing w:line="480" w:lineRule="auto"/>
        <w:jc w:val="both"/>
      </w:pPr>
      <w:r w:rsidRPr="00033DEC">
        <w:t>McClellan,</w:t>
      </w:r>
      <w:r>
        <w:t xml:space="preserve"> A.</w:t>
      </w:r>
      <w:r w:rsidRPr="00033DEC">
        <w:t xml:space="preserve"> Inventing the Louvre: Art, Politics, and the Origins of the Modern Museum in Eighteenth-Century Paris (Cambridge: University California Press, 1999)</w:t>
      </w:r>
      <w:r>
        <w:t>.</w:t>
      </w:r>
    </w:p>
    <w:p w14:paraId="46B4BEC5" w14:textId="66DF0492" w:rsidR="00AF7F2C" w:rsidRDefault="00AF7F2C" w:rsidP="00DB4770">
      <w:pPr>
        <w:spacing w:line="480" w:lineRule="auto"/>
        <w:jc w:val="both"/>
      </w:pPr>
      <w:r>
        <w:t>Roberts</w:t>
      </w:r>
      <w:r w:rsidR="00033DEC">
        <w:t>, W</w:t>
      </w:r>
      <w:r>
        <w:t xml:space="preserve">. </w:t>
      </w:r>
      <w:r w:rsidRPr="004C1EF8">
        <w:rPr>
          <w:i/>
        </w:rPr>
        <w:t xml:space="preserve">Jacques-Louis David and Jean-Louis </w:t>
      </w:r>
      <w:proofErr w:type="spellStart"/>
      <w:r w:rsidRPr="004C1EF8">
        <w:rPr>
          <w:i/>
        </w:rPr>
        <w:t>Prieur</w:t>
      </w:r>
      <w:proofErr w:type="spellEnd"/>
      <w:r w:rsidRPr="004C1EF8">
        <w:rPr>
          <w:i/>
        </w:rPr>
        <w:t>, Revolutionary Artists: The Public, the Populace, and Images of the French Revolution</w:t>
      </w:r>
      <w:r>
        <w:rPr>
          <w:i/>
        </w:rPr>
        <w:t xml:space="preserve"> </w:t>
      </w:r>
      <w:r>
        <w:t>(Albany: New York, 2000)</w:t>
      </w:r>
      <w:r>
        <w:t>.</w:t>
      </w:r>
    </w:p>
    <w:p w14:paraId="5FD78647" w14:textId="32ABC768" w:rsidR="004C1EF8" w:rsidRDefault="004C1EF8" w:rsidP="00DB4770">
      <w:pPr>
        <w:spacing w:line="480" w:lineRule="auto"/>
        <w:jc w:val="both"/>
      </w:pPr>
      <w:r w:rsidRPr="004C1EF8">
        <w:t xml:space="preserve">Robinson, </w:t>
      </w:r>
      <w:r>
        <w:t xml:space="preserve">J, H. </w:t>
      </w:r>
      <w:r w:rsidRPr="004C1EF8">
        <w:t>‘The Tennis Court Oath’ Political Science Quarterly, Vol: 10, 3, 1895</w:t>
      </w:r>
      <w:r>
        <w:t>, pp. 460-474.</w:t>
      </w:r>
    </w:p>
    <w:p w14:paraId="44063FAD" w14:textId="4E810D8F" w:rsidR="008B1735" w:rsidRDefault="008B1735" w:rsidP="00DB4770">
      <w:pPr>
        <w:spacing w:line="480" w:lineRule="auto"/>
        <w:jc w:val="both"/>
      </w:pPr>
      <w:r w:rsidRPr="008B1735">
        <w:t>Ward,</w:t>
      </w:r>
      <w:r>
        <w:t xml:space="preserve"> L.</w:t>
      </w:r>
      <w:r w:rsidRPr="008B1735">
        <w:t xml:space="preserve"> Jacques-Louis David Political Artist, 2010, http://blogs.getty.edu/iris/jacques-louis-david-political-artist/ [Accessed 30 October].</w:t>
      </w:r>
    </w:p>
    <w:p w14:paraId="47F20150" w14:textId="3CC3823C" w:rsidR="004C1EF8" w:rsidRDefault="004C1EF8" w:rsidP="00DB4770">
      <w:pPr>
        <w:spacing w:line="480" w:lineRule="auto"/>
        <w:jc w:val="both"/>
      </w:pPr>
      <w:r w:rsidRPr="004C1EF8">
        <w:t>Wolfgang</w:t>
      </w:r>
      <w:r>
        <w:t>, K.</w:t>
      </w:r>
      <w:r w:rsidRPr="004C1EF8">
        <w:t xml:space="preserve"> The </w:t>
      </w:r>
      <w:proofErr w:type="spellStart"/>
      <w:r w:rsidRPr="004C1EF8">
        <w:t>theater</w:t>
      </w:r>
      <w:proofErr w:type="spellEnd"/>
      <w:r w:rsidRPr="004C1EF8">
        <w:t xml:space="preserve"> of Revolution: a new interpretation of Jacques-Louis David's Tennis Court Oath. (Visual Culture: Images &amp; Interpretations, 1994)</w:t>
      </w:r>
      <w:r>
        <w:t>.</w:t>
      </w:r>
    </w:p>
    <w:p w14:paraId="083189A9" w14:textId="77777777" w:rsidR="007A61CD" w:rsidRDefault="007A61CD" w:rsidP="00DB4770">
      <w:pPr>
        <w:spacing w:line="480" w:lineRule="auto"/>
        <w:jc w:val="both"/>
      </w:pPr>
    </w:p>
    <w:sectPr w:rsidR="007A61CD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6E7D2" w14:textId="77777777" w:rsidR="0048055C" w:rsidRDefault="0048055C" w:rsidP="00DB4770">
      <w:pPr>
        <w:spacing w:after="0" w:line="240" w:lineRule="auto"/>
      </w:pPr>
      <w:r>
        <w:separator/>
      </w:r>
    </w:p>
  </w:endnote>
  <w:endnote w:type="continuationSeparator" w:id="0">
    <w:p w14:paraId="5D388A17" w14:textId="77777777" w:rsidR="0048055C" w:rsidRDefault="0048055C" w:rsidP="00DB47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03458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5738D9" w14:textId="1F718148" w:rsidR="00013F16" w:rsidRDefault="00013F1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79E9C5" w14:textId="77777777" w:rsidR="00013F16" w:rsidRDefault="00013F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1ACD71" w14:textId="77777777" w:rsidR="0048055C" w:rsidRDefault="0048055C" w:rsidP="00DB4770">
      <w:pPr>
        <w:spacing w:after="0" w:line="240" w:lineRule="auto"/>
      </w:pPr>
      <w:r>
        <w:separator/>
      </w:r>
    </w:p>
  </w:footnote>
  <w:footnote w:type="continuationSeparator" w:id="0">
    <w:p w14:paraId="29BB5200" w14:textId="77777777" w:rsidR="0048055C" w:rsidRDefault="0048055C" w:rsidP="00DB4770">
      <w:pPr>
        <w:spacing w:after="0" w:line="240" w:lineRule="auto"/>
      </w:pPr>
      <w:r>
        <w:continuationSeparator/>
      </w:r>
    </w:p>
  </w:footnote>
  <w:footnote w:id="1">
    <w:p w14:paraId="058465BF" w14:textId="01B148CC" w:rsidR="00D77DA5" w:rsidRPr="007668D7" w:rsidRDefault="00D77D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528777955"/>
      <w:r w:rsidR="007668D7" w:rsidRPr="007668D7">
        <w:t>Château de Versailles</w:t>
      </w:r>
      <w:r w:rsidR="007668D7">
        <w:t xml:space="preserve">, </w:t>
      </w:r>
      <w:r w:rsidR="007668D7" w:rsidRPr="007668D7">
        <w:rPr>
          <w:i/>
        </w:rPr>
        <w:t xml:space="preserve">The oath of the </w:t>
      </w:r>
      <w:proofErr w:type="spellStart"/>
      <w:r w:rsidR="007668D7" w:rsidRPr="007668D7">
        <w:rPr>
          <w:i/>
        </w:rPr>
        <w:t>Jeu</w:t>
      </w:r>
      <w:proofErr w:type="spellEnd"/>
      <w:r w:rsidR="007668D7" w:rsidRPr="007668D7">
        <w:rPr>
          <w:i/>
        </w:rPr>
        <w:t xml:space="preserve"> de </w:t>
      </w:r>
      <w:proofErr w:type="spellStart"/>
      <w:r w:rsidR="007668D7" w:rsidRPr="007668D7">
        <w:rPr>
          <w:i/>
        </w:rPr>
        <w:t>Paume</w:t>
      </w:r>
      <w:proofErr w:type="spellEnd"/>
      <w:r w:rsidR="007668D7" w:rsidRPr="007668D7">
        <w:rPr>
          <w:i/>
        </w:rPr>
        <w:t>, June 20, 1789</w:t>
      </w:r>
      <w:r w:rsidR="008B1735">
        <w:rPr>
          <w:i/>
        </w:rPr>
        <w:t>,</w:t>
      </w:r>
      <w:r w:rsidR="007668D7">
        <w:rPr>
          <w:i/>
        </w:rPr>
        <w:t xml:space="preserve"> </w:t>
      </w:r>
      <w:hyperlink r:id="rId1" w:history="1">
        <w:r w:rsidR="004778F9" w:rsidRPr="00AB232A">
          <w:rPr>
            <w:rStyle w:val="Hyperlink"/>
          </w:rPr>
          <w:t>http://collections.chateauversailles.fr/#44b4a8c3-73a9-42c5-8aa5-3e3ff432459f</w:t>
        </w:r>
      </w:hyperlink>
      <w:r w:rsidR="004778F9">
        <w:t xml:space="preserve"> [Accessed 27 October 2018]. </w:t>
      </w:r>
      <w:bookmarkEnd w:id="1"/>
    </w:p>
  </w:footnote>
  <w:footnote w:id="2">
    <w:p w14:paraId="434EF446" w14:textId="503F4177" w:rsidR="00D77DA5" w:rsidRDefault="00D77DA5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3">
    <w:p w14:paraId="1E2105A6" w14:textId="4A40F183" w:rsidR="00D77DA5" w:rsidRDefault="00D77DA5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4">
    <w:p w14:paraId="1362F7E7" w14:textId="5098428D" w:rsidR="0042582D" w:rsidRDefault="0042582D">
      <w:pPr>
        <w:pStyle w:val="FootnoteText"/>
      </w:pPr>
      <w:r>
        <w:rPr>
          <w:rStyle w:val="FootnoteReference"/>
        </w:rPr>
        <w:footnoteRef/>
      </w:r>
      <w:r>
        <w:t xml:space="preserve"> Ibid. </w:t>
      </w:r>
    </w:p>
  </w:footnote>
  <w:footnote w:id="5">
    <w:p w14:paraId="300BAC0E" w14:textId="49C31F15" w:rsidR="0042582D" w:rsidRDefault="004258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78F9">
        <w:t>I</w:t>
      </w:r>
      <w:r>
        <w:t>bid</w:t>
      </w:r>
      <w:r w:rsidR="004778F9">
        <w:t>.</w:t>
      </w:r>
    </w:p>
  </w:footnote>
  <w:footnote w:id="6">
    <w:p w14:paraId="1B2503EC" w14:textId="686FBA81" w:rsidR="00205904" w:rsidRDefault="002059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528779126"/>
      <w:proofErr w:type="spellStart"/>
      <w:r w:rsidR="0078394A">
        <w:t>Carnavalet</w:t>
      </w:r>
      <w:proofErr w:type="spellEnd"/>
      <w:r w:rsidR="0078394A">
        <w:t xml:space="preserve"> </w:t>
      </w:r>
      <w:proofErr w:type="spellStart"/>
      <w:r w:rsidR="0078394A">
        <w:t>Histoire</w:t>
      </w:r>
      <w:proofErr w:type="spellEnd"/>
      <w:r w:rsidR="0078394A">
        <w:t xml:space="preserve"> de Paris, </w:t>
      </w:r>
      <w:r w:rsidR="0078394A">
        <w:rPr>
          <w:i/>
        </w:rPr>
        <w:t xml:space="preserve">Le </w:t>
      </w:r>
      <w:proofErr w:type="spellStart"/>
      <w:r w:rsidR="0078394A">
        <w:rPr>
          <w:i/>
        </w:rPr>
        <w:t>serment</w:t>
      </w:r>
      <w:proofErr w:type="spellEnd"/>
      <w:r w:rsidR="0078394A">
        <w:rPr>
          <w:i/>
        </w:rPr>
        <w:t xml:space="preserve"> du </w:t>
      </w:r>
      <w:proofErr w:type="spellStart"/>
      <w:r w:rsidR="0078394A">
        <w:rPr>
          <w:i/>
        </w:rPr>
        <w:t>Jeu</w:t>
      </w:r>
      <w:proofErr w:type="spellEnd"/>
      <w:r w:rsidR="0078394A">
        <w:rPr>
          <w:i/>
        </w:rPr>
        <w:t xml:space="preserve"> de </w:t>
      </w:r>
      <w:proofErr w:type="spellStart"/>
      <w:r w:rsidR="0078394A">
        <w:rPr>
          <w:i/>
        </w:rPr>
        <w:t>Paume</w:t>
      </w:r>
      <w:proofErr w:type="spellEnd"/>
      <w:r w:rsidR="0078394A">
        <w:rPr>
          <w:i/>
        </w:rPr>
        <w:t xml:space="preserve"> le 20 </w:t>
      </w:r>
      <w:proofErr w:type="spellStart"/>
      <w:r w:rsidR="0078394A">
        <w:rPr>
          <w:i/>
        </w:rPr>
        <w:t>juin</w:t>
      </w:r>
      <w:proofErr w:type="spellEnd"/>
      <w:r w:rsidR="0078394A">
        <w:rPr>
          <w:i/>
        </w:rPr>
        <w:t xml:space="preserve"> 1789</w:t>
      </w:r>
      <w:r w:rsidR="008B1735">
        <w:rPr>
          <w:i/>
        </w:rPr>
        <w:t>,</w:t>
      </w:r>
      <w:r w:rsidR="0078394A">
        <w:t xml:space="preserve"> </w:t>
      </w:r>
      <w:hyperlink r:id="rId2" w:history="1">
        <w:r w:rsidR="0078394A" w:rsidRPr="00AB232A">
          <w:rPr>
            <w:rStyle w:val="Hyperlink"/>
          </w:rPr>
          <w:t>http://www.carnavalet.paris.fr/en/collections/le-serment-du-jeu-de-paume-le-20-juin-1789</w:t>
        </w:r>
      </w:hyperlink>
      <w:r w:rsidR="0078394A">
        <w:t xml:space="preserve"> [Accessed 27 October 2018].</w:t>
      </w:r>
      <w:bookmarkEnd w:id="2"/>
    </w:p>
  </w:footnote>
  <w:footnote w:id="7">
    <w:p w14:paraId="105572AA" w14:textId="13DB0F00" w:rsidR="008537D4" w:rsidRDefault="008537D4">
      <w:pPr>
        <w:pStyle w:val="FootnoteText"/>
      </w:pPr>
      <w:r>
        <w:rPr>
          <w:rStyle w:val="FootnoteReference"/>
        </w:rPr>
        <w:footnoteRef/>
      </w:r>
      <w:r w:rsidR="0078394A">
        <w:t xml:space="preserve"> </w:t>
      </w:r>
      <w:bookmarkStart w:id="3" w:name="_Hlk528779505"/>
      <w:r w:rsidR="0078394A">
        <w:t xml:space="preserve">Jacques Louis David, </w:t>
      </w:r>
      <w:r w:rsidR="0078394A">
        <w:rPr>
          <w:i/>
        </w:rPr>
        <w:t xml:space="preserve">The Complete Works. </w:t>
      </w:r>
      <w:hyperlink r:id="rId3" w:history="1">
        <w:r w:rsidR="0078394A" w:rsidRPr="00AB232A">
          <w:rPr>
            <w:rStyle w:val="Hyperlink"/>
          </w:rPr>
          <w:t>https://www.jacqueslouisdavid.org/the-complete-works.html</w:t>
        </w:r>
      </w:hyperlink>
      <w:r w:rsidR="0078394A">
        <w:t xml:space="preserve"> [Accessed </w:t>
      </w:r>
      <w:r w:rsidR="001D29A8">
        <w:t>27 October 2018].</w:t>
      </w:r>
      <w:bookmarkEnd w:id="3"/>
    </w:p>
  </w:footnote>
  <w:footnote w:id="8">
    <w:p w14:paraId="3B01A8DC" w14:textId="6686BC08" w:rsidR="006E4F77" w:rsidRDefault="006E4F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00D77">
        <w:t>Ibid.</w:t>
      </w:r>
    </w:p>
  </w:footnote>
  <w:footnote w:id="9">
    <w:p w14:paraId="52F1D01B" w14:textId="594ADDE1" w:rsidR="005578BD" w:rsidRDefault="005578BD">
      <w:pPr>
        <w:pStyle w:val="FootnoteText"/>
      </w:pPr>
      <w:r>
        <w:rPr>
          <w:rStyle w:val="FootnoteReference"/>
        </w:rPr>
        <w:footnoteRef/>
      </w:r>
      <w:r w:rsidR="008B1735">
        <w:t xml:space="preserve"> </w:t>
      </w:r>
      <w:bookmarkStart w:id="4" w:name="_Hlk528781335"/>
      <w:r w:rsidR="008B1735" w:rsidRPr="008B1735">
        <w:t>K, Wolfgang.</w:t>
      </w:r>
      <w:r w:rsidR="008B1735">
        <w:t xml:space="preserve"> </w:t>
      </w:r>
      <w:r w:rsidR="008B1735" w:rsidRPr="008B1735">
        <w:rPr>
          <w:i/>
        </w:rPr>
        <w:t xml:space="preserve">The </w:t>
      </w:r>
      <w:proofErr w:type="spellStart"/>
      <w:r w:rsidR="008B1735" w:rsidRPr="008B1735">
        <w:rPr>
          <w:i/>
        </w:rPr>
        <w:t>theater</w:t>
      </w:r>
      <w:proofErr w:type="spellEnd"/>
      <w:r w:rsidR="008B1735" w:rsidRPr="008B1735">
        <w:rPr>
          <w:i/>
        </w:rPr>
        <w:t xml:space="preserve"> of Revolution: a new interpretation of Jacques-Louis David's Tennis Court Oath.</w:t>
      </w:r>
      <w:r w:rsidR="008B1735" w:rsidRPr="008B1735">
        <w:t xml:space="preserve"> (</w:t>
      </w:r>
      <w:r w:rsidR="00080F31" w:rsidRPr="00080F31">
        <w:t>Visual Culture: Images &amp; Interpretations</w:t>
      </w:r>
      <w:r w:rsidR="00080F31">
        <w:t xml:space="preserve">, </w:t>
      </w:r>
      <w:r w:rsidR="008B1735" w:rsidRPr="008B1735">
        <w:t>1994) 202-227</w:t>
      </w:r>
      <w:r w:rsidR="00080F31">
        <w:t xml:space="preserve">, </w:t>
      </w:r>
      <w:r w:rsidR="008B1735">
        <w:t xml:space="preserve">p. </w:t>
      </w:r>
      <w:r w:rsidR="009D18C2">
        <w:t>202</w:t>
      </w:r>
      <w:r w:rsidR="008B1735">
        <w:t>.</w:t>
      </w:r>
      <w:bookmarkEnd w:id="4"/>
    </w:p>
  </w:footnote>
  <w:footnote w:id="10">
    <w:p w14:paraId="724BD1B9" w14:textId="2C251F34" w:rsidR="00CB5B3F" w:rsidRDefault="006717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C09FB">
        <w:t>Wolfgang, Revolution, 1994, p. 202.</w:t>
      </w:r>
    </w:p>
  </w:footnote>
  <w:footnote w:id="11">
    <w:p w14:paraId="5CFC2D53" w14:textId="0F1DABC1" w:rsidR="00DF7BE2" w:rsidRDefault="00DF7B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80F31">
        <w:t xml:space="preserve">J, H, Robinson, ‘The Tennis Court Oath’ </w:t>
      </w:r>
      <w:r w:rsidR="00080F31">
        <w:rPr>
          <w:i/>
        </w:rPr>
        <w:t xml:space="preserve">Political Science Quarterly, </w:t>
      </w:r>
      <w:r w:rsidR="00080F31">
        <w:t>Vol: 10</w:t>
      </w:r>
      <w:r w:rsidR="004C1EF8">
        <w:t>, 3, 1895</w:t>
      </w:r>
      <w:r w:rsidR="004C1EF8">
        <w:rPr>
          <w:i/>
        </w:rPr>
        <w:t xml:space="preserve">, </w:t>
      </w:r>
      <w:r w:rsidR="004C1EF8">
        <w:t xml:space="preserve">p. </w:t>
      </w:r>
      <w:r>
        <w:t>461-465</w:t>
      </w:r>
      <w:r w:rsidR="004C1EF8">
        <w:t>.</w:t>
      </w:r>
    </w:p>
  </w:footnote>
  <w:footnote w:id="12">
    <w:p w14:paraId="418DA491" w14:textId="0F62C01F" w:rsidR="000D01D2" w:rsidRDefault="000D01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1EF8">
        <w:t xml:space="preserve">W, Roberts. </w:t>
      </w:r>
      <w:r w:rsidR="004C1EF8" w:rsidRPr="004C1EF8">
        <w:rPr>
          <w:i/>
        </w:rPr>
        <w:t xml:space="preserve">Jacques-Louis David and Jean-Louis </w:t>
      </w:r>
      <w:proofErr w:type="spellStart"/>
      <w:r w:rsidR="004C1EF8" w:rsidRPr="004C1EF8">
        <w:rPr>
          <w:i/>
        </w:rPr>
        <w:t>Prieur</w:t>
      </w:r>
      <w:proofErr w:type="spellEnd"/>
      <w:r w:rsidR="004C1EF8" w:rsidRPr="004C1EF8">
        <w:rPr>
          <w:i/>
        </w:rPr>
        <w:t>, Revolutionary Artists: The Public, the Populace, and Images of the French Revolution</w:t>
      </w:r>
      <w:r w:rsidR="004C1EF8">
        <w:rPr>
          <w:i/>
        </w:rPr>
        <w:t xml:space="preserve"> </w:t>
      </w:r>
      <w:r w:rsidR="004C1EF8">
        <w:t xml:space="preserve">(Albany: New York, 2000) </w:t>
      </w:r>
      <w:r>
        <w:t>p</w:t>
      </w:r>
      <w:r w:rsidR="004C1EF8">
        <w:t xml:space="preserve">. </w:t>
      </w:r>
      <w:r>
        <w:t>261</w:t>
      </w:r>
      <w:r w:rsidR="00AF7F2C">
        <w:t>.</w:t>
      </w:r>
    </w:p>
  </w:footnote>
  <w:footnote w:id="13">
    <w:p w14:paraId="21D4F00F" w14:textId="4BF85B33" w:rsidR="000652C5" w:rsidRDefault="000652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528782332"/>
      <w:r w:rsidR="00AF7F2C">
        <w:t xml:space="preserve">P. </w:t>
      </w:r>
      <w:proofErr w:type="spellStart"/>
      <w:r w:rsidR="00AF7F2C">
        <w:t>Bordes</w:t>
      </w:r>
      <w:proofErr w:type="spellEnd"/>
      <w:r w:rsidR="00AF7F2C">
        <w:t>, ‘</w:t>
      </w:r>
      <w:r w:rsidR="00AF7F2C" w:rsidRPr="00AF7F2C">
        <w:t>Jacques-Louis David's '</w:t>
      </w:r>
      <w:proofErr w:type="spellStart"/>
      <w:r w:rsidR="00AF7F2C" w:rsidRPr="00AF7F2C">
        <w:t>Serment</w:t>
      </w:r>
      <w:proofErr w:type="spellEnd"/>
      <w:r w:rsidR="00AF7F2C" w:rsidRPr="00AF7F2C">
        <w:t xml:space="preserve"> du </w:t>
      </w:r>
      <w:proofErr w:type="spellStart"/>
      <w:r w:rsidR="00AF7F2C" w:rsidRPr="00AF7F2C">
        <w:t>Jeu</w:t>
      </w:r>
      <w:proofErr w:type="spellEnd"/>
      <w:r w:rsidR="00AF7F2C" w:rsidRPr="00AF7F2C">
        <w:t xml:space="preserve"> de </w:t>
      </w:r>
      <w:proofErr w:type="spellStart"/>
      <w:r w:rsidR="00AF7F2C" w:rsidRPr="00AF7F2C">
        <w:t>Paume</w:t>
      </w:r>
      <w:proofErr w:type="spellEnd"/>
      <w:r w:rsidR="00AF7F2C" w:rsidRPr="00AF7F2C">
        <w:t>': Propaganda without a Cause?</w:t>
      </w:r>
      <w:r w:rsidR="00AF7F2C">
        <w:t xml:space="preserve">’ </w:t>
      </w:r>
      <w:r w:rsidR="00AF7F2C">
        <w:rPr>
          <w:i/>
        </w:rPr>
        <w:t xml:space="preserve">Oxford Art Journal, </w:t>
      </w:r>
      <w:r w:rsidR="00AF7F2C">
        <w:t xml:space="preserve">Vol: 3, 2, 1980, 19-25 p. </w:t>
      </w:r>
      <w:r>
        <w:t>21</w:t>
      </w:r>
      <w:r w:rsidR="00AF7F2C">
        <w:t>.</w:t>
      </w:r>
      <w:bookmarkEnd w:id="5"/>
    </w:p>
  </w:footnote>
  <w:footnote w:id="14">
    <w:p w14:paraId="6C924223" w14:textId="77777777" w:rsidR="006C09FB" w:rsidRDefault="006C09FB" w:rsidP="006C09FB">
      <w:pPr>
        <w:pStyle w:val="FootnoteText"/>
      </w:pPr>
      <w:r>
        <w:rPr>
          <w:rStyle w:val="FootnoteReference"/>
        </w:rPr>
        <w:footnoteRef/>
      </w:r>
      <w:r>
        <w:t xml:space="preserve"> L. Ward, </w:t>
      </w:r>
      <w:r w:rsidRPr="001D29A8">
        <w:rPr>
          <w:i/>
        </w:rPr>
        <w:t>Jacques-Loui</w:t>
      </w:r>
      <w:r>
        <w:rPr>
          <w:i/>
        </w:rPr>
        <w:t xml:space="preserve">s </w:t>
      </w:r>
      <w:r w:rsidRPr="008B1735">
        <w:rPr>
          <w:i/>
        </w:rPr>
        <w:t>David Political Artist</w:t>
      </w:r>
      <w:r>
        <w:rPr>
          <w:i/>
        </w:rPr>
        <w:t xml:space="preserve">, </w:t>
      </w:r>
      <w:r>
        <w:t xml:space="preserve">2010, </w:t>
      </w:r>
      <w:hyperlink r:id="rId4" w:history="1">
        <w:r w:rsidRPr="00AB232A">
          <w:rPr>
            <w:rStyle w:val="Hyperlink"/>
          </w:rPr>
          <w:t>http://blogs.getty.edu/iris/jacques-louis-david-political-arti</w:t>
        </w:r>
        <w:r w:rsidRPr="00AB232A">
          <w:rPr>
            <w:rStyle w:val="Hyperlink"/>
          </w:rPr>
          <w:t>s</w:t>
        </w:r>
        <w:r w:rsidRPr="00AB232A">
          <w:rPr>
            <w:rStyle w:val="Hyperlink"/>
          </w:rPr>
          <w:t>t/</w:t>
        </w:r>
      </w:hyperlink>
      <w:r>
        <w:t xml:space="preserve"> [Accessed 30 October].</w:t>
      </w:r>
    </w:p>
  </w:footnote>
  <w:footnote w:id="15">
    <w:p w14:paraId="42720247" w14:textId="0276FF1B" w:rsidR="00FC72D5" w:rsidRPr="00033DEC" w:rsidRDefault="00FC72D5">
      <w:pPr>
        <w:pStyle w:val="FootnoteText"/>
      </w:pPr>
      <w:r>
        <w:rPr>
          <w:rStyle w:val="FootnoteReference"/>
        </w:rPr>
        <w:footnoteRef/>
      </w:r>
      <w:r w:rsidR="00033DEC">
        <w:t xml:space="preserve"> </w:t>
      </w:r>
      <w:bookmarkStart w:id="6" w:name="_Hlk528782851"/>
      <w:r w:rsidR="00033DEC">
        <w:t xml:space="preserve">A, McClellan, </w:t>
      </w:r>
      <w:r w:rsidR="00033DEC" w:rsidRPr="00033DEC">
        <w:rPr>
          <w:i/>
        </w:rPr>
        <w:t>Inventing the Louvre: Art, Politics, and the Origins of the Modern Museum in Eighteenth-Century Paris</w:t>
      </w:r>
      <w:r w:rsidR="00033DEC">
        <w:rPr>
          <w:i/>
        </w:rPr>
        <w:t xml:space="preserve"> </w:t>
      </w:r>
      <w:r w:rsidR="00033DEC">
        <w:t>(Cambridge: University California Press, 1999) p. 169.</w:t>
      </w:r>
    </w:p>
    <w:bookmarkEnd w:id="6"/>
    <w:p w14:paraId="5306C0D1" w14:textId="77777777" w:rsidR="00FC72D5" w:rsidRDefault="00FC72D5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B2EBB2" w14:textId="06575950" w:rsidR="00DB4770" w:rsidRDefault="00DB4770">
    <w:pPr>
      <w:pStyle w:val="Header"/>
    </w:pPr>
    <w:r>
      <w:t>Lee Perkins</w:t>
    </w:r>
    <w:r>
      <w:tab/>
      <w:t>The Age of Revolution</w:t>
    </w:r>
    <w:r>
      <w:tab/>
      <w:t>1711094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770"/>
    <w:rsid w:val="00013F16"/>
    <w:rsid w:val="00020B29"/>
    <w:rsid w:val="0002476C"/>
    <w:rsid w:val="0002501C"/>
    <w:rsid w:val="00033DEC"/>
    <w:rsid w:val="00037C55"/>
    <w:rsid w:val="000652C5"/>
    <w:rsid w:val="00080F31"/>
    <w:rsid w:val="000D01D2"/>
    <w:rsid w:val="001355BD"/>
    <w:rsid w:val="00166060"/>
    <w:rsid w:val="001D29A8"/>
    <w:rsid w:val="00205904"/>
    <w:rsid w:val="002251FC"/>
    <w:rsid w:val="002779F4"/>
    <w:rsid w:val="002C2073"/>
    <w:rsid w:val="002D0127"/>
    <w:rsid w:val="00324929"/>
    <w:rsid w:val="003701A6"/>
    <w:rsid w:val="003850FD"/>
    <w:rsid w:val="0040598A"/>
    <w:rsid w:val="00417A02"/>
    <w:rsid w:val="0042582D"/>
    <w:rsid w:val="004778F9"/>
    <w:rsid w:val="0048055C"/>
    <w:rsid w:val="004C1EF8"/>
    <w:rsid w:val="004C6054"/>
    <w:rsid w:val="00542A2F"/>
    <w:rsid w:val="00547671"/>
    <w:rsid w:val="005578BD"/>
    <w:rsid w:val="00573BF5"/>
    <w:rsid w:val="00586C40"/>
    <w:rsid w:val="00596C8D"/>
    <w:rsid w:val="00597641"/>
    <w:rsid w:val="00640FEE"/>
    <w:rsid w:val="00657866"/>
    <w:rsid w:val="0067095E"/>
    <w:rsid w:val="00671737"/>
    <w:rsid w:val="0067230B"/>
    <w:rsid w:val="0069438C"/>
    <w:rsid w:val="006C09FB"/>
    <w:rsid w:val="006E3DE9"/>
    <w:rsid w:val="006E4F77"/>
    <w:rsid w:val="007231E6"/>
    <w:rsid w:val="0073047A"/>
    <w:rsid w:val="007668D7"/>
    <w:rsid w:val="0078394A"/>
    <w:rsid w:val="007A2294"/>
    <w:rsid w:val="007A61CD"/>
    <w:rsid w:val="007E0565"/>
    <w:rsid w:val="008537D4"/>
    <w:rsid w:val="008A7300"/>
    <w:rsid w:val="008B1735"/>
    <w:rsid w:val="00900D77"/>
    <w:rsid w:val="009351FB"/>
    <w:rsid w:val="00961DFB"/>
    <w:rsid w:val="009B52F7"/>
    <w:rsid w:val="009C74F9"/>
    <w:rsid w:val="009D18C2"/>
    <w:rsid w:val="009D2718"/>
    <w:rsid w:val="00A22D38"/>
    <w:rsid w:val="00A90F3B"/>
    <w:rsid w:val="00AF7F2C"/>
    <w:rsid w:val="00B10DF9"/>
    <w:rsid w:val="00B15523"/>
    <w:rsid w:val="00B23385"/>
    <w:rsid w:val="00B359BC"/>
    <w:rsid w:val="00B77767"/>
    <w:rsid w:val="00C13034"/>
    <w:rsid w:val="00C31C9A"/>
    <w:rsid w:val="00C845E2"/>
    <w:rsid w:val="00CB2633"/>
    <w:rsid w:val="00CB5B3F"/>
    <w:rsid w:val="00D214D0"/>
    <w:rsid w:val="00D7559D"/>
    <w:rsid w:val="00D77DA5"/>
    <w:rsid w:val="00DB4770"/>
    <w:rsid w:val="00DF7BE2"/>
    <w:rsid w:val="00E60245"/>
    <w:rsid w:val="00EB4DFA"/>
    <w:rsid w:val="00EF3B99"/>
    <w:rsid w:val="00FC72D5"/>
    <w:rsid w:val="00FD6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F8918B"/>
  <w15:chartTrackingRefBased/>
  <w15:docId w15:val="{42F89521-3563-4584-97F4-26E5A9186B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HAnsi"/>
        <w:spacing w:val="20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B47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4770"/>
  </w:style>
  <w:style w:type="paragraph" w:styleId="Footer">
    <w:name w:val="footer"/>
    <w:basedOn w:val="Normal"/>
    <w:link w:val="FooterChar"/>
    <w:uiPriority w:val="99"/>
    <w:unhideWhenUsed/>
    <w:rsid w:val="00DB47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4770"/>
  </w:style>
  <w:style w:type="paragraph" w:styleId="FootnoteText">
    <w:name w:val="footnote text"/>
    <w:basedOn w:val="Normal"/>
    <w:link w:val="FootnoteTextChar"/>
    <w:uiPriority w:val="99"/>
    <w:semiHidden/>
    <w:unhideWhenUsed/>
    <w:rsid w:val="008537D4"/>
    <w:pPr>
      <w:spacing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537D4"/>
  </w:style>
  <w:style w:type="character" w:styleId="FootnoteReference">
    <w:name w:val="footnote reference"/>
    <w:basedOn w:val="DefaultParagraphFont"/>
    <w:uiPriority w:val="99"/>
    <w:semiHidden/>
    <w:unhideWhenUsed/>
    <w:rsid w:val="008537D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B5B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5B3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16606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66060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66060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6606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66060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6606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6060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8B173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jacqueslouisdavid.org/the-complete-works.html" TargetMode="External"/><Relationship Id="rId2" Type="http://schemas.openxmlformats.org/officeDocument/2006/relationships/hyperlink" Target="http://www.carnavalet.paris.fr/en/collections/le-serment-du-jeu-de-paume-le-20-juin-1789" TargetMode="External"/><Relationship Id="rId1" Type="http://schemas.openxmlformats.org/officeDocument/2006/relationships/hyperlink" Target="http://collections.chateauversailles.fr/#44b4a8c3-73a9-42c5-8aa5-3e3ff432459f" TargetMode="External"/><Relationship Id="rId4" Type="http://schemas.openxmlformats.org/officeDocument/2006/relationships/hyperlink" Target="http://blogs.getty.edu/iris/jacques-louis-david-political-artis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4A47BB-BA38-4CF7-A605-08B80648AC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839</Words>
  <Characters>4787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Perks</cp:lastModifiedBy>
  <cp:revision>2</cp:revision>
  <cp:lastPrinted>2018-11-01T09:18:00Z</cp:lastPrinted>
  <dcterms:created xsi:type="dcterms:W3CDTF">2018-11-01T10:15:00Z</dcterms:created>
  <dcterms:modified xsi:type="dcterms:W3CDTF">2018-11-01T10:15:00Z</dcterms:modified>
</cp:coreProperties>
</file>