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1">
      <w:pPr>
        <w:spacing w:line="360" w:lineRule="auto"/>
        <w:contextualSpacing w:val="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2">
      <w:pPr>
        <w:spacing w:line="360" w:lineRule="auto"/>
        <w:contextualSpacing w:val="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spacing w:line="360" w:lineRule="auto"/>
        <w:contextualSpacing w:val="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pacing w:line="360" w:lineRule="auto"/>
        <w:contextualSpacing w:val="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line="360" w:lineRule="auto"/>
        <w:contextualSpacing w:val="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spacing w:line="360" w:lineRule="auto"/>
        <w:contextualSpacing w:val="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spacing w:line="360" w:lineRule="auto"/>
        <w:contextualSpacing w:val="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8">
      <w:pPr>
        <w:spacing w:line="360" w:lineRule="auto"/>
        <w:contextualSpacing w:val="0"/>
        <w:jc w:val="center"/>
        <w:rPr>
          <w:rFonts w:ascii="Times New Roman" w:cs="Times New Roman" w:eastAsia="Times New Roman" w:hAnsi="Times New Roman"/>
          <w:b w:val="1"/>
          <w:sz w:val="32"/>
          <w:szCs w:val="32"/>
        </w:rPr>
      </w:pPr>
      <w:bookmarkStart w:colFirst="0" w:colLast="0" w:name="_gjdgxs" w:id="0"/>
      <w:bookmarkEnd w:id="0"/>
      <w:r w:rsidDel="00000000" w:rsidR="00000000" w:rsidRPr="00000000">
        <w:rPr>
          <w:rFonts w:ascii="Times New Roman" w:cs="Times New Roman" w:eastAsia="Times New Roman" w:hAnsi="Times New Roman"/>
          <w:b w:val="1"/>
          <w:sz w:val="32"/>
          <w:szCs w:val="32"/>
          <w:rtl w:val="0"/>
        </w:rPr>
        <w:t xml:space="preserve">Name: Mazarache maria roxana</w:t>
      </w:r>
    </w:p>
    <w:p w:rsidR="00000000" w:rsidDel="00000000" w:rsidP="00000000" w:rsidRDefault="00000000" w:rsidRPr="00000000" w14:paraId="00000009">
      <w:pPr>
        <w:spacing w:line="360" w:lineRule="auto"/>
        <w:contextualSpacing w:val="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id: 1913879</w:t>
      </w:r>
    </w:p>
    <w:p w:rsidR="00000000" w:rsidDel="00000000" w:rsidP="00000000" w:rsidRDefault="00000000" w:rsidRPr="00000000" w14:paraId="0000000A">
      <w:pPr>
        <w:spacing w:line="360" w:lineRule="auto"/>
        <w:contextualSpacing w:val="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Tutor name: Rahman ahmed</w:t>
      </w:r>
    </w:p>
    <w:p w:rsidR="00000000" w:rsidDel="00000000" w:rsidP="00000000" w:rsidRDefault="00000000" w:rsidRPr="00000000" w14:paraId="0000000B">
      <w:pPr>
        <w:spacing w:line="360" w:lineRule="auto"/>
        <w:contextualSpacing w:val="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University of Wales   Trinity Saint David</w:t>
      </w:r>
    </w:p>
    <w:p w:rsidR="00000000" w:rsidDel="00000000" w:rsidP="00000000" w:rsidRDefault="00000000" w:rsidRPr="00000000" w14:paraId="0000000C">
      <w:pPr>
        <w:spacing w:line="360" w:lineRule="auto"/>
        <w:contextualSpacing w:val="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Employability skills</w:t>
      </w:r>
    </w:p>
    <w:p w:rsidR="00000000" w:rsidDel="00000000" w:rsidP="00000000" w:rsidRDefault="00000000" w:rsidRPr="00000000" w14:paraId="0000000D">
      <w:pPr>
        <w:spacing w:line="360" w:lineRule="auto"/>
        <w:contextualSpacing w:val="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BMSW4001_Lon</w:t>
      </w:r>
    </w:p>
    <w:p w:rsidR="00000000" w:rsidDel="00000000" w:rsidP="00000000" w:rsidRDefault="00000000" w:rsidRPr="00000000" w14:paraId="0000000E">
      <w:pPr>
        <w:contextualSpacing w:val="0"/>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contextualSpacing w:val="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Article 1</w:t>
              <w:tab/>
              <w:t xml:space="preserve">3</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Article 2</w:t>
              <w:tab/>
              <w:t xml:space="preserve">4</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Article 3</w:t>
              <w:tab/>
              <w:t xml:space="preserve">4</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Article 4</w:t>
              <w:tab/>
              <w:t xml:space="preserve">5</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Article 5</w:t>
              <w:tab/>
              <w:t xml:space="preserve">6</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Article 6</w:t>
              <w:tab/>
              <w:t xml:space="preserve">7</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Employability Skills</w:t>
              <w:tab/>
              <w:t xml:space="preserve">8</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A">
          <w:pPr>
            <w:spacing w:line="360" w:lineRule="auto"/>
            <w:contextualSpacing w:val="0"/>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contextualSpacing w:val="0"/>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contextualSpacing w:val="0"/>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1D">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Employability can be defined as having certain knowledge, characteristics, and skills which will increase an individual’s ability to gain, maintain or change employment as deemed necessary. As competitiveness within various markets continue to increase, it is vital for everyone to remain aware about their current employability skills. Such knowledge will not only help a person to leverage their strengths, but also participate in activities that might enhance their existing skills and knowledge. The aim of this assignment is to look at six different articles that focus on the concept of employability. It will not only allow me to gain more insight about the concept, but also allow me to look at my employability skills in a critiquing light.</w:t>
      </w:r>
    </w:p>
    <w:p w:rsidR="00000000" w:rsidDel="00000000" w:rsidP="00000000" w:rsidRDefault="00000000" w:rsidRPr="00000000" w14:paraId="0000001E">
      <w:pPr>
        <w:pStyle w:val="Heading1"/>
        <w:contextualSpacing w:val="0"/>
        <w:rPr/>
      </w:pPr>
      <w:bookmarkStart w:colFirst="0" w:colLast="0" w:name="_1fob9te" w:id="2"/>
      <w:bookmarkEnd w:id="2"/>
      <w:r w:rsidDel="00000000" w:rsidR="00000000" w:rsidRPr="00000000">
        <w:rPr>
          <w:rtl w:val="0"/>
        </w:rPr>
        <w:t xml:space="preserve">Article 1</w:t>
      </w:r>
    </w:p>
    <w:p w:rsidR="00000000" w:rsidDel="00000000" w:rsidP="00000000" w:rsidRDefault="00000000" w:rsidRPr="00000000" w14:paraId="0000001F">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 W.E., Ashleigh, M.J. and Baruch, Y., 2018. Students’ perceptions of education and employability. </w:t>
      </w:r>
      <w:r w:rsidDel="00000000" w:rsidR="00000000" w:rsidRPr="00000000">
        <w:rPr>
          <w:rFonts w:ascii="Times New Roman" w:cs="Times New Roman" w:eastAsia="Times New Roman" w:hAnsi="Times New Roman"/>
          <w:i w:val="1"/>
          <w:sz w:val="24"/>
          <w:szCs w:val="24"/>
          <w:rtl w:val="0"/>
        </w:rPr>
        <w:t xml:space="preserve">Career Development International</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0">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this article is to look at the concept of employability with a focus upon student perception. Donald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(2018) analyse how the students perceive higher education (HE) on the basis of employability and earning, as well as the barriers associated with such education. The findings establish that students prefer to pursue HE, mainly because it enhances their CV and employability. Other than that, the students perceived that HE can increase their earning potential and develop their skills. However, students from disadvantageous background did not want to pursue this education because, even it will increase their employability, the incurring debt will be too great to manage. Furthermore, as the students’ progress through their HE, their perception of employability decreases; for they gain more awareness about market competition (Donald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2018). Nevertheless, students are aware of certain strategies, which can increase their employability. These strategies are mainly associated with career advice, partnership with lecturers and additional classes. However, because of lack of intermediary figure, half of the students do not follow through these strategies. Lastly, according to Donald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(2018), most students feel that proper collaboration between academic institutes and potential employers will increase the chances of student employment in this competitive market. The current article has a well-developed methodology with a sample size of 38. The qualitative approach has allowed the researchers to gain a deep insight about how students understand and make decisions on the concept of employability. The usage of open-ended questionnaire has been effective for collective relevant data. However, the small sample size might be problematic for the findings. Lastly, while the research has focused on student’s perception, the viewpoint of both tutors and employers would have been useful as well.</w:t>
      </w:r>
    </w:p>
    <w:p w:rsidR="00000000" w:rsidDel="00000000" w:rsidP="00000000" w:rsidRDefault="00000000" w:rsidRPr="00000000" w14:paraId="00000021">
      <w:pPr>
        <w:pStyle w:val="Heading1"/>
        <w:contextualSpacing w:val="0"/>
        <w:rPr/>
      </w:pPr>
      <w:bookmarkStart w:colFirst="0" w:colLast="0" w:name="_3znysh7" w:id="3"/>
      <w:bookmarkEnd w:id="3"/>
      <w:r w:rsidDel="00000000" w:rsidR="00000000" w:rsidRPr="00000000">
        <w:rPr>
          <w:rtl w:val="0"/>
        </w:rPr>
        <w:t xml:space="preserve">Article 2</w:t>
      </w:r>
    </w:p>
    <w:p w:rsidR="00000000" w:rsidDel="00000000" w:rsidP="00000000" w:rsidRDefault="00000000" w:rsidRPr="00000000" w14:paraId="00000022">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Chhinzer, N. and Russo, A.M., 2018. An exploration of employer perceptions of graduate student employability. </w:t>
      </w:r>
      <w:r w:rsidDel="00000000" w:rsidR="00000000" w:rsidRPr="00000000">
        <w:rPr>
          <w:rFonts w:ascii="Times New Roman" w:cs="Times New Roman" w:eastAsia="Times New Roman" w:hAnsi="Times New Roman"/>
          <w:i w:val="1"/>
          <w:sz w:val="24"/>
          <w:szCs w:val="24"/>
          <w:rtl w:val="0"/>
        </w:rPr>
        <w:t xml:space="preserve">Education+ Training</w:t>
      </w:r>
      <w:r w:rsidDel="00000000" w:rsidR="00000000" w:rsidRPr="00000000">
        <w:rPr>
          <w:rFonts w:ascii="Times New Roman" w:cs="Times New Roman" w:eastAsia="Times New Roman" w:hAnsi="Times New Roman"/>
          <w:sz w:val="24"/>
          <w:szCs w:val="24"/>
          <w:rtl w:val="0"/>
        </w:rPr>
        <w:t xml:space="preserve">, 60(1), pp. 104-120.</w:t>
      </w:r>
    </w:p>
    <w:p w:rsidR="00000000" w:rsidDel="00000000" w:rsidP="00000000" w:rsidRDefault="00000000" w:rsidRPr="00000000" w14:paraId="00000023">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article discusses the perception of the employers on the employability of the students.  According to Chhinzer and Russo (2018), it is important to understand the employers perception as it will allow the students to improve themselves in a more effective manner. The findings of the research establish that the employers perceive the employability of the students on several different factors. These factors are academic achievement, proof of continuous learning, soft skills, problem-solving skills, professionalism, feedback orientation, willingness to work, attitudes and behaviours, industry-specific knowledge, general mental ability and generic skills. In short, there are a plethora of elements that influence the perception of the employers on the employability of the students. Furthermore, the findings point toward a proper balance between technical hard skills and soft skills, both of which are demanded by the employers. Chhinzer and Russo (2018) have stated that educational institutes have to focus upon creating curriculum, which will have a positive impact on these identified factors. Furthermore, the employers need to keep a holistic approach toward their employment methods in order to remain unbiased and more open to a diverse workforce with different skillsets. According to Chhinzer and Russo (2018), work-terms for the students will make them ready for workplace environment and develop their professional skills that are asked by the employers. Overall, the article has focused on gathering both quantitative and qualitative data from a sample size of 122 employers. The mixed method approach also allowed the researchers to analyse the data more efficiently. Therefore, the findings of the article are relevant.</w:t>
      </w:r>
    </w:p>
    <w:p w:rsidR="00000000" w:rsidDel="00000000" w:rsidP="00000000" w:rsidRDefault="00000000" w:rsidRPr="00000000" w14:paraId="00000024">
      <w:pPr>
        <w:pStyle w:val="Heading1"/>
        <w:contextualSpacing w:val="0"/>
        <w:rPr/>
      </w:pPr>
      <w:bookmarkStart w:colFirst="0" w:colLast="0" w:name="_2et92p0" w:id="4"/>
      <w:bookmarkEnd w:id="4"/>
      <w:r w:rsidDel="00000000" w:rsidR="00000000" w:rsidRPr="00000000">
        <w:rPr>
          <w:rtl w:val="0"/>
        </w:rPr>
        <w:t xml:space="preserve">Article 3</w:t>
      </w:r>
    </w:p>
    <w:p w:rsidR="00000000" w:rsidDel="00000000" w:rsidP="00000000" w:rsidRDefault="00000000" w:rsidRPr="00000000" w14:paraId="00000025">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Marr, B., 2020. </w:t>
      </w:r>
      <w:r w:rsidDel="00000000" w:rsidR="00000000" w:rsidRPr="00000000">
        <w:rPr>
          <w:rFonts w:ascii="Times New Roman" w:cs="Times New Roman" w:eastAsia="Times New Roman" w:hAnsi="Times New Roman"/>
          <w:i w:val="1"/>
          <w:sz w:val="24"/>
          <w:szCs w:val="24"/>
          <w:rtl w:val="0"/>
        </w:rPr>
        <w:t xml:space="preserve">8 job skills to succeed in a post-coronavirus world</w:t>
      </w:r>
      <w:r w:rsidDel="00000000" w:rsidR="00000000" w:rsidRPr="00000000">
        <w:rPr>
          <w:rFonts w:ascii="Times New Roman" w:cs="Times New Roman" w:eastAsia="Times New Roman" w:hAnsi="Times New Roman"/>
          <w:sz w:val="24"/>
          <w:szCs w:val="24"/>
          <w:rtl w:val="0"/>
        </w:rPr>
        <w:t xml:space="preserve">. Available at https://www.forbes.com/sites/bernardmarr/2020/04/17/8-job-skills-to-succeed-in-a-post-coronavirus-world/#3e21984c2096 [Accessed on 20 August 2020]</w:t>
      </w:r>
    </w:p>
    <w:p w:rsidR="00000000" w:rsidDel="00000000" w:rsidP="00000000" w:rsidRDefault="00000000" w:rsidRPr="00000000" w14:paraId="00000026">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chosen article focuses both on the evolving demands of employability skills and the current pandemic-stricken situation of the world. According to Marr (2020), the Covid-19 pandemic will most likely have a permanent impact on business procedures and workplaces. To summarise the article, it enlists 8 vital skills, which will help an individual to increase their employability after the impact of pandemic has subsided down. At first Marr (2020) focuses on adaptability and flexibility, mainly because there is a chance that the operations and working methods of companies might change in a continuous matter. The second skill is technical knowledge. According to Marr (2020), business entities are trying to become more resilient through the implementation of AI, automation, Big Data, IoT, virtual reality. Therefore, an individual has higher chances of getting jobs if they have knowledge about these tools. The third skill creativity and innovation, as the current pandemic has shown the importance of human creativity for bypass the problem. The fourth skill is data literary, mainly because analysis of Big Data allows an entity for better forecasting of demands and trends. The fifth skill is associated with critical thinking, mainly for best decision-making. According to Marr (2020), coding skills will also be necessary, as business entities have gotten more digitally reliant during pandemic. The last two skills are leadership and emotional intelligence (EQ), mainly because most companies would go through major changes. Overall the article has not utilised any kind of methodology to do the findings, but there are some references to other findings regarding the skill recommendations. Moreover, Marr (2020) has focused more on general soft skills such as EQ, leadership, adaptability etc., all of which was required even before pandemic hit the world. In short, the article needed more in-depth analysis.</w:t>
      </w:r>
    </w:p>
    <w:p w:rsidR="00000000" w:rsidDel="00000000" w:rsidP="00000000" w:rsidRDefault="00000000" w:rsidRPr="00000000" w14:paraId="00000027">
      <w:pPr>
        <w:pStyle w:val="Heading1"/>
        <w:contextualSpacing w:val="0"/>
        <w:rPr/>
      </w:pPr>
      <w:bookmarkStart w:colFirst="0" w:colLast="0" w:name="_tyjcwt" w:id="5"/>
      <w:bookmarkEnd w:id="5"/>
      <w:r w:rsidDel="00000000" w:rsidR="00000000" w:rsidRPr="00000000">
        <w:rPr>
          <w:rtl w:val="0"/>
        </w:rPr>
        <w:t xml:space="preserve">Article 4</w:t>
      </w:r>
    </w:p>
    <w:p w:rsidR="00000000" w:rsidDel="00000000" w:rsidP="00000000" w:rsidRDefault="00000000" w:rsidRPr="00000000" w14:paraId="00000028">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 Gregorio, A., Maggioni, I., Mauri, C. and Mazzucchelli, A., 2019. Employability skills for future marketing professionals. </w:t>
      </w:r>
      <w:r w:rsidDel="00000000" w:rsidR="00000000" w:rsidRPr="00000000">
        <w:rPr>
          <w:rFonts w:ascii="Times New Roman" w:cs="Times New Roman" w:eastAsia="Times New Roman" w:hAnsi="Times New Roman"/>
          <w:i w:val="1"/>
          <w:sz w:val="24"/>
          <w:szCs w:val="24"/>
          <w:rtl w:val="0"/>
        </w:rPr>
        <w:t xml:space="preserve">European management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37</w:t>
      </w:r>
      <w:r w:rsidDel="00000000" w:rsidR="00000000" w:rsidRPr="00000000">
        <w:rPr>
          <w:rFonts w:ascii="Times New Roman" w:cs="Times New Roman" w:eastAsia="Times New Roman" w:hAnsi="Times New Roman"/>
          <w:sz w:val="24"/>
          <w:szCs w:val="24"/>
          <w:rtl w:val="0"/>
        </w:rPr>
        <w:t xml:space="preserve">(3), pp.251-258.</w:t>
      </w:r>
    </w:p>
    <w:p w:rsidR="00000000" w:rsidDel="00000000" w:rsidP="00000000" w:rsidRDefault="00000000" w:rsidRPr="00000000" w14:paraId="00000029">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current article elaborates upon how the employability factors associated with marketing has gone through major changes since the implementation of digital technology. The aim of Di Gregorio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(2019) is to generate a framework, which has to recognise the needed skillsets of marketing professionals. The research has found a plethora of employability skills and capabilities, which are presented under the five skill trees of soft skills, technical knowledge, core marketing skills, analytical skills and customer insights kills (Di Gregorio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2019). The literature review establishes that marketing methods have become more data driven with internet-based skills being highly in demand. According to Di Gregorio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2019, the analytical skill-tree with its focus upon data-orientations, problem-solving, critical thinking, statistical ability and report development is the most useful employability factors for the marketing graduates. Furthermore, the research has established a customer-centric model, which should be adapted by any marketing student to enhance their employability in the current marketing method. The researches have given reason for making their framework customer centric by establishing most companies consider customers as the main asset. With the integration of social media, the interaction method between companies and their customers have also changed. The research has not focused much on secondary data of literature review but implemented a quantitative method to gain statistical data. Because of its cross-country survey method, the researchers have managed to utilise a sample of 1.562 participants. Therefore, the possibility of ineffective sampling can be ruled out. While the article mainly focuses on marketing employability, majority of its findings can also be applied in other fields as well.</w:t>
      </w:r>
    </w:p>
    <w:p w:rsidR="00000000" w:rsidDel="00000000" w:rsidP="00000000" w:rsidRDefault="00000000" w:rsidRPr="00000000" w14:paraId="0000002A">
      <w:pPr>
        <w:pStyle w:val="Heading1"/>
        <w:contextualSpacing w:val="0"/>
        <w:rPr/>
      </w:pPr>
      <w:bookmarkStart w:colFirst="0" w:colLast="0" w:name="_3dy6vkm" w:id="6"/>
      <w:bookmarkEnd w:id="6"/>
      <w:r w:rsidDel="00000000" w:rsidR="00000000" w:rsidRPr="00000000">
        <w:rPr>
          <w:rtl w:val="0"/>
        </w:rPr>
        <w:t xml:space="preserve">Article 5</w:t>
      </w:r>
    </w:p>
    <w:p w:rsidR="00000000" w:rsidDel="00000000" w:rsidP="00000000" w:rsidRDefault="00000000" w:rsidRPr="00000000" w14:paraId="0000002B">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Akkermans, J., Tims, M., Beijer, S. and De Cuyper, N., 2019. Should employers invest in employability? Examining employability as a mediator in the HRM–commitment relationship. </w:t>
      </w:r>
      <w:r w:rsidDel="00000000" w:rsidR="00000000" w:rsidRPr="00000000">
        <w:rPr>
          <w:rFonts w:ascii="Times New Roman" w:cs="Times New Roman" w:eastAsia="Times New Roman" w:hAnsi="Times New Roman"/>
          <w:i w:val="1"/>
          <w:sz w:val="24"/>
          <w:szCs w:val="24"/>
          <w:rtl w:val="0"/>
        </w:rPr>
        <w:t xml:space="preserve">Frontiers in Psychology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10</w:t>
      </w:r>
      <w:r w:rsidDel="00000000" w:rsidR="00000000" w:rsidRPr="00000000">
        <w:rPr>
          <w:rFonts w:ascii="Times New Roman" w:cs="Times New Roman" w:eastAsia="Times New Roman" w:hAnsi="Times New Roman"/>
          <w:sz w:val="24"/>
          <w:szCs w:val="24"/>
          <w:rtl w:val="0"/>
        </w:rPr>
        <w:t xml:space="preserve">, p.717.</w:t>
      </w:r>
    </w:p>
    <w:p w:rsidR="00000000" w:rsidDel="00000000" w:rsidP="00000000" w:rsidRDefault="00000000" w:rsidRPr="00000000" w14:paraId="0000002C">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current article mainly focuses on the interrelationship between employability, HR practices and workplace commitment. According to Akkermans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(2019), investments in HR practices can generate a feeling of employability, which in turn can increase the workplace commitments of the existing workers. Employability practices of a company are established as a mediator between the HR and the existing employees. The relevant HR practices in this context have been identified as training, development, commitment, participation and communication. Akkermans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(2019) have found that allowing employees to participate in the decision-making processes on HR practices will increase the external employability image of an organisation. On the other hand, training and development practices have a positive impact on the internal employability image of the employees, and might not be that beneficial for the new recruiters. Akkermans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(2019) also pointed out that there is no direct relation with the employability of a company and its HR practices; rather, these practices only influence the perception of both the potential recruits and the existing employees. However, it can be determined that if an organisation is identified as a committed entity with high employability chances, the business institution might have more chances of recruiting more committed, loyal and skilful workers. The current research has focused on a quantitative research methodology by sampling responds through social media platforms like LinkedIn. The researchers have also employed longitudinal studies to ask the same questions to the employees after six months.  Therefore, the findings of this research might be efficient in nature. While HR practices do not have anything to do with employability of students, the companies can consider this study as an effective method for attracting new recruits.</w:t>
      </w:r>
    </w:p>
    <w:p w:rsidR="00000000" w:rsidDel="00000000" w:rsidP="00000000" w:rsidRDefault="00000000" w:rsidRPr="00000000" w14:paraId="0000002D">
      <w:pPr>
        <w:pStyle w:val="Heading1"/>
        <w:contextualSpacing w:val="0"/>
        <w:rPr/>
      </w:pPr>
      <w:bookmarkStart w:colFirst="0" w:colLast="0" w:name="_1t3h5sf" w:id="7"/>
      <w:bookmarkEnd w:id="7"/>
      <w:r w:rsidDel="00000000" w:rsidR="00000000" w:rsidRPr="00000000">
        <w:rPr>
          <w:rtl w:val="0"/>
        </w:rPr>
        <w:t xml:space="preserve">Article 6</w:t>
      </w:r>
    </w:p>
    <w:p w:rsidR="00000000" w:rsidDel="00000000" w:rsidP="00000000" w:rsidRDefault="00000000" w:rsidRPr="00000000" w14:paraId="0000002E">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Williams, G., 2018. </w:t>
      </w:r>
      <w:r w:rsidDel="00000000" w:rsidR="00000000" w:rsidRPr="00000000">
        <w:rPr>
          <w:rFonts w:ascii="Times New Roman" w:cs="Times New Roman" w:eastAsia="Times New Roman" w:hAnsi="Times New Roman"/>
          <w:i w:val="1"/>
          <w:sz w:val="24"/>
          <w:szCs w:val="24"/>
          <w:rtl w:val="0"/>
        </w:rPr>
        <w:t xml:space="preserve">The workplaces of the future will be more human, not less</w:t>
      </w:r>
      <w:r w:rsidDel="00000000" w:rsidR="00000000" w:rsidRPr="00000000">
        <w:rPr>
          <w:rFonts w:ascii="Times New Roman" w:cs="Times New Roman" w:eastAsia="Times New Roman" w:hAnsi="Times New Roman"/>
          <w:sz w:val="24"/>
          <w:szCs w:val="24"/>
          <w:rtl w:val="0"/>
        </w:rPr>
        <w:t xml:space="preserve">. Available at https://www.wired.co.uk/article/learn-to-code-future-of-work [Accessed on 20 August 2020]</w:t>
      </w:r>
    </w:p>
    <w:p w:rsidR="00000000" w:rsidDel="00000000" w:rsidP="00000000" w:rsidRDefault="00000000" w:rsidRPr="00000000" w14:paraId="0000002F">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core message of this article is that even with the implementation of AI and automation at a workplace, the need of human employees will not diminish, but increase in other aspects of workplace procedures. According to Williams (2018), coding has been recognised as the most important language of status in this age of digitisation. In other words, individuals who have technical knowledge about coding languages such as Java or C++ are most likely to be employed than the people with no knowledge. Nevertheless, Williams (2018) was quick to point out that not everyone has the skill to master these languages. Furthermore, the article establishes how UK government is taking initiatives to introduce computer coding in academic circles, which points toward the growing importance of coding at workplace. Nevertheless, with the advent of the AI, it has been deemed that coding might not be the only determinant for the future employees. Rather, the employability of workers might rely on various soft skills related to cognitive. Williams (2018) have depicted how AI-driven jobs would open up new job opportunities for the future employees, who have to use their leadership, collaborative, cognitive, problem-solving skills to lead the future technology toward more efficiency. The current article does not have an established methodology but it has relied on various secondary sources to back out its claims. Williams (2018) provides a unique perspective on employability as its demands are not limited to coding language, but to more humane skills that cannot be achieved by machines.</w:t>
      </w:r>
    </w:p>
    <w:p w:rsidR="00000000" w:rsidDel="00000000" w:rsidP="00000000" w:rsidRDefault="00000000" w:rsidRPr="00000000" w14:paraId="00000030">
      <w:pPr>
        <w:pStyle w:val="Heading1"/>
        <w:contextualSpacing w:val="0"/>
        <w:rPr/>
      </w:pPr>
      <w:r w:rsidDel="00000000" w:rsidR="00000000" w:rsidRPr="00000000">
        <w:rPr>
          <w:rtl w:val="0"/>
        </w:rPr>
      </w:r>
    </w:p>
    <w:p w:rsidR="00000000" w:rsidDel="00000000" w:rsidP="00000000" w:rsidRDefault="00000000" w:rsidRPr="00000000" w14:paraId="00000031">
      <w:pPr>
        <w:pStyle w:val="Heading1"/>
        <w:contextualSpacing w:val="0"/>
        <w:rPr/>
      </w:pPr>
      <w:r w:rsidDel="00000000" w:rsidR="00000000" w:rsidRPr="00000000">
        <w:rPr>
          <w:rtl w:val="0"/>
        </w:rPr>
      </w:r>
    </w:p>
    <w:p w:rsidR="00000000" w:rsidDel="00000000" w:rsidP="00000000" w:rsidRDefault="00000000" w:rsidRPr="00000000" w14:paraId="00000032">
      <w:pPr>
        <w:pStyle w:val="Heading1"/>
        <w:contextualSpacing w:val="0"/>
        <w:rPr/>
      </w:pPr>
      <w:bookmarkStart w:colFirst="0" w:colLast="0" w:name="_4d34og8" w:id="8"/>
      <w:bookmarkEnd w:id="8"/>
      <w:r w:rsidDel="00000000" w:rsidR="00000000" w:rsidRPr="00000000">
        <w:rPr>
          <w:rtl w:val="0"/>
        </w:rPr>
        <w:t xml:space="preserve">My Employability Skills</w:t>
      </w:r>
    </w:p>
    <w:p w:rsidR="00000000" w:rsidDel="00000000" w:rsidP="00000000" w:rsidRDefault="00000000" w:rsidRPr="00000000" w14:paraId="00000033">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looking at the established literature mentioned above, it is also necessary to gain some retrospective about my own employability skills. As I have done some part-time job where I had to interact with the customers, I can deduce from that experience about my good communication and interpersonal skills. It allowed me to manage the customers in problematic solutions. On the other hand, I also have good problem-solving skills as I have employed it effectively in both my personal and academic lives. I also have good collaborative skills, which makes me a great team-member. I do not always feel the need to assert myself and I work with others to come with a proper solution. Tangential to team-working skills, I also have good listening skills. Active listening has been necessary for not only synthesising the viewpoints of others but to listen to the feedback of others at my workplace. However, I sometimes have problem functioning effectively in stressful situation, as I start to behave erratically. I also have problem perceiving the emotions of other people. These factors point toward my low emotional intelligence, something that I need to work upon at present to enhance my employability.</w:t>
      </w:r>
    </w:p>
    <w:p w:rsidR="00000000" w:rsidDel="00000000" w:rsidP="00000000" w:rsidRDefault="00000000" w:rsidRPr="00000000" w14:paraId="00000034">
      <w:pPr>
        <w:pStyle w:val="Heading1"/>
        <w:contextualSpacing w:val="0"/>
        <w:rPr/>
      </w:pPr>
      <w:bookmarkStart w:colFirst="0" w:colLast="0" w:name="_2s8eyo1" w:id="9"/>
      <w:bookmarkEnd w:id="9"/>
      <w:r w:rsidDel="00000000" w:rsidR="00000000" w:rsidRPr="00000000">
        <w:rPr>
          <w:rtl w:val="0"/>
        </w:rPr>
        <w:t xml:space="preserve">Conclusion</w:t>
      </w:r>
    </w:p>
    <w:p w:rsidR="00000000" w:rsidDel="00000000" w:rsidP="00000000" w:rsidRDefault="00000000" w:rsidRPr="00000000" w14:paraId="00000035">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six articles provided a great insight about the current state of employability demands by employers. Summarising the findings, it can be deemed that digital revolution has changed the employability needs drastically and students who focus more on data analytical skills have greater chances of getting employed. Furthermore, higher education is a necessity for enhancing employability, but it might be problematic for students with disadvantageous background. Therefore, partnership between employers and academic institutions is also recommended for the future.</w:t>
      </w:r>
    </w:p>
    <w:p w:rsidR="00000000" w:rsidDel="00000000" w:rsidP="00000000" w:rsidRDefault="00000000" w:rsidRPr="00000000" w14:paraId="00000036">
      <w:pPr>
        <w:contextualSpacing w:val="0"/>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contextualSpacing w:val="0"/>
        <w:rPr/>
      </w:pPr>
      <w:bookmarkStart w:colFirst="0" w:colLast="0" w:name="_17dp8vu" w:id="10"/>
      <w:bookmarkEnd w:id="10"/>
      <w:r w:rsidDel="00000000" w:rsidR="00000000" w:rsidRPr="00000000">
        <w:rPr>
          <w:rtl w:val="0"/>
        </w:rPr>
        <w:t xml:space="preserve">References</w:t>
      </w:r>
    </w:p>
    <w:p w:rsidR="00000000" w:rsidDel="00000000" w:rsidP="00000000" w:rsidRDefault="00000000" w:rsidRPr="00000000" w14:paraId="00000038">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Akkermans, J., Tims, M., Beijer, S. and De Cuyper, N., 2019. Should employers invest in employability? Examining employability as a mediator in the HRM–commitment relationship. </w:t>
      </w:r>
      <w:r w:rsidDel="00000000" w:rsidR="00000000" w:rsidRPr="00000000">
        <w:rPr>
          <w:rFonts w:ascii="Times New Roman" w:cs="Times New Roman" w:eastAsia="Times New Roman" w:hAnsi="Times New Roman"/>
          <w:i w:val="1"/>
          <w:sz w:val="24"/>
          <w:szCs w:val="24"/>
          <w:rtl w:val="0"/>
        </w:rPr>
        <w:t xml:space="preserve">Frontiers in Psychology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10</w:t>
      </w:r>
      <w:r w:rsidDel="00000000" w:rsidR="00000000" w:rsidRPr="00000000">
        <w:rPr>
          <w:rFonts w:ascii="Times New Roman" w:cs="Times New Roman" w:eastAsia="Times New Roman" w:hAnsi="Times New Roman"/>
          <w:sz w:val="24"/>
          <w:szCs w:val="24"/>
          <w:rtl w:val="0"/>
        </w:rPr>
        <w:t xml:space="preserve">, p.717.</w:t>
      </w:r>
    </w:p>
    <w:p w:rsidR="00000000" w:rsidDel="00000000" w:rsidP="00000000" w:rsidRDefault="00000000" w:rsidRPr="00000000" w14:paraId="00000039">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Chhinzer, N. and Russo, A.M., 2018. An exploration of employer perceptions of graduate student employability. </w:t>
      </w:r>
      <w:r w:rsidDel="00000000" w:rsidR="00000000" w:rsidRPr="00000000">
        <w:rPr>
          <w:rFonts w:ascii="Times New Roman" w:cs="Times New Roman" w:eastAsia="Times New Roman" w:hAnsi="Times New Roman"/>
          <w:i w:val="1"/>
          <w:sz w:val="24"/>
          <w:szCs w:val="24"/>
          <w:rtl w:val="0"/>
        </w:rPr>
        <w:t xml:space="preserve">Education+ Training</w:t>
      </w:r>
      <w:r w:rsidDel="00000000" w:rsidR="00000000" w:rsidRPr="00000000">
        <w:rPr>
          <w:rFonts w:ascii="Times New Roman" w:cs="Times New Roman" w:eastAsia="Times New Roman" w:hAnsi="Times New Roman"/>
          <w:sz w:val="24"/>
          <w:szCs w:val="24"/>
          <w:rtl w:val="0"/>
        </w:rPr>
        <w:t xml:space="preserve">, 60(1), pp. 104-120.</w:t>
      </w:r>
    </w:p>
    <w:p w:rsidR="00000000" w:rsidDel="00000000" w:rsidP="00000000" w:rsidRDefault="00000000" w:rsidRPr="00000000" w14:paraId="0000003A">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 Gregorio, A., Maggioni, I., Mauri, C. and Mazzucchelli, A., 2019. Employability skills for future marketing professionals. </w:t>
      </w:r>
      <w:r w:rsidDel="00000000" w:rsidR="00000000" w:rsidRPr="00000000">
        <w:rPr>
          <w:rFonts w:ascii="Times New Roman" w:cs="Times New Roman" w:eastAsia="Times New Roman" w:hAnsi="Times New Roman"/>
          <w:i w:val="1"/>
          <w:sz w:val="24"/>
          <w:szCs w:val="24"/>
          <w:rtl w:val="0"/>
        </w:rPr>
        <w:t xml:space="preserve">European management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37</w:t>
      </w:r>
      <w:r w:rsidDel="00000000" w:rsidR="00000000" w:rsidRPr="00000000">
        <w:rPr>
          <w:rFonts w:ascii="Times New Roman" w:cs="Times New Roman" w:eastAsia="Times New Roman" w:hAnsi="Times New Roman"/>
          <w:sz w:val="24"/>
          <w:szCs w:val="24"/>
          <w:rtl w:val="0"/>
        </w:rPr>
        <w:t xml:space="preserve">(3), pp.251-258.</w:t>
      </w:r>
    </w:p>
    <w:p w:rsidR="00000000" w:rsidDel="00000000" w:rsidP="00000000" w:rsidRDefault="00000000" w:rsidRPr="00000000" w14:paraId="0000003B">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 W.E., Ashleigh, M.J. and Baruch, Y., 2018. Students’ perceptions of education and employability. </w:t>
      </w:r>
      <w:r w:rsidDel="00000000" w:rsidR="00000000" w:rsidRPr="00000000">
        <w:rPr>
          <w:rFonts w:ascii="Times New Roman" w:cs="Times New Roman" w:eastAsia="Times New Roman" w:hAnsi="Times New Roman"/>
          <w:i w:val="1"/>
          <w:sz w:val="24"/>
          <w:szCs w:val="24"/>
          <w:rtl w:val="0"/>
        </w:rPr>
        <w:t xml:space="preserve">Career Development International</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C">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Marr, B., 2020. </w:t>
      </w:r>
      <w:r w:rsidDel="00000000" w:rsidR="00000000" w:rsidRPr="00000000">
        <w:rPr>
          <w:rFonts w:ascii="Times New Roman" w:cs="Times New Roman" w:eastAsia="Times New Roman" w:hAnsi="Times New Roman"/>
          <w:i w:val="1"/>
          <w:sz w:val="24"/>
          <w:szCs w:val="24"/>
          <w:rtl w:val="0"/>
        </w:rPr>
        <w:t xml:space="preserve">8 job skills to succeed in a post-coronavirus world</w:t>
      </w:r>
      <w:r w:rsidDel="00000000" w:rsidR="00000000" w:rsidRPr="00000000">
        <w:rPr>
          <w:rFonts w:ascii="Times New Roman" w:cs="Times New Roman" w:eastAsia="Times New Roman" w:hAnsi="Times New Roman"/>
          <w:sz w:val="24"/>
          <w:szCs w:val="24"/>
          <w:rtl w:val="0"/>
        </w:rPr>
        <w:t xml:space="preserve">. Available at https://www.forbes.com/sites/bernardmarr/2020/04/17/8-job-skills-to-succeed-in-a-post-coronavirus-world/#3e21984c2096 [Accessed on 20 August 2020]</w:t>
      </w:r>
    </w:p>
    <w:p w:rsidR="00000000" w:rsidDel="00000000" w:rsidP="00000000" w:rsidRDefault="00000000" w:rsidRPr="00000000" w14:paraId="0000003D">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Williams, G., 2018. </w:t>
      </w:r>
      <w:r w:rsidDel="00000000" w:rsidR="00000000" w:rsidRPr="00000000">
        <w:rPr>
          <w:rFonts w:ascii="Times New Roman" w:cs="Times New Roman" w:eastAsia="Times New Roman" w:hAnsi="Times New Roman"/>
          <w:i w:val="1"/>
          <w:sz w:val="24"/>
          <w:szCs w:val="24"/>
          <w:rtl w:val="0"/>
        </w:rPr>
        <w:t xml:space="preserve">The workplaces of the future will be more human, not less</w:t>
      </w:r>
      <w:r w:rsidDel="00000000" w:rsidR="00000000" w:rsidRPr="00000000">
        <w:rPr>
          <w:rFonts w:ascii="Times New Roman" w:cs="Times New Roman" w:eastAsia="Times New Roman" w:hAnsi="Times New Roman"/>
          <w:sz w:val="24"/>
          <w:szCs w:val="24"/>
          <w:rtl w:val="0"/>
        </w:rPr>
        <w:t xml:space="preserve">. Available at https://www.wired.co.uk/article/learn-to-code-future-of-work [Accessed on 20 August 2020]</w:t>
      </w:r>
    </w:p>
    <w:p w:rsidR="00000000" w:rsidDel="00000000" w:rsidP="00000000" w:rsidRDefault="00000000" w:rsidRPr="00000000" w14:paraId="0000003E">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sectPr>
      <w:footerReference r:id="rId6" w:type="default"/>
      <w:pgSz w:h="16838" w:w="11906"/>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contextualSpacing w:val="0"/>
      <w:jc w:val="righ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Page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of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contextualSpacing w:val="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line="360" w:lineRule="auto"/>
      <w:jc w:val="both"/>
    </w:pPr>
    <w:rPr>
      <w:rFonts w:ascii="Times New Roman" w:cs="Times New Roman" w:eastAsia="Times New Roman" w:hAnsi="Times New Roman"/>
      <w:b w:val="1"/>
      <w:color w:val="000000"/>
      <w:sz w:val="28"/>
      <w:szCs w:val="2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695570"/>
    <w:pPr>
      <w:spacing w:line="360" w:lineRule="auto"/>
      <w:jc w:val="both"/>
      <w:outlineLvl w:val="0"/>
    </w:pPr>
    <w:rPr>
      <w:rFonts w:ascii="Times New Roman" w:cs="Times New Roman" w:hAnsi="Times New Roman"/>
      <w:b w:val="1"/>
      <w:color w:val="000000" w:themeColor="text1"/>
      <w:sz w:val="28"/>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695570"/>
    <w:rPr>
      <w:rFonts w:ascii="Times New Roman" w:cs="Times New Roman" w:hAnsi="Times New Roman"/>
      <w:b w:val="1"/>
      <w:color w:val="000000" w:themeColor="text1"/>
      <w:sz w:val="28"/>
      <w:szCs w:val="24"/>
    </w:rPr>
  </w:style>
  <w:style w:type="paragraph" w:styleId="TOCHeading">
    <w:name w:val="TOC Heading"/>
    <w:basedOn w:val="Heading1"/>
    <w:next w:val="Normal"/>
    <w:uiPriority w:val="39"/>
    <w:semiHidden w:val="1"/>
    <w:unhideWhenUsed w:val="1"/>
    <w:qFormat w:val="1"/>
    <w:rsid w:val="002E522C"/>
    <w:pPr>
      <w:keepNext w:val="1"/>
      <w:keepLines w:val="1"/>
      <w:spacing w:after="0" w:before="480" w:line="276" w:lineRule="auto"/>
      <w:jc w:val="left"/>
      <w:outlineLvl w:val="9"/>
    </w:pPr>
    <w:rPr>
      <w:rFonts w:asciiTheme="majorHAnsi" w:cstheme="majorBidi" w:eastAsiaTheme="majorEastAsia" w:hAnsiTheme="majorHAnsi"/>
      <w:bCs w:val="1"/>
      <w:color w:val="365f91" w:themeColor="accent1" w:themeShade="0000BF"/>
      <w:szCs w:val="28"/>
      <w:lang w:eastAsia="ja-JP" w:val="en-US"/>
    </w:rPr>
  </w:style>
  <w:style w:type="paragraph" w:styleId="TOC1">
    <w:name w:val="toc 1"/>
    <w:basedOn w:val="Normal"/>
    <w:next w:val="Normal"/>
    <w:autoRedefine w:val="1"/>
    <w:uiPriority w:val="39"/>
    <w:unhideWhenUsed w:val="1"/>
    <w:rsid w:val="002E522C"/>
    <w:pPr>
      <w:spacing w:after="100"/>
    </w:pPr>
  </w:style>
  <w:style w:type="character" w:styleId="Hyperlink">
    <w:name w:val="Hyperlink"/>
    <w:basedOn w:val="DefaultParagraphFont"/>
    <w:uiPriority w:val="99"/>
    <w:unhideWhenUsed w:val="1"/>
    <w:rsid w:val="002E522C"/>
    <w:rPr>
      <w:color w:val="0000ff" w:themeColor="hyperlink"/>
      <w:u w:val="single"/>
    </w:rPr>
  </w:style>
  <w:style w:type="paragraph" w:styleId="BalloonText">
    <w:name w:val="Balloon Text"/>
    <w:basedOn w:val="Normal"/>
    <w:link w:val="BalloonTextChar"/>
    <w:uiPriority w:val="99"/>
    <w:semiHidden w:val="1"/>
    <w:unhideWhenUsed w:val="1"/>
    <w:rsid w:val="002E522C"/>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2E522C"/>
    <w:rPr>
      <w:rFonts w:ascii="Tahoma" w:cs="Tahoma" w:hAnsi="Tahoma"/>
      <w:sz w:val="16"/>
      <w:szCs w:val="16"/>
    </w:rPr>
  </w:style>
  <w:style w:type="paragraph" w:styleId="Header">
    <w:name w:val="header"/>
    <w:basedOn w:val="Normal"/>
    <w:link w:val="HeaderChar"/>
    <w:uiPriority w:val="99"/>
    <w:unhideWhenUsed w:val="1"/>
    <w:rsid w:val="000A2653"/>
    <w:pPr>
      <w:tabs>
        <w:tab w:val="center" w:pos="4513"/>
        <w:tab w:val="right" w:pos="9026"/>
      </w:tabs>
      <w:spacing w:after="0" w:line="240" w:lineRule="auto"/>
    </w:pPr>
  </w:style>
  <w:style w:type="character" w:styleId="HeaderChar" w:customStyle="1">
    <w:name w:val="Header Char"/>
    <w:basedOn w:val="DefaultParagraphFont"/>
    <w:link w:val="Header"/>
    <w:uiPriority w:val="99"/>
    <w:rsid w:val="000A2653"/>
  </w:style>
  <w:style w:type="paragraph" w:styleId="Footer">
    <w:name w:val="footer"/>
    <w:basedOn w:val="Normal"/>
    <w:link w:val="FooterChar"/>
    <w:uiPriority w:val="99"/>
    <w:unhideWhenUsed w:val="1"/>
    <w:rsid w:val="000A2653"/>
    <w:pPr>
      <w:tabs>
        <w:tab w:val="center" w:pos="4513"/>
        <w:tab w:val="right" w:pos="9026"/>
      </w:tabs>
      <w:spacing w:after="0" w:line="240" w:lineRule="auto"/>
    </w:pPr>
  </w:style>
  <w:style w:type="character" w:styleId="FooterChar" w:customStyle="1">
    <w:name w:val="Footer Char"/>
    <w:basedOn w:val="DefaultParagraphFont"/>
    <w:link w:val="Footer"/>
    <w:uiPriority w:val="99"/>
    <w:rsid w:val="000A2653"/>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