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C8BF2" w14:textId="77777777" w:rsidR="0086489A" w:rsidRPr="007123F9" w:rsidRDefault="0086489A" w:rsidP="007123F9">
      <w:pPr>
        <w:pStyle w:val="Title"/>
        <w:rPr>
          <w:rFonts w:ascii="Times New Roman" w:hAnsi="Times New Roman" w:cs="Times New Roman"/>
          <w:b/>
          <w:sz w:val="28"/>
          <w:u w:val="single"/>
        </w:rPr>
      </w:pPr>
      <w:r w:rsidRPr="007123F9">
        <w:rPr>
          <w:rFonts w:ascii="Times New Roman" w:hAnsi="Times New Roman" w:cs="Times New Roman"/>
          <w:b/>
          <w:sz w:val="28"/>
          <w:u w:val="single"/>
        </w:rPr>
        <w:t>Taking into consideration the frequency of conflict between the great powers in the eighteenth century can this period truly be called ‘a warlike age’?</w:t>
      </w:r>
    </w:p>
    <w:p w14:paraId="7ACD2395" w14:textId="6CE68F10" w:rsidR="00FB65AF" w:rsidRDefault="00FB65AF"/>
    <w:p w14:paraId="5FFCD3E9" w14:textId="1B9FA4A3" w:rsidR="00B526AB" w:rsidRDefault="00635DE0" w:rsidP="00F7176C">
      <w:pPr>
        <w:spacing w:line="360" w:lineRule="auto"/>
      </w:pPr>
      <w:r>
        <w:t xml:space="preserve">The Eighteenth century </w:t>
      </w:r>
      <w:r w:rsidR="00B1701D">
        <w:t>upon first examination can seem to be one of great contrast. It was during this century that the age of enlightenment took place</w:t>
      </w:r>
      <w:r w:rsidR="00F77E45">
        <w:t xml:space="preserve"> throughout the continent and beyond in the new world</w:t>
      </w:r>
      <w:r w:rsidR="00B1701D">
        <w:t xml:space="preserve">, a time of supposed of understanding and insight into </w:t>
      </w:r>
      <w:r w:rsidR="00445863">
        <w:t xml:space="preserve">human nature, religion and politics. Yet it was also a period of </w:t>
      </w:r>
      <w:r w:rsidR="000B40AB">
        <w:t xml:space="preserve">near constant </w:t>
      </w:r>
      <w:r w:rsidR="00445863">
        <w:t xml:space="preserve">war, with several major </w:t>
      </w:r>
      <w:r w:rsidR="00B526AB">
        <w:t xml:space="preserve">lengthy </w:t>
      </w:r>
      <w:r w:rsidR="00445863">
        <w:t>wars being fought</w:t>
      </w:r>
      <w:r w:rsidR="00F77E45">
        <w:t xml:space="preserve"> between Britain, France, Austria and Prussia</w:t>
      </w:r>
      <w:r w:rsidR="00445863">
        <w:t xml:space="preserve"> from the very turn of the century and through into the next. </w:t>
      </w:r>
      <w:r w:rsidR="001B4131">
        <w:t xml:space="preserve">However, this seeming negation of enlightened ideals and near constant state of war is </w:t>
      </w:r>
      <w:r w:rsidR="00CA09D6">
        <w:t xml:space="preserve">what makes this period more of a warlike age than </w:t>
      </w:r>
      <w:r w:rsidR="003A6695">
        <w:t>pervious centuries</w:t>
      </w:r>
      <w:r w:rsidR="00CA09D6">
        <w:t>. The seeming hypocrisy that would lead to the</w:t>
      </w:r>
      <w:r w:rsidR="00AB1D9C">
        <w:t xml:space="preserve"> culminating </w:t>
      </w:r>
      <w:r w:rsidR="00CA09D6">
        <w:t>French Revolution</w:t>
      </w:r>
      <w:r w:rsidR="00AB1D9C">
        <w:t>ary wars</w:t>
      </w:r>
      <w:r w:rsidR="00CA09D6">
        <w:t xml:space="preserve"> demonstrated </w:t>
      </w:r>
      <w:r w:rsidR="00B526AB">
        <w:t>the nature of the enlightenment philosophies and the development of new political systems</w:t>
      </w:r>
      <w:r w:rsidR="00E06136">
        <w:t>,</w:t>
      </w:r>
      <w:r w:rsidR="00CA09D6">
        <w:t xml:space="preserve"> with their contempt for the status quo, that </w:t>
      </w:r>
      <w:r w:rsidR="00DF60ED">
        <w:t>inevitably would help perpetuate the next two centuries to be even more warlike,</w:t>
      </w:r>
      <w:r w:rsidR="00CA09D6">
        <w:t xml:space="preserve"> where war took place not only on the battlefield, but in the written word and reality.</w:t>
      </w:r>
      <w:r w:rsidR="00E06136">
        <w:t xml:space="preserve"> </w:t>
      </w:r>
      <w:r w:rsidR="00A64F25">
        <w:t>Overall i</w:t>
      </w:r>
      <w:r w:rsidR="00B526AB">
        <w:t xml:space="preserve">t was a century in which the nations of </w:t>
      </w:r>
      <w:r w:rsidR="00420C2F">
        <w:t>Britain</w:t>
      </w:r>
      <w:r w:rsidR="00B526AB">
        <w:t>, France, Prussia and Austria fought numerous wars on the battlefield</w:t>
      </w:r>
      <w:r w:rsidR="00420C2F">
        <w:t>s of Europe</w:t>
      </w:r>
      <w:r w:rsidR="00B526AB">
        <w:t>,</w:t>
      </w:r>
      <w:r w:rsidR="00420C2F">
        <w:t xml:space="preserve"> North America and the East,</w:t>
      </w:r>
      <w:r w:rsidR="00B526AB">
        <w:t xml:space="preserve"> </w:t>
      </w:r>
      <w:r w:rsidR="00A64F25">
        <w:t xml:space="preserve">over issues ranging from </w:t>
      </w:r>
      <w:r w:rsidR="00A92602">
        <w:t>territorial</w:t>
      </w:r>
      <w:r w:rsidR="00A64F25">
        <w:t xml:space="preserve"> control to that of succession. I</w:t>
      </w:r>
      <w:r w:rsidR="00B526AB">
        <w:t xml:space="preserve">t was also an age in which wars were being waged against the established ideals of monarchy, Christianity and beliefs. </w:t>
      </w:r>
    </w:p>
    <w:p w14:paraId="5F227F60" w14:textId="77777777" w:rsidR="00242F3C" w:rsidRDefault="00242F3C" w:rsidP="00F7176C">
      <w:pPr>
        <w:spacing w:line="360" w:lineRule="auto"/>
      </w:pPr>
    </w:p>
    <w:p w14:paraId="6B8D51F8" w14:textId="20876CFC" w:rsidR="00C53190" w:rsidRDefault="004321C3" w:rsidP="00F7176C">
      <w:pPr>
        <w:spacing w:line="360" w:lineRule="auto"/>
      </w:pPr>
      <w:r>
        <w:t>When determin</w:t>
      </w:r>
      <w:r w:rsidR="007A067D">
        <w:t>in</w:t>
      </w:r>
      <w:r>
        <w:t>g what ma</w:t>
      </w:r>
      <w:r w:rsidR="00AB1D9C">
        <w:t>de the eighteenth century a</w:t>
      </w:r>
      <w:r>
        <w:t xml:space="preserve"> ‘warlike age’ it</w:t>
      </w:r>
      <w:r w:rsidR="00860192">
        <w:t xml:space="preserve"> is critical to </w:t>
      </w:r>
      <w:r w:rsidR="00AB1D9C">
        <w:t>explore</w:t>
      </w:r>
      <w:r w:rsidR="00860192">
        <w:t xml:space="preserve"> what wars took place during the </w:t>
      </w:r>
      <w:r w:rsidR="00CC7EB7">
        <w:t>aforementioned</w:t>
      </w:r>
      <w:r w:rsidR="00860192">
        <w:t xml:space="preserve"> period. In the case of the eighteenth century, there were a total of five major wars between the major European powers</w:t>
      </w:r>
      <w:r w:rsidR="000031D0">
        <w:t xml:space="preserve"> of </w:t>
      </w:r>
      <w:r w:rsidR="00E00FFF">
        <w:t>Britain</w:t>
      </w:r>
      <w:r w:rsidR="000031D0">
        <w:t>, France, Austria and Prussia</w:t>
      </w:r>
      <w:r w:rsidR="00860192">
        <w:t xml:space="preserve">. The first major war </w:t>
      </w:r>
      <w:r w:rsidR="00E00FFF">
        <w:t xml:space="preserve">to take place was </w:t>
      </w:r>
      <w:r w:rsidR="00860192">
        <w:t>that of the war of Spanish succession, which took place between 1701 and 1714</w:t>
      </w:r>
      <w:r w:rsidR="000771F6">
        <w:rPr>
          <w:rStyle w:val="FootnoteReference"/>
        </w:rPr>
        <w:footnoteReference w:id="1"/>
      </w:r>
      <w:r w:rsidR="00860192">
        <w:t xml:space="preserve">. </w:t>
      </w:r>
      <w:r w:rsidR="00E11611">
        <w:t>The causes of this particular war were, as the name suggests, over the succession to the Spanish throne and the</w:t>
      </w:r>
      <w:r w:rsidR="002F2C25">
        <w:t xml:space="preserve"> worry that if either the </w:t>
      </w:r>
      <w:r w:rsidR="009848DE">
        <w:t xml:space="preserve">Austrian </w:t>
      </w:r>
      <w:r w:rsidR="002F2C25">
        <w:t>Habsb</w:t>
      </w:r>
      <w:r w:rsidR="000A4E42">
        <w:t>u</w:t>
      </w:r>
      <w:r w:rsidR="002F2C25">
        <w:t xml:space="preserve">rgs or </w:t>
      </w:r>
      <w:r w:rsidR="009848DE">
        <w:t xml:space="preserve">French </w:t>
      </w:r>
      <w:r w:rsidR="002F2C25">
        <w:t>Bourbons ascended to the</w:t>
      </w:r>
      <w:r w:rsidR="00CC7EB7">
        <w:t xml:space="preserve"> Spanish</w:t>
      </w:r>
      <w:r w:rsidR="002F2C25">
        <w:t xml:space="preserve"> throne, the balance of power in Europe would dramatically shift in their </w:t>
      </w:r>
      <w:r w:rsidR="00B23539">
        <w:t>favor</w:t>
      </w:r>
      <w:r w:rsidR="002F2C25">
        <w:t xml:space="preserve">. </w:t>
      </w:r>
      <w:r w:rsidR="007A067D">
        <w:t>For the major powers, France faced off against the British, Austrians and Prussians</w:t>
      </w:r>
      <w:r w:rsidR="00914950">
        <w:t xml:space="preserve">, with the majority of the fighting taking place in Spain and Portugal. </w:t>
      </w:r>
      <w:r w:rsidR="0054621F">
        <w:t xml:space="preserve">This war helped cement this century as war like for several reasons, first among which </w:t>
      </w:r>
      <w:r w:rsidR="00177694">
        <w:t xml:space="preserve">was the breadth of the conflict. While a majority of the fighting took place in Spain and central Europe, battles and skirmishes took place in the Americas with raids on French settlements or other nations territory. </w:t>
      </w:r>
      <w:r w:rsidR="005F1885">
        <w:t xml:space="preserve">The global reach of </w:t>
      </w:r>
      <w:r w:rsidR="005F1885">
        <w:lastRenderedPageBreak/>
        <w:t xml:space="preserve">conflict over the Spanish throne set the </w:t>
      </w:r>
      <w:r w:rsidR="00C53190">
        <w:t xml:space="preserve">bar for the coming wars, especially those between Britain and France, who both held major territory in the new world. </w:t>
      </w:r>
      <w:r w:rsidR="0083403D">
        <w:t>In addition, the outcome of the Peace of Utrecht</w:t>
      </w:r>
      <w:r w:rsidR="000771F6">
        <w:rPr>
          <w:rStyle w:val="FootnoteReference"/>
        </w:rPr>
        <w:footnoteReference w:id="2"/>
      </w:r>
      <w:r w:rsidR="0083403D">
        <w:t xml:space="preserve"> would further set the stage for the coming century</w:t>
      </w:r>
      <w:r w:rsidR="008B305F">
        <w:t xml:space="preserve">. Britain would retain possession of Gibraltar and Menorca, which led to </w:t>
      </w:r>
      <w:r w:rsidR="00433F46">
        <w:t>Spanish resentment and war between them and Britain in 1739</w:t>
      </w:r>
      <w:r w:rsidR="00615C1D">
        <w:t xml:space="preserve"> and </w:t>
      </w:r>
      <w:r w:rsidR="000A4E42">
        <w:t>their</w:t>
      </w:r>
      <w:r w:rsidR="00615C1D">
        <w:t xml:space="preserve"> involvement in the War of Austrian Succession</w:t>
      </w:r>
      <w:r w:rsidR="00433F46">
        <w:t>. Also, Frances humbling and inability to hold its former place of dominance</w:t>
      </w:r>
      <w:r w:rsidR="00BD52AD">
        <w:t xml:space="preserve">, especially in the military and economic areas, helped spur their involvement in the Austrian War of Succession in 1740. </w:t>
      </w:r>
      <w:r w:rsidR="008E4CF1">
        <w:t>Finally, the war helped lead to rise of Prussia, who would make its mark as a formidable power in the next major conflict.</w:t>
      </w:r>
    </w:p>
    <w:p w14:paraId="066CB8CC" w14:textId="77777777" w:rsidR="000771F6" w:rsidRDefault="000771F6" w:rsidP="00F7176C">
      <w:pPr>
        <w:spacing w:line="360" w:lineRule="auto"/>
      </w:pPr>
    </w:p>
    <w:p w14:paraId="21980158" w14:textId="14CE7BE6" w:rsidR="006176C0" w:rsidRDefault="008E4CF1" w:rsidP="00F7176C">
      <w:pPr>
        <w:spacing w:line="360" w:lineRule="auto"/>
      </w:pPr>
      <w:r>
        <w:t>To continue</w:t>
      </w:r>
      <w:r w:rsidR="00C53190">
        <w:t>, the next major conflict that took place was</w:t>
      </w:r>
      <w:r>
        <w:t xml:space="preserve"> </w:t>
      </w:r>
      <w:r w:rsidR="00C53190">
        <w:t>another war of succession, this time in Austria</w:t>
      </w:r>
      <w:r w:rsidR="00813833">
        <w:t xml:space="preserve"> in 1740</w:t>
      </w:r>
      <w:r w:rsidR="003F0276">
        <w:t>, with the major combatants being Austria and Prussia</w:t>
      </w:r>
      <w:r w:rsidR="000F0D3A">
        <w:rPr>
          <w:rStyle w:val="FootnoteReference"/>
        </w:rPr>
        <w:footnoteReference w:id="3"/>
      </w:r>
      <w:r w:rsidR="003F0276">
        <w:t xml:space="preserve">. </w:t>
      </w:r>
      <w:r w:rsidR="00FC0B43">
        <w:t xml:space="preserve">Lasting until 1748, the war would </w:t>
      </w:r>
      <w:r w:rsidR="00161387">
        <w:t>all major European powers become involved, but it was during the conflict that Prussia would secure itself as a great power of central Europe.</w:t>
      </w:r>
      <w:r w:rsidR="00344F2D">
        <w:t xml:space="preserve"> </w:t>
      </w:r>
      <w:r w:rsidR="00813833">
        <w:t>It is here that the first seeming contradiction of the times manifests itself</w:t>
      </w:r>
      <w:r w:rsidR="00A337BF">
        <w:t xml:space="preserve">. </w:t>
      </w:r>
      <w:r w:rsidR="005F366F">
        <w:t xml:space="preserve">Frederick II was a supposed enlightened despot, a ruler who </w:t>
      </w:r>
      <w:r w:rsidR="006E1FA7">
        <w:t>was meant to embody the new enlightenment ideals and promote a new age of prosperity. Yet in 1740</w:t>
      </w:r>
      <w:r w:rsidR="003634CA">
        <w:t xml:space="preserve"> he marched his forces in Silesia to claim it for Prussia</w:t>
      </w:r>
      <w:r w:rsidR="00615C1D">
        <w:t xml:space="preserve"> from </w:t>
      </w:r>
      <w:r w:rsidR="00932E9F">
        <w:t>the Austrians</w:t>
      </w:r>
      <w:r w:rsidR="00CA094D">
        <w:t>, a seeming contradiction to the enlightenment ideas he stood for. The primary reason for the war was the issue of Marie Therese right to take the Habsburg throne due to her being a woman</w:t>
      </w:r>
      <w:r w:rsidR="00492C41">
        <w:t xml:space="preserve">, and </w:t>
      </w:r>
      <w:r w:rsidR="00FF3884">
        <w:t xml:space="preserve">also due to </w:t>
      </w:r>
      <w:r w:rsidR="00161387">
        <w:t xml:space="preserve">Prussian </w:t>
      </w:r>
      <w:r w:rsidR="00FF3884">
        <w:t>territorial claims in the region</w:t>
      </w:r>
      <w:r w:rsidR="00FF3884">
        <w:rPr>
          <w:rStyle w:val="FootnoteReference"/>
        </w:rPr>
        <w:footnoteReference w:id="4"/>
      </w:r>
      <w:r w:rsidR="00FF3884">
        <w:t xml:space="preserve">. Yet Fredericks rapid takeover of </w:t>
      </w:r>
      <w:r w:rsidR="001C5287">
        <w:t>Silesia</w:t>
      </w:r>
      <w:r w:rsidR="00FF3884">
        <w:t xml:space="preserve"> wasn’t meant to provoke war, </w:t>
      </w:r>
      <w:r w:rsidR="0033587E">
        <w:t xml:space="preserve">as he believed </w:t>
      </w:r>
      <w:r w:rsidR="002436F9">
        <w:t>Marie would attempt to pay him off</w:t>
      </w:r>
      <w:r w:rsidR="00101B3D">
        <w:rPr>
          <w:rStyle w:val="FootnoteReference"/>
        </w:rPr>
        <w:footnoteReference w:id="5"/>
      </w:r>
      <w:r w:rsidR="00101B3D">
        <w:t>. Yet this did not occur and the other major powers took this weakness by Austria to improve their own positions</w:t>
      </w:r>
      <w:r w:rsidR="00426C94">
        <w:t>, with France marching into the German lands and Britain standing against them.</w:t>
      </w:r>
      <w:r w:rsidR="00101B3D">
        <w:t xml:space="preserve"> </w:t>
      </w:r>
      <w:r w:rsidR="001C5287">
        <w:t xml:space="preserve">In all, Prussia exited </w:t>
      </w:r>
      <w:r w:rsidR="00426C94">
        <w:t>the Austrian war of Succession</w:t>
      </w:r>
      <w:r w:rsidR="001C5287">
        <w:t xml:space="preserve"> as a formidable opponent, having held onto Silesia</w:t>
      </w:r>
      <w:r w:rsidR="003A4C98">
        <w:t xml:space="preserve"> </w:t>
      </w:r>
      <w:r w:rsidR="003C189B">
        <w:t xml:space="preserve">through the </w:t>
      </w:r>
      <w:r w:rsidR="007531C1">
        <w:t>1745 treaty of Dresden</w:t>
      </w:r>
      <w:r w:rsidR="00922A35">
        <w:rPr>
          <w:rStyle w:val="FootnoteReference"/>
        </w:rPr>
        <w:footnoteReference w:id="6"/>
      </w:r>
      <w:r w:rsidR="007531C1">
        <w:t xml:space="preserve"> </w:t>
      </w:r>
      <w:r w:rsidR="003A4C98">
        <w:t xml:space="preserve">and gaining significant confidence and power to continue </w:t>
      </w:r>
      <w:r w:rsidR="007531C1">
        <w:t xml:space="preserve">to a major player in European affairs. </w:t>
      </w:r>
      <w:r w:rsidR="006176C0">
        <w:t xml:space="preserve">Therefore, the impact of the war on Austrian succession on molding the era into one of war was the </w:t>
      </w:r>
      <w:r w:rsidR="009D6693">
        <w:t xml:space="preserve">prelude it made to the next conflict, the seven years war. During the war of Austrian </w:t>
      </w:r>
      <w:r w:rsidR="0075019A">
        <w:t>Succession</w:t>
      </w:r>
      <w:r w:rsidR="009D6693">
        <w:t>, several smaller powers such as the Dutch and the Swedish</w:t>
      </w:r>
      <w:r w:rsidR="009D6693">
        <w:rPr>
          <w:rStyle w:val="FootnoteReference"/>
        </w:rPr>
        <w:footnoteReference w:id="7"/>
      </w:r>
      <w:r w:rsidR="009D6693">
        <w:t xml:space="preserve"> were weakened to </w:t>
      </w:r>
      <w:r w:rsidR="009D6693">
        <w:lastRenderedPageBreak/>
        <w:t xml:space="preserve">such a degree that they wouldn’t be a viable player in any future conflict, leaving only the larger and now very much established powers </w:t>
      </w:r>
      <w:r w:rsidR="0075019A">
        <w:t xml:space="preserve">with rivalries to settle and the new world to dominate. </w:t>
      </w:r>
    </w:p>
    <w:p w14:paraId="242D5D00" w14:textId="77777777" w:rsidR="006176C0" w:rsidRDefault="006176C0" w:rsidP="00F7176C">
      <w:pPr>
        <w:spacing w:line="360" w:lineRule="auto"/>
      </w:pPr>
    </w:p>
    <w:p w14:paraId="0BC16637" w14:textId="7FF12B08" w:rsidR="00C53190" w:rsidRDefault="0092594E" w:rsidP="00F7176C">
      <w:pPr>
        <w:spacing w:line="360" w:lineRule="auto"/>
      </w:pPr>
      <w:r>
        <w:t xml:space="preserve">The Seven Years War </w:t>
      </w:r>
      <w:r w:rsidR="002E4EAF">
        <w:t>has been described as “a turning point in British Hist</w:t>
      </w:r>
      <w:r w:rsidR="0025031E">
        <w:t>o</w:t>
      </w:r>
      <w:r w:rsidR="002E4EAF">
        <w:t>ry</w:t>
      </w:r>
      <w:r w:rsidR="002E4EAF">
        <w:rPr>
          <w:rStyle w:val="FootnoteReference"/>
        </w:rPr>
        <w:footnoteReference w:id="8"/>
      </w:r>
      <w:r w:rsidR="002E4EAF">
        <w:t>”</w:t>
      </w:r>
      <w:r w:rsidR="0025031E">
        <w:t xml:space="preserve"> and considering the impact on both </w:t>
      </w:r>
      <w:r w:rsidR="001D70ED">
        <w:t>Britain</w:t>
      </w:r>
      <w:r w:rsidR="0025031E">
        <w:t xml:space="preserve"> and Europe, it is certainly influential. Beginning in 1756, the war was to be fought not primarily on the fields of Europe, but across the globe, with the fighting taking place in North America</w:t>
      </w:r>
      <w:r w:rsidR="009C334D">
        <w:t xml:space="preserve">, </w:t>
      </w:r>
      <w:r w:rsidR="0025031E">
        <w:t>Canada</w:t>
      </w:r>
      <w:r w:rsidR="009C334D">
        <w:t xml:space="preserve">, Europe, Africa and Asia. It is this element that helps elevate the eighteenth century to that of a warlike age. No conflict before it had such a wide theatre of operation nor such a dramatic impact on the forging of what the modern world. </w:t>
      </w:r>
      <w:r w:rsidR="00FD7477">
        <w:t xml:space="preserve">In North America, </w:t>
      </w:r>
      <w:r w:rsidR="001D70ED">
        <w:t>Britain</w:t>
      </w:r>
      <w:r w:rsidR="00FD7477">
        <w:t xml:space="preserve"> and France were the main </w:t>
      </w:r>
      <w:r w:rsidR="001D70ED">
        <w:t>combatants</w:t>
      </w:r>
      <w:r w:rsidR="00FD7477">
        <w:t xml:space="preserve">, </w:t>
      </w:r>
      <w:r w:rsidR="001D70ED">
        <w:t>fighting</w:t>
      </w:r>
      <w:r w:rsidR="00FD7477">
        <w:t xml:space="preserve"> to see who would hold dominance over the new world, while in Europe, Prussia and Austria clashed to settle who would be the dominant power of the region, </w:t>
      </w:r>
      <w:r w:rsidR="00E61999">
        <w:t xml:space="preserve">aiming to settle scores which first appeared during the War of Spanish Succession, such as the seizure of Silesia by Prussia. </w:t>
      </w:r>
      <w:r w:rsidR="001D70ED">
        <w:t xml:space="preserve">Whereas with the previously mentioned wars, the cause of the war has been of critical importance to understanding the warlike nature of the age, the opening of the Seven Years War is of less importance, being opened by the British attacking French territory in Ohio. The most important is the outcome of the war and foundations it laid for the coming next </w:t>
      </w:r>
      <w:r w:rsidR="00900314">
        <w:t xml:space="preserve">half a century of conflict and </w:t>
      </w:r>
      <w:r w:rsidR="00F52FAC">
        <w:t>strife</w:t>
      </w:r>
      <w:r w:rsidR="00900314">
        <w:t xml:space="preserve">. </w:t>
      </w:r>
      <w:r w:rsidR="001D70ED">
        <w:t xml:space="preserve"> </w:t>
      </w:r>
      <w:r w:rsidR="00566DF1">
        <w:t xml:space="preserve">For Britain, </w:t>
      </w:r>
      <w:r w:rsidR="000343C6">
        <w:t>with the successful acquisition of the bulk of French and Spanish territory in North America</w:t>
      </w:r>
      <w:r w:rsidR="000343C6">
        <w:t xml:space="preserve"> via </w:t>
      </w:r>
      <w:r w:rsidR="00566DF1">
        <w:t xml:space="preserve">the Treaty of Paris </w:t>
      </w:r>
      <w:r w:rsidR="000343C6">
        <w:t>in</w:t>
      </w:r>
      <w:r w:rsidR="00566DF1">
        <w:t xml:space="preserve"> 1763</w:t>
      </w:r>
      <w:r w:rsidR="000343C6">
        <w:t xml:space="preserve">, the wars end </w:t>
      </w:r>
      <w:r w:rsidR="00566DF1">
        <w:t xml:space="preserve">marked the beginning of their rise to global colonial power, </w:t>
      </w:r>
      <w:r w:rsidR="000343C6">
        <w:t>creating “a great trading empire on which the sun would not set for two centuries</w:t>
      </w:r>
      <w:r w:rsidR="000343C6">
        <w:rPr>
          <w:rStyle w:val="FootnoteReference"/>
        </w:rPr>
        <w:footnoteReference w:id="9"/>
      </w:r>
      <w:r w:rsidR="000343C6">
        <w:t xml:space="preserve">”. </w:t>
      </w:r>
      <w:r w:rsidR="00C04108">
        <w:t xml:space="preserve">However, </w:t>
      </w:r>
      <w:r w:rsidR="000343C6">
        <w:t>victory had</w:t>
      </w:r>
      <w:r w:rsidR="00C04108">
        <w:t xml:space="preserve"> come at a great financial cost, and as a result taxes would need to be</w:t>
      </w:r>
      <w:r w:rsidR="000343C6">
        <w:t xml:space="preserve"> leveled against the colonists. It would be this, amongst other issues, that would lead to founding of a radically new nation.</w:t>
      </w:r>
      <w:r w:rsidR="00890E33">
        <w:t xml:space="preserve"> As for </w:t>
      </w:r>
      <w:r w:rsidR="00BB7F11">
        <w:t xml:space="preserve">Prussia, they held onto Silesia but cemented themselves as the military power on continental Europe, a reputation that would last into the next century. </w:t>
      </w:r>
    </w:p>
    <w:p w14:paraId="620CBE7A" w14:textId="1DF42FCE" w:rsidR="00E2377A" w:rsidRDefault="00E2377A" w:rsidP="00F7176C">
      <w:pPr>
        <w:spacing w:line="360" w:lineRule="auto"/>
      </w:pPr>
    </w:p>
    <w:p w14:paraId="267ADB66" w14:textId="4F31450B" w:rsidR="003936C5" w:rsidRDefault="00E2377A" w:rsidP="00F7176C">
      <w:pPr>
        <w:spacing w:line="360" w:lineRule="auto"/>
      </w:pPr>
      <w:r>
        <w:t>As previously mentioned, the impact of the Seven Year War helped perpetuate the air of war in the eighteenth century, this time moving from Europe to the thirteen colonies of the then colony of America. In fact, it was a rather peaceful time in Europe between 1763 and the escalation of the French Revolution in 1791</w:t>
      </w:r>
      <w:r>
        <w:rPr>
          <w:rStyle w:val="FootnoteReference"/>
        </w:rPr>
        <w:footnoteReference w:id="10"/>
      </w:r>
      <w:r w:rsidR="00FB0093">
        <w:t xml:space="preserve">. </w:t>
      </w:r>
      <w:r w:rsidR="009B2972">
        <w:t xml:space="preserve">But, the coming American Revolution would </w:t>
      </w:r>
      <w:r w:rsidR="009B2972">
        <w:lastRenderedPageBreak/>
        <w:t xml:space="preserve">be an unfortunate byproduct of </w:t>
      </w:r>
      <w:r w:rsidR="00B23539">
        <w:t>Britain’s</w:t>
      </w:r>
      <w:r w:rsidR="009B2972">
        <w:t xml:space="preserve"> victory in the Seven Years War. As already discussed, the territorial gains caused numerous problems for Britain, as the burden of the “need to assimilate, administer and defend</w:t>
      </w:r>
      <w:r w:rsidR="009B2972">
        <w:rPr>
          <w:rStyle w:val="FootnoteReference"/>
        </w:rPr>
        <w:footnoteReference w:id="11"/>
      </w:r>
      <w:r w:rsidR="009B2972">
        <w:t>” these new lands now fell to them alone.</w:t>
      </w:r>
      <w:r w:rsidR="004A199D">
        <w:t xml:space="preserve"> Unfortunately, the need to administer such tasks was met with a “growing desire… for increased freedom from London’s control</w:t>
      </w:r>
      <w:r w:rsidR="001C381E">
        <w:rPr>
          <w:rStyle w:val="FootnoteReference"/>
        </w:rPr>
        <w:footnoteReference w:id="12"/>
      </w:r>
      <w:r w:rsidR="004A199D">
        <w:t xml:space="preserve">” by the American colonists. </w:t>
      </w:r>
      <w:r w:rsidR="00B23539">
        <w:t>Repeated</w:t>
      </w:r>
      <w:r w:rsidR="000A37E9">
        <w:t xml:space="preserve"> clashes between those in London and the colonists demands reached a peak when in 1775 when armed conflict broke out and the conclusion was made that “America would have to be reconquered militarily</w:t>
      </w:r>
      <w:r w:rsidR="000A37E9">
        <w:rPr>
          <w:rStyle w:val="FootnoteReference"/>
        </w:rPr>
        <w:footnoteReference w:id="13"/>
      </w:r>
      <w:r w:rsidR="000A37E9">
        <w:t>”.</w:t>
      </w:r>
      <w:r w:rsidR="00E32293">
        <w:t xml:space="preserve"> Initially Britain did well and the rebellion looked like it would be defeated were it not for French intervention in 1778. A</w:t>
      </w:r>
      <w:r w:rsidR="00B40DDA">
        <w:t xml:space="preserve">s much as the American </w:t>
      </w:r>
      <w:r w:rsidR="00FB0093">
        <w:t>war</w:t>
      </w:r>
      <w:r w:rsidR="00B40DDA">
        <w:t xml:space="preserve"> of independence was a war between Britain and her subjects, it still was at heart a conflict between Britain and France</w:t>
      </w:r>
      <w:r w:rsidR="00B40DDA">
        <w:rPr>
          <w:rStyle w:val="FootnoteReference"/>
        </w:rPr>
        <w:footnoteReference w:id="14"/>
      </w:r>
      <w:r w:rsidR="00B40DDA">
        <w:t xml:space="preserve">. </w:t>
      </w:r>
      <w:r w:rsidR="00E468B8">
        <w:t xml:space="preserve">Having been left to rebuild its navy following the loss of the Seven Years War, France saw the rebellion in America as an opportunity to </w:t>
      </w:r>
      <w:r w:rsidR="00975058">
        <w:t xml:space="preserve">take revenge on England and humble them of the possession of America. </w:t>
      </w:r>
      <w:r w:rsidR="00D3060E">
        <w:t xml:space="preserve">The French signed agreements with the Americans which would see them providing military support, arms and financial support to the American forces. </w:t>
      </w:r>
      <w:r w:rsidR="00F754F0">
        <w:t xml:space="preserve">The impact France had was very strong, with one of the most decisive actions being the holding off of British reinforcements at Yorktown in 1781 </w:t>
      </w:r>
      <w:r w:rsidR="008F4384">
        <w:t>that led to Britain entering into peace negotiations in 1782</w:t>
      </w:r>
      <w:r w:rsidR="005400DA">
        <w:rPr>
          <w:rStyle w:val="FootnoteReference"/>
        </w:rPr>
        <w:footnoteReference w:id="15"/>
      </w:r>
      <w:r w:rsidR="008F4384">
        <w:t xml:space="preserve">. </w:t>
      </w:r>
      <w:r w:rsidR="00654479">
        <w:t xml:space="preserve">Moreover, the negotiations secured Americas independence from Britain and the </w:t>
      </w:r>
      <w:r w:rsidR="00644BE3">
        <w:t xml:space="preserve">United States as it is understood today came into existence. Alternatively, the end of the American war of independence came with </w:t>
      </w:r>
      <w:r w:rsidR="00B23539">
        <w:t>consequences</w:t>
      </w:r>
      <w:r w:rsidR="00644BE3">
        <w:t xml:space="preserve"> that would only increase the turbulence and violence of the age. The first was the ideas on which the Americans fought and based themselves. Contained within the United States declaration of independence were, among many others, statements like “all men are created equal</w:t>
      </w:r>
      <w:r w:rsidR="00644BE3">
        <w:rPr>
          <w:rStyle w:val="FootnoteReference"/>
        </w:rPr>
        <w:footnoteReference w:id="16"/>
      </w:r>
      <w:r w:rsidR="00644BE3">
        <w:t xml:space="preserve">” </w:t>
      </w:r>
      <w:r w:rsidR="00EF7C6C">
        <w:t xml:space="preserve">that were based in enlightenment thought. </w:t>
      </w:r>
      <w:r w:rsidR="004D7D20">
        <w:t xml:space="preserve">Such ideas were still in strong contrast to the established beliefs and systems of Europe, </w:t>
      </w:r>
      <w:r w:rsidR="000E73F9">
        <w:t>especially in France</w:t>
      </w:r>
      <w:r w:rsidR="005B77D1">
        <w:t xml:space="preserve"> where the Bourbon’s still ruled with absolute power. </w:t>
      </w:r>
      <w:r w:rsidR="00922AEF">
        <w:t>These ideas would b</w:t>
      </w:r>
      <w:r w:rsidR="00A97A0B">
        <w:t>e</w:t>
      </w:r>
      <w:r w:rsidR="00922AEF">
        <w:t xml:space="preserve"> carried back to France, and combined with their own homegrown thinkers, help</w:t>
      </w:r>
      <w:r w:rsidR="00A97A0B">
        <w:t xml:space="preserve"> influence the key figures of the coming French revolution. Consequently</w:t>
      </w:r>
      <w:r w:rsidR="003936C5">
        <w:t>, France “bankrupted herself to humiliate Britain</w:t>
      </w:r>
      <w:r w:rsidR="003936C5">
        <w:rPr>
          <w:rStyle w:val="FootnoteReference"/>
        </w:rPr>
        <w:footnoteReference w:id="17"/>
      </w:r>
      <w:r w:rsidR="003936C5">
        <w:t>”</w:t>
      </w:r>
      <w:r w:rsidR="00A97A0B">
        <w:t xml:space="preserve"> during the course of the American War of Independence</w:t>
      </w:r>
      <w:r w:rsidR="002F1C50">
        <w:t xml:space="preserve">, which would contribute to Frances </w:t>
      </w:r>
      <w:r w:rsidR="002F1C50">
        <w:lastRenderedPageBreak/>
        <w:t xml:space="preserve">declining economic situation and social strife, which would culminate in the French Revolution of 1789. </w:t>
      </w:r>
    </w:p>
    <w:p w14:paraId="08A7047C" w14:textId="0A63CEE2" w:rsidR="00BB7F11" w:rsidRDefault="00BB7F11" w:rsidP="00F7176C">
      <w:pPr>
        <w:spacing w:line="360" w:lineRule="auto"/>
      </w:pPr>
    </w:p>
    <w:p w14:paraId="320472AB" w14:textId="53C0BD12" w:rsidR="00B162C7" w:rsidRDefault="00B162C7" w:rsidP="00F7176C">
      <w:pPr>
        <w:spacing w:line="360" w:lineRule="auto"/>
      </w:pPr>
      <w:r>
        <w:t>The last, and perhaps most influential event to give the eighteenth century the title of warlike, is the French Revolution of 1789 and the Revolutionary Wars that would begin in 1792</w:t>
      </w:r>
      <w:r>
        <w:rPr>
          <w:rStyle w:val="FootnoteReference"/>
        </w:rPr>
        <w:footnoteReference w:id="18"/>
      </w:r>
      <w:r>
        <w:t xml:space="preserve"> and last through till 1815 with Napoleons defeat at Waterloo. The revolution in of itself was enough to make this age warlike, especially when considering the bloodshed caused in the Vendee and the ‘Reign of Terror’</w:t>
      </w:r>
      <w:r w:rsidR="00A07BA4">
        <w:t xml:space="preserve">. But the French </w:t>
      </w:r>
      <w:r w:rsidR="00696576">
        <w:t>Revolutionary</w:t>
      </w:r>
      <w:r w:rsidR="00A07BA4">
        <w:t xml:space="preserve"> wars would see the new republic fighting against Britain, Prussia, Austria</w:t>
      </w:r>
      <w:r w:rsidR="00696576">
        <w:rPr>
          <w:rStyle w:val="FootnoteReference"/>
        </w:rPr>
        <w:footnoteReference w:id="19"/>
      </w:r>
      <w:r w:rsidR="00A07BA4">
        <w:t xml:space="preserve"> and several other European monarchies as they attempted to end the republic and restore old France. </w:t>
      </w:r>
      <w:r w:rsidR="00696576">
        <w:t xml:space="preserve">It would be during </w:t>
      </w:r>
      <w:r w:rsidR="007639AE">
        <w:t xml:space="preserve">this period that the figure of Napoleon would rise, leading to the Napoleonic wars of 1802 -1815, further perpetuating the periods warlike persona. </w:t>
      </w:r>
      <w:r w:rsidR="00F7176C">
        <w:t xml:space="preserve">Even when </w:t>
      </w:r>
      <w:r w:rsidR="00366A01">
        <w:t>Napoleon</w:t>
      </w:r>
      <w:r w:rsidR="00F7176C">
        <w:t xml:space="preserve"> was defeated in 1815, the spirit of the French revolution </w:t>
      </w:r>
      <w:r w:rsidR="00B23539">
        <w:t>sees</w:t>
      </w:r>
      <w:r w:rsidR="00F7176C">
        <w:t xml:space="preserve"> war and strife continue to affect France throughout the </w:t>
      </w:r>
      <w:r w:rsidR="000750DA">
        <w:t>next</w:t>
      </w:r>
      <w:r w:rsidR="00F7176C">
        <w:t xml:space="preserve"> century. </w:t>
      </w:r>
    </w:p>
    <w:p w14:paraId="0CA7DA60" w14:textId="4F685FCC" w:rsidR="00F7176C" w:rsidRDefault="00F7176C" w:rsidP="00B162C7"/>
    <w:p w14:paraId="4B9A8D06" w14:textId="426CB072" w:rsidR="00482D18" w:rsidRDefault="000750DA" w:rsidP="008E19D3">
      <w:pPr>
        <w:spacing w:line="360" w:lineRule="auto"/>
      </w:pPr>
      <w:r>
        <w:t xml:space="preserve">In Conclusion, the eighteenth century was indeed a warlike era. The </w:t>
      </w:r>
      <w:r w:rsidR="00FE7C31">
        <w:t>numerous</w:t>
      </w:r>
      <w:r>
        <w:t xml:space="preserve"> major and lengthy wars fought between the major European powers of Britain, France, Prussia and Austria </w:t>
      </w:r>
      <w:r w:rsidR="007922D9">
        <w:t xml:space="preserve">punctuated the seemingly perpetual state of war that these nations found themselves in. Each war carried with it both clear and dubious reasons for why it </w:t>
      </w:r>
      <w:r w:rsidR="00506930">
        <w:t xml:space="preserve">was instigated, </w:t>
      </w:r>
      <w:r w:rsidR="007922D9">
        <w:t xml:space="preserve">but as </w:t>
      </w:r>
      <w:r w:rsidR="00506930">
        <w:t xml:space="preserve">each conflict produced victors and losers, the cycle of revenge and the list of reasons to instigate </w:t>
      </w:r>
      <w:r w:rsidR="007B663B">
        <w:t xml:space="preserve">later wars increased, which, as documented above, led to a seemingly constant of war and territory being exchanged. </w:t>
      </w:r>
      <w:r w:rsidR="00573E17">
        <w:t xml:space="preserve">This, combined with emergence of true global conflict in the form of the Seven Years War and the beginning of politically motivated revolt in the American and French Revolutions, place the eighteenth century as a truly warlike age. </w:t>
      </w:r>
      <w:r w:rsidR="007922D9">
        <w:t xml:space="preserve"> </w:t>
      </w:r>
    </w:p>
    <w:p w14:paraId="5EB9E326" w14:textId="1C4C0B90" w:rsidR="00056796" w:rsidRDefault="00056796" w:rsidP="008E19D3">
      <w:pPr>
        <w:spacing w:line="360" w:lineRule="auto"/>
      </w:pPr>
    </w:p>
    <w:p w14:paraId="2C64563A" w14:textId="0356F752" w:rsidR="00056796" w:rsidRDefault="00056796" w:rsidP="008E19D3">
      <w:pPr>
        <w:spacing w:line="360" w:lineRule="auto"/>
      </w:pPr>
    </w:p>
    <w:p w14:paraId="3A5AADA0" w14:textId="77777777" w:rsidR="00056796" w:rsidRDefault="00056796">
      <w:pPr>
        <w:spacing w:after="160" w:line="259" w:lineRule="auto"/>
      </w:pPr>
      <w:r>
        <w:br w:type="page"/>
      </w:r>
    </w:p>
    <w:p w14:paraId="383278F4" w14:textId="2AEB3153" w:rsidR="00056796" w:rsidRPr="00056796" w:rsidRDefault="00056796" w:rsidP="008E19D3">
      <w:pPr>
        <w:spacing w:line="360" w:lineRule="auto"/>
        <w:rPr>
          <w:b/>
          <w:u w:val="single"/>
        </w:rPr>
      </w:pPr>
      <w:r w:rsidRPr="00056796">
        <w:rPr>
          <w:b/>
          <w:u w:val="single"/>
        </w:rPr>
        <w:lastRenderedPageBreak/>
        <w:t>Bibliography</w:t>
      </w:r>
    </w:p>
    <w:p w14:paraId="7431427A" w14:textId="77777777" w:rsidR="00B45089" w:rsidRDefault="00B45089" w:rsidP="00B45089">
      <w:pPr>
        <w:spacing w:line="360" w:lineRule="auto"/>
      </w:pPr>
      <w:bookmarkStart w:id="0" w:name="_Hlk527149784"/>
      <w:r>
        <w:t xml:space="preserve">Black, J., </w:t>
      </w:r>
      <w:r w:rsidRPr="00B45089">
        <w:rPr>
          <w:i/>
        </w:rPr>
        <w:t>European Warfare 1660 – 1815</w:t>
      </w:r>
      <w:r>
        <w:t xml:space="preserve">. London: UCL Press, 1994. </w:t>
      </w:r>
    </w:p>
    <w:p w14:paraId="27FC8920" w14:textId="77777777" w:rsidR="00B45089" w:rsidRDefault="00B45089" w:rsidP="00B45089">
      <w:pPr>
        <w:spacing w:line="360" w:lineRule="auto"/>
      </w:pPr>
      <w:r>
        <w:t xml:space="preserve">Furneaux, R., </w:t>
      </w:r>
      <w:r w:rsidRPr="00B45089">
        <w:rPr>
          <w:i/>
        </w:rPr>
        <w:t>The Seven Years War</w:t>
      </w:r>
      <w:r>
        <w:t xml:space="preserve">. London: Granada Publishing Limited, 1973. </w:t>
      </w:r>
    </w:p>
    <w:p w14:paraId="043376C2" w14:textId="128A1A97" w:rsidR="00B45089" w:rsidRDefault="00B45089" w:rsidP="008E19D3">
      <w:pPr>
        <w:spacing w:line="360" w:lineRule="auto"/>
      </w:pPr>
      <w:r>
        <w:t xml:space="preserve">Howard, M., </w:t>
      </w:r>
      <w:r w:rsidRPr="00B45089">
        <w:rPr>
          <w:i/>
        </w:rPr>
        <w:t>War in European History</w:t>
      </w:r>
      <w:r>
        <w:t xml:space="preserve">. London: Oxford University Press, 1976. </w:t>
      </w:r>
    </w:p>
    <w:p w14:paraId="38E67F0D" w14:textId="572AC222" w:rsidR="00434D7D" w:rsidRDefault="00B23539" w:rsidP="008E19D3">
      <w:pPr>
        <w:spacing w:line="360" w:lineRule="auto"/>
      </w:pPr>
      <w:r>
        <w:t>McKay</w:t>
      </w:r>
      <w:r w:rsidR="00056796">
        <w:t xml:space="preserve">, D. </w:t>
      </w:r>
      <w:r w:rsidR="00173137">
        <w:t>&amp;</w:t>
      </w:r>
      <w:r w:rsidR="00056796">
        <w:t xml:space="preserve"> H</w:t>
      </w:r>
      <w:r w:rsidR="00C30B45">
        <w:t xml:space="preserve">. M. Scott, </w:t>
      </w:r>
      <w:r w:rsidR="00C30B45" w:rsidRPr="00B45089">
        <w:rPr>
          <w:i/>
        </w:rPr>
        <w:t xml:space="preserve">The Rise of the Great Powers 1648 – 1815. </w:t>
      </w:r>
      <w:r w:rsidR="00C30B45">
        <w:t>New York: Longman Inc., 1983.</w:t>
      </w:r>
      <w:bookmarkEnd w:id="0"/>
    </w:p>
    <w:p w14:paraId="3953D255" w14:textId="1175528E" w:rsidR="00434D7D" w:rsidRDefault="005F0D4A" w:rsidP="008E19D3">
      <w:pPr>
        <w:spacing w:line="360" w:lineRule="auto"/>
      </w:pPr>
      <w:r>
        <w:t xml:space="preserve">US History, </w:t>
      </w:r>
      <w:r>
        <w:rPr>
          <w:i/>
        </w:rPr>
        <w:t xml:space="preserve">The Declaration of Independence </w:t>
      </w:r>
      <w:r w:rsidRPr="005F0D4A">
        <w:t>(1995)</w:t>
      </w:r>
      <w:r>
        <w:rPr>
          <w:i/>
        </w:rPr>
        <w:t>.</w:t>
      </w:r>
      <w:r>
        <w:t xml:space="preserve"> </w:t>
      </w:r>
      <w:r w:rsidR="00B23539">
        <w:t>Available</w:t>
      </w:r>
      <w:r>
        <w:t xml:space="preserve"> Online: </w:t>
      </w:r>
      <w:hyperlink r:id="rId8" w:history="1">
        <w:r w:rsidRPr="0050721E">
          <w:rPr>
            <w:rStyle w:val="Hyperlink"/>
          </w:rPr>
          <w:t>http://www.ushistory.org/declaration/document/</w:t>
        </w:r>
      </w:hyperlink>
      <w:bookmarkStart w:id="1" w:name="_GoBack"/>
      <w:bookmarkEnd w:id="1"/>
      <w:r>
        <w:t xml:space="preserve">. </w:t>
      </w:r>
      <w:r>
        <w:t>Accessed: 12/10/2018</w:t>
      </w:r>
    </w:p>
    <w:sectPr w:rsidR="00434D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48873" w14:textId="77777777" w:rsidR="00FF3884" w:rsidRDefault="00FF3884" w:rsidP="00FF3884">
      <w:r>
        <w:separator/>
      </w:r>
    </w:p>
  </w:endnote>
  <w:endnote w:type="continuationSeparator" w:id="0">
    <w:p w14:paraId="614E0159" w14:textId="77777777" w:rsidR="00FF3884" w:rsidRDefault="00FF3884" w:rsidP="00FF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62201" w14:textId="77777777" w:rsidR="00FF3884" w:rsidRDefault="00FF3884" w:rsidP="00FF3884">
      <w:r>
        <w:separator/>
      </w:r>
    </w:p>
  </w:footnote>
  <w:footnote w:type="continuationSeparator" w:id="0">
    <w:p w14:paraId="5EF90081" w14:textId="77777777" w:rsidR="00FF3884" w:rsidRDefault="00FF3884" w:rsidP="00FF3884">
      <w:r>
        <w:continuationSeparator/>
      </w:r>
    </w:p>
  </w:footnote>
  <w:footnote w:id="1">
    <w:p w14:paraId="07E01427" w14:textId="10F34C71" w:rsidR="000771F6" w:rsidRPr="000771F6" w:rsidRDefault="000771F6">
      <w:pPr>
        <w:pStyle w:val="FootnoteText"/>
        <w:rPr>
          <w:lang w:val="en-GB"/>
        </w:rPr>
      </w:pPr>
      <w:r>
        <w:rPr>
          <w:rStyle w:val="FootnoteReference"/>
        </w:rPr>
        <w:footnoteRef/>
      </w:r>
      <w:r>
        <w:t xml:space="preserve"> </w:t>
      </w:r>
      <w:r w:rsidRPr="00434D7D">
        <w:rPr>
          <w:lang w:val="en-GB"/>
        </w:rPr>
        <w:t xml:space="preserve">J. Black, </w:t>
      </w:r>
      <w:r w:rsidRPr="00434D7D">
        <w:rPr>
          <w:i/>
          <w:lang w:val="en-GB"/>
        </w:rPr>
        <w:t>European Warfare 1660 – 1815</w:t>
      </w:r>
      <w:r w:rsidRPr="00434D7D">
        <w:rPr>
          <w:lang w:val="en-GB"/>
        </w:rPr>
        <w:t>. (London: UCL Press, 1994)</w:t>
      </w:r>
      <w:r>
        <w:rPr>
          <w:lang w:val="en-GB"/>
        </w:rPr>
        <w:t xml:space="preserve">. </w:t>
      </w:r>
      <w:r>
        <w:rPr>
          <w:lang w:val="en-GB"/>
        </w:rPr>
        <w:t>87.</w:t>
      </w:r>
    </w:p>
  </w:footnote>
  <w:footnote w:id="2">
    <w:p w14:paraId="7F2A3AA8" w14:textId="1A71F317" w:rsidR="000771F6" w:rsidRPr="000771F6" w:rsidRDefault="000771F6">
      <w:pPr>
        <w:pStyle w:val="FootnoteText"/>
        <w:rPr>
          <w:lang w:val="en-GB"/>
        </w:rPr>
      </w:pPr>
      <w:r>
        <w:rPr>
          <w:rStyle w:val="FootnoteReference"/>
        </w:rPr>
        <w:footnoteRef/>
      </w:r>
      <w:r>
        <w:t xml:space="preserve"> </w:t>
      </w:r>
      <w:r w:rsidRPr="00434D7D">
        <w:rPr>
          <w:lang w:val="en-GB"/>
        </w:rPr>
        <w:t xml:space="preserve">J. Black, </w:t>
      </w:r>
      <w:r w:rsidRPr="00434D7D">
        <w:rPr>
          <w:i/>
          <w:lang w:val="en-GB"/>
        </w:rPr>
        <w:t>European Warfare 1660 – 1815</w:t>
      </w:r>
      <w:r w:rsidRPr="00434D7D">
        <w:rPr>
          <w:lang w:val="en-GB"/>
        </w:rPr>
        <w:t>. (London: UCL Press, 1994)</w:t>
      </w:r>
      <w:r>
        <w:rPr>
          <w:lang w:val="en-GB"/>
        </w:rPr>
        <w:t>. 1</w:t>
      </w:r>
      <w:r>
        <w:rPr>
          <w:lang w:val="en-GB"/>
        </w:rPr>
        <w:t>00.</w:t>
      </w:r>
    </w:p>
  </w:footnote>
  <w:footnote w:id="3">
    <w:p w14:paraId="5B87999D" w14:textId="4B12F76A" w:rsidR="000F0D3A" w:rsidRPr="000F0D3A" w:rsidRDefault="000F0D3A">
      <w:pPr>
        <w:pStyle w:val="FootnoteText"/>
        <w:rPr>
          <w:lang w:val="en-GB"/>
        </w:rPr>
      </w:pPr>
      <w:r>
        <w:rPr>
          <w:rStyle w:val="FootnoteReference"/>
        </w:rPr>
        <w:footnoteRef/>
      </w:r>
      <w:r>
        <w:t xml:space="preserve"> </w:t>
      </w:r>
      <w:r>
        <w:rPr>
          <w:lang w:val="en-GB"/>
        </w:rPr>
        <w:t>Ibid. 125.</w:t>
      </w:r>
    </w:p>
  </w:footnote>
  <w:footnote w:id="4">
    <w:p w14:paraId="1544BA01" w14:textId="5C65573A" w:rsidR="00FF3884" w:rsidRPr="00FF3884" w:rsidRDefault="00FF3884">
      <w:pPr>
        <w:pStyle w:val="FootnoteText"/>
        <w:rPr>
          <w:lang w:val="en-GB"/>
        </w:rPr>
      </w:pPr>
      <w:r>
        <w:rPr>
          <w:rStyle w:val="FootnoteReference"/>
        </w:rPr>
        <w:footnoteRef/>
      </w:r>
      <w:r>
        <w:t xml:space="preserve"> </w:t>
      </w:r>
      <w:r w:rsidR="00434D7D" w:rsidRPr="00434D7D">
        <w:rPr>
          <w:lang w:val="en-GB"/>
        </w:rPr>
        <w:t xml:space="preserve">J. Black, </w:t>
      </w:r>
      <w:r w:rsidR="00434D7D" w:rsidRPr="00434D7D">
        <w:rPr>
          <w:i/>
          <w:lang w:val="en-GB"/>
        </w:rPr>
        <w:t>European Warfare 1660 – 1815</w:t>
      </w:r>
      <w:r w:rsidR="00434D7D" w:rsidRPr="00434D7D">
        <w:rPr>
          <w:lang w:val="en-GB"/>
        </w:rPr>
        <w:t>. (London: UCL Press, 1994)</w:t>
      </w:r>
      <w:r w:rsidR="00434D7D">
        <w:rPr>
          <w:lang w:val="en-GB"/>
        </w:rPr>
        <w:t>. 124.</w:t>
      </w:r>
    </w:p>
  </w:footnote>
  <w:footnote w:id="5">
    <w:p w14:paraId="19039FDF" w14:textId="36D028FB" w:rsidR="00101B3D" w:rsidRPr="00101B3D" w:rsidRDefault="00101B3D">
      <w:pPr>
        <w:pStyle w:val="FootnoteText"/>
        <w:rPr>
          <w:lang w:val="en-GB"/>
        </w:rPr>
      </w:pPr>
      <w:r>
        <w:rPr>
          <w:rStyle w:val="FootnoteReference"/>
        </w:rPr>
        <w:footnoteRef/>
      </w:r>
      <w:r>
        <w:t xml:space="preserve"> </w:t>
      </w:r>
      <w:r>
        <w:rPr>
          <w:lang w:val="en-GB"/>
        </w:rPr>
        <w:t>Ibid 124</w:t>
      </w:r>
      <w:r w:rsidR="00434D7D">
        <w:rPr>
          <w:lang w:val="en-GB"/>
        </w:rPr>
        <w:t>.</w:t>
      </w:r>
    </w:p>
  </w:footnote>
  <w:footnote w:id="6">
    <w:p w14:paraId="5073E7BE" w14:textId="1FD1B7A0" w:rsidR="00922A35" w:rsidRPr="00922A35" w:rsidRDefault="00922A35">
      <w:pPr>
        <w:pStyle w:val="FootnoteText"/>
        <w:rPr>
          <w:lang w:val="en-GB"/>
        </w:rPr>
      </w:pPr>
      <w:r>
        <w:rPr>
          <w:rStyle w:val="FootnoteReference"/>
        </w:rPr>
        <w:footnoteRef/>
      </w:r>
      <w:r>
        <w:t xml:space="preserve"> </w:t>
      </w:r>
      <w:r>
        <w:rPr>
          <w:lang w:val="en-GB"/>
        </w:rPr>
        <w:t>Ibid. 126.</w:t>
      </w:r>
    </w:p>
  </w:footnote>
  <w:footnote w:id="7">
    <w:p w14:paraId="743349E9" w14:textId="6AC10803" w:rsidR="009D6693" w:rsidRPr="009D6693" w:rsidRDefault="009D6693">
      <w:pPr>
        <w:pStyle w:val="FootnoteText"/>
        <w:rPr>
          <w:lang w:val="en-GB"/>
        </w:rPr>
      </w:pPr>
      <w:r>
        <w:rPr>
          <w:rStyle w:val="FootnoteReference"/>
        </w:rPr>
        <w:footnoteRef/>
      </w:r>
      <w:r>
        <w:t xml:space="preserve"> </w:t>
      </w:r>
      <w:r>
        <w:rPr>
          <w:lang w:val="en-GB"/>
        </w:rPr>
        <w:t>Ibid 132</w:t>
      </w:r>
      <w:r w:rsidR="00434D7D">
        <w:rPr>
          <w:lang w:val="en-GB"/>
        </w:rPr>
        <w:t>.</w:t>
      </w:r>
    </w:p>
  </w:footnote>
  <w:footnote w:id="8">
    <w:p w14:paraId="68577A31" w14:textId="57E63C4F" w:rsidR="002E4EAF" w:rsidRPr="002E4EAF" w:rsidRDefault="002E4EAF">
      <w:pPr>
        <w:pStyle w:val="FootnoteText"/>
        <w:rPr>
          <w:lang w:val="en-GB"/>
        </w:rPr>
      </w:pPr>
      <w:r>
        <w:rPr>
          <w:rStyle w:val="FootnoteReference"/>
        </w:rPr>
        <w:footnoteRef/>
      </w:r>
      <w:r>
        <w:t xml:space="preserve"> </w:t>
      </w:r>
      <w:r w:rsidR="00C119E0" w:rsidRPr="00C119E0">
        <w:rPr>
          <w:lang w:val="en-GB"/>
        </w:rPr>
        <w:t xml:space="preserve">R. Furneaux, </w:t>
      </w:r>
      <w:r w:rsidR="00C119E0" w:rsidRPr="00B23539">
        <w:rPr>
          <w:i/>
          <w:lang w:val="en-GB"/>
        </w:rPr>
        <w:t>The Seven Years War.</w:t>
      </w:r>
      <w:r w:rsidR="00C119E0" w:rsidRPr="00C119E0">
        <w:rPr>
          <w:lang w:val="en-GB"/>
        </w:rPr>
        <w:t xml:space="preserve"> (London: Granada Publishing Limited, 1973).</w:t>
      </w:r>
      <w:r>
        <w:rPr>
          <w:lang w:val="en-GB"/>
        </w:rPr>
        <w:t xml:space="preserve"> 9</w:t>
      </w:r>
    </w:p>
  </w:footnote>
  <w:footnote w:id="9">
    <w:p w14:paraId="5A1AF467" w14:textId="2A7FDCCF" w:rsidR="000343C6" w:rsidRPr="000343C6" w:rsidRDefault="000343C6">
      <w:pPr>
        <w:pStyle w:val="FootnoteText"/>
        <w:rPr>
          <w:lang w:val="en-GB"/>
        </w:rPr>
      </w:pPr>
      <w:r>
        <w:rPr>
          <w:rStyle w:val="FootnoteReference"/>
        </w:rPr>
        <w:footnoteRef/>
      </w:r>
      <w:r>
        <w:t xml:space="preserve"> </w:t>
      </w:r>
      <w:r>
        <w:rPr>
          <w:lang w:val="en-GB"/>
        </w:rPr>
        <w:t>Ibid 204</w:t>
      </w:r>
    </w:p>
  </w:footnote>
  <w:footnote w:id="10">
    <w:p w14:paraId="507457B4" w14:textId="1C7D17D0" w:rsidR="00E2377A" w:rsidRPr="00E2377A" w:rsidRDefault="00E2377A">
      <w:pPr>
        <w:pStyle w:val="FootnoteText"/>
        <w:rPr>
          <w:lang w:val="en-GB"/>
        </w:rPr>
      </w:pPr>
      <w:r>
        <w:rPr>
          <w:rStyle w:val="FootnoteReference"/>
        </w:rPr>
        <w:footnoteRef/>
      </w:r>
      <w:r>
        <w:t xml:space="preserve"> </w:t>
      </w:r>
      <w:r w:rsidR="00434D7D" w:rsidRPr="00434D7D">
        <w:rPr>
          <w:lang w:val="en-GB"/>
        </w:rPr>
        <w:t xml:space="preserve">J. Black, </w:t>
      </w:r>
      <w:r w:rsidR="00434D7D" w:rsidRPr="00434D7D">
        <w:rPr>
          <w:i/>
          <w:lang w:val="en-GB"/>
        </w:rPr>
        <w:t>European Warfare 1660 – 1815</w:t>
      </w:r>
      <w:r w:rsidR="00434D7D" w:rsidRPr="00434D7D">
        <w:rPr>
          <w:lang w:val="en-GB"/>
        </w:rPr>
        <w:t>. (London: UCL Press, 1994)</w:t>
      </w:r>
      <w:r w:rsidR="00434D7D">
        <w:rPr>
          <w:lang w:val="en-GB"/>
        </w:rPr>
        <w:t xml:space="preserve">. </w:t>
      </w:r>
      <w:r>
        <w:rPr>
          <w:lang w:val="en-GB"/>
        </w:rPr>
        <w:t>148</w:t>
      </w:r>
    </w:p>
  </w:footnote>
  <w:footnote w:id="11">
    <w:p w14:paraId="41C3D5A4" w14:textId="6C5E3C9D" w:rsidR="009B2972" w:rsidRPr="009B2972" w:rsidRDefault="009B2972">
      <w:pPr>
        <w:pStyle w:val="FootnoteText"/>
        <w:rPr>
          <w:lang w:val="en-GB"/>
        </w:rPr>
      </w:pPr>
      <w:r>
        <w:rPr>
          <w:rStyle w:val="FootnoteReference"/>
        </w:rPr>
        <w:footnoteRef/>
      </w:r>
      <w:r>
        <w:t xml:space="preserve"> </w:t>
      </w:r>
      <w:r w:rsidR="00B23539" w:rsidRPr="00B23539">
        <w:t>D</w:t>
      </w:r>
      <w:r w:rsidR="00B23539">
        <w:t>.</w:t>
      </w:r>
      <w:r w:rsidR="00B23539" w:rsidRPr="00B23539">
        <w:t xml:space="preserve"> </w:t>
      </w:r>
      <w:r w:rsidR="00B23539" w:rsidRPr="00B23539">
        <w:t xml:space="preserve">McKay, &amp; H. M. Scott, </w:t>
      </w:r>
      <w:r w:rsidR="00B23539" w:rsidRPr="00B23539">
        <w:rPr>
          <w:i/>
        </w:rPr>
        <w:t>The Rise of the Great Powers 1648 – 1815.</w:t>
      </w:r>
      <w:r w:rsidR="00B23539" w:rsidRPr="00B23539">
        <w:t xml:space="preserve"> </w:t>
      </w:r>
      <w:r w:rsidR="00B23539">
        <w:t>(</w:t>
      </w:r>
      <w:r w:rsidR="00B23539" w:rsidRPr="00B23539">
        <w:t>New York: Longman Inc., 1983</w:t>
      </w:r>
      <w:r w:rsidR="00B23539">
        <w:t xml:space="preserve">) </w:t>
      </w:r>
      <w:r w:rsidR="00B23539" w:rsidRPr="00B23539">
        <w:t>.</w:t>
      </w:r>
      <w:r>
        <w:rPr>
          <w:lang w:val="en-GB"/>
        </w:rPr>
        <w:t>257</w:t>
      </w:r>
    </w:p>
  </w:footnote>
  <w:footnote w:id="12">
    <w:p w14:paraId="21A2B8FD" w14:textId="49C46E0C" w:rsidR="001C381E" w:rsidRPr="001C381E" w:rsidRDefault="001C381E">
      <w:pPr>
        <w:pStyle w:val="FootnoteText"/>
        <w:rPr>
          <w:lang w:val="en-GB"/>
        </w:rPr>
      </w:pPr>
      <w:r>
        <w:rPr>
          <w:rStyle w:val="FootnoteReference"/>
        </w:rPr>
        <w:footnoteRef/>
      </w:r>
      <w:r>
        <w:t xml:space="preserve"> </w:t>
      </w:r>
      <w:r w:rsidR="00434D7D" w:rsidRPr="00434D7D">
        <w:rPr>
          <w:lang w:val="en-GB"/>
        </w:rPr>
        <w:t xml:space="preserve">D. </w:t>
      </w:r>
      <w:r w:rsidR="005279FC" w:rsidRPr="00434D7D">
        <w:rPr>
          <w:lang w:val="en-GB"/>
        </w:rPr>
        <w:t>McKay</w:t>
      </w:r>
      <w:r w:rsidR="00434D7D" w:rsidRPr="00434D7D">
        <w:rPr>
          <w:lang w:val="en-GB"/>
        </w:rPr>
        <w:t xml:space="preserve"> &amp; H. M. Scott, </w:t>
      </w:r>
      <w:r w:rsidR="00434D7D" w:rsidRPr="00434D7D">
        <w:rPr>
          <w:i/>
          <w:lang w:val="en-GB"/>
        </w:rPr>
        <w:t>The Rise of the Great Powers 1648 – 1815</w:t>
      </w:r>
      <w:r w:rsidR="00434D7D" w:rsidRPr="00434D7D">
        <w:rPr>
          <w:lang w:val="en-GB"/>
        </w:rPr>
        <w:t>. (New York: Longman Inc., 1983).</w:t>
      </w:r>
      <w:r w:rsidR="00434D7D">
        <w:rPr>
          <w:lang w:val="en-GB"/>
        </w:rPr>
        <w:t xml:space="preserve"> </w:t>
      </w:r>
      <w:r>
        <w:rPr>
          <w:lang w:val="en-GB"/>
        </w:rPr>
        <w:t>257</w:t>
      </w:r>
    </w:p>
  </w:footnote>
  <w:footnote w:id="13">
    <w:p w14:paraId="055E8DEB" w14:textId="79DD24AE" w:rsidR="000A37E9" w:rsidRPr="000A37E9" w:rsidRDefault="000A37E9">
      <w:pPr>
        <w:pStyle w:val="FootnoteText"/>
        <w:rPr>
          <w:lang w:val="en-GB"/>
        </w:rPr>
      </w:pPr>
      <w:r>
        <w:rPr>
          <w:rStyle w:val="FootnoteReference"/>
        </w:rPr>
        <w:footnoteRef/>
      </w:r>
      <w:r>
        <w:t xml:space="preserve"> </w:t>
      </w:r>
      <w:r>
        <w:rPr>
          <w:lang w:val="en-GB"/>
        </w:rPr>
        <w:t>Ibid 257</w:t>
      </w:r>
    </w:p>
  </w:footnote>
  <w:footnote w:id="14">
    <w:p w14:paraId="56646890" w14:textId="30E27E48" w:rsidR="00B40DDA" w:rsidRPr="00B40DDA" w:rsidRDefault="00B40DDA">
      <w:pPr>
        <w:pStyle w:val="FootnoteText"/>
        <w:rPr>
          <w:lang w:val="en-GB"/>
        </w:rPr>
      </w:pPr>
      <w:r>
        <w:rPr>
          <w:rStyle w:val="FootnoteReference"/>
        </w:rPr>
        <w:footnoteRef/>
      </w:r>
      <w:r>
        <w:t xml:space="preserve"> </w:t>
      </w:r>
      <w:r w:rsidR="00434D7D">
        <w:rPr>
          <w:lang w:val="en-GB"/>
        </w:rPr>
        <w:t>Ibid</w:t>
      </w:r>
      <w:r>
        <w:rPr>
          <w:lang w:val="en-GB"/>
        </w:rPr>
        <w:t xml:space="preserve"> 253</w:t>
      </w:r>
    </w:p>
  </w:footnote>
  <w:footnote w:id="15">
    <w:p w14:paraId="646E4B67" w14:textId="04E15D24" w:rsidR="005400DA" w:rsidRPr="005400DA" w:rsidRDefault="005400DA">
      <w:pPr>
        <w:pStyle w:val="FootnoteText"/>
        <w:rPr>
          <w:lang w:val="en-GB"/>
        </w:rPr>
      </w:pPr>
      <w:r>
        <w:rPr>
          <w:rStyle w:val="FootnoteReference"/>
        </w:rPr>
        <w:footnoteRef/>
      </w:r>
      <w:r>
        <w:t xml:space="preserve"> </w:t>
      </w:r>
      <w:r w:rsidR="00434D7D">
        <w:t xml:space="preserve">Ibid </w:t>
      </w:r>
      <w:r>
        <w:rPr>
          <w:lang w:val="en-GB"/>
        </w:rPr>
        <w:t>263</w:t>
      </w:r>
    </w:p>
  </w:footnote>
  <w:footnote w:id="16">
    <w:p w14:paraId="0834D540" w14:textId="1E10C6FD" w:rsidR="00644BE3" w:rsidRPr="00644BE3" w:rsidRDefault="00644BE3">
      <w:pPr>
        <w:pStyle w:val="FootnoteText"/>
      </w:pPr>
      <w:r>
        <w:rPr>
          <w:rStyle w:val="FootnoteReference"/>
        </w:rPr>
        <w:footnoteRef/>
      </w:r>
      <w:r w:rsidR="00582443">
        <w:t xml:space="preserve"> US History</w:t>
      </w:r>
      <w:r w:rsidR="005F0D4A">
        <w:t xml:space="preserve">, </w:t>
      </w:r>
      <w:r w:rsidR="005F0D4A">
        <w:rPr>
          <w:i/>
        </w:rPr>
        <w:t xml:space="preserve">The Declaration of Independence </w:t>
      </w:r>
      <w:r w:rsidR="005F0D4A" w:rsidRPr="005F0D4A">
        <w:t>(1995)</w:t>
      </w:r>
      <w:r w:rsidR="005F0D4A">
        <w:rPr>
          <w:i/>
        </w:rPr>
        <w:t>.</w:t>
      </w:r>
      <w:r>
        <w:t xml:space="preserve"> </w:t>
      </w:r>
      <w:r w:rsidR="005279FC">
        <w:t>Available</w:t>
      </w:r>
      <w:r w:rsidR="005F0D4A">
        <w:t xml:space="preserve"> Online: </w:t>
      </w:r>
      <w:hyperlink r:id="rId1" w:history="1">
        <w:r w:rsidR="005F0D4A" w:rsidRPr="0050721E">
          <w:rPr>
            <w:rStyle w:val="Hyperlink"/>
          </w:rPr>
          <w:t>http://www.ushistory.org/declaration/document/</w:t>
        </w:r>
      </w:hyperlink>
      <w:r w:rsidR="005F0D4A">
        <w:t xml:space="preserve"> [Accessed: 12/10/2018]</w:t>
      </w:r>
    </w:p>
  </w:footnote>
  <w:footnote w:id="17">
    <w:p w14:paraId="73992800" w14:textId="5CC0135D" w:rsidR="003936C5" w:rsidRPr="003936C5" w:rsidRDefault="003936C5">
      <w:pPr>
        <w:pStyle w:val="FootnoteText"/>
        <w:rPr>
          <w:lang w:val="en-GB"/>
        </w:rPr>
      </w:pPr>
      <w:r>
        <w:rPr>
          <w:rStyle w:val="FootnoteReference"/>
        </w:rPr>
        <w:footnoteRef/>
      </w:r>
      <w:r>
        <w:t xml:space="preserve"> </w:t>
      </w:r>
      <w:r w:rsidR="00C119E0" w:rsidRPr="00C119E0">
        <w:rPr>
          <w:lang w:val="en-GB"/>
        </w:rPr>
        <w:t xml:space="preserve">R. Furneaux, </w:t>
      </w:r>
      <w:r w:rsidR="00C119E0" w:rsidRPr="00434D7D">
        <w:rPr>
          <w:i/>
          <w:lang w:val="en-GB"/>
        </w:rPr>
        <w:t>The Seven Years War</w:t>
      </w:r>
      <w:r w:rsidR="00C119E0" w:rsidRPr="00C119E0">
        <w:rPr>
          <w:lang w:val="en-GB"/>
        </w:rPr>
        <w:t>. (London: Granada Publishing Limited, 1973).</w:t>
      </w:r>
      <w:r w:rsidR="00C119E0">
        <w:rPr>
          <w:lang w:val="en-GB"/>
        </w:rPr>
        <w:t xml:space="preserve"> </w:t>
      </w:r>
      <w:r>
        <w:rPr>
          <w:lang w:val="en-GB"/>
        </w:rPr>
        <w:t>204</w:t>
      </w:r>
    </w:p>
  </w:footnote>
  <w:footnote w:id="18">
    <w:p w14:paraId="25CA5F3E" w14:textId="36EF8918" w:rsidR="00B162C7" w:rsidRPr="00B162C7" w:rsidRDefault="00B162C7">
      <w:pPr>
        <w:pStyle w:val="FootnoteText"/>
        <w:rPr>
          <w:lang w:val="en-GB"/>
        </w:rPr>
      </w:pPr>
      <w:r>
        <w:rPr>
          <w:rStyle w:val="FootnoteReference"/>
        </w:rPr>
        <w:footnoteRef/>
      </w:r>
      <w:r>
        <w:t xml:space="preserve"> </w:t>
      </w:r>
      <w:r w:rsidR="00434D7D" w:rsidRPr="00434D7D">
        <w:rPr>
          <w:lang w:val="en-GB"/>
        </w:rPr>
        <w:t xml:space="preserve">D. </w:t>
      </w:r>
      <w:r w:rsidR="005279FC" w:rsidRPr="00434D7D">
        <w:rPr>
          <w:lang w:val="en-GB"/>
        </w:rPr>
        <w:t>McKay</w:t>
      </w:r>
      <w:r w:rsidR="00434D7D" w:rsidRPr="00434D7D">
        <w:rPr>
          <w:lang w:val="en-GB"/>
        </w:rPr>
        <w:t xml:space="preserve"> &amp; H. M. Scott, The Rise of the Great Powers 1648 – 1815. (New York: Longman Inc., 1983).</w:t>
      </w:r>
      <w:r w:rsidR="00434D7D">
        <w:rPr>
          <w:lang w:val="en-GB"/>
        </w:rPr>
        <w:t xml:space="preserve"> 279.</w:t>
      </w:r>
    </w:p>
  </w:footnote>
  <w:footnote w:id="19">
    <w:p w14:paraId="22A30355" w14:textId="0F3BA1BC" w:rsidR="00696576" w:rsidRPr="00696576" w:rsidRDefault="00696576">
      <w:pPr>
        <w:pStyle w:val="FootnoteText"/>
        <w:rPr>
          <w:lang w:val="en-GB"/>
        </w:rPr>
      </w:pPr>
      <w:r>
        <w:rPr>
          <w:rStyle w:val="FootnoteReference"/>
        </w:rPr>
        <w:footnoteRef/>
      </w:r>
      <w:r>
        <w:t xml:space="preserve"> </w:t>
      </w:r>
      <w:r w:rsidR="00434D7D">
        <w:t xml:space="preserve">Ibid. </w:t>
      </w:r>
      <w:r>
        <w:rPr>
          <w:lang w:val="en-GB"/>
        </w:rPr>
        <w:t>280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14016"/>
    <w:multiLevelType w:val="hybridMultilevel"/>
    <w:tmpl w:val="011601BE"/>
    <w:lvl w:ilvl="0" w:tplc="1110FF92">
      <w:start w:val="1"/>
      <w:numFmt w:val="decimal"/>
      <w:lvlText w:val="%1."/>
      <w:lvlJc w:val="left"/>
      <w:pPr>
        <w:ind w:left="360" w:hanging="360"/>
      </w:pPr>
      <w:rPr>
        <w:rFonts w:hint="default"/>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89A"/>
    <w:rsid w:val="000031D0"/>
    <w:rsid w:val="000343C6"/>
    <w:rsid w:val="00056796"/>
    <w:rsid w:val="000750DA"/>
    <w:rsid w:val="000771F6"/>
    <w:rsid w:val="000A37E9"/>
    <w:rsid w:val="000A4E42"/>
    <w:rsid w:val="000B40AB"/>
    <w:rsid w:val="000E73F9"/>
    <w:rsid w:val="000F0D3A"/>
    <w:rsid w:val="000F79F2"/>
    <w:rsid w:val="00101B3D"/>
    <w:rsid w:val="00161387"/>
    <w:rsid w:val="00173137"/>
    <w:rsid w:val="00177694"/>
    <w:rsid w:val="001B4131"/>
    <w:rsid w:val="001C381E"/>
    <w:rsid w:val="001C5287"/>
    <w:rsid w:val="001D70ED"/>
    <w:rsid w:val="00242F3C"/>
    <w:rsid w:val="002436F9"/>
    <w:rsid w:val="0025031E"/>
    <w:rsid w:val="00266F18"/>
    <w:rsid w:val="002E4EAF"/>
    <w:rsid w:val="002F1C50"/>
    <w:rsid w:val="002F2C25"/>
    <w:rsid w:val="0033587E"/>
    <w:rsid w:val="00344F2D"/>
    <w:rsid w:val="003634CA"/>
    <w:rsid w:val="00363879"/>
    <w:rsid w:val="00366A01"/>
    <w:rsid w:val="003936C5"/>
    <w:rsid w:val="003A4C98"/>
    <w:rsid w:val="003A6695"/>
    <w:rsid w:val="003C189B"/>
    <w:rsid w:val="003E6143"/>
    <w:rsid w:val="003F0276"/>
    <w:rsid w:val="00420C2F"/>
    <w:rsid w:val="00426C94"/>
    <w:rsid w:val="004321C3"/>
    <w:rsid w:val="00433F46"/>
    <w:rsid w:val="00434D7D"/>
    <w:rsid w:val="00445863"/>
    <w:rsid w:val="00482D18"/>
    <w:rsid w:val="00492C41"/>
    <w:rsid w:val="004A199D"/>
    <w:rsid w:val="004D7D20"/>
    <w:rsid w:val="00506930"/>
    <w:rsid w:val="005279FC"/>
    <w:rsid w:val="005400DA"/>
    <w:rsid w:val="0054621F"/>
    <w:rsid w:val="00566DF1"/>
    <w:rsid w:val="00573E17"/>
    <w:rsid w:val="00582443"/>
    <w:rsid w:val="005B77D1"/>
    <w:rsid w:val="005C5549"/>
    <w:rsid w:val="005F0D4A"/>
    <w:rsid w:val="005F1885"/>
    <w:rsid w:val="005F366F"/>
    <w:rsid w:val="00602C2E"/>
    <w:rsid w:val="00615C1D"/>
    <w:rsid w:val="006176C0"/>
    <w:rsid w:val="00635DE0"/>
    <w:rsid w:val="00644BE3"/>
    <w:rsid w:val="00654479"/>
    <w:rsid w:val="00677EED"/>
    <w:rsid w:val="00696576"/>
    <w:rsid w:val="006A727B"/>
    <w:rsid w:val="006E1FA7"/>
    <w:rsid w:val="007123F9"/>
    <w:rsid w:val="0075019A"/>
    <w:rsid w:val="007531C1"/>
    <w:rsid w:val="007639AE"/>
    <w:rsid w:val="00775141"/>
    <w:rsid w:val="007922D9"/>
    <w:rsid w:val="00793151"/>
    <w:rsid w:val="007A067D"/>
    <w:rsid w:val="007B663B"/>
    <w:rsid w:val="007C4795"/>
    <w:rsid w:val="00813833"/>
    <w:rsid w:val="0083403D"/>
    <w:rsid w:val="00860192"/>
    <w:rsid w:val="0086489A"/>
    <w:rsid w:val="00890E33"/>
    <w:rsid w:val="008B305F"/>
    <w:rsid w:val="008E19D3"/>
    <w:rsid w:val="008E4CF1"/>
    <w:rsid w:val="008F4384"/>
    <w:rsid w:val="00900314"/>
    <w:rsid w:val="00914950"/>
    <w:rsid w:val="00922A35"/>
    <w:rsid w:val="00922AEF"/>
    <w:rsid w:val="0092594E"/>
    <w:rsid w:val="00932E9F"/>
    <w:rsid w:val="0094620D"/>
    <w:rsid w:val="00975058"/>
    <w:rsid w:val="009848DE"/>
    <w:rsid w:val="00990C5E"/>
    <w:rsid w:val="009B2972"/>
    <w:rsid w:val="009C334D"/>
    <w:rsid w:val="009D6693"/>
    <w:rsid w:val="00A07BA4"/>
    <w:rsid w:val="00A337BF"/>
    <w:rsid w:val="00A64F25"/>
    <w:rsid w:val="00A92602"/>
    <w:rsid w:val="00A97A0B"/>
    <w:rsid w:val="00AB1D9C"/>
    <w:rsid w:val="00B075EF"/>
    <w:rsid w:val="00B162C7"/>
    <w:rsid w:val="00B1701D"/>
    <w:rsid w:val="00B23539"/>
    <w:rsid w:val="00B409A4"/>
    <w:rsid w:val="00B40DDA"/>
    <w:rsid w:val="00B45089"/>
    <w:rsid w:val="00B526AB"/>
    <w:rsid w:val="00B66D1B"/>
    <w:rsid w:val="00BB7F11"/>
    <w:rsid w:val="00BD52AD"/>
    <w:rsid w:val="00C04108"/>
    <w:rsid w:val="00C119E0"/>
    <w:rsid w:val="00C30B45"/>
    <w:rsid w:val="00C32607"/>
    <w:rsid w:val="00C53190"/>
    <w:rsid w:val="00CA094D"/>
    <w:rsid w:val="00CA09D6"/>
    <w:rsid w:val="00CC7EB7"/>
    <w:rsid w:val="00D3060E"/>
    <w:rsid w:val="00D75151"/>
    <w:rsid w:val="00DF60ED"/>
    <w:rsid w:val="00E00FFF"/>
    <w:rsid w:val="00E06136"/>
    <w:rsid w:val="00E11611"/>
    <w:rsid w:val="00E2377A"/>
    <w:rsid w:val="00E32293"/>
    <w:rsid w:val="00E350DA"/>
    <w:rsid w:val="00E4391F"/>
    <w:rsid w:val="00E468B8"/>
    <w:rsid w:val="00E61999"/>
    <w:rsid w:val="00EF7C6C"/>
    <w:rsid w:val="00F07205"/>
    <w:rsid w:val="00F15CC1"/>
    <w:rsid w:val="00F3720D"/>
    <w:rsid w:val="00F52FAC"/>
    <w:rsid w:val="00F7176C"/>
    <w:rsid w:val="00F754F0"/>
    <w:rsid w:val="00F77E45"/>
    <w:rsid w:val="00FB0093"/>
    <w:rsid w:val="00FB65AF"/>
    <w:rsid w:val="00FC0B43"/>
    <w:rsid w:val="00FC6C41"/>
    <w:rsid w:val="00FD7477"/>
    <w:rsid w:val="00FE7C31"/>
    <w:rsid w:val="00FF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90D62A"/>
  <w15:chartTrackingRefBased/>
  <w15:docId w15:val="{FAA138B8-5B90-43CA-B42F-66C0128F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89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F3884"/>
    <w:rPr>
      <w:sz w:val="20"/>
      <w:szCs w:val="20"/>
    </w:rPr>
  </w:style>
  <w:style w:type="character" w:customStyle="1" w:styleId="FootnoteTextChar">
    <w:name w:val="Footnote Text Char"/>
    <w:basedOn w:val="DefaultParagraphFont"/>
    <w:link w:val="FootnoteText"/>
    <w:uiPriority w:val="99"/>
    <w:semiHidden/>
    <w:rsid w:val="00FF3884"/>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FF3884"/>
    <w:rPr>
      <w:vertAlign w:val="superscript"/>
    </w:rPr>
  </w:style>
  <w:style w:type="character" w:styleId="Hyperlink">
    <w:name w:val="Hyperlink"/>
    <w:basedOn w:val="DefaultParagraphFont"/>
    <w:uiPriority w:val="99"/>
    <w:unhideWhenUsed/>
    <w:rsid w:val="00644BE3"/>
    <w:rPr>
      <w:color w:val="0563C1" w:themeColor="hyperlink"/>
      <w:u w:val="single"/>
    </w:rPr>
  </w:style>
  <w:style w:type="character" w:styleId="UnresolvedMention">
    <w:name w:val="Unresolved Mention"/>
    <w:basedOn w:val="DefaultParagraphFont"/>
    <w:uiPriority w:val="99"/>
    <w:semiHidden/>
    <w:unhideWhenUsed/>
    <w:rsid w:val="00644BE3"/>
    <w:rPr>
      <w:color w:val="605E5C"/>
      <w:shd w:val="clear" w:color="auto" w:fill="E1DFDD"/>
    </w:rPr>
  </w:style>
  <w:style w:type="paragraph" w:styleId="Title">
    <w:name w:val="Title"/>
    <w:basedOn w:val="Normal"/>
    <w:next w:val="Normal"/>
    <w:link w:val="TitleChar"/>
    <w:uiPriority w:val="10"/>
    <w:qFormat/>
    <w:rsid w:val="007123F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3F9"/>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history.org/declaration/docu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shistory.org/declaration/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04F6B-7756-479C-8B6E-9D1045A4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6</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64</cp:revision>
  <dcterms:created xsi:type="dcterms:W3CDTF">2018-10-12T01:35:00Z</dcterms:created>
  <dcterms:modified xsi:type="dcterms:W3CDTF">2018-10-12T22:32:00Z</dcterms:modified>
</cp:coreProperties>
</file>