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D5F348" w14:textId="758F8497" w:rsidR="003B4D86" w:rsidRPr="003B4D86" w:rsidRDefault="003B4D86">
      <w:pPr>
        <w:rPr>
          <w:b/>
          <w:bCs/>
        </w:rPr>
      </w:pPr>
      <w:r w:rsidRPr="003B4D86">
        <w:rPr>
          <w:b/>
          <w:bCs/>
        </w:rPr>
        <w:t>Joshua Parry - 2236583</w:t>
      </w:r>
    </w:p>
    <w:p w14:paraId="657DA8E2" w14:textId="77777777" w:rsidR="003B4D86" w:rsidRDefault="003B4D86"/>
    <w:p w14:paraId="57FAC449" w14:textId="5C678920" w:rsidR="004D46BE" w:rsidRPr="00F640C5" w:rsidRDefault="00152033">
      <w:pPr>
        <w:rPr>
          <w:b/>
          <w:bCs/>
        </w:rPr>
      </w:pPr>
      <w:r w:rsidRPr="003B4D86">
        <w:rPr>
          <w:b/>
          <w:bCs/>
        </w:rPr>
        <w:t>Essay</w:t>
      </w:r>
      <w:r w:rsidR="005A2123">
        <w:rPr>
          <w:b/>
          <w:bCs/>
        </w:rPr>
        <w:t xml:space="preserve"> t</w:t>
      </w:r>
      <w:r w:rsidR="00F640C5">
        <w:rPr>
          <w:b/>
          <w:bCs/>
        </w:rPr>
        <w:t>itle choice - one</w:t>
      </w:r>
    </w:p>
    <w:p w14:paraId="26C683C6" w14:textId="33B104A5" w:rsidR="00295D09" w:rsidRDefault="00B1758B">
      <w:r>
        <w:t>Modern Policing is continually faced with new social and cultural challenges when ensuring a quality service to the public, challenges</w:t>
      </w:r>
      <w:r w:rsidR="00752A89">
        <w:t xml:space="preserve"> in place from Police and their fair treatment of the</w:t>
      </w:r>
      <w:r>
        <w:t xml:space="preserve"> dense ethnic groups present within the United Kingdom</w:t>
      </w:r>
      <w:r w:rsidR="00295D09">
        <w:t>. (Office for National Statistics,2024) states 23% of the UK population is made up by persons other than white British, a percentage translating to almost 14 million persons</w:t>
      </w:r>
      <w:r w:rsidR="00752A89">
        <w:t xml:space="preserve">. </w:t>
      </w:r>
    </w:p>
    <w:p w14:paraId="411B3398" w14:textId="1805DB0B" w:rsidR="00670108" w:rsidRDefault="00295D09" w:rsidP="004D46BE">
      <w:r>
        <w:t>The essay will formulate around the</w:t>
      </w:r>
      <w:r w:rsidR="00752A89">
        <w:t xml:space="preserve"> ongoing</w:t>
      </w:r>
      <w:r>
        <w:t xml:space="preserve"> internal changes Police forces</w:t>
      </w:r>
      <w:r w:rsidR="00752A89">
        <w:t xml:space="preserve">, particularly surrounding their </w:t>
      </w:r>
      <w:r>
        <w:t>employment of a more diversified workforce</w:t>
      </w:r>
      <w:r w:rsidR="00752A89">
        <w:t xml:space="preserve"> with the hopes of</w:t>
      </w:r>
      <w:r>
        <w:t xml:space="preserve"> represent</w:t>
      </w:r>
      <w:r w:rsidR="00752A89">
        <w:t>ing</w:t>
      </w:r>
      <w:r>
        <w:t xml:space="preserve"> the communities for which they serve. Studies will then look to evaluate the impact </w:t>
      </w:r>
      <w:r w:rsidR="00BE2653">
        <w:t xml:space="preserve">of a diversified Police force, and whether a workforce representative of the public is the answer for providing effective Policing in highly diversified communities (Hong,2015). The Police’s effectiveness in accommodating diversity will therefore be measured against Police legitimacy, otherwise known as Policing by consent (GOV,2017). </w:t>
      </w:r>
      <w:r w:rsidR="00A5001D">
        <w:t>In simple terms this means when power is utilized in a fair and respectful way, resulting in public trust and motivation in the Police’s role (Jackson et al.,2012)</w:t>
      </w:r>
      <w:r w:rsidR="00752A89">
        <w:t>, an area that is necessary given minority citizens having less confidence in Police (</w:t>
      </w:r>
      <w:proofErr w:type="spellStart"/>
      <w:r w:rsidR="00752A89">
        <w:t>Yesberg</w:t>
      </w:r>
      <w:proofErr w:type="spellEnd"/>
      <w:r w:rsidR="00752A89">
        <w:t xml:space="preserve"> et al.,2022).</w:t>
      </w:r>
    </w:p>
    <w:p w14:paraId="4662FAE1" w14:textId="61271B39" w:rsidR="00670108" w:rsidRDefault="00670108" w:rsidP="00670108">
      <w:r>
        <w:t>The</w:t>
      </w:r>
      <w:r w:rsidR="00752A89">
        <w:t xml:space="preserve"> prospect diversifying</w:t>
      </w:r>
      <w:r>
        <w:t xml:space="preserve"> UK Police forces is in place to help tackle many prominent issues within the Policing community, </w:t>
      </w:r>
      <w:r w:rsidR="00752A89">
        <w:t xml:space="preserve">particularly where Police and their workforce represents </w:t>
      </w:r>
      <w:r>
        <w:t>the communities for which it serves. The proposal that a Police demographic fitting with the community in the categories of race and ethnicity are critical for the sharing of similar views between the Police and public (Bradbury and Kellough,201</w:t>
      </w:r>
      <w:r w:rsidR="00D83026">
        <w:t>0</w:t>
      </w:r>
      <w:r>
        <w:t>). The requirement for meeting the diversity needs has never been clearer, especially when an officer’s discretion on decisions and outcomes in a situation are often influenced by one’s background (Meier,1993).</w:t>
      </w:r>
      <w:r w:rsidR="00752A89">
        <w:t xml:space="preserve"> This desire for a more diversified Police force is strengthened by the fact that others from minority groups are of better service to minority citizens, particularly where discretion, cultural sensitivity and engaging with citizens to gather intelligence are concerned (Brown and Frank,2006).</w:t>
      </w:r>
      <w:r w:rsidR="008E0326">
        <w:t xml:space="preserve"> It therefore comes as no surprise of the relationship between organisational diversity and citizen satisfaction in the Police (Fielding,2023).</w:t>
      </w:r>
    </w:p>
    <w:p w14:paraId="4D9B6F7C" w14:textId="0BB6916C" w:rsidR="00F036B4" w:rsidRDefault="00A5001D" w:rsidP="00295D09">
      <w:r>
        <w:t>Internal adaptations to officer employment are the</w:t>
      </w:r>
      <w:r w:rsidR="008E0326">
        <w:t>refore a</w:t>
      </w:r>
      <w:r w:rsidR="00947096">
        <w:t xml:space="preserve"> </w:t>
      </w:r>
      <w:r w:rsidR="008E0326">
        <w:t>key area for adhering to the</w:t>
      </w:r>
      <w:r w:rsidR="004D46BE">
        <w:t xml:space="preserve"> </w:t>
      </w:r>
      <w:r>
        <w:t xml:space="preserve">diversified </w:t>
      </w:r>
      <w:r w:rsidR="00295D09">
        <w:t>UK</w:t>
      </w:r>
      <w:r>
        <w:t xml:space="preserve"> population</w:t>
      </w:r>
      <w:r w:rsidR="004D46BE">
        <w:t>.</w:t>
      </w:r>
      <w:r w:rsidR="00947096">
        <w:t xml:space="preserve"> </w:t>
      </w:r>
      <w:r w:rsidR="008E0326">
        <w:t>E</w:t>
      </w:r>
      <w:r w:rsidR="00E825AA">
        <w:t xml:space="preserve">mploying officers that are of differing ethnicities </w:t>
      </w:r>
      <w:r w:rsidR="004D46BE">
        <w:t xml:space="preserve">not </w:t>
      </w:r>
      <w:r w:rsidR="00E825AA">
        <w:t xml:space="preserve">only provides a workforce representant of the communities it </w:t>
      </w:r>
      <w:r w:rsidR="008E0326">
        <w:t>serves but</w:t>
      </w:r>
      <w:r w:rsidR="00092470">
        <w:t xml:space="preserve"> provides </w:t>
      </w:r>
      <w:r w:rsidR="00E825AA">
        <w:t xml:space="preserve">ethnic </w:t>
      </w:r>
      <w:r w:rsidR="008E0326">
        <w:t>diversification within the Police itself.</w:t>
      </w:r>
      <w:r w:rsidR="00E825AA">
        <w:t xml:space="preserve"> </w:t>
      </w:r>
      <w:r w:rsidR="008E0326">
        <w:t>Despite the benefits of diversifying UK Police forces, Recent statistics show a desire to employ Police officers, however little success with employing cultures that reflect our communities,</w:t>
      </w:r>
      <w:r w:rsidR="00F036B4">
        <w:t xml:space="preserve"> </w:t>
      </w:r>
      <w:r w:rsidR="008E0326">
        <w:t xml:space="preserve">with </w:t>
      </w:r>
      <w:r w:rsidR="00F036B4">
        <w:t xml:space="preserve">white </w:t>
      </w:r>
      <w:r w:rsidR="008E0326">
        <w:t>British officers continuing to dominate our forces</w:t>
      </w:r>
      <w:r w:rsidR="00092470">
        <w:t xml:space="preserve"> (Fielding,2023)</w:t>
      </w:r>
      <w:r w:rsidR="00E825AA">
        <w:t>.</w:t>
      </w:r>
      <w:r w:rsidR="00092470">
        <w:t xml:space="preserve"> </w:t>
      </w:r>
      <w:r w:rsidR="00907EFB">
        <w:t>(GOV,202</w:t>
      </w:r>
      <w:r w:rsidR="00193B91">
        <w:t>3</w:t>
      </w:r>
      <w:r w:rsidR="00907EFB">
        <w:t>) s</w:t>
      </w:r>
      <w:r w:rsidR="008E0326">
        <w:t>tate that since governments wishes to increase Police recruitment by 20,000,</w:t>
      </w:r>
      <w:r w:rsidR="00EE5008">
        <w:t xml:space="preserve"> 9,814 </w:t>
      </w:r>
      <w:r w:rsidR="008E0326">
        <w:t xml:space="preserve">new officers had been </w:t>
      </w:r>
      <w:r w:rsidR="00EE5008">
        <w:t>employed into the role as of June</w:t>
      </w:r>
      <w:r w:rsidR="008E0326">
        <w:t xml:space="preserve"> 2021.</w:t>
      </w:r>
      <w:r w:rsidR="00EE5008">
        <w:t xml:space="preserve"> </w:t>
      </w:r>
      <w:r w:rsidR="008E0326">
        <w:t xml:space="preserve">Despite success recruiting officers, they do little to address </w:t>
      </w:r>
      <w:r w:rsidR="00EE5008">
        <w:t>the ethnicity gap between officers and the</w:t>
      </w:r>
      <w:r w:rsidR="008E0326">
        <w:t xml:space="preserve"> UK</w:t>
      </w:r>
      <w:r w:rsidR="00EE5008">
        <w:t xml:space="preserve"> population.</w:t>
      </w:r>
      <w:r w:rsidR="008E0326">
        <w:t xml:space="preserve"> This is shown by </w:t>
      </w:r>
      <w:r w:rsidR="00EE5008">
        <w:t>91.</w:t>
      </w:r>
      <w:r w:rsidR="002A7E44">
        <w:t>6</w:t>
      </w:r>
      <w:r w:rsidR="00EE5008">
        <w:t>% of the</w:t>
      </w:r>
      <w:r w:rsidR="008E0326">
        <w:t xml:space="preserve"> </w:t>
      </w:r>
      <w:r w:rsidR="00EE5008">
        <w:t xml:space="preserve">workforce </w:t>
      </w:r>
      <w:r w:rsidR="008E0326">
        <w:t xml:space="preserve">being </w:t>
      </w:r>
      <w:r w:rsidR="00DF46CF">
        <w:t xml:space="preserve">of white ethnicity </w:t>
      </w:r>
      <w:r w:rsidR="007A6EBD">
        <w:t>wh</w:t>
      </w:r>
      <w:r w:rsidR="008E0326">
        <w:t xml:space="preserve">ilst </w:t>
      </w:r>
      <w:r w:rsidR="007A6EBD">
        <w:t>serv</w:t>
      </w:r>
      <w:r w:rsidR="008E0326">
        <w:t>ing</w:t>
      </w:r>
      <w:r w:rsidR="007A6EBD">
        <w:t xml:space="preserve"> a population of</w:t>
      </w:r>
      <w:r w:rsidR="00DF46CF">
        <w:t xml:space="preserve"> 81.7%</w:t>
      </w:r>
      <w:r w:rsidR="007A6EBD">
        <w:t xml:space="preserve"> </w:t>
      </w:r>
      <w:r w:rsidR="002A7E44">
        <w:t>white</w:t>
      </w:r>
      <w:r w:rsidR="007A6EBD">
        <w:t xml:space="preserve"> UK citizens</w:t>
      </w:r>
      <w:r w:rsidR="00DF46CF">
        <w:t xml:space="preserve">. </w:t>
      </w:r>
      <w:r w:rsidR="008E0326">
        <w:t xml:space="preserve">There is also a </w:t>
      </w:r>
      <w:r w:rsidR="00DF46CF">
        <w:t xml:space="preserve">9.3% Asian population </w:t>
      </w:r>
      <w:r w:rsidR="008E0326">
        <w:t>within</w:t>
      </w:r>
      <w:r w:rsidR="00DF46CF">
        <w:t xml:space="preserve"> the UK, however only 3.</w:t>
      </w:r>
      <w:r w:rsidR="002A7E44">
        <w:t>8</w:t>
      </w:r>
      <w:r w:rsidR="00DF46CF">
        <w:t xml:space="preserve">% </w:t>
      </w:r>
      <w:r w:rsidR="008E0326">
        <w:t>of Police officers are of Asian culture</w:t>
      </w:r>
      <w:r w:rsidR="007A6EBD">
        <w:t>.</w:t>
      </w:r>
      <w:r w:rsidR="00DF46CF">
        <w:t xml:space="preserve"> This is the same story for black ethnic groups with the</w:t>
      </w:r>
      <w:r w:rsidR="008E0326">
        <w:t xml:space="preserve"> UK</w:t>
      </w:r>
      <w:r w:rsidR="00DF46CF">
        <w:t xml:space="preserve"> population sitting at 4.0% with a mere 1.3% black officers </w:t>
      </w:r>
      <w:r w:rsidR="008E0326">
        <w:t xml:space="preserve">being </w:t>
      </w:r>
      <w:r w:rsidR="00DF46CF">
        <w:t>employed</w:t>
      </w:r>
      <w:r w:rsidR="008E0326">
        <w:t xml:space="preserve"> in our Police forces (GOV,2024). </w:t>
      </w:r>
      <w:r w:rsidR="00DF46CF">
        <w:t xml:space="preserve">Clearly, Police forces have extensive employment challenges when achieving </w:t>
      </w:r>
      <w:r w:rsidR="00DF46CF">
        <w:lastRenderedPageBreak/>
        <w:t xml:space="preserve">sufficient </w:t>
      </w:r>
      <w:r w:rsidR="00F036B4">
        <w:t xml:space="preserve">officers in each ethnic category </w:t>
      </w:r>
      <w:r w:rsidR="008E0326">
        <w:t xml:space="preserve">despite (College of Policing, 2021)’s vision for diversity and inclusion being at the forefront of their recruitment goals. </w:t>
      </w:r>
    </w:p>
    <w:p w14:paraId="4F70DF35" w14:textId="669B46BC" w:rsidR="00947096" w:rsidRDefault="00F036B4" w:rsidP="00295D09">
      <w:r>
        <w:t xml:space="preserve">There is </w:t>
      </w:r>
      <w:r w:rsidR="00092470">
        <w:t xml:space="preserve">little research justifying </w:t>
      </w:r>
      <w:r w:rsidR="00606BBB">
        <w:t xml:space="preserve">why </w:t>
      </w:r>
      <w:r w:rsidR="00FB7960">
        <w:t xml:space="preserve">such a significant </w:t>
      </w:r>
      <w:r w:rsidR="00606BBB">
        <w:t xml:space="preserve">ethnic </w:t>
      </w:r>
      <w:r w:rsidR="00FB7960">
        <w:t>gap between</w:t>
      </w:r>
      <w:r w:rsidR="00092470">
        <w:t xml:space="preserve"> officers </w:t>
      </w:r>
      <w:r w:rsidR="00606BBB">
        <w:t xml:space="preserve">and members of </w:t>
      </w:r>
      <w:r w:rsidR="00092470">
        <w:t>the public</w:t>
      </w:r>
      <w:r w:rsidR="008E0326">
        <w:t xml:space="preserve"> exists, however with government and College of Policing encouraging recruiting diversified officers, it would appear reasonable to evaluate the levels of recruitment in local Police forces</w:t>
      </w:r>
      <w:r w:rsidR="00606BBB">
        <w:t>.</w:t>
      </w:r>
      <w:r w:rsidR="002A7E44">
        <w:t xml:space="preserve"> </w:t>
      </w:r>
      <w:r w:rsidR="00092470">
        <w:t>(Hesketh, 2023)</w:t>
      </w:r>
      <w:r w:rsidR="00FB7960">
        <w:t>’s</w:t>
      </w:r>
      <w:r w:rsidR="00092470">
        <w:t xml:space="preserve"> research </w:t>
      </w:r>
      <w:r w:rsidR="00606BBB">
        <w:t>is</w:t>
      </w:r>
      <w:r w:rsidR="00092470">
        <w:t xml:space="preserve"> </w:t>
      </w:r>
      <w:r w:rsidR="007A6EBD">
        <w:t>of particular</w:t>
      </w:r>
      <w:r w:rsidR="00092470">
        <w:t xml:space="preserve"> use</w:t>
      </w:r>
      <w:r w:rsidR="002A7E44">
        <w:t xml:space="preserve"> </w:t>
      </w:r>
      <w:r w:rsidR="007A6EBD">
        <w:t>when providing</w:t>
      </w:r>
      <w:r w:rsidR="00FB7960">
        <w:t xml:space="preserve"> a rational to why </w:t>
      </w:r>
      <w:r w:rsidR="00606BBB">
        <w:t xml:space="preserve">the Police uplift has not been utilised </w:t>
      </w:r>
      <w:r w:rsidR="007A6EBD">
        <w:t xml:space="preserve">effectively when looking to meet the requirement of </w:t>
      </w:r>
      <w:r w:rsidR="00606BBB">
        <w:t>a highly diversified UK population. This research states</w:t>
      </w:r>
      <w:r w:rsidR="00092470">
        <w:t xml:space="preserve"> that </w:t>
      </w:r>
      <w:r w:rsidR="00606BBB">
        <w:t xml:space="preserve">the issue surrounding diversification were identified by the </w:t>
      </w:r>
      <w:r w:rsidR="00092470">
        <w:t xml:space="preserve">House of Commons </w:t>
      </w:r>
      <w:r w:rsidR="00606BBB">
        <w:t>in 2016 which has</w:t>
      </w:r>
      <w:r w:rsidR="001539E1">
        <w:t xml:space="preserve"> placed further political pressure on </w:t>
      </w:r>
      <w:r w:rsidR="00606BBB">
        <w:t xml:space="preserve">Police </w:t>
      </w:r>
      <w:r w:rsidR="001539E1">
        <w:t xml:space="preserve">to address these inadequacies. </w:t>
      </w:r>
      <w:r w:rsidR="00092470">
        <w:t>constabularies</w:t>
      </w:r>
      <w:r w:rsidR="00606BBB">
        <w:t xml:space="preserve"> </w:t>
      </w:r>
      <w:r w:rsidR="001539E1">
        <w:t xml:space="preserve">have since began </w:t>
      </w:r>
      <w:r w:rsidR="00606BBB">
        <w:t>to</w:t>
      </w:r>
      <w:r w:rsidR="00092470">
        <w:t xml:space="preserve"> devel</w:t>
      </w:r>
      <w:r w:rsidR="00606BBB">
        <w:t>op their own</w:t>
      </w:r>
      <w:r w:rsidR="00092470">
        <w:t xml:space="preserve"> </w:t>
      </w:r>
      <w:r w:rsidR="00FB7960">
        <w:t>localised versions of the recruitment process, a process w</w:t>
      </w:r>
      <w:r w:rsidR="00606BBB">
        <w:t>here</w:t>
      </w:r>
      <w:r w:rsidR="00FB7960">
        <w:t xml:space="preserve"> positive action</w:t>
      </w:r>
      <w:r w:rsidR="00606BBB">
        <w:t xml:space="preserve"> </w:t>
      </w:r>
      <w:r w:rsidR="008D1DE6">
        <w:t>would be</w:t>
      </w:r>
      <w:r w:rsidR="001539E1">
        <w:t xml:space="preserve"> incorporated </w:t>
      </w:r>
      <w:r w:rsidR="008E0326">
        <w:t>in the form of additional support to minorities throughout the recruitment process</w:t>
      </w:r>
      <w:r w:rsidR="00FB7960">
        <w:t xml:space="preserve">. </w:t>
      </w:r>
      <w:r w:rsidR="008D1DE6">
        <w:t xml:space="preserve">Despite this proposal, </w:t>
      </w:r>
      <w:r w:rsidR="008E0326">
        <w:t xml:space="preserve">ethnic minorities appear to have greater difficulty throughout the recruitment process, this is evidenced by 44.7% of minorities being unsuccessful in the recruitment process compared to 25.7% white being unsuccessful. Based off available research, it is currently unclear if the gap in successful recruitment is caused by disproportionality when assessing ethnic groups or the sole underperforming of ethnic minority groups. New recruits of white ethnicity can be able to refer to family and friends for support who are likely to share similar worldwide, values and backgrounds to a large majority of the Police demographic already in place (Hesketh, 2023), ultimately putting minorities at a disadvantage based on the work demographic already in place. (Hesketh, 2023)’s argument can be agreed with on the basis that ethnic groups are likely to share similar views largely benefitting white recruits given the current demographics of UK Policing. However, without research that is more intrusive to the tick boxes of each stage of recruitment, it should be argued (Hesketh, 2023) would only be speculating that white officers are of greater chance of recruitment based on them representing the Police demographic in place. </w:t>
      </w:r>
      <w:r w:rsidR="008D1DE6">
        <w:t>Further blame should be shared with the body inspecting the outcomes of process</w:t>
      </w:r>
      <w:r w:rsidR="008E0326">
        <w:t xml:space="preserve">es </w:t>
      </w:r>
      <w:r w:rsidR="008D1DE6">
        <w:t>regarding diversity, namely Her Majesty’s Inspectorate of Constabulary (HMIC). (HMIC)’s involvement in overseeing the failures of each Police force is shown to be very limited, this has shown to be critical</w:t>
      </w:r>
      <w:r w:rsidR="002A7E44">
        <w:t xml:space="preserve"> </w:t>
      </w:r>
      <w:r w:rsidR="008D1DE6">
        <w:t>in</w:t>
      </w:r>
      <w:r w:rsidR="002A7E44">
        <w:t xml:space="preserve"> the failings, leaving each force without adequate scrutiny surrounding their failings to recruit ethnic minorities (Hesketh, 2023).</w:t>
      </w:r>
    </w:p>
    <w:p w14:paraId="7FAE2F44" w14:textId="592011EC" w:rsidR="008E0326" w:rsidRDefault="008E0326" w:rsidP="00295D09">
      <w:r>
        <w:t xml:space="preserve">Taking all research into consideration, Police forces have not adapted effectively </w:t>
      </w:r>
      <w:r w:rsidR="0066291D">
        <w:t>to the changes in the UK’s citizens</w:t>
      </w:r>
      <w:r>
        <w:t>. Th</w:t>
      </w:r>
      <w:r w:rsidR="0066291D">
        <w:t xml:space="preserve">e available research shows bodies overseeing Police forces have urged local Police forces to utilise the governments recruitment targets of 20,000 new Police officers however recruitment data has shown limited success with regards to diversifying UK Policing. Current research does not however provide exact reasoning for the lack of success of minority groups when applying for Police recruitment, an area that should be established to improve this statistic. Until Police diversity their Police force appropriately, (Fielding, 2023)’s argument around Police diversity being a key dictator of citizen satisfaction in Police is a critical motive for truly diversifying the Police force, without this, the public’s content towards Policing may always be at a loss. </w:t>
      </w:r>
    </w:p>
    <w:p w14:paraId="5E1B5901" w14:textId="77777777" w:rsidR="00D83026" w:rsidRDefault="00D83026" w:rsidP="00295D09">
      <w:pPr>
        <w:rPr>
          <w:b/>
          <w:bCs/>
        </w:rPr>
      </w:pPr>
    </w:p>
    <w:p w14:paraId="59B069E7" w14:textId="77777777" w:rsidR="00D83026" w:rsidRDefault="00D83026" w:rsidP="00295D09">
      <w:pPr>
        <w:rPr>
          <w:b/>
          <w:bCs/>
        </w:rPr>
      </w:pPr>
    </w:p>
    <w:p w14:paraId="0AE52471" w14:textId="77777777" w:rsidR="00D83026" w:rsidRDefault="00D83026" w:rsidP="00295D09">
      <w:pPr>
        <w:rPr>
          <w:b/>
          <w:bCs/>
        </w:rPr>
      </w:pPr>
    </w:p>
    <w:p w14:paraId="7B7FBADB" w14:textId="5FDBB615" w:rsidR="003B4D86" w:rsidRDefault="003B4D86" w:rsidP="00295D09">
      <w:pPr>
        <w:rPr>
          <w:b/>
          <w:bCs/>
        </w:rPr>
      </w:pPr>
      <w:r w:rsidRPr="003B4D86">
        <w:rPr>
          <w:b/>
          <w:bCs/>
        </w:rPr>
        <w:lastRenderedPageBreak/>
        <w:t>Bibliography:</w:t>
      </w:r>
    </w:p>
    <w:p w14:paraId="6BEB68BB" w14:textId="77777777" w:rsidR="003B4D86" w:rsidRPr="003B4D86" w:rsidRDefault="003B4D86" w:rsidP="003B4D86">
      <w:r w:rsidRPr="003B4D86">
        <w:t>Hong, S. (2015). </w:t>
      </w:r>
      <w:r w:rsidRPr="003B4D86">
        <w:rPr>
          <w:i/>
          <w:iCs/>
        </w:rPr>
        <w:t>Ethnic Diversity in Public Organizations and Public Service Performance: Empirical Investigation</w:t>
      </w:r>
      <w:r w:rsidRPr="003B4D86">
        <w:t>. [online] Academy of Management Proceedings. Available at: https://www.academia.edu/95387512/Ethnic_Diversity_in_Public_Organizations_and_Public_Service_Performance_Empirical_Investigation [Accessed 1 Sep. 2024].</w:t>
      </w:r>
    </w:p>
    <w:p w14:paraId="08C9AA6F" w14:textId="4A98E58B" w:rsidR="003B4D86" w:rsidRPr="00CD1C33" w:rsidRDefault="003B4D86" w:rsidP="003B4D86">
      <w:r w:rsidRPr="003B4D86">
        <w:t>‌HMICFRS (2017). </w:t>
      </w:r>
      <w:r w:rsidRPr="003B4D86">
        <w:rPr>
          <w:i/>
          <w:iCs/>
        </w:rPr>
        <w:t>PEEL: Police Legitimacy 2017 a National Overview</w:t>
      </w:r>
      <w:r w:rsidRPr="003B4D86">
        <w:t xml:space="preserve">. [online] Available at: </w:t>
      </w:r>
      <w:hyperlink r:id="rId5" w:history="1">
        <w:r w:rsidRPr="003B4D86">
          <w:rPr>
            <w:rStyle w:val="Hyperlink"/>
          </w:rPr>
          <w:t>https://assets-hmicfrs.justiceinspectorates.gov.uk/uploads/peel-police-legitimacy-2017-1.pdf</w:t>
        </w:r>
      </w:hyperlink>
      <w:r w:rsidRPr="003B4D86">
        <w:t>.</w:t>
      </w:r>
    </w:p>
    <w:p w14:paraId="49A952E0" w14:textId="26A03309" w:rsidR="00D83026" w:rsidRPr="00CD1C33" w:rsidRDefault="00D83026" w:rsidP="003B4D86">
      <w:r w:rsidRPr="00CD1C33">
        <w:t>Ons.gov.uk. (2024). </w:t>
      </w:r>
      <w:r w:rsidRPr="00CD1C33">
        <w:rPr>
          <w:i/>
          <w:iCs/>
        </w:rPr>
        <w:t>Population by ethnicity, England and Wales, October 2022 to September 2023</w:t>
      </w:r>
      <w:r w:rsidRPr="00CD1C33">
        <w:t>. [online] Available at: https://www.ons.gov.uk/peoplepopulationandcommunity/populationandmigration/populationestimates/adhocs/1871populationbyethnicityenglandandwalesoctober2022toseptember2023 [Accessed 2 Sep. 2024].</w:t>
      </w:r>
    </w:p>
    <w:p w14:paraId="20671CB0" w14:textId="1CA762BB" w:rsidR="00D83026" w:rsidRPr="00CD1C33" w:rsidRDefault="00D83026" w:rsidP="00D83026">
      <w:r w:rsidRPr="00D83026">
        <w:t>Jackson, J., Hough, M., Bradford, B., Hohl, K. and Kuha, J. (2012). </w:t>
      </w:r>
      <w:r w:rsidRPr="00D83026">
        <w:rPr>
          <w:i/>
          <w:iCs/>
        </w:rPr>
        <w:t>Policing by Consent: Understanding the Dynamics of Police Power and Legitimacy</w:t>
      </w:r>
      <w:r w:rsidRPr="00D83026">
        <w:t xml:space="preserve">. [online] papers.ssrn.com. Available at: </w:t>
      </w:r>
      <w:hyperlink r:id="rId6" w:history="1">
        <w:r w:rsidRPr="00D83026">
          <w:rPr>
            <w:rStyle w:val="Hyperlink"/>
          </w:rPr>
          <w:t>https://papers.ssrn.com/sol3/papers.cfm?abstract_id=2168702</w:t>
        </w:r>
      </w:hyperlink>
      <w:r w:rsidRPr="00D83026">
        <w:t>.</w:t>
      </w:r>
    </w:p>
    <w:p w14:paraId="22B14974" w14:textId="77777777" w:rsidR="00D83026" w:rsidRPr="00D83026" w:rsidRDefault="00D83026" w:rsidP="00D83026">
      <w:proofErr w:type="spellStart"/>
      <w:r w:rsidRPr="00D83026">
        <w:t>Yesberg</w:t>
      </w:r>
      <w:proofErr w:type="spellEnd"/>
      <w:r w:rsidRPr="00D83026">
        <w:t>, J., Brunton-Smith, I. and Bradford, B. (2021). Police visibility, trust in police fairness, and collective efficacy: A multilevel Structural Equation Model. </w:t>
      </w:r>
      <w:r w:rsidRPr="00D83026">
        <w:rPr>
          <w:i/>
          <w:iCs/>
        </w:rPr>
        <w:t>European Journal of Criminology</w:t>
      </w:r>
      <w:r w:rsidRPr="00D83026">
        <w:t xml:space="preserve">, [online] 20(2), p.147737082110353. </w:t>
      </w:r>
      <w:proofErr w:type="spellStart"/>
      <w:proofErr w:type="gramStart"/>
      <w:r w:rsidRPr="00D83026">
        <w:t>doi:https</w:t>
      </w:r>
      <w:proofErr w:type="spellEnd"/>
      <w:r w:rsidRPr="00D83026">
        <w:t>://doi.org/10.1177/14773708211035306</w:t>
      </w:r>
      <w:proofErr w:type="gramEnd"/>
      <w:r w:rsidRPr="00D83026">
        <w:t>.</w:t>
      </w:r>
    </w:p>
    <w:p w14:paraId="0235222C" w14:textId="638D20C8" w:rsidR="00D83026" w:rsidRPr="00CD1C33" w:rsidRDefault="00D83026" w:rsidP="00D83026">
      <w:r w:rsidRPr="00D83026">
        <w:t>‌</w:t>
      </w:r>
      <w:r w:rsidRPr="00CD1C33">
        <w:t>Bradbury, M. and Kellough, J.E. (2010). Representative Bureaucracy: Assessing the Evidence on Active Representation. </w:t>
      </w:r>
      <w:r w:rsidRPr="00CD1C33">
        <w:rPr>
          <w:i/>
          <w:iCs/>
        </w:rPr>
        <w:t>The American Review of Public Administration</w:t>
      </w:r>
      <w:r w:rsidRPr="00CD1C33">
        <w:t xml:space="preserve">, 41(2), pp.157–167. </w:t>
      </w:r>
      <w:proofErr w:type="spellStart"/>
      <w:proofErr w:type="gramStart"/>
      <w:r w:rsidRPr="00CD1C33">
        <w:t>doi:https</w:t>
      </w:r>
      <w:proofErr w:type="spellEnd"/>
      <w:r w:rsidRPr="00CD1C33">
        <w:t>://doi.org/10.1177/0275074010367823</w:t>
      </w:r>
      <w:proofErr w:type="gramEnd"/>
    </w:p>
    <w:p w14:paraId="77018271" w14:textId="3D1BC8D7" w:rsidR="00151C85" w:rsidRPr="00CD1C33" w:rsidRDefault="00151C85" w:rsidP="00D83026">
      <w:r w:rsidRPr="00CD1C33">
        <w:t>Brown, R.A. and Frank, J. (2006). Race and Officer Decision Making: Examining Differences in Arrest Outcomes between Black and White Officers. </w:t>
      </w:r>
      <w:r w:rsidRPr="00CD1C33">
        <w:rPr>
          <w:i/>
          <w:iCs/>
        </w:rPr>
        <w:t>Justice Quarterly</w:t>
      </w:r>
      <w:r w:rsidRPr="00CD1C33">
        <w:t xml:space="preserve">, 23(1), pp.96–126. </w:t>
      </w:r>
      <w:proofErr w:type="spellStart"/>
      <w:proofErr w:type="gramStart"/>
      <w:r w:rsidRPr="00CD1C33">
        <w:t>doi:https</w:t>
      </w:r>
      <w:proofErr w:type="spellEnd"/>
      <w:r w:rsidRPr="00CD1C33">
        <w:t>://doi.org/10.1080/07418820600552527</w:t>
      </w:r>
      <w:proofErr w:type="gramEnd"/>
      <w:r w:rsidRPr="00CD1C33">
        <w:t>.</w:t>
      </w:r>
    </w:p>
    <w:p w14:paraId="69F91393" w14:textId="144ECFE5" w:rsidR="00151C85" w:rsidRPr="00CD1C33" w:rsidRDefault="00151C85" w:rsidP="00D83026">
      <w:r w:rsidRPr="00CD1C33">
        <w:t>Fielding, N.G. (2023). </w:t>
      </w:r>
      <w:r w:rsidRPr="00CD1C33">
        <w:rPr>
          <w:i/>
          <w:iCs/>
        </w:rPr>
        <w:t>Joining Forces</w:t>
      </w:r>
      <w:r w:rsidRPr="00CD1C33">
        <w:t>. Taylor &amp; Francis.</w:t>
      </w:r>
      <w:r w:rsidR="00193B91" w:rsidRPr="00CD1C33">
        <w:t xml:space="preserve"> </w:t>
      </w:r>
      <w:hyperlink r:id="rId7" w:history="1">
        <w:r w:rsidR="00193B91" w:rsidRPr="00CD1C33">
          <w:rPr>
            <w:rStyle w:val="Hyperlink"/>
          </w:rPr>
          <w:t xml:space="preserve">Joining Forces | Police Training, Socialization and Occupational </w:t>
        </w:r>
        <w:proofErr w:type="spellStart"/>
        <w:r w:rsidR="00193B91" w:rsidRPr="00CD1C33">
          <w:rPr>
            <w:rStyle w:val="Hyperlink"/>
          </w:rPr>
          <w:t>Compe</w:t>
        </w:r>
        <w:proofErr w:type="spellEnd"/>
        <w:r w:rsidR="00193B91" w:rsidRPr="00CD1C33">
          <w:rPr>
            <w:rStyle w:val="Hyperlink"/>
          </w:rPr>
          <w:t xml:space="preserve"> (taylorfrancis.com)</w:t>
        </w:r>
      </w:hyperlink>
    </w:p>
    <w:p w14:paraId="331381DC" w14:textId="10D54883" w:rsidR="00193B91" w:rsidRPr="00CD1C33" w:rsidRDefault="00193B91" w:rsidP="00D83026">
      <w:r w:rsidRPr="00CD1C33">
        <w:t>Home Office (2023). </w:t>
      </w:r>
      <w:r w:rsidRPr="00CD1C33">
        <w:rPr>
          <w:i/>
          <w:iCs/>
        </w:rPr>
        <w:t>Police officer uplift, England and Wales, quarterly update to 31 March 2023</w:t>
      </w:r>
      <w:r w:rsidRPr="00CD1C33">
        <w:t xml:space="preserve">. [online] GOV.UK. Available at: </w:t>
      </w:r>
      <w:hyperlink r:id="rId8" w:history="1">
        <w:r w:rsidRPr="00CD1C33">
          <w:rPr>
            <w:rStyle w:val="Hyperlink"/>
          </w:rPr>
          <w:t>https://www.gov.uk/government/statistics/police-officer-uplift-quarterly-update-to-march-2023/police-officer-uplift-england-and-wales-quarterly-update-to-31-march-2023</w:t>
        </w:r>
      </w:hyperlink>
      <w:r w:rsidRPr="00CD1C33">
        <w:t>.</w:t>
      </w:r>
    </w:p>
    <w:p w14:paraId="6CCC15E8" w14:textId="280BA097" w:rsidR="00193B91" w:rsidRPr="00CD1C33" w:rsidRDefault="00193B91" w:rsidP="00D83026">
      <w:r w:rsidRPr="00CD1C33">
        <w:t>GOV.UK. (</w:t>
      </w:r>
      <w:r w:rsidRPr="00CD1C33">
        <w:t>2024</w:t>
      </w:r>
      <w:r w:rsidRPr="00CD1C33">
        <w:t>). </w:t>
      </w:r>
      <w:r w:rsidRPr="00CD1C33">
        <w:rPr>
          <w:i/>
          <w:iCs/>
        </w:rPr>
        <w:t>Police workforce, England and Wales: 31 March 2024</w:t>
      </w:r>
      <w:r w:rsidRPr="00CD1C33">
        <w:t xml:space="preserve">. [online] Available at: </w:t>
      </w:r>
      <w:hyperlink r:id="rId9" w:history="1">
        <w:r w:rsidRPr="00CD1C33">
          <w:rPr>
            <w:rStyle w:val="Hyperlink"/>
          </w:rPr>
          <w:t>https://www.gov.uk/government/statistics/police-workforce-england-and-wales-31-march-2024/police-workforce-england-and-wales-31-march-2024</w:t>
        </w:r>
      </w:hyperlink>
      <w:r w:rsidRPr="00CD1C33">
        <w:t>.</w:t>
      </w:r>
    </w:p>
    <w:p w14:paraId="44886019" w14:textId="60918B7F" w:rsidR="00193B91" w:rsidRPr="00CD1C33" w:rsidRDefault="00193B91" w:rsidP="00193B91">
      <w:r w:rsidRPr="00193B91">
        <w:t>College of Policing (2021). </w:t>
      </w:r>
      <w:r w:rsidRPr="00193B91">
        <w:rPr>
          <w:i/>
          <w:iCs/>
        </w:rPr>
        <w:t>Diversity, equality and inclusion strategy 2021-2024</w:t>
      </w:r>
      <w:r w:rsidRPr="00193B91">
        <w:t xml:space="preserve">. [online] Available at: </w:t>
      </w:r>
      <w:hyperlink r:id="rId10" w:history="1">
        <w:r w:rsidRPr="00193B91">
          <w:rPr>
            <w:rStyle w:val="Hyperlink"/>
          </w:rPr>
          <w:t>https://assets.college.police.uk/s3fs-public/2021-10/Diversity-equality-and-inclusion-strategy.pdf</w:t>
        </w:r>
      </w:hyperlink>
      <w:r w:rsidRPr="00193B91">
        <w:t>.</w:t>
      </w:r>
    </w:p>
    <w:p w14:paraId="47D5103B" w14:textId="77777777" w:rsidR="00193B91" w:rsidRPr="00CD1C33" w:rsidRDefault="00193B91">
      <w:r w:rsidRPr="00193B91">
        <w:t>Hesketh, I. and Stubbs, G. (2024). Police recruitment and positive action: The social building blocks of service. </w:t>
      </w:r>
      <w:r w:rsidRPr="00193B91">
        <w:rPr>
          <w:i/>
          <w:iCs/>
        </w:rPr>
        <w:t>International journal of police science &amp; management</w:t>
      </w:r>
      <w:r w:rsidRPr="00193B91">
        <w:t xml:space="preserve">. </w:t>
      </w:r>
      <w:proofErr w:type="spellStart"/>
      <w:proofErr w:type="gramStart"/>
      <w:r w:rsidRPr="00193B91">
        <w:t>doi:https</w:t>
      </w:r>
      <w:proofErr w:type="spellEnd"/>
      <w:r w:rsidRPr="00193B91">
        <w:t>://doi.org/10.1177/14613557241248312</w:t>
      </w:r>
      <w:proofErr w:type="gramEnd"/>
    </w:p>
    <w:p w14:paraId="33918BCA" w14:textId="77777777" w:rsidR="00CD1C33" w:rsidRDefault="00CD1C33">
      <w:pPr>
        <w:rPr>
          <w:b/>
          <w:bCs/>
        </w:rPr>
      </w:pPr>
    </w:p>
    <w:p w14:paraId="333DA39E" w14:textId="3714C9E1" w:rsidR="00605808" w:rsidRPr="00193B91" w:rsidRDefault="00605808">
      <w:pPr>
        <w:rPr>
          <w:b/>
          <w:bCs/>
        </w:rPr>
      </w:pPr>
      <w:r w:rsidRPr="00193B91">
        <w:rPr>
          <w:b/>
          <w:bCs/>
        </w:rPr>
        <w:lastRenderedPageBreak/>
        <w:t>Essay</w:t>
      </w:r>
      <w:r w:rsidR="00193B91" w:rsidRPr="00193B91">
        <w:rPr>
          <w:b/>
          <w:bCs/>
        </w:rPr>
        <w:t xml:space="preserve"> title – two: Response Policing</w:t>
      </w:r>
    </w:p>
    <w:p w14:paraId="39CE221D" w14:textId="626F5158" w:rsidR="00605808" w:rsidRDefault="00605808">
      <w:r>
        <w:t>The maintenance of Mental wellbeing has never been a more prevalent issue in the general population with 1 in 6 adults experiencing a mental disorder in the last week (House of Commons, 2024)</w:t>
      </w:r>
      <w:r w:rsidR="00DA3C49">
        <w:t>, whilst estimating a staggering 700,000 deaths by means of suicide (WHO Report, 202</w:t>
      </w:r>
      <w:r w:rsidR="00193B91">
        <w:t>3</w:t>
      </w:r>
      <w:r w:rsidR="00DA3C49">
        <w:t>)</w:t>
      </w:r>
      <w:r>
        <w:t xml:space="preserve">. The high prevalence of mental health issues is also of concern within Policing with 26% from a group of 434 officers reporting </w:t>
      </w:r>
      <w:r w:rsidR="005443C8">
        <w:t xml:space="preserve">experiencing </w:t>
      </w:r>
      <w:r>
        <w:t>current mental health issues</w:t>
      </w:r>
      <w:r w:rsidR="005443C8">
        <w:t xml:space="preserve"> (</w:t>
      </w:r>
      <w:proofErr w:type="spellStart"/>
      <w:r w:rsidR="005443C8">
        <w:t>Jetelina</w:t>
      </w:r>
      <w:proofErr w:type="spellEnd"/>
      <w:r w:rsidR="005443C8">
        <w:t xml:space="preserve"> et al., 2020).</w:t>
      </w:r>
      <w:r>
        <w:t xml:space="preserve"> The consequences of not managing mental wellbeing are also concerning with research showing officers experiencing said issues are prone to </w:t>
      </w:r>
      <w:r w:rsidR="005443C8">
        <w:t xml:space="preserve">negative </w:t>
      </w:r>
      <w:r>
        <w:t>personality changes whil</w:t>
      </w:r>
      <w:r w:rsidR="005443C8">
        <w:t>e severe cases have resulted in life threatening behaviours</w:t>
      </w:r>
      <w:r>
        <w:t xml:space="preserve"> (Santre, 2024). </w:t>
      </w:r>
    </w:p>
    <w:p w14:paraId="2C91E4CA" w14:textId="01894F7C" w:rsidR="0097028A" w:rsidRDefault="00914DE1">
      <w:r>
        <w:t>The importance of managing and recognising negative emotions before they impact one’s wellbeing is a prominent issue</w:t>
      </w:r>
      <w:r w:rsidR="001411B7">
        <w:t xml:space="preserve">, a topic made increasingly difficult by the role of a </w:t>
      </w:r>
      <w:r>
        <w:t>Police office</w:t>
      </w:r>
      <w:r w:rsidR="001411B7">
        <w:t>r</w:t>
      </w:r>
      <w:r>
        <w:t xml:space="preserve">. </w:t>
      </w:r>
      <w:r w:rsidR="001411B7">
        <w:t>Response Policing</w:t>
      </w:r>
      <w:r>
        <w:t xml:space="preserve"> is associated with repetitive exposure to the most negative aspects of society, where </w:t>
      </w:r>
      <w:r w:rsidR="009D6F4C">
        <w:t>domestic violence, verbal abuse</w:t>
      </w:r>
      <w:r w:rsidR="0097028A">
        <w:t xml:space="preserve"> and traumatic incidents placing officers in constant risk of danger</w:t>
      </w:r>
      <w:r w:rsidR="001411B7">
        <w:t xml:space="preserve"> are part of </w:t>
      </w:r>
      <w:r w:rsidR="001E4DDF">
        <w:t>day-to-day</w:t>
      </w:r>
      <w:r w:rsidR="001411B7">
        <w:t xml:space="preserve"> work</w:t>
      </w:r>
      <w:r w:rsidR="0097028A">
        <w:t xml:space="preserve"> </w:t>
      </w:r>
      <w:r w:rsidR="009D6F4C">
        <w:t>(</w:t>
      </w:r>
      <w:proofErr w:type="spellStart"/>
      <w:r w:rsidR="009D6F4C">
        <w:t>Jetelina</w:t>
      </w:r>
      <w:proofErr w:type="spellEnd"/>
      <w:r w:rsidR="009D6F4C">
        <w:t xml:space="preserve"> et al., 2020). </w:t>
      </w:r>
      <w:r w:rsidR="0097028A">
        <w:t xml:space="preserve">Response Policing is not only made difficult by dealings with society, </w:t>
      </w:r>
      <w:r w:rsidR="001411B7">
        <w:t>however,</w:t>
      </w:r>
      <w:r w:rsidR="0097028A">
        <w:t xml:space="preserve"> is made increasingly difficult by organisational expectations, especially ones relating to </w:t>
      </w:r>
      <w:r w:rsidR="001E4DDF">
        <w:t>officer’s</w:t>
      </w:r>
      <w:r w:rsidR="0097028A">
        <w:t xml:space="preserve"> fear of using excessive force, constant professionalism even when off duty, essential </w:t>
      </w:r>
      <w:r w:rsidR="001411B7">
        <w:t>for maintaining a positive public perception of the Police (Queiros et al., 2020).</w:t>
      </w:r>
      <w:r w:rsidR="001E4DDF">
        <w:t xml:space="preserve"> The data relating to Police officers’ mental wellbeing comes </w:t>
      </w:r>
      <w:r w:rsidR="005B4556">
        <w:t>as</w:t>
      </w:r>
      <w:r w:rsidR="001E4DDF">
        <w:t xml:space="preserve"> no surprise following the challenges of the role. Out of 1131 officers in (Queiros et al., 2020)’s study, 88.4% of these demonstrated high operational stress with 53.8% showing low resilience in managing and coping with the demands of the role. </w:t>
      </w:r>
      <w:r w:rsidR="002B56BC">
        <w:t>Shockingly, 20% of officers who experience trauma within the role could seek diagnosis for post traumatic stress disorder (PTSD). Utilising much of the research already discussed in this essay, particularly (Queiros et al., 2020)’s work, the high prevalence of operational stress and trauma in the role could mean anyone could be susceptible to trauma, or more worryingly, a diagnosis of PTSD.</w:t>
      </w:r>
    </w:p>
    <w:p w14:paraId="669833FA" w14:textId="3E5263CF" w:rsidR="006B63B1" w:rsidRDefault="006B63B1">
      <w:r>
        <w:t>A</w:t>
      </w:r>
      <w:r w:rsidR="00FC5D3F">
        <w:t xml:space="preserve">vailable studies provide context to the demands of the job whilst </w:t>
      </w:r>
      <w:r w:rsidR="001E4DDF">
        <w:t xml:space="preserve">statistics </w:t>
      </w:r>
      <w:r w:rsidR="00FC5D3F">
        <w:t xml:space="preserve">give </w:t>
      </w:r>
      <w:r w:rsidR="001E4DDF">
        <w:t xml:space="preserve">context to </w:t>
      </w:r>
      <w:r w:rsidR="00FC5D3F">
        <w:t xml:space="preserve">the direct effects of carrying out the role. There is further evidence to show that Police officers are not prepared to continue working in these conditions with the Police federation survey reporting low levels of morale (52.5%) when assessing the mental health of 177 serving UK officers. In this very study, low morale was accompanied by </w:t>
      </w:r>
      <w:r>
        <w:t>43.3% of these officers saying the role has had a significant impact on their psychological health (</w:t>
      </w:r>
      <w:proofErr w:type="spellStart"/>
      <w:r>
        <w:t>Gullon</w:t>
      </w:r>
      <w:proofErr w:type="spellEnd"/>
      <w:r>
        <w:t xml:space="preserve">-Scott &amp; Longstaff, 2022). Impacts to psychological health are shown in studies as extremely concerning, </w:t>
      </w:r>
      <w:r w:rsidR="00DA3C49">
        <w:t xml:space="preserve">(Krishnan et al., 2022) work points out that on a yearly average, 21 suicides are reported amongst officers in the United Kingdom. This study does however fail to identify the strength of correlation between the job role being the direct cause of suicide in officers. </w:t>
      </w:r>
      <w:r w:rsidR="00FB57AD">
        <w:t xml:space="preserve">Occupational factors in the prediction of suicide are conducted in the study and described as aspects being, “part of the job”, and relate heavily to the day-to-day dealings of a Police officer. A theory known as the Three step model (Klonsky and </w:t>
      </w:r>
      <w:proofErr w:type="gramStart"/>
      <w:r w:rsidR="00F3413C">
        <w:t>May,</w:t>
      </w:r>
      <w:proofErr w:type="gramEnd"/>
      <w:r w:rsidR="00FB57AD">
        <w:t xml:space="preserve"> 201</w:t>
      </w:r>
      <w:r w:rsidR="005B4556">
        <w:t>6</w:t>
      </w:r>
      <w:r w:rsidR="00FB57AD">
        <w:t>) provide a predictor to how officers day-to-day trauma can be associated with a strong predictor for suicide. Part 1 refers to suicidal behavio</w:t>
      </w:r>
      <w:r w:rsidR="00C9487E">
        <w:t>ur beginning with feelings of pain, primarily caused by psychologically traumatic events. Part 2 of the model refers to these feelings of pain being the cause of one’s ideation of suicide, whereas part 3 refers to attempts on</w:t>
      </w:r>
      <w:r w:rsidR="00F3413C">
        <w:t xml:space="preserve">e may make to attempt </w:t>
      </w:r>
      <w:r w:rsidR="00C9487E">
        <w:t>suicide. However, it is noted in the model that officers possessing necessary genetic or dispositional features would make actions severe as suicide more likely</w:t>
      </w:r>
      <w:r w:rsidR="00F3413C">
        <w:t xml:space="preserve"> than officers who do not. </w:t>
      </w:r>
    </w:p>
    <w:p w14:paraId="127AB0A4" w14:textId="76D0D38A" w:rsidR="00F3413C" w:rsidRDefault="00F3413C">
      <w:r>
        <w:t xml:space="preserve">Further studies namely (Abdollahi, 2002) suggested that the type of role officers conduct will play a significant role in the perceived stress they may feel. They say response officers would </w:t>
      </w:r>
      <w:r>
        <w:lastRenderedPageBreak/>
        <w:t xml:space="preserve">typically perceive greater stress due to the traumatic nature of their role when compared to officers in a training department. The prominence </w:t>
      </w:r>
      <w:r w:rsidR="00C0418F">
        <w:t xml:space="preserve">in part 3 of </w:t>
      </w:r>
      <w:r>
        <w:t xml:space="preserve">(Klonsky and </w:t>
      </w:r>
      <w:proofErr w:type="gramStart"/>
      <w:r>
        <w:t>May,</w:t>
      </w:r>
      <w:proofErr w:type="gramEnd"/>
      <w:r>
        <w:t xml:space="preserve"> 2015)’s model is significant when compar</w:t>
      </w:r>
      <w:r w:rsidR="00C0418F">
        <w:t>ed</w:t>
      </w:r>
      <w:r>
        <w:t xml:space="preserve"> to </w:t>
      </w:r>
      <w:r w:rsidR="00C0418F">
        <w:t xml:space="preserve">(Habersaat et al., 2015). Habersaat’s research says that personality traits, and/or personality type play a significant role in protective factors against negative wellbeing, meanwhile officers being of longer service appearing to deal with traumatic aspects of the </w:t>
      </w:r>
      <w:r w:rsidR="00B44291">
        <w:t>role better than those of brief service (</w:t>
      </w:r>
      <w:r w:rsidR="00CD1C33">
        <w:t>Foley &amp; Massey, 2020</w:t>
      </w:r>
      <w:r w:rsidR="00B44291">
        <w:t>). There are also gender differences when assessing the effectiveness of dealing with stress and/or traumatic events. Female officers appeared to perceive higher levels of stress while shockingly, they felt that there was inadequate support to assist through difficult times, being a catalyst for increasing stress levels (Shelly et al., 2011). Surprisingly, despite female officers suffering greatly with stress levels while perceiving little support, male officers were still the one’s more susceptible to mental health issues</w:t>
      </w:r>
      <w:r w:rsidR="002B56BC">
        <w:t>.</w:t>
      </w:r>
    </w:p>
    <w:p w14:paraId="1CA81E39" w14:textId="5804861D" w:rsidR="002B56BC" w:rsidRDefault="008151E2">
      <w:r>
        <w:t>In conclusion, t</w:t>
      </w:r>
      <w:r w:rsidR="002B56BC">
        <w:t xml:space="preserve">he importance of managing mental wellbeing and the consequences of not doing so have been heavily discussed. </w:t>
      </w:r>
      <w:r w:rsidR="00DE239F">
        <w:t xml:space="preserve">Police wellbeing is evidently a significant issue in modern Policing at a time when officers leaving the role in England in Wales is up (87.8%) in 2019 compared to 2012 (Home office, 2019), an issue largely down to mental wellbeing (Wellington, 2018). </w:t>
      </w:r>
      <w:r w:rsidR="002B56BC">
        <w:t xml:space="preserve">There is little </w:t>
      </w:r>
      <w:r w:rsidR="00DE239F">
        <w:t>focus on supporting officers with impaired wellbeing because of the ro</w:t>
      </w:r>
      <w:r w:rsidR="00BA38F3">
        <w:t xml:space="preserve">le which concludes on the fact that </w:t>
      </w:r>
      <w:r w:rsidR="00DE239F">
        <w:t xml:space="preserve">officers </w:t>
      </w:r>
      <w:r w:rsidR="00BA38F3">
        <w:t>must be provided adequate support to cater their wellbeing, where their wellbeing is assessed using a scaling system to help determine the level of care they require (</w:t>
      </w:r>
      <w:proofErr w:type="spellStart"/>
      <w:r w:rsidR="00BA38F3">
        <w:t>Gullon</w:t>
      </w:r>
      <w:proofErr w:type="spellEnd"/>
      <w:r w:rsidR="00BA38F3">
        <w:t xml:space="preserve">-Scott and Longstaff, 2022). Clearly, mental wellbeing is shown to affect most response officers, however, is heavily impacted by level of experience and personality traits. Further research into the rehabilitation of officers when facing impaired mental wellbeing would be a key area in assessing the prevention of the severe consequences of response Policing. </w:t>
      </w:r>
    </w:p>
    <w:p w14:paraId="177F6B78" w14:textId="77777777" w:rsidR="00193B91" w:rsidRDefault="00193B91"/>
    <w:p w14:paraId="5F979EEC" w14:textId="77777777" w:rsidR="00193B91" w:rsidRDefault="00193B91"/>
    <w:p w14:paraId="055C2CBD" w14:textId="77777777" w:rsidR="00193B91" w:rsidRDefault="00193B91"/>
    <w:p w14:paraId="273BD8EE" w14:textId="77777777" w:rsidR="00193B91" w:rsidRDefault="00193B91"/>
    <w:p w14:paraId="50D0E9A8" w14:textId="77777777" w:rsidR="00193B91" w:rsidRDefault="00193B91"/>
    <w:p w14:paraId="254FEBC7" w14:textId="77777777" w:rsidR="00193B91" w:rsidRDefault="00193B91"/>
    <w:p w14:paraId="6F1137C4" w14:textId="77777777" w:rsidR="00193B91" w:rsidRDefault="00193B91"/>
    <w:p w14:paraId="32534C3A" w14:textId="77777777" w:rsidR="00193B91" w:rsidRDefault="00193B91"/>
    <w:p w14:paraId="56DCF10A" w14:textId="77777777" w:rsidR="00193B91" w:rsidRDefault="00193B91"/>
    <w:p w14:paraId="333067C4" w14:textId="77777777" w:rsidR="00193B91" w:rsidRDefault="00193B91"/>
    <w:p w14:paraId="0112AC43" w14:textId="77777777" w:rsidR="00193B91" w:rsidRDefault="00193B91"/>
    <w:p w14:paraId="477814B8" w14:textId="77777777" w:rsidR="00193B91" w:rsidRDefault="00193B91"/>
    <w:p w14:paraId="2948D6FB" w14:textId="77777777" w:rsidR="00193B91" w:rsidRDefault="00193B91"/>
    <w:p w14:paraId="5107BDB5" w14:textId="77777777" w:rsidR="00193B91" w:rsidRDefault="00193B91"/>
    <w:p w14:paraId="5A7F251D" w14:textId="77777777" w:rsidR="00193B91" w:rsidRDefault="00193B91"/>
    <w:p w14:paraId="053EC7CD" w14:textId="77346A27" w:rsidR="00193B91" w:rsidRPr="00CD1C33" w:rsidRDefault="00193B91">
      <w:pPr>
        <w:rPr>
          <w:b/>
          <w:bCs/>
        </w:rPr>
      </w:pPr>
      <w:r w:rsidRPr="00CD1C33">
        <w:rPr>
          <w:b/>
          <w:bCs/>
        </w:rPr>
        <w:lastRenderedPageBreak/>
        <w:t>Bibliography:</w:t>
      </w:r>
    </w:p>
    <w:p w14:paraId="5CB54A99" w14:textId="2612BBBE" w:rsidR="00193B91" w:rsidRDefault="00193B91" w:rsidP="00193B91">
      <w:r w:rsidRPr="00193B91">
        <w:t xml:space="preserve">Baker, C. and Kirk-Wade, E. (2024). Mental health statistics: Prevalence, services and funding in </w:t>
      </w:r>
      <w:proofErr w:type="spellStart"/>
      <w:r w:rsidRPr="00193B91">
        <w:t>england</w:t>
      </w:r>
      <w:proofErr w:type="spellEnd"/>
      <w:r w:rsidRPr="00193B91">
        <w:t>. </w:t>
      </w:r>
      <w:r w:rsidRPr="00193B91">
        <w:rPr>
          <w:i/>
          <w:iCs/>
        </w:rPr>
        <w:t>Mental health statistics: prevalence, services and funding in England</w:t>
      </w:r>
      <w:r w:rsidRPr="00193B91">
        <w:t xml:space="preserve">, [online] 1. Available at: </w:t>
      </w:r>
      <w:hyperlink r:id="rId11" w:history="1">
        <w:r w:rsidRPr="00193B91">
          <w:rPr>
            <w:rStyle w:val="Hyperlink"/>
          </w:rPr>
          <w:t>https://commonslibrary.parliament.uk/research-briefings/sn06988/</w:t>
        </w:r>
      </w:hyperlink>
      <w:r w:rsidRPr="00193B91">
        <w:t>.</w:t>
      </w:r>
    </w:p>
    <w:p w14:paraId="39ABE38B" w14:textId="761438A8" w:rsidR="00193B91" w:rsidRDefault="00193B91" w:rsidP="00193B91">
      <w:r w:rsidRPr="00193B91">
        <w:t>World Health Organization (2023). </w:t>
      </w:r>
      <w:r w:rsidRPr="00193B91">
        <w:rPr>
          <w:i/>
          <w:iCs/>
        </w:rPr>
        <w:t>Suicide rates</w:t>
      </w:r>
      <w:r w:rsidRPr="00193B91">
        <w:t xml:space="preserve">. [online] www.who.int. Available at: </w:t>
      </w:r>
      <w:hyperlink r:id="rId12" w:history="1">
        <w:r w:rsidRPr="008D541C">
          <w:rPr>
            <w:rStyle w:val="Hyperlink"/>
          </w:rPr>
          <w:t>https://www.who.int/data/gho/data/themes/mental-health/suicide-rates</w:t>
        </w:r>
      </w:hyperlink>
      <w:r w:rsidRPr="00193B91">
        <w:t>.</w:t>
      </w:r>
    </w:p>
    <w:p w14:paraId="0DCBF925" w14:textId="77777777" w:rsidR="005B4556" w:rsidRDefault="005B4556" w:rsidP="005B4556">
      <w:proofErr w:type="spellStart"/>
      <w:r w:rsidRPr="005B4556">
        <w:t>Jetelina</w:t>
      </w:r>
      <w:proofErr w:type="spellEnd"/>
      <w:r w:rsidRPr="005B4556">
        <w:t>, K.K., Molsberry, R.J., Gonzalez, J.R., Beauchamp, A.M. and Hall, T. (2020). Prevalence of Mental Illness and Mental Health Care use among Police Officers. </w:t>
      </w:r>
      <w:r w:rsidRPr="005B4556">
        <w:rPr>
          <w:i/>
          <w:iCs/>
        </w:rPr>
        <w:t>JAMA Network Open</w:t>
      </w:r>
      <w:r w:rsidRPr="005B4556">
        <w:t xml:space="preserve">, [online] 3(10), p.e2019658. </w:t>
      </w:r>
      <w:proofErr w:type="spellStart"/>
      <w:proofErr w:type="gramStart"/>
      <w:r w:rsidRPr="005B4556">
        <w:t>doi:https</w:t>
      </w:r>
      <w:proofErr w:type="spellEnd"/>
      <w:r w:rsidRPr="005B4556">
        <w:t>://doi.org/10.1001/jamanetworkopen.2020.19658</w:t>
      </w:r>
      <w:proofErr w:type="gramEnd"/>
      <w:r w:rsidRPr="005B4556">
        <w:t>.</w:t>
      </w:r>
    </w:p>
    <w:p w14:paraId="5F8DA526" w14:textId="0CD4C406" w:rsidR="005B4556" w:rsidRDefault="005B4556" w:rsidP="005B4556">
      <w:r w:rsidRPr="005B4556">
        <w:t xml:space="preserve">Queirós, C., Passos, F., </w:t>
      </w:r>
      <w:proofErr w:type="spellStart"/>
      <w:r w:rsidRPr="005B4556">
        <w:t>Bártolo</w:t>
      </w:r>
      <w:proofErr w:type="spellEnd"/>
      <w:r w:rsidRPr="005B4556">
        <w:t>, A., Faria, S., Fonseca, S.M., Marques, A.J., Silva, C.F. and Pereira, A. (2020). Job Stress, Burnout and Coping in Police Officers: Relationships and Psychometric Properties of the Organizational Police Stress Questionnaire. </w:t>
      </w:r>
      <w:r w:rsidRPr="005B4556">
        <w:rPr>
          <w:i/>
          <w:iCs/>
        </w:rPr>
        <w:t>International Journal of Environmental Research and Public Health</w:t>
      </w:r>
      <w:r w:rsidRPr="005B4556">
        <w:t xml:space="preserve">, 17(18), p.6718. </w:t>
      </w:r>
      <w:proofErr w:type="spellStart"/>
      <w:proofErr w:type="gramStart"/>
      <w:r w:rsidRPr="005B4556">
        <w:t>doi:https</w:t>
      </w:r>
      <w:proofErr w:type="spellEnd"/>
      <w:r w:rsidRPr="005B4556">
        <w:t>://doi.org/10.3390/ijerph17186718</w:t>
      </w:r>
      <w:proofErr w:type="gramEnd"/>
      <w:r w:rsidRPr="005B4556">
        <w:t>.</w:t>
      </w:r>
    </w:p>
    <w:p w14:paraId="42953161" w14:textId="602158BB" w:rsidR="005B4556" w:rsidRDefault="005B4556" w:rsidP="005B4556">
      <w:proofErr w:type="spellStart"/>
      <w:r w:rsidRPr="005B4556">
        <w:t>Gullon</w:t>
      </w:r>
      <w:proofErr w:type="spellEnd"/>
      <w:r w:rsidRPr="005B4556">
        <w:t>-Scott, P. and Longstaff, L. (2022). The prevalence of depression, anxiety, stress and their relationship to length of service in the UK police force. </w:t>
      </w:r>
      <w:r w:rsidRPr="005B4556">
        <w:rPr>
          <w:i/>
          <w:iCs/>
        </w:rPr>
        <w:t>The Police Journal: Theory, Practice and Principles</w:t>
      </w:r>
      <w:r w:rsidRPr="005B4556">
        <w:t xml:space="preserve">, 97(1), p.0032258X2211408. </w:t>
      </w:r>
      <w:proofErr w:type="spellStart"/>
      <w:proofErr w:type="gramStart"/>
      <w:r w:rsidRPr="005B4556">
        <w:t>doi:https</w:t>
      </w:r>
      <w:proofErr w:type="spellEnd"/>
      <w:r w:rsidRPr="005B4556">
        <w:t>://doi.org/10.1177/0032258x221140813</w:t>
      </w:r>
      <w:proofErr w:type="gramEnd"/>
      <w:r w:rsidRPr="005B4556">
        <w:t>.</w:t>
      </w:r>
    </w:p>
    <w:p w14:paraId="12FAB6C4" w14:textId="77777777" w:rsidR="005B4556" w:rsidRDefault="005B4556" w:rsidP="005B4556">
      <w:r w:rsidRPr="005B4556">
        <w:t>Krishnan, N., Steene, L.M.B., Lewis, M., Marshall, D. and Ireland, J.L. (2022). A Systematic Review of Risk Factors Implicated in the Suicide of Police Officers. </w:t>
      </w:r>
      <w:r w:rsidRPr="005B4556">
        <w:rPr>
          <w:i/>
          <w:iCs/>
        </w:rPr>
        <w:t>Journal of Police and Criminal Psychology</w:t>
      </w:r>
      <w:r w:rsidRPr="005B4556">
        <w:t xml:space="preserve">, 37. </w:t>
      </w:r>
      <w:proofErr w:type="spellStart"/>
      <w:proofErr w:type="gramStart"/>
      <w:r w:rsidRPr="005B4556">
        <w:t>doi:https</w:t>
      </w:r>
      <w:proofErr w:type="spellEnd"/>
      <w:r w:rsidRPr="005B4556">
        <w:t>://doi.org/10.1007/s11896-022-09539-1</w:t>
      </w:r>
      <w:proofErr w:type="gramEnd"/>
      <w:r w:rsidRPr="005B4556">
        <w:t>.</w:t>
      </w:r>
    </w:p>
    <w:p w14:paraId="165E4A10" w14:textId="77777777" w:rsidR="005B4556" w:rsidRDefault="005B4556" w:rsidP="005B4556">
      <w:r w:rsidRPr="005B4556">
        <w:t>Klonsky, E.D., May, A.M. and Saffer, B.Y. (2016). Suicide, Suicide Attempts, and Suicidal Ideation. </w:t>
      </w:r>
      <w:r w:rsidRPr="005B4556">
        <w:rPr>
          <w:i/>
          <w:iCs/>
        </w:rPr>
        <w:t>Annual Review of Clinical Psychology</w:t>
      </w:r>
      <w:r w:rsidRPr="005B4556">
        <w:t xml:space="preserve">, 12(1), pp.307–330. </w:t>
      </w:r>
      <w:proofErr w:type="spellStart"/>
      <w:proofErr w:type="gramStart"/>
      <w:r w:rsidRPr="005B4556">
        <w:t>doi:https</w:t>
      </w:r>
      <w:proofErr w:type="spellEnd"/>
      <w:r w:rsidRPr="005B4556">
        <w:t>://doi.org/10.1146/annurev-clinpsy-021815-093204</w:t>
      </w:r>
      <w:proofErr w:type="gramEnd"/>
      <w:r w:rsidRPr="005B4556">
        <w:t>.</w:t>
      </w:r>
    </w:p>
    <w:p w14:paraId="5C2DC509" w14:textId="2FE79DBD" w:rsidR="005B4556" w:rsidRDefault="005B4556" w:rsidP="005B4556">
      <w:r w:rsidRPr="005B4556">
        <w:t>Abdollahi, M. K. (2002). Understanding police stress research. </w:t>
      </w:r>
      <w:r w:rsidRPr="005B4556">
        <w:rPr>
          <w:i/>
          <w:iCs/>
        </w:rPr>
        <w:t>Journal of Forensic Psychology Practice, 2</w:t>
      </w:r>
      <w:r w:rsidRPr="005B4556">
        <w:t>(2), 1–24. </w:t>
      </w:r>
      <w:hyperlink r:id="rId13" w:tgtFrame="_blank" w:history="1">
        <w:r w:rsidRPr="005B4556">
          <w:rPr>
            <w:rStyle w:val="Hyperlink"/>
          </w:rPr>
          <w:t>https://doi.org/10.1300/J158v02n02_01</w:t>
        </w:r>
      </w:hyperlink>
    </w:p>
    <w:p w14:paraId="0DB1F5CA" w14:textId="77777777" w:rsidR="00CD1C33" w:rsidRPr="00CD1C33" w:rsidRDefault="00CD1C33" w:rsidP="00CD1C33">
      <w:r w:rsidRPr="00CD1C33">
        <w:t>Foley, J. and Massey, K.L.D. (2020). The ‘cost’ of caring in policing: From burnout to PTSD in police officers in England and Wales. </w:t>
      </w:r>
      <w:r w:rsidRPr="00CD1C33">
        <w:rPr>
          <w:i/>
          <w:iCs/>
        </w:rPr>
        <w:t>The Police Journal: Theory, Practice and Principles</w:t>
      </w:r>
      <w:r w:rsidRPr="00CD1C33">
        <w:t xml:space="preserve">, [online] 94(3), p.0032258X2091744. </w:t>
      </w:r>
      <w:proofErr w:type="spellStart"/>
      <w:proofErr w:type="gramStart"/>
      <w:r w:rsidRPr="00CD1C33">
        <w:t>doi:https</w:t>
      </w:r>
      <w:proofErr w:type="spellEnd"/>
      <w:r w:rsidRPr="00CD1C33">
        <w:t>://doi.org/10.1177/0032258x20917442</w:t>
      </w:r>
      <w:proofErr w:type="gramEnd"/>
      <w:r w:rsidRPr="00CD1C33">
        <w:t>.</w:t>
      </w:r>
    </w:p>
    <w:p w14:paraId="15CD8112" w14:textId="77777777" w:rsidR="00CD1C33" w:rsidRDefault="00CD1C33" w:rsidP="00CD1C33">
      <w:r w:rsidRPr="00CD1C33">
        <w:t>‌Shelley, T.O., Morabito, M.S. and Tobin-Gurley, J. (2011). Gendered institutions and gender roles: understanding the experiences of women in policing. </w:t>
      </w:r>
      <w:r w:rsidRPr="00CD1C33">
        <w:rPr>
          <w:i/>
          <w:iCs/>
        </w:rPr>
        <w:t>Criminal Justice Studies</w:t>
      </w:r>
      <w:r w:rsidRPr="00CD1C33">
        <w:t xml:space="preserve">, 24(4), pp.351–367. </w:t>
      </w:r>
      <w:proofErr w:type="spellStart"/>
      <w:proofErr w:type="gramStart"/>
      <w:r w:rsidRPr="00CD1C33">
        <w:t>doi:https</w:t>
      </w:r>
      <w:proofErr w:type="spellEnd"/>
      <w:r w:rsidRPr="00CD1C33">
        <w:t>://doi.org/10.1080/1478601x.2011.625698</w:t>
      </w:r>
      <w:proofErr w:type="gramEnd"/>
      <w:r w:rsidRPr="00CD1C33">
        <w:t>.</w:t>
      </w:r>
    </w:p>
    <w:p w14:paraId="50C4F76F" w14:textId="5276FFC1" w:rsidR="00CD1C33" w:rsidRDefault="00CD1C33" w:rsidP="00CD1C33">
      <w:r w:rsidRPr="00CD1C33">
        <w:t>GOV.UK. (</w:t>
      </w:r>
      <w:r>
        <w:t>2019</w:t>
      </w:r>
      <w:r w:rsidRPr="00CD1C33">
        <w:t>). </w:t>
      </w:r>
      <w:r w:rsidRPr="00CD1C33">
        <w:rPr>
          <w:i/>
          <w:iCs/>
        </w:rPr>
        <w:t>Home Office voluntary reporting on disability, mental health and wellbeing: April 2019 to March 2020 (accessible version)</w:t>
      </w:r>
      <w:r w:rsidRPr="00CD1C33">
        <w:t xml:space="preserve">. [online] Available at: </w:t>
      </w:r>
      <w:hyperlink r:id="rId14" w:history="1">
        <w:r w:rsidR="009C3238" w:rsidRPr="008D541C">
          <w:rPr>
            <w:rStyle w:val="Hyperlink"/>
          </w:rPr>
          <w:t>https://www.gov.uk/government/publications/home-office-voluntary-report-on-disability-mental-health-and-wellbeing-2019/home-office-voluntary-reporting-on-disability-mental-health-and-wellbeing-april-2019-to-march-2020-accessible-version</w:t>
        </w:r>
      </w:hyperlink>
      <w:r w:rsidRPr="00CD1C33">
        <w:t>.</w:t>
      </w:r>
    </w:p>
    <w:p w14:paraId="486BDD47" w14:textId="02FD6376" w:rsidR="00A96B5D" w:rsidRDefault="009C3238" w:rsidP="006F1B0B">
      <w:r w:rsidRPr="009C3238">
        <w:t>Burnett, M.E., Sheard, I. and St Clair-Thompson, H. (2019). The prevalence of compassion fatigue, compassion satisfaction and perceived stress, and their relationships with mental toughness, individual differences and number of self-care actions in a UK police force. </w:t>
      </w:r>
      <w:r w:rsidRPr="009C3238">
        <w:rPr>
          <w:i/>
          <w:iCs/>
        </w:rPr>
        <w:t>Police Practice and Research</w:t>
      </w:r>
      <w:r w:rsidRPr="009C3238">
        <w:t xml:space="preserve">, 21(4), pp.1–18. </w:t>
      </w:r>
      <w:proofErr w:type="spellStart"/>
      <w:proofErr w:type="gramStart"/>
      <w:r w:rsidRPr="009C3238">
        <w:t>doi:https</w:t>
      </w:r>
      <w:proofErr w:type="spellEnd"/>
      <w:r w:rsidRPr="009C3238">
        <w:t>://doi.org/10.1080/15614263.201</w:t>
      </w:r>
      <w:proofErr w:type="gramEnd"/>
    </w:p>
    <w:p w14:paraId="0768B997" w14:textId="77777777" w:rsidR="009C3238" w:rsidRDefault="009C3238" w:rsidP="006F1B0B"/>
    <w:p w14:paraId="3A234740" w14:textId="6AEFAA64" w:rsidR="00A96B5D" w:rsidRPr="009C3238" w:rsidRDefault="00A96B5D" w:rsidP="006F1B0B">
      <w:pPr>
        <w:rPr>
          <w:b/>
          <w:bCs/>
        </w:rPr>
      </w:pPr>
      <w:r w:rsidRPr="009C3238">
        <w:rPr>
          <w:b/>
          <w:bCs/>
        </w:rPr>
        <w:lastRenderedPageBreak/>
        <w:t xml:space="preserve">Essay </w:t>
      </w:r>
      <w:r w:rsidR="009C3238" w:rsidRPr="009C3238">
        <w:rPr>
          <w:b/>
          <w:bCs/>
        </w:rPr>
        <w:t>title - 3</w:t>
      </w:r>
    </w:p>
    <w:p w14:paraId="59FB193D" w14:textId="77777777" w:rsidR="00D75992" w:rsidRDefault="00D75992" w:rsidP="006F1B0B"/>
    <w:p w14:paraId="6F9141BE" w14:textId="4EA716CF" w:rsidR="00A96B5D" w:rsidRDefault="00A96B5D" w:rsidP="006F1B0B">
      <w:r>
        <w:t>Personal</w:t>
      </w:r>
      <w:r w:rsidR="008151E2">
        <w:t>-</w:t>
      </w:r>
      <w:r>
        <w:t>attitude, values and bias are critical elements that must be managed during effective investigation of crime. This essay will refer to academic research based around how these elements impact upon a thorough</w:t>
      </w:r>
      <w:r w:rsidR="00F640C5">
        <w:t xml:space="preserve"> </w:t>
      </w:r>
      <w:r>
        <w:t xml:space="preserve">investigation </w:t>
      </w:r>
      <w:r w:rsidR="00F640C5">
        <w:t>whilst</w:t>
      </w:r>
      <w:r>
        <w:t xml:space="preserve"> identifying ways in which these values can be utilised </w:t>
      </w:r>
      <w:r w:rsidR="00F640C5">
        <w:t>fairly and</w:t>
      </w:r>
      <w:r w:rsidR="00ED4FC1">
        <w:t xml:space="preserve"> fitting to the requirements of </w:t>
      </w:r>
      <w:r w:rsidR="008151E2">
        <w:t xml:space="preserve">an </w:t>
      </w:r>
      <w:r w:rsidR="00ED4FC1">
        <w:t>investigation.</w:t>
      </w:r>
    </w:p>
    <w:p w14:paraId="46ADCB20" w14:textId="2420DACB" w:rsidR="008B531C" w:rsidRDefault="00ED4FC1" w:rsidP="006F1B0B">
      <w:r>
        <w:t>Volume</w:t>
      </w:r>
      <w:r w:rsidR="00F640C5">
        <w:t>-</w:t>
      </w:r>
      <w:r>
        <w:t xml:space="preserve">crime </w:t>
      </w:r>
      <w:r w:rsidR="009E635E">
        <w:t xml:space="preserve">is presented by </w:t>
      </w:r>
      <w:r>
        <w:t>(College of Policing,2023)</w:t>
      </w:r>
      <w:r w:rsidR="008D59AA">
        <w:t xml:space="preserve"> (COP)</w:t>
      </w:r>
      <w:r>
        <w:t xml:space="preserve"> </w:t>
      </w:r>
      <w:r w:rsidR="009E635E">
        <w:t xml:space="preserve">as </w:t>
      </w:r>
      <w:r w:rsidR="008D59AA">
        <w:t xml:space="preserve">any </w:t>
      </w:r>
      <w:r w:rsidR="009E635E">
        <w:t>crime through significant</w:t>
      </w:r>
      <w:r w:rsidR="008151E2">
        <w:t>-</w:t>
      </w:r>
      <w:r w:rsidR="009E635E">
        <w:t xml:space="preserve">volume </w:t>
      </w:r>
      <w:r w:rsidR="008D59AA">
        <w:t>which has</w:t>
      </w:r>
      <w:r w:rsidR="009E635E">
        <w:t xml:space="preserve"> large impact on community and</w:t>
      </w:r>
      <w:r w:rsidR="00F640C5">
        <w:t xml:space="preserve"> </w:t>
      </w:r>
      <w:r w:rsidR="009E635E">
        <w:t xml:space="preserve">Police’s ability to tackle said crime. Crimes fitting </w:t>
      </w:r>
      <w:r w:rsidR="00F640C5">
        <w:t>this criterion</w:t>
      </w:r>
      <w:r w:rsidR="009E635E">
        <w:t xml:space="preserve"> typically include robbery, burglary, criminal</w:t>
      </w:r>
      <w:r w:rsidR="008151E2">
        <w:t>-</w:t>
      </w:r>
      <w:r w:rsidR="009E635E">
        <w:t>damage and assaults. Personal</w:t>
      </w:r>
      <w:r w:rsidR="008151E2">
        <w:t>-</w:t>
      </w:r>
      <w:r w:rsidR="009E635E">
        <w:t xml:space="preserve">attitudes, values and bias in </w:t>
      </w:r>
      <w:r w:rsidR="00D01724">
        <w:t xml:space="preserve">serving officers are critical in effectively tackling said issues, particularly </w:t>
      </w:r>
      <w:r w:rsidR="00F640C5">
        <w:t>in modern</w:t>
      </w:r>
      <w:r w:rsidR="008151E2">
        <w:t>-</w:t>
      </w:r>
      <w:r w:rsidR="00F640C5">
        <w:t>times w</w:t>
      </w:r>
      <w:r w:rsidR="00D01724">
        <w:t>hen misconduct by officers has resulted in increased scrutiny of Police</w:t>
      </w:r>
      <w:r w:rsidR="008D59AA">
        <w:t xml:space="preserve"> </w:t>
      </w:r>
      <w:r w:rsidR="00D01724">
        <w:t xml:space="preserve">(Millie and Hirschler,2023). </w:t>
      </w:r>
      <w:r w:rsidR="00F640C5">
        <w:t>E</w:t>
      </w:r>
      <w:r w:rsidR="00D01724">
        <w:t xml:space="preserve">very human holds their own views which have been shaped by years of </w:t>
      </w:r>
      <w:r w:rsidR="008B531C">
        <w:t>experience</w:t>
      </w:r>
      <w:r w:rsidR="00D01724">
        <w:t>, however Police</w:t>
      </w:r>
      <w:r w:rsidR="00F640C5">
        <w:t xml:space="preserve"> are known to</w:t>
      </w:r>
      <w:r w:rsidR="00D01724">
        <w:t xml:space="preserve"> make inconsistent moral</w:t>
      </w:r>
      <w:r w:rsidR="008151E2">
        <w:t>-</w:t>
      </w:r>
      <w:r w:rsidR="00D01724">
        <w:t xml:space="preserve">judgements when off duty compared to when on duty </w:t>
      </w:r>
      <w:r w:rsidR="00D01724">
        <w:t>(Millie and Hirschler,2023).</w:t>
      </w:r>
      <w:r w:rsidR="00D01724">
        <w:t xml:space="preserve"> Research show</w:t>
      </w:r>
      <w:r w:rsidR="00F640C5">
        <w:t xml:space="preserve">s </w:t>
      </w:r>
      <w:r w:rsidR="00150054">
        <w:t>people are somewhat inconsistent with decision</w:t>
      </w:r>
      <w:r w:rsidR="00F640C5">
        <w:t xml:space="preserve"> making</w:t>
      </w:r>
      <w:r w:rsidR="00150054">
        <w:t xml:space="preserve">, </w:t>
      </w:r>
      <w:r w:rsidR="00F640C5">
        <w:t>sometimes</w:t>
      </w:r>
      <w:r w:rsidR="00150054">
        <w:t xml:space="preserve"> unwilling to go against moral judgement, however in </w:t>
      </w:r>
      <w:r w:rsidR="00F640C5">
        <w:t>other circumstances</w:t>
      </w:r>
      <w:r w:rsidR="00150054">
        <w:t>, happy to contradict their previous good judgment</w:t>
      </w:r>
      <w:r w:rsidR="008B531C">
        <w:t xml:space="preserve"> (Millie</w:t>
      </w:r>
      <w:r w:rsidR="00D75992">
        <w:t>,</w:t>
      </w:r>
      <w:r w:rsidR="008B531C">
        <w:t>2024).</w:t>
      </w:r>
    </w:p>
    <w:p w14:paraId="4B7D54CC" w14:textId="7A50E500" w:rsidR="00ED4FC1" w:rsidRDefault="008B531C" w:rsidP="006F1B0B">
      <w:r>
        <w:t>Personal att</w:t>
      </w:r>
      <w:r w:rsidR="002C6C70">
        <w:t xml:space="preserve">itudes are shown to be pivotal in the effectiveness of an investigation. </w:t>
      </w:r>
      <w:r w:rsidR="009A402E">
        <w:t>Officers’</w:t>
      </w:r>
      <w:r w:rsidR="002C6C70">
        <w:t xml:space="preserve"> prior beliefs on a </w:t>
      </w:r>
      <w:r w:rsidR="009A402E">
        <w:t>topic are shown to act as a disruption to the implementation of evidence-based practice during investigati</w:t>
      </w:r>
      <w:r w:rsidR="007A00FE">
        <w:t>on</w:t>
      </w:r>
      <w:r w:rsidR="009A402E">
        <w:t xml:space="preserve"> (Adams-Quackenbush et al.,2019). Research </w:t>
      </w:r>
      <w:r w:rsidR="00F640C5">
        <w:t xml:space="preserve">shows the impact </w:t>
      </w:r>
      <w:r w:rsidR="009A402E">
        <w:t>person attitu</w:t>
      </w:r>
      <w:r w:rsidR="00F640C5">
        <w:t>des have on</w:t>
      </w:r>
      <w:r w:rsidR="009A402E">
        <w:t xml:space="preserve"> diminish</w:t>
      </w:r>
      <w:r w:rsidR="00F640C5">
        <w:t>ing</w:t>
      </w:r>
      <w:r w:rsidR="009A402E">
        <w:t xml:space="preserve"> </w:t>
      </w:r>
      <w:r w:rsidR="007A00FE">
        <w:t>the</w:t>
      </w:r>
      <w:r w:rsidR="00F640C5">
        <w:t xml:space="preserve"> quality </w:t>
      </w:r>
      <w:r w:rsidR="007A00FE">
        <w:t xml:space="preserve">of an </w:t>
      </w:r>
      <w:r w:rsidR="009A402E">
        <w:t>investigation. One’s personal attitude is likely to have no empirical evidence supporting it as the correct attitude, it</w:t>
      </w:r>
      <w:r w:rsidR="00F640C5">
        <w:t>’s</w:t>
      </w:r>
      <w:r w:rsidR="007A00FE">
        <w:t xml:space="preserve"> simply</w:t>
      </w:r>
      <w:r w:rsidR="009A402E">
        <w:t xml:space="preserve"> a belief developed i</w:t>
      </w:r>
      <w:r w:rsidR="00F640C5">
        <w:t>nternally</w:t>
      </w:r>
      <w:r w:rsidR="009A402E">
        <w:t xml:space="preserve"> from their own personal experience</w:t>
      </w:r>
      <w:r w:rsidR="007A00FE">
        <w:t xml:space="preserve"> whereby t</w:t>
      </w:r>
      <w:r w:rsidR="009A402E">
        <w:t xml:space="preserve">he longer one holds </w:t>
      </w:r>
      <w:r w:rsidR="008151E2">
        <w:t xml:space="preserve">a </w:t>
      </w:r>
      <w:r w:rsidR="009A402E">
        <w:t xml:space="preserve">belief </w:t>
      </w:r>
      <w:r w:rsidR="00D56D09">
        <w:t>regarding</w:t>
      </w:r>
      <w:r w:rsidR="009A402E">
        <w:t xml:space="preserve"> the</w:t>
      </w:r>
      <w:r w:rsidR="007A00FE">
        <w:t xml:space="preserve"> presentation of their</w:t>
      </w:r>
      <w:r w:rsidR="009A402E">
        <w:t xml:space="preserve"> attitude, the stronger th</w:t>
      </w:r>
      <w:r w:rsidR="007A00FE">
        <w:t>eir</w:t>
      </w:r>
      <w:r w:rsidR="009A402E">
        <w:t xml:space="preserve"> belief</w:t>
      </w:r>
      <w:r w:rsidR="00D56D09">
        <w:t xml:space="preserve"> on how they </w:t>
      </w:r>
      <w:r w:rsidR="008151E2">
        <w:t>should</w:t>
      </w:r>
      <w:r w:rsidR="00D56D09">
        <w:t xml:space="preserve"> act becomes (Burns,2004)</w:t>
      </w:r>
      <w:r w:rsidR="005E7BCF">
        <w:t xml:space="preserve">. </w:t>
      </w:r>
      <w:r w:rsidR="005A1D81">
        <w:t xml:space="preserve">Police recruits beginning their role brought an empathetic and compassionate attitude </w:t>
      </w:r>
      <w:r w:rsidR="008151E2">
        <w:t xml:space="preserve">to the role </w:t>
      </w:r>
      <w:r w:rsidR="005A1D81">
        <w:t>however after 6-months demonstrating this same attitude was found to be difficult</w:t>
      </w:r>
      <w:r w:rsidR="008151E2">
        <w:t>.</w:t>
      </w:r>
      <w:r w:rsidR="00846764">
        <w:t xml:space="preserve"> </w:t>
      </w:r>
      <w:r w:rsidR="008151E2">
        <w:t>O</w:t>
      </w:r>
      <w:r w:rsidR="00846764">
        <w:t xml:space="preserve">fficers </w:t>
      </w:r>
      <w:r w:rsidR="008151E2">
        <w:t xml:space="preserve">now had </w:t>
      </w:r>
      <w:r w:rsidR="00846764">
        <w:t>impairments to their moral judgement</w:t>
      </w:r>
      <w:r w:rsidR="005A1D81">
        <w:t xml:space="preserve"> (Millie and Hirschler,2023).</w:t>
      </w:r>
      <w:r w:rsidR="00D20715">
        <w:t xml:space="preserve"> Noting this change in personal</w:t>
      </w:r>
      <w:r w:rsidR="008D59AA">
        <w:t>-</w:t>
      </w:r>
      <w:r w:rsidR="00D20715">
        <w:t>attitude</w:t>
      </w:r>
      <w:r w:rsidR="00846764">
        <w:t xml:space="preserve"> only </w:t>
      </w:r>
      <w:r w:rsidR="008D59AA">
        <w:t>months</w:t>
      </w:r>
      <w:r w:rsidR="00846764">
        <w:t xml:space="preserve"> into the role</w:t>
      </w:r>
      <w:r w:rsidR="00D20715">
        <w:t>, it is evide</w:t>
      </w:r>
      <w:r w:rsidR="008D59AA">
        <w:t>nt officer no longer</w:t>
      </w:r>
      <w:r w:rsidR="00D20715">
        <w:t xml:space="preserve"> approach the role with the same level of positivity as initially. With regards to the investigating of volume</w:t>
      </w:r>
      <w:r w:rsidR="008D59AA">
        <w:t>-</w:t>
      </w:r>
      <w:r w:rsidR="00D20715">
        <w:t xml:space="preserve">crimes, a negative attitude to </w:t>
      </w:r>
      <w:r w:rsidR="00846764">
        <w:t>the role</w:t>
      </w:r>
      <w:r w:rsidR="00D20715">
        <w:t xml:space="preserve"> would </w:t>
      </w:r>
      <w:r w:rsidR="00846764">
        <w:t xml:space="preserve">be the component that would </w:t>
      </w:r>
      <w:r w:rsidR="00D20715">
        <w:t>diminish the quality of investigation due to the officer approaching the circumstances of the offence differently, away from an attitude supported by research as the “correct” attitude.</w:t>
      </w:r>
      <w:r w:rsidR="00846764">
        <w:t xml:space="preserve"> </w:t>
      </w:r>
    </w:p>
    <w:p w14:paraId="4FE91C9B" w14:textId="55DC6E86" w:rsidR="00305608" w:rsidRDefault="00B737B9" w:rsidP="006F1B0B">
      <w:r>
        <w:t>Officers’</w:t>
      </w:r>
      <w:r w:rsidR="00846764">
        <w:t xml:space="preserve"> individual</w:t>
      </w:r>
      <w:r w:rsidR="008D59AA">
        <w:t>-</w:t>
      </w:r>
      <w:r w:rsidR="00846764">
        <w:t>values are a second factor shown to be critical in the investigating of volume</w:t>
      </w:r>
      <w:r w:rsidR="008D59AA">
        <w:t>-</w:t>
      </w:r>
      <w:r w:rsidR="00846764">
        <w:t>crime. All Police officers joining the role in the U</w:t>
      </w:r>
      <w:r w:rsidR="008D59AA">
        <w:t>K</w:t>
      </w:r>
      <w:r w:rsidR="00846764">
        <w:t xml:space="preserve"> are aware of </w:t>
      </w:r>
      <w:r w:rsidR="008D59AA">
        <w:t>four</w:t>
      </w:r>
      <w:r w:rsidR="00846764">
        <w:t xml:space="preserve"> major values and obliged to abide and adhere to the values set out in (COP,2016) framework. These values are transparency, impartiality, integrity and a focus on delivering outstanding public service. </w:t>
      </w:r>
      <w:r>
        <w:t>There are several studies outlining officers’ failure to adhere to said values, an issue described as a continuing trend in Policing (Caldero et al.,2018). Officers have been known to not only bend these values when investigating crime, but to completely ignore them to the extrem</w:t>
      </w:r>
      <w:r w:rsidR="003B4D86">
        <w:t>es</w:t>
      </w:r>
      <w:r>
        <w:t xml:space="preserve"> of “covering up” details, whilst failing to report or investigate certain offences completely (Westmarland,2005). </w:t>
      </w:r>
      <w:r w:rsidR="003B4D86">
        <w:t>This does not only impact the</w:t>
      </w:r>
      <w:r w:rsidR="00305608">
        <w:t xml:space="preserve"> consistent</w:t>
      </w:r>
      <w:r w:rsidR="003B4D86">
        <w:t xml:space="preserve"> thoroughness of investigations</w:t>
      </w:r>
      <w:r w:rsidR="00305608">
        <w:t xml:space="preserve"> conducted by the Police but is extremely damaging to the public perception of the Police, and their willingness to report volume crime. Where Public perception of Police is poor, (Drakulich and Crutchfield,2013)’s mechanism of collective efficacy fails.</w:t>
      </w:r>
      <w:r w:rsidR="003E6545">
        <w:t xml:space="preserve"> Collective efficacy is known as a strong bond within neighbourhoods actively helping to tackle local crime through the reporting </w:t>
      </w:r>
      <w:r w:rsidR="003E6545">
        <w:lastRenderedPageBreak/>
        <w:t xml:space="preserve">of </w:t>
      </w:r>
      <w:r w:rsidR="00B6370B">
        <w:t>it and</w:t>
      </w:r>
      <w:r w:rsidR="003E6545">
        <w:t xml:space="preserve"> is </w:t>
      </w:r>
      <w:r w:rsidR="00B6370B">
        <w:t>aided</w:t>
      </w:r>
      <w:r w:rsidR="003E6545">
        <w:t xml:space="preserve"> by</w:t>
      </w:r>
      <w:r w:rsidR="00B6370B">
        <w:t xml:space="preserve"> the demonstration of</w:t>
      </w:r>
      <w:r w:rsidR="003E6545">
        <w:t xml:space="preserve"> fairness</w:t>
      </w:r>
      <w:r w:rsidR="00B6370B">
        <w:t xml:space="preserve"> and effectiveness by the Police</w:t>
      </w:r>
      <w:r w:rsidR="003E6545">
        <w:t xml:space="preserve"> </w:t>
      </w:r>
      <w:r w:rsidR="00B6370B">
        <w:t>in investigating crime</w:t>
      </w:r>
      <w:r w:rsidR="003E6545">
        <w:t>. Where communities view Police as executing their authority in a fair and just matter, they are likely to take collective action to address neighbourhood problems (</w:t>
      </w:r>
      <w:proofErr w:type="spellStart"/>
      <w:r w:rsidR="003E6545">
        <w:t>Yesberg</w:t>
      </w:r>
      <w:proofErr w:type="spellEnd"/>
      <w:r w:rsidR="003E6545">
        <w:t xml:space="preserve"> et al.,2021).</w:t>
      </w:r>
      <w:r w:rsidR="00305608">
        <w:t xml:space="preserve"> </w:t>
      </w:r>
      <w:r w:rsidR="003E6545">
        <w:t xml:space="preserve">Considering this, the adhering to correct Police values is critical for maintaining a strong bond with the public. This statement more so important for the fact a poor public perception of the Police is shown to negatively impact collective efficacy therefore preventing volume crimes being reported, consequently prohibiting volume crime from being investigated by Police given the public feeling </w:t>
      </w:r>
      <w:r w:rsidR="00B6370B">
        <w:t>discouraged</w:t>
      </w:r>
      <w:r w:rsidR="003E6545">
        <w:t xml:space="preserve"> </w:t>
      </w:r>
      <w:r w:rsidR="00B6370B">
        <w:t>when reporting crime in the first instance.</w:t>
      </w:r>
    </w:p>
    <w:p w14:paraId="047FE21A" w14:textId="4A5A53ED" w:rsidR="006018B2" w:rsidRDefault="006018B2" w:rsidP="006F1B0B">
      <w:r>
        <w:t xml:space="preserve">Police officers displaying bias is another area largely documented in literature. </w:t>
      </w:r>
      <w:r w:rsidR="00F640C5">
        <w:t>A</w:t>
      </w:r>
      <w:r>
        <w:t>n officer act</w:t>
      </w:r>
      <w:r w:rsidR="00F640C5">
        <w:t>ing</w:t>
      </w:r>
      <w:r>
        <w:t xml:space="preserve"> without bias is typically referred to as acting honestly and in the best interests of the public (Tankebe,201</w:t>
      </w:r>
      <w:r w:rsidR="008E516B">
        <w:t>2</w:t>
      </w:r>
      <w:r>
        <w:t xml:space="preserve">). Bias is referred to in Police investigations in several forms, namely </w:t>
      </w:r>
      <w:proofErr w:type="spellStart"/>
      <w:r>
        <w:t>pseudodiagnosticity</w:t>
      </w:r>
      <w:proofErr w:type="spellEnd"/>
      <w:r>
        <w:t xml:space="preserve"> bias, where </w:t>
      </w:r>
      <w:r w:rsidR="0025334D">
        <w:t>officers fail to identify and select information considered relevant to a case</w:t>
      </w:r>
      <w:r w:rsidR="008D59AA">
        <w:t xml:space="preserve">, </w:t>
      </w:r>
      <w:r w:rsidR="0025334D">
        <w:t>a bias known to largely undermine Police legitimacy (Elaad,2022). A second type of bias is that of tunnel</w:t>
      </w:r>
      <w:r w:rsidR="008D59AA">
        <w:t>-</w:t>
      </w:r>
      <w:r w:rsidR="0025334D">
        <w:t>vision, otherwise referred to as confirmation</w:t>
      </w:r>
      <w:r w:rsidR="007A00FE">
        <w:t>-</w:t>
      </w:r>
      <w:r w:rsidR="0025334D">
        <w:t>bias. This is where an investigator may filter</w:t>
      </w:r>
      <w:r w:rsidR="008D59AA">
        <w:t xml:space="preserve"> out</w:t>
      </w:r>
      <w:r w:rsidR="0025334D">
        <w:t xml:space="preserve"> evidence when building a case with the select intention of securing the suspects conviction</w:t>
      </w:r>
      <w:r w:rsidR="008D59AA">
        <w:t xml:space="preserve">, meanwhile </w:t>
      </w:r>
      <w:r w:rsidR="0025334D">
        <w:t xml:space="preserve">ignoring evidence that may undermine the prosecution (Findley &amp; Scott,2006). The applying of either types of bias in an investigation would undoubtedly impact the effectiveness of volume crime. </w:t>
      </w:r>
      <w:r w:rsidR="002B2DBA">
        <w:t>For example, prominent reason</w:t>
      </w:r>
      <w:r w:rsidR="007A00FE">
        <w:t>s</w:t>
      </w:r>
      <w:r w:rsidR="002B2DBA">
        <w:t xml:space="preserve"> for officers demonstrating guilty bias </w:t>
      </w:r>
      <w:r w:rsidR="00075295">
        <w:t>are</w:t>
      </w:r>
      <w:r w:rsidR="002B2DBA">
        <w:t xml:space="preserve"> in avoidance of being deceived by a suspect who has provided an account (Elaad,2022) thereby failing to investigate it</w:t>
      </w:r>
      <w:r w:rsidR="00564AF1">
        <w:t xml:space="preserve"> thoroughly. The presence of bias is documented in literature as being present in almost every wrongful conviction (Findley,2012). More concerning is guilty bias of suspect in investigations differing depending on the crime they have committed. (Elaad,2022) found a largely significant difference (p&lt;0.001) when investigations have formed a judgement regarding the guilt of a drug</w:t>
      </w:r>
      <w:r w:rsidR="008D59AA">
        <w:t>-</w:t>
      </w:r>
      <w:r w:rsidR="00564AF1">
        <w:t>dealing suspect versus that of a robbery suspect whilst investigators showed significantly greater belief that a suspect</w:t>
      </w:r>
      <w:r w:rsidR="00640934">
        <w:t xml:space="preserve"> versus the public before a conclusive investigation had been conducted (p =.002). This evidently provides evidence of the impact bias may have on not only the impartiality of investigations, but their impact on thoroughness in a volume</w:t>
      </w:r>
      <w:r w:rsidR="00075295">
        <w:t>-</w:t>
      </w:r>
      <w:r w:rsidR="00640934">
        <w:t>crime.</w:t>
      </w:r>
    </w:p>
    <w:p w14:paraId="385E184D" w14:textId="27429126" w:rsidR="00640934" w:rsidRDefault="008D59AA" w:rsidP="006F1B0B">
      <w:r>
        <w:t>C</w:t>
      </w:r>
      <w:r w:rsidR="00640934">
        <w:t>oncluding these findings, personal</w:t>
      </w:r>
      <w:r w:rsidR="008151E2">
        <w:t>-</w:t>
      </w:r>
      <w:r w:rsidR="00640934">
        <w:t xml:space="preserve">attitude during an investigation </w:t>
      </w:r>
      <w:r>
        <w:t>is</w:t>
      </w:r>
      <w:r w:rsidR="00640934">
        <w:t xml:space="preserve"> shown to diminish the quality of investigation through implementing an officer’s opinion during investigative actions</w:t>
      </w:r>
      <w:r>
        <w:t xml:space="preserve">, which </w:t>
      </w:r>
      <w:r w:rsidR="00640934">
        <w:t>largely</w:t>
      </w:r>
      <w:r>
        <w:t xml:space="preserve"> stem</w:t>
      </w:r>
      <w:r w:rsidR="00640934">
        <w:t xml:space="preserve"> from personal</w:t>
      </w:r>
      <w:r>
        <w:t>-</w:t>
      </w:r>
      <w:r w:rsidR="00640934">
        <w:t xml:space="preserve">experience, </w:t>
      </w:r>
      <w:r>
        <w:t>whilst not</w:t>
      </w:r>
      <w:r w:rsidR="00640934">
        <w:t xml:space="preserve"> applying an attitude suited towards evidenced</w:t>
      </w:r>
      <w:r>
        <w:t>-</w:t>
      </w:r>
      <w:r w:rsidR="00640934">
        <w:t>based</w:t>
      </w:r>
      <w:r>
        <w:t>-</w:t>
      </w:r>
      <w:r w:rsidR="00640934">
        <w:t xml:space="preserve">Policing </w:t>
      </w:r>
      <w:r w:rsidR="00640934">
        <w:t>(Adams-Quackenbush et al.,2019).</w:t>
      </w:r>
      <w:r w:rsidR="00640934">
        <w:t xml:space="preserve"> The applying of improper Policing values is also shown as detrimental to a thorough investigation</w:t>
      </w:r>
      <w:r w:rsidR="008151E2">
        <w:t>.</w:t>
      </w:r>
      <w:r w:rsidR="00640934">
        <w:t xml:space="preserve"> </w:t>
      </w:r>
      <w:r w:rsidR="00640934">
        <w:t>(Westmarland,2005)</w:t>
      </w:r>
      <w:r>
        <w:t xml:space="preserve"> </w:t>
      </w:r>
      <w:r w:rsidR="00640934">
        <w:t xml:space="preserve">has shown “covering up” of investigative actions </w:t>
      </w:r>
      <w:r>
        <w:t xml:space="preserve">is </w:t>
      </w:r>
      <w:r w:rsidR="00640934">
        <w:t>a root cause of poor public</w:t>
      </w:r>
      <w:r w:rsidR="008151E2">
        <w:t>-</w:t>
      </w:r>
      <w:r w:rsidR="00640934">
        <w:t>perception of Police whi</w:t>
      </w:r>
      <w:r w:rsidR="00D75992">
        <w:t>ch has in turn has great impact on collective</w:t>
      </w:r>
      <w:r w:rsidR="008151E2">
        <w:t>-</w:t>
      </w:r>
      <w:r w:rsidR="00D75992">
        <w:t xml:space="preserve">efficacy of the public and the Police when working together to report and investigate crime </w:t>
      </w:r>
      <w:r w:rsidR="00D75992">
        <w:t>(</w:t>
      </w:r>
      <w:proofErr w:type="spellStart"/>
      <w:r w:rsidR="00D75992">
        <w:t>Yesberg</w:t>
      </w:r>
      <w:proofErr w:type="spellEnd"/>
      <w:r w:rsidR="00D75992">
        <w:t xml:space="preserve"> et al.,2021)</w:t>
      </w:r>
      <w:r w:rsidR="00D75992">
        <w:t xml:space="preserve">. Finally, bias is a broad issue, however, relates heavily to the missing out of relevant information as well as the assumption that a suspect is guilty. Literature shows this not only has a detrimental effect on a thorough investigation but resulted in a significant number of wrongful convictions </w:t>
      </w:r>
      <w:r w:rsidR="00D75992">
        <w:t>(Findley &amp; Scott,2006)</w:t>
      </w:r>
      <w:r w:rsidR="00D75992">
        <w:t>.</w:t>
      </w:r>
    </w:p>
    <w:p w14:paraId="5ECACCD3" w14:textId="77777777" w:rsidR="009C3238" w:rsidRDefault="009C3238" w:rsidP="006F1B0B"/>
    <w:p w14:paraId="703D9CCD" w14:textId="77777777" w:rsidR="009C3238" w:rsidRDefault="009C3238" w:rsidP="006F1B0B"/>
    <w:p w14:paraId="5B9CEF3A" w14:textId="77777777" w:rsidR="009C3238" w:rsidRDefault="009C3238" w:rsidP="006F1B0B"/>
    <w:p w14:paraId="28E53D8A" w14:textId="77777777" w:rsidR="008151E2" w:rsidRDefault="008151E2" w:rsidP="006F1B0B">
      <w:pPr>
        <w:rPr>
          <w:b/>
          <w:bCs/>
        </w:rPr>
      </w:pPr>
    </w:p>
    <w:p w14:paraId="43C15BEF" w14:textId="1B766AA0" w:rsidR="009C3238" w:rsidRPr="009C3238" w:rsidRDefault="009C3238" w:rsidP="006F1B0B">
      <w:pPr>
        <w:rPr>
          <w:b/>
          <w:bCs/>
        </w:rPr>
      </w:pPr>
      <w:r w:rsidRPr="009C3238">
        <w:rPr>
          <w:b/>
          <w:bCs/>
        </w:rPr>
        <w:t>Bibliography:</w:t>
      </w:r>
    </w:p>
    <w:p w14:paraId="281D84C1" w14:textId="329A4094" w:rsidR="009C3238" w:rsidRDefault="009C3238" w:rsidP="006F1B0B">
      <w:r>
        <w:lastRenderedPageBreak/>
        <w:t>w</w:t>
      </w:r>
      <w:r w:rsidRPr="009C3238">
        <w:t>ww.college.police.uk. (</w:t>
      </w:r>
      <w:r>
        <w:t>2023</w:t>
      </w:r>
      <w:r w:rsidRPr="009C3238">
        <w:t>). </w:t>
      </w:r>
      <w:r w:rsidRPr="009C3238">
        <w:rPr>
          <w:i/>
          <w:iCs/>
        </w:rPr>
        <w:t>Conducting effective investigations | College of Policing</w:t>
      </w:r>
      <w:r w:rsidRPr="009C3238">
        <w:t xml:space="preserve">. [online] Available at: </w:t>
      </w:r>
      <w:hyperlink r:id="rId15" w:history="1">
        <w:r w:rsidRPr="008D541C">
          <w:rPr>
            <w:rStyle w:val="Hyperlink"/>
          </w:rPr>
          <w:t>https://www.college.police.uk/guidance/conducting-effective-investigations</w:t>
        </w:r>
      </w:hyperlink>
      <w:r w:rsidRPr="009C3238">
        <w:t>.</w:t>
      </w:r>
    </w:p>
    <w:p w14:paraId="735FE14E" w14:textId="1A5223C9" w:rsidR="009C3238" w:rsidRDefault="009C3238" w:rsidP="006F1B0B">
      <w:r w:rsidRPr="009C3238">
        <w:t>Millie, A. and Hirschler, S. (2023). Police recruits, moral judgements and an empathetic policing. </w:t>
      </w:r>
      <w:r w:rsidRPr="009C3238">
        <w:rPr>
          <w:i/>
          <w:iCs/>
        </w:rPr>
        <w:t>Criminology &amp; Criminal Justice</w:t>
      </w:r>
      <w:r w:rsidRPr="009C3238">
        <w:t xml:space="preserve">, p.174889582211461. </w:t>
      </w:r>
      <w:proofErr w:type="spellStart"/>
      <w:proofErr w:type="gramStart"/>
      <w:r w:rsidRPr="009C3238">
        <w:t>doi:https</w:t>
      </w:r>
      <w:proofErr w:type="spellEnd"/>
      <w:r w:rsidRPr="009C3238">
        <w:t>://doi.org/10.1177/17488958221146142</w:t>
      </w:r>
      <w:proofErr w:type="gramEnd"/>
      <w:r w:rsidRPr="009C3238">
        <w:t>.</w:t>
      </w:r>
    </w:p>
    <w:p w14:paraId="5EB69553" w14:textId="1A6CE47B" w:rsidR="009C3238" w:rsidRDefault="009C3238" w:rsidP="006F1B0B">
      <w:r w:rsidRPr="009C3238">
        <w:t xml:space="preserve">Adams-Quackenbush, N.M., </w:t>
      </w:r>
      <w:proofErr w:type="spellStart"/>
      <w:r w:rsidRPr="009C3238">
        <w:t>Horselenberg</w:t>
      </w:r>
      <w:proofErr w:type="spellEnd"/>
      <w:r w:rsidRPr="009C3238">
        <w:t>, R., Hubert, J., Vrij, A. and van Koppen, P. (2019). Interview expectancies: awareness of potential biases influences behaviour in interviewees. </w:t>
      </w:r>
      <w:r w:rsidRPr="009C3238">
        <w:rPr>
          <w:i/>
          <w:iCs/>
        </w:rPr>
        <w:t>Psychiatry, Psychology and Law</w:t>
      </w:r>
      <w:r w:rsidRPr="009C3238">
        <w:t>, 26(1), pp.150–166.</w:t>
      </w:r>
    </w:p>
    <w:p w14:paraId="79A327B4" w14:textId="210A7601" w:rsidR="009C3238" w:rsidRDefault="009C3238" w:rsidP="006F1B0B">
      <w:r w:rsidRPr="009C3238">
        <w:t xml:space="preserve">Burns, B.D. (2004). Heuristics as beliefs and as </w:t>
      </w:r>
      <w:proofErr w:type="spellStart"/>
      <w:r w:rsidRPr="009C3238">
        <w:t>behaviors</w:t>
      </w:r>
      <w:proofErr w:type="spellEnd"/>
      <w:r w:rsidRPr="009C3238">
        <w:t>: The adaptiveness of the ‘hot hand’. </w:t>
      </w:r>
      <w:r w:rsidRPr="009C3238">
        <w:rPr>
          <w:i/>
          <w:iCs/>
        </w:rPr>
        <w:t>Cognitive Psychology</w:t>
      </w:r>
      <w:r w:rsidRPr="009C3238">
        <w:t xml:space="preserve">, 48(3), pp.295–331. </w:t>
      </w:r>
      <w:proofErr w:type="spellStart"/>
      <w:proofErr w:type="gramStart"/>
      <w:r w:rsidRPr="009C3238">
        <w:t>doi:https</w:t>
      </w:r>
      <w:proofErr w:type="spellEnd"/>
      <w:r w:rsidRPr="009C3238">
        <w:t>://doi.org/10.1016/j.cogpsych.2003.07.003</w:t>
      </w:r>
      <w:proofErr w:type="gramEnd"/>
      <w:r w:rsidRPr="009C3238">
        <w:t>.</w:t>
      </w:r>
    </w:p>
    <w:p w14:paraId="0278B3E9" w14:textId="010F4FBC" w:rsidR="005C2FE0" w:rsidRDefault="005C2FE0" w:rsidP="006F1B0B">
      <w:r w:rsidRPr="005C2FE0">
        <w:t>College of Policing (2024). </w:t>
      </w:r>
      <w:r w:rsidRPr="005C2FE0">
        <w:rPr>
          <w:i/>
          <w:iCs/>
        </w:rPr>
        <w:t>Competency and values framework (CVF) | College of Policing</w:t>
      </w:r>
      <w:r w:rsidRPr="005C2FE0">
        <w:t xml:space="preserve">. [online] www.college.police.uk. Available at: </w:t>
      </w:r>
      <w:hyperlink r:id="rId16" w:history="1">
        <w:r w:rsidRPr="008D541C">
          <w:rPr>
            <w:rStyle w:val="Hyperlink"/>
          </w:rPr>
          <w:t>https://www.college.police.uk/career-learning/competency-and-values-framework</w:t>
        </w:r>
      </w:hyperlink>
      <w:r w:rsidRPr="005C2FE0">
        <w:t>.</w:t>
      </w:r>
    </w:p>
    <w:p w14:paraId="0CBFB986" w14:textId="32AE1115" w:rsidR="005C2FE0" w:rsidRDefault="005C2FE0" w:rsidP="006F1B0B">
      <w:r w:rsidRPr="005C2FE0">
        <w:t xml:space="preserve">Caldero, M., Dailey, J., &amp; Withrow, B. (2018). Police Ethics: The Corruption of Noble Cause (4th ed.). Routledge. </w:t>
      </w:r>
      <w:hyperlink r:id="rId17" w:history="1">
        <w:r w:rsidRPr="008D541C">
          <w:rPr>
            <w:rStyle w:val="Hyperlink"/>
          </w:rPr>
          <w:t>https://doi.org/10.4324/9781315162591</w:t>
        </w:r>
      </w:hyperlink>
    </w:p>
    <w:p w14:paraId="6C7099E3" w14:textId="3E4B986C" w:rsidR="005C2FE0" w:rsidRDefault="005C2FE0" w:rsidP="006F1B0B">
      <w:proofErr w:type="spellStart"/>
      <w:r w:rsidRPr="005C2FE0">
        <w:t>Westmarland</w:t>
      </w:r>
      <w:proofErr w:type="spellEnd"/>
      <w:r w:rsidRPr="005C2FE0">
        <w:t>, L. (2005). Police Ethics and Integrity: Breaking the Blue Code of Silence. </w:t>
      </w:r>
      <w:r w:rsidRPr="005C2FE0">
        <w:rPr>
          <w:i/>
          <w:iCs/>
        </w:rPr>
        <w:t>Policing and Society</w:t>
      </w:r>
      <w:r w:rsidRPr="005C2FE0">
        <w:t xml:space="preserve">, [online] 15(2), pp.145–165. </w:t>
      </w:r>
      <w:proofErr w:type="spellStart"/>
      <w:proofErr w:type="gramStart"/>
      <w:r w:rsidRPr="005C2FE0">
        <w:t>doi:https</w:t>
      </w:r>
      <w:proofErr w:type="spellEnd"/>
      <w:r w:rsidRPr="005C2FE0">
        <w:t>://doi.org/10.1080/10439460500071721</w:t>
      </w:r>
      <w:proofErr w:type="gramEnd"/>
      <w:r w:rsidRPr="005C2FE0">
        <w:t>.</w:t>
      </w:r>
    </w:p>
    <w:p w14:paraId="1B270E4A" w14:textId="16A2B99B" w:rsidR="005C2FE0" w:rsidRDefault="005C2FE0" w:rsidP="006F1B0B">
      <w:r w:rsidRPr="005C2FE0">
        <w:t>The Role of Perceptions of the Police in Informal Social Control. (2013). </w:t>
      </w:r>
      <w:r w:rsidRPr="005C2FE0">
        <w:rPr>
          <w:i/>
          <w:iCs/>
        </w:rPr>
        <w:t>Social Problems</w:t>
      </w:r>
      <w:r w:rsidRPr="005C2FE0">
        <w:t xml:space="preserve">, 60(3), pp.383–407. </w:t>
      </w:r>
      <w:proofErr w:type="spellStart"/>
      <w:proofErr w:type="gramStart"/>
      <w:r w:rsidRPr="005C2FE0">
        <w:t>doi:https</w:t>
      </w:r>
      <w:proofErr w:type="spellEnd"/>
      <w:r w:rsidRPr="005C2FE0">
        <w:t>://doi.org/10.1525/sp.2013.60.3.383</w:t>
      </w:r>
      <w:proofErr w:type="gramEnd"/>
      <w:r w:rsidRPr="005C2FE0">
        <w:t>.</w:t>
      </w:r>
    </w:p>
    <w:p w14:paraId="52F87CE5" w14:textId="34197588" w:rsidR="005C2FE0" w:rsidRDefault="005C2FE0" w:rsidP="005C2FE0">
      <w:proofErr w:type="spellStart"/>
      <w:r w:rsidRPr="005C2FE0">
        <w:t>Yesberg</w:t>
      </w:r>
      <w:proofErr w:type="spellEnd"/>
      <w:r w:rsidRPr="005C2FE0">
        <w:t>, J., Brunton-Smith, I. and Bradford, B. (2021). Police visibility, trust in police fairness, and collective efficacy: A multilevel Structural Equation Model. </w:t>
      </w:r>
      <w:r w:rsidRPr="005C2FE0">
        <w:rPr>
          <w:i/>
          <w:iCs/>
        </w:rPr>
        <w:t>European Journal of Criminology</w:t>
      </w:r>
      <w:r w:rsidRPr="005C2FE0">
        <w:t xml:space="preserve">, [online] 20(2), </w:t>
      </w:r>
      <w:proofErr w:type="gramStart"/>
      <w:r w:rsidRPr="005C2FE0">
        <w:t>p.147737082110353.doi:https://doi.org/10.1177/14773708211035306</w:t>
      </w:r>
      <w:proofErr w:type="gramEnd"/>
      <w:r w:rsidRPr="005C2FE0">
        <w:t>.</w:t>
      </w:r>
    </w:p>
    <w:p w14:paraId="1D3A7C3C" w14:textId="77777777" w:rsidR="008E516B" w:rsidRDefault="008E516B" w:rsidP="005C2FE0">
      <w:proofErr w:type="spellStart"/>
      <w:r w:rsidRPr="008E516B">
        <w:t>Tankebe</w:t>
      </w:r>
      <w:proofErr w:type="spellEnd"/>
      <w:r w:rsidRPr="008E516B">
        <w:t>, J. (2012). Viewing Things Differently: The Dimensions of Public Perceptions of Police Legitimacy. </w:t>
      </w:r>
      <w:r w:rsidRPr="008E516B">
        <w:rPr>
          <w:i/>
          <w:iCs/>
        </w:rPr>
        <w:t>Criminology</w:t>
      </w:r>
      <w:r w:rsidRPr="008E516B">
        <w:t xml:space="preserve">, [online] 51(1), pp.103–135. </w:t>
      </w:r>
      <w:proofErr w:type="spellStart"/>
      <w:proofErr w:type="gramStart"/>
      <w:r w:rsidRPr="008E516B">
        <w:t>doi:https</w:t>
      </w:r>
      <w:proofErr w:type="spellEnd"/>
      <w:r w:rsidRPr="008E516B">
        <w:t>://doi.org/10.1111/j.1745-9125.2012.00291.x</w:t>
      </w:r>
      <w:proofErr w:type="gramEnd"/>
      <w:r w:rsidRPr="008E516B">
        <w:t>.</w:t>
      </w:r>
    </w:p>
    <w:p w14:paraId="0A4EEB95" w14:textId="77777777" w:rsidR="00E80223" w:rsidRPr="00E80223" w:rsidRDefault="00E80223" w:rsidP="00E80223">
      <w:proofErr w:type="spellStart"/>
      <w:r w:rsidRPr="00E80223">
        <w:t>Elaad</w:t>
      </w:r>
      <w:proofErr w:type="spellEnd"/>
      <w:r w:rsidRPr="00E80223">
        <w:t>, E. (2022). Tunnel Vision and Confirmation Bias among Police Investigators and Laypeople in Hypothetical Criminal Contexts. </w:t>
      </w:r>
      <w:r w:rsidRPr="00E80223">
        <w:rPr>
          <w:i/>
          <w:iCs/>
        </w:rPr>
        <w:t>SAGE Open</w:t>
      </w:r>
      <w:r w:rsidRPr="00E80223">
        <w:t xml:space="preserve">, [online] 12(2), p.215824402210950. </w:t>
      </w:r>
      <w:proofErr w:type="spellStart"/>
      <w:proofErr w:type="gramStart"/>
      <w:r w:rsidRPr="00E80223">
        <w:t>doi:https</w:t>
      </w:r>
      <w:proofErr w:type="spellEnd"/>
      <w:r w:rsidRPr="00E80223">
        <w:t>://doi.org/10.1177/21582440221095022</w:t>
      </w:r>
      <w:proofErr w:type="gramEnd"/>
      <w:r w:rsidRPr="00E80223">
        <w:t>.</w:t>
      </w:r>
    </w:p>
    <w:p w14:paraId="00F6F381" w14:textId="01E5E628" w:rsidR="00E80223" w:rsidRDefault="00E80223" w:rsidP="00E80223">
      <w:r w:rsidRPr="00E80223">
        <w:t>‌Findley, K.A. and Scott, M.S. (2006). </w:t>
      </w:r>
      <w:r w:rsidRPr="00E80223">
        <w:rPr>
          <w:i/>
          <w:iCs/>
        </w:rPr>
        <w:t>The Multiple Dimensions of Tunnel Vision in Criminal Cases</w:t>
      </w:r>
      <w:r w:rsidRPr="00E80223">
        <w:t xml:space="preserve">. [online] papers.ssrn.com. Available at: </w:t>
      </w:r>
      <w:hyperlink r:id="rId18" w:history="1">
        <w:r w:rsidRPr="008D541C">
          <w:rPr>
            <w:rStyle w:val="Hyperlink"/>
          </w:rPr>
          <w:t>https://papers.ssrn.com/sol3/papers.cfm?abstract_id=911240</w:t>
        </w:r>
      </w:hyperlink>
      <w:r w:rsidRPr="00E80223">
        <w:t>.</w:t>
      </w:r>
    </w:p>
    <w:p w14:paraId="79D76156" w14:textId="5815C74B" w:rsidR="00E80223" w:rsidRDefault="00E80223" w:rsidP="00E80223">
      <w:r w:rsidRPr="00E80223">
        <w:t>Findley, K. A. (2012). Tunnel vision. In B. L. Cutler (Ed.), </w:t>
      </w:r>
      <w:r w:rsidRPr="00E80223">
        <w:rPr>
          <w:i/>
          <w:iCs/>
        </w:rPr>
        <w:t>Conviction of the innocent: Lessons from psychological research</w:t>
      </w:r>
      <w:r w:rsidRPr="00E80223">
        <w:t> (pp. 303–323). American Psychological Association. </w:t>
      </w:r>
      <w:hyperlink r:id="rId19" w:tgtFrame="_blank" w:history="1">
        <w:r w:rsidRPr="00E80223">
          <w:rPr>
            <w:rStyle w:val="Hyperlink"/>
          </w:rPr>
          <w:t>https://doi.org/10.1037/13085-014</w:t>
        </w:r>
      </w:hyperlink>
    </w:p>
    <w:p w14:paraId="30EB433A" w14:textId="69EBEE1F" w:rsidR="00E80223" w:rsidRDefault="00E80223" w:rsidP="00E80223">
      <w:r w:rsidRPr="00E80223">
        <w:t>Tyler, T.R. (2006). Psychological Perspectives on Legitimacy and Legitimation. </w:t>
      </w:r>
      <w:r w:rsidRPr="00E80223">
        <w:rPr>
          <w:i/>
          <w:iCs/>
        </w:rPr>
        <w:t>Annual Review of Psychology</w:t>
      </w:r>
      <w:r w:rsidRPr="00E80223">
        <w:t xml:space="preserve">, [online] 57(1), pp.375–400. </w:t>
      </w:r>
      <w:proofErr w:type="spellStart"/>
      <w:proofErr w:type="gramStart"/>
      <w:r w:rsidRPr="00E80223">
        <w:t>doi:https</w:t>
      </w:r>
      <w:proofErr w:type="spellEnd"/>
      <w:r w:rsidRPr="00E80223">
        <w:t>://doi.org/10.1146/annurev.psych.57.102904.190038</w:t>
      </w:r>
      <w:proofErr w:type="gramEnd"/>
      <w:r w:rsidRPr="00E80223">
        <w:t>.</w:t>
      </w:r>
    </w:p>
    <w:p w14:paraId="072237F0" w14:textId="77777777" w:rsidR="00E80223" w:rsidRDefault="00E80223" w:rsidP="00E80223"/>
    <w:p w14:paraId="558DB2FD" w14:textId="77777777" w:rsidR="00E80223" w:rsidRDefault="00E80223" w:rsidP="00E80223"/>
    <w:p w14:paraId="0BD25009" w14:textId="77777777" w:rsidR="00E80223" w:rsidRDefault="00E80223" w:rsidP="00E80223"/>
    <w:p w14:paraId="2E09F5CA" w14:textId="77777777" w:rsidR="00E80223" w:rsidRPr="00E80223" w:rsidRDefault="00E80223" w:rsidP="00E80223"/>
    <w:p w14:paraId="1CE83CFC" w14:textId="77777777" w:rsidR="00E80223" w:rsidRPr="00E80223" w:rsidRDefault="00E80223" w:rsidP="00E80223">
      <w:r w:rsidRPr="00E80223">
        <w:t>‌</w:t>
      </w:r>
    </w:p>
    <w:p w14:paraId="24266796" w14:textId="14784DF7" w:rsidR="00E80223" w:rsidRDefault="00E80223" w:rsidP="005C2FE0"/>
    <w:p w14:paraId="4EF53541" w14:textId="77777777" w:rsidR="008E516B" w:rsidRDefault="008E516B" w:rsidP="005C2FE0"/>
    <w:p w14:paraId="03A5ACCC" w14:textId="1F3707FF" w:rsidR="008E516B" w:rsidRDefault="008E516B" w:rsidP="005C2FE0">
      <w:r w:rsidRPr="008E516B">
        <w:t>‌</w:t>
      </w:r>
    </w:p>
    <w:p w14:paraId="632EAFB8" w14:textId="77777777" w:rsidR="008E516B" w:rsidRPr="005C2FE0" w:rsidRDefault="008E516B" w:rsidP="005C2FE0"/>
    <w:p w14:paraId="21DC3708" w14:textId="77777777" w:rsidR="005C2FE0" w:rsidRPr="005C2FE0" w:rsidRDefault="005C2FE0" w:rsidP="005C2FE0">
      <w:r w:rsidRPr="005C2FE0">
        <w:t>‌</w:t>
      </w:r>
    </w:p>
    <w:p w14:paraId="6D4279F1" w14:textId="77777777" w:rsidR="005C2FE0" w:rsidRDefault="005C2FE0" w:rsidP="006F1B0B"/>
    <w:p w14:paraId="0051A35C" w14:textId="77777777" w:rsidR="005C2FE0" w:rsidRDefault="005C2FE0" w:rsidP="006F1B0B"/>
    <w:p w14:paraId="7034BEBE" w14:textId="77777777" w:rsidR="005C2FE0" w:rsidRDefault="005C2FE0" w:rsidP="006F1B0B"/>
    <w:p w14:paraId="4CFA6429" w14:textId="77777777" w:rsidR="005C2FE0" w:rsidRDefault="005C2FE0" w:rsidP="006F1B0B"/>
    <w:p w14:paraId="08FED9C7" w14:textId="77777777" w:rsidR="009C3238" w:rsidRDefault="009C3238" w:rsidP="006F1B0B"/>
    <w:p w14:paraId="6CD2CFD1" w14:textId="77777777" w:rsidR="009C3238" w:rsidRDefault="009C3238" w:rsidP="006F1B0B"/>
    <w:p w14:paraId="19494F54" w14:textId="77777777" w:rsidR="009C3238" w:rsidRDefault="009C3238" w:rsidP="006F1B0B"/>
    <w:p w14:paraId="5A2D035E" w14:textId="77777777" w:rsidR="009C3238" w:rsidRDefault="009C3238" w:rsidP="006F1B0B"/>
    <w:p w14:paraId="3F5A4F60" w14:textId="77777777" w:rsidR="003E6545" w:rsidRDefault="003E6545" w:rsidP="006F1B0B"/>
    <w:p w14:paraId="5C1E6911" w14:textId="77777777" w:rsidR="009C3238" w:rsidRDefault="009C3238" w:rsidP="006F1B0B"/>
    <w:p w14:paraId="5BC3B55C" w14:textId="77777777" w:rsidR="009C3238" w:rsidRDefault="009C3238" w:rsidP="006F1B0B"/>
    <w:p w14:paraId="7D2BE567" w14:textId="77777777" w:rsidR="009C3238" w:rsidRDefault="009C3238" w:rsidP="006F1B0B"/>
    <w:p w14:paraId="3883399C" w14:textId="77777777" w:rsidR="009C3238" w:rsidRDefault="009C3238" w:rsidP="006F1B0B"/>
    <w:p w14:paraId="20A8D341" w14:textId="77777777" w:rsidR="009C3238" w:rsidRDefault="009C3238" w:rsidP="006F1B0B"/>
    <w:p w14:paraId="7D744EF6" w14:textId="77777777" w:rsidR="009C3238" w:rsidRDefault="009C3238" w:rsidP="006F1B0B"/>
    <w:p w14:paraId="73C150AD" w14:textId="77777777" w:rsidR="009C3238" w:rsidRDefault="009C3238" w:rsidP="006F1B0B"/>
    <w:p w14:paraId="08A63F94" w14:textId="77777777" w:rsidR="009C3238" w:rsidRDefault="009C3238" w:rsidP="006F1B0B"/>
    <w:p w14:paraId="2D65E25C" w14:textId="77777777" w:rsidR="009C3238" w:rsidRDefault="009C3238" w:rsidP="006F1B0B"/>
    <w:p w14:paraId="5FE8E660" w14:textId="77777777" w:rsidR="009C3238" w:rsidRDefault="009C3238" w:rsidP="006F1B0B"/>
    <w:p w14:paraId="1857B5A7" w14:textId="77777777" w:rsidR="00E80223" w:rsidRDefault="00E80223" w:rsidP="009C3238"/>
    <w:p w14:paraId="79823061" w14:textId="77777777" w:rsidR="00E80223" w:rsidRDefault="00E80223" w:rsidP="009C3238"/>
    <w:p w14:paraId="6222264D" w14:textId="1286E79C" w:rsidR="009C3238" w:rsidRPr="00E80223" w:rsidRDefault="009C3238" w:rsidP="009C3238">
      <w:pPr>
        <w:rPr>
          <w:b/>
          <w:bCs/>
        </w:rPr>
      </w:pPr>
      <w:r w:rsidRPr="009C3238">
        <w:rPr>
          <w:b/>
          <w:bCs/>
        </w:rPr>
        <w:t xml:space="preserve">Essay title – four </w:t>
      </w:r>
    </w:p>
    <w:p w14:paraId="53243183" w14:textId="77777777" w:rsidR="009C3238" w:rsidRDefault="009C3238" w:rsidP="009C3238">
      <w:r>
        <w:lastRenderedPageBreak/>
        <w:t>Serious and organised crime groups (OCG)’s hold a broad and longstanding definition dating back to 1920s North America whereby Italian-American crime groups (Papanicolaou, 2018). In modern times, The Serious Crime Act (2015) provides the definition of three or more persons acting or agreeing to act together to commit offences. There is a growing nationwide concern over (OCG)’s and their tendency to lure and exploit certain individuals into the dealings of an organised crime network. Groups where threats of violence and intimidation techniques play a vital role into the coercion required to ensure certain individuals remain a part of these groups against their will (Campana and Varese, 2018). There are currently several recognised categories of OCG within the United Kingdom in which vulnerable groups are heavily utilised. These are shown consist of groups devoted to child sexual abuse, modern slavery and human trafficking, organised immigration crime, drug violence and financial crime set to impair UK economy (O’Hagan and Edmundson, 2021).</w:t>
      </w:r>
    </w:p>
    <w:p w14:paraId="2E8C4AC1" w14:textId="5A6007F6" w:rsidR="009C3238" w:rsidRDefault="009C3238" w:rsidP="009C3238">
      <w:r>
        <w:t xml:space="preserve">One of the major links between serious and organised crime groups and public protection issues is the targeting of these vulnerable individuals with a view to exploiting them for monetary gain or benefit. Outside of the United Kingdom, illegal cross </w:t>
      </w:r>
      <w:r w:rsidR="0047300B">
        <w:t>border</w:t>
      </w:r>
      <w:r>
        <w:t xml:space="preserve"> trade is a prime example of the utilisation of vulnerable individuals for the sole benefit of criminals. In this type of organised crime, criminals utilise ethnic minorities and foreigners to conduct crime for them (Silverstone and Savage, 201</w:t>
      </w:r>
      <w:r w:rsidR="0047300B">
        <w:t>1</w:t>
      </w:r>
      <w:r>
        <w:t>). Inside of the United Kingdom, vulnerable persons are heavily adopted into organised groups, where “vulnerable”, could mean a range of things, however in the context of this essay, will stand as a susceptibility to harm, condition of weakness, dependency, incapability and powerlessness (Gilson, 2016).</w:t>
      </w:r>
      <w:r w:rsidR="0047300B" w:rsidRPr="0047300B">
        <w:t xml:space="preserve"> </w:t>
      </w:r>
    </w:p>
    <w:p w14:paraId="571C919F" w14:textId="638527D4" w:rsidR="009C3238" w:rsidRDefault="009C3238" w:rsidP="009C3238">
      <w:r>
        <w:t>The utilising of youths is a growing epidemic, particularly in terms of county lines and trafficking offences. It has become so severe that 80% of areas surveyed by lawful authority witnessed the exploitation of children in the dealings of the drug trade. When adopted into their new role, children are heavily involved in the supplying and transportation of drugs, where their co-operation is said to be motivated by fear from threats of violence and financial manipulation (Von Lampe, 2018). When OCG’s are tasked with locating children to exploit as part of their operation, technology is utilised through locating suitable children on social media, before building an intimate relationship with the child (The children’s society, 2017), which allows gang members to take advantage of an imbalance in power to coerce, manipulate and deceive the child into sexual activity or forcing them to participate in criminal activity in exchange for something the child may need or want (</w:t>
      </w:r>
      <w:r w:rsidRPr="005640EC">
        <w:t>Department for Education</w:t>
      </w:r>
      <w:r>
        <w:t xml:space="preserve">, 2018). Characteristics shown to make children vulnerable are typically </w:t>
      </w:r>
      <w:r w:rsidR="007A00FE">
        <w:t>their</w:t>
      </w:r>
      <w:r>
        <w:t xml:space="preserve"> position in life, children experiencing learning difficulties, substance abuse and family breakdown are strong factors that make them susceptible to gang contact (O’Hagan and Edmundson, 2021).</w:t>
      </w:r>
    </w:p>
    <w:p w14:paraId="7E0B73D9" w14:textId="77777777" w:rsidR="009C3238" w:rsidRDefault="009C3238" w:rsidP="009C3238">
      <w:r>
        <w:t xml:space="preserve">Women are also regarded as vulnerable at the hands of (OCG)’s, research showing that women are to some degree dependent, and subordinated to men, traits to may cause them to fall into the wrong hands more easily (Turner, 2016). Women’s vulnerability in gangs possessing hyper masculinity, sexual aggression and objectification towards women puts them at high risk of easy victimisation, intimate partner violence and rape (Quinn et al., 2019) meanwhile women unfortunate enough to fall into the hands of OCG’s are not subjected to inhumane treatment of intra-gang violence, exploitation (Windle et al., 2020) whilst being heavily relied on providing for getting male gang members out of trouble with the law, typically by providing Police with alibi’s for male gang members criminal wrongdoings (National Crime Agency, 2018). Women’s inability to exit these gangs are prevented by extreme coercion tactics preventing them from doing so. Isolation from family and friends, economic abuse and physical/abuse (Havard and Lefevre, </w:t>
      </w:r>
      <w:r>
        <w:lastRenderedPageBreak/>
        <w:t>2020) whilst being reminded of the negative consequences of fleeing the gang (Dutton and Goodman, 2005).</w:t>
      </w:r>
    </w:p>
    <w:p w14:paraId="18684C09" w14:textId="77777777" w:rsidR="009C3238" w:rsidRDefault="009C3238" w:rsidP="009C3238">
      <w:r>
        <w:t>Characteristics that place children and women or any vulnerable person at threat to organised groups are characteristics that make them particularly attractive to OCG’s, characteristics enabling them to be easily exploited and taken advantage over. These characteristics are largely multifaceted, pointing toward economic factors. These factors in children typically include poverty, family breakdown, absence from school and behavioural or development disorders (Safeguarding hub, 2019). The exploitation in adult males and females on the other hand are one’s reliant on drugs, mental health issues or disabilities. OCG’s effectively coerce and force vulnerable adults into exploitation through establishing a debt bondage with the gang member whereby they persistently owe greater quantities of money to pay off debt debts. These debts are known as, “debt bondage”, effectively giving gang members an excuse to force the vulnerable adult into conducting criminal activity for them (O’Hagan and Edmundson, 2021). A characteristic more prominent in vulnerable females subject to exploitation are the targeting of “clean skins”. This term refers to persons being capable of remaining undetected by law entities whilst being heavily coerced into carrying out such acts (Home Office, 2017). To employ “clean skins” into these groups, physical contact and social media appear to the most established method of beginning coercion over these victims (Havard et al., 2021).</w:t>
      </w:r>
    </w:p>
    <w:p w14:paraId="7439C703" w14:textId="77777777" w:rsidR="009C3238" w:rsidRDefault="009C3238" w:rsidP="009C3238">
      <w:r>
        <w:t xml:space="preserve">Concluding the areas of discussion with suitable prevention tactics to avoid being exploited by OCG’s appears difficult given the circumstances of modern OCG tactics. (Home Office, 2017)’s research shows that even individuals uninvolved in criminal activity are subjected to a risk of coercion into exploitation by OCG’s. There is however little research identifying suitable prevention methods that “clean skins” can employ to remain undetected by criminal gangs, both in day-to-day life and when using social media. With regards to characteristics typically rendering children and adults “vulnerable”, available research shows that shows that their personal circumstances are critical to their risk of being exploited (O’Hagan and Edmundson, 2021). Despite available research identifying what makes someone “vulnerable” at risk, there is now a requirement to identify prevention tactics and education set out to safeguard them, whilst providing advice to lower the risk of being exploited to OCG’s. Unfortunately, personal circumstances i.e. substance abuse, family breakdown are not always the fault of the victim as some persons are brought up in a negative environment which makes exploitation more likely, despite this, there must be proper intervention prior to victims being suspected to exploitation </w:t>
      </w:r>
      <w:proofErr w:type="gramStart"/>
      <w:r>
        <w:t>in order to</w:t>
      </w:r>
      <w:proofErr w:type="gramEnd"/>
      <w:r>
        <w:t xml:space="preserve"> prevent such events from occurring. </w:t>
      </w:r>
    </w:p>
    <w:p w14:paraId="52D2417D" w14:textId="77777777" w:rsidR="00E80223" w:rsidRDefault="00E80223" w:rsidP="009C3238"/>
    <w:p w14:paraId="67468155" w14:textId="77777777" w:rsidR="00E80223" w:rsidRDefault="00E80223" w:rsidP="009C3238"/>
    <w:p w14:paraId="247DD26E" w14:textId="77777777" w:rsidR="00E80223" w:rsidRDefault="00E80223" w:rsidP="009C3238"/>
    <w:p w14:paraId="03600589" w14:textId="77777777" w:rsidR="00E80223" w:rsidRDefault="00E80223" w:rsidP="009C3238"/>
    <w:p w14:paraId="28FCEA33" w14:textId="77777777" w:rsidR="00E80223" w:rsidRDefault="00E80223" w:rsidP="009C3238"/>
    <w:p w14:paraId="779C7E94" w14:textId="77777777" w:rsidR="00E80223" w:rsidRDefault="00E80223" w:rsidP="009C3238"/>
    <w:p w14:paraId="14F98BF8" w14:textId="77777777" w:rsidR="00E80223" w:rsidRDefault="00E80223" w:rsidP="009C3238"/>
    <w:p w14:paraId="4C16B926" w14:textId="77777777" w:rsidR="00E80223" w:rsidRDefault="00E80223" w:rsidP="009C3238"/>
    <w:p w14:paraId="3F0F932C" w14:textId="489FAC65" w:rsidR="00E80223" w:rsidRPr="00E80223" w:rsidRDefault="00E80223" w:rsidP="009C3238">
      <w:pPr>
        <w:rPr>
          <w:b/>
          <w:bCs/>
        </w:rPr>
      </w:pPr>
      <w:r w:rsidRPr="00E80223">
        <w:rPr>
          <w:b/>
          <w:bCs/>
        </w:rPr>
        <w:t>Bibliography:</w:t>
      </w:r>
    </w:p>
    <w:p w14:paraId="1147AAAE" w14:textId="025DBACE" w:rsidR="009C3238" w:rsidRDefault="00E80223" w:rsidP="006F1B0B">
      <w:r w:rsidRPr="00E80223">
        <w:lastRenderedPageBreak/>
        <w:t>Legislation.gov.uk. (2015). </w:t>
      </w:r>
      <w:r w:rsidRPr="00E80223">
        <w:rPr>
          <w:i/>
          <w:iCs/>
        </w:rPr>
        <w:t>Serious Crime Act 2015</w:t>
      </w:r>
      <w:r w:rsidRPr="00E80223">
        <w:t xml:space="preserve">. [online] Available at: </w:t>
      </w:r>
      <w:hyperlink r:id="rId20" w:history="1">
        <w:r w:rsidRPr="008D541C">
          <w:rPr>
            <w:rStyle w:val="Hyperlink"/>
          </w:rPr>
          <w:t>https://www.legislation.gov.uk/ukpga/2015/9/section/45</w:t>
        </w:r>
      </w:hyperlink>
      <w:r w:rsidRPr="00E80223">
        <w:t>.</w:t>
      </w:r>
    </w:p>
    <w:p w14:paraId="6271137A" w14:textId="49BBFFA8" w:rsidR="00E80223" w:rsidRDefault="00E80223" w:rsidP="006F1B0B">
      <w:r>
        <w:t>C</w:t>
      </w:r>
      <w:r w:rsidRPr="00E80223">
        <w:t>ampana, P. and Varese, F. (2018). Organized Crime in the United Kingdom: Illegal Governance of Markets and Communities. </w:t>
      </w:r>
      <w:r w:rsidRPr="00E80223">
        <w:rPr>
          <w:i/>
          <w:iCs/>
        </w:rPr>
        <w:t>The British Journal of Criminology</w:t>
      </w:r>
      <w:r w:rsidRPr="00E80223">
        <w:t xml:space="preserve">, [online] 58(6), pp.1381–1400. </w:t>
      </w:r>
      <w:proofErr w:type="spellStart"/>
      <w:proofErr w:type="gramStart"/>
      <w:r w:rsidRPr="00E80223">
        <w:t>doi:https</w:t>
      </w:r>
      <w:proofErr w:type="spellEnd"/>
      <w:r w:rsidRPr="00E80223">
        <w:t>://doi.org/10.1093/</w:t>
      </w:r>
      <w:proofErr w:type="spellStart"/>
      <w:r w:rsidRPr="00E80223">
        <w:t>bjc</w:t>
      </w:r>
      <w:proofErr w:type="spellEnd"/>
      <w:r w:rsidRPr="00E80223">
        <w:t>/azx078</w:t>
      </w:r>
      <w:proofErr w:type="gramEnd"/>
      <w:r w:rsidRPr="00E80223">
        <w:t>.</w:t>
      </w:r>
    </w:p>
    <w:p w14:paraId="7EFB312D" w14:textId="753DDE3E" w:rsidR="0047300B" w:rsidRDefault="0047300B" w:rsidP="006F1B0B">
      <w:r>
        <w:t>O’Hagan, A. and Edmundson, C. (2021). C</w:t>
      </w:r>
      <w:r w:rsidRPr="0047300B">
        <w:t>ounty lines: The exploitation of vulnerable members of society</w:t>
      </w:r>
      <w:r>
        <w:t xml:space="preserve">. </w:t>
      </w:r>
      <w:r w:rsidRPr="0047300B">
        <w:rPr>
          <w:i/>
          <w:iCs/>
        </w:rPr>
        <w:t>Forensic Research &amp; Criminology International Journa</w:t>
      </w:r>
      <w:r w:rsidRPr="0047300B">
        <w:rPr>
          <w:i/>
          <w:iCs/>
        </w:rPr>
        <w:t>l</w:t>
      </w:r>
      <w:r>
        <w:t xml:space="preserve"> [online] 9(2), pp47-57. (</w:t>
      </w:r>
      <w:hyperlink r:id="rId21" w:history="1">
        <w:r w:rsidRPr="0047300B">
          <w:rPr>
            <w:rStyle w:val="Hyperlink"/>
          </w:rPr>
          <w:t>County lines: The exploitation of vulnerable members of society (ntu.ac.uk)</w:t>
        </w:r>
      </w:hyperlink>
    </w:p>
    <w:p w14:paraId="4BCD8911" w14:textId="77777777" w:rsidR="0047300B" w:rsidRDefault="0047300B" w:rsidP="0047300B">
      <w:r w:rsidRPr="0047300B">
        <w:t>Silverstone, D. and Savage, S. (2010). Farmers, factories and funds: organised crime and illicit drugs cultivation within the British Vietnamese community. </w:t>
      </w:r>
      <w:r w:rsidRPr="0047300B">
        <w:rPr>
          <w:i/>
          <w:iCs/>
        </w:rPr>
        <w:t>Global Crime</w:t>
      </w:r>
      <w:r w:rsidRPr="0047300B">
        <w:t xml:space="preserve">, 11(1), pp.16–33. </w:t>
      </w:r>
      <w:proofErr w:type="spellStart"/>
      <w:proofErr w:type="gramStart"/>
      <w:r w:rsidRPr="0047300B">
        <w:t>doi:https</w:t>
      </w:r>
      <w:proofErr w:type="spellEnd"/>
      <w:r w:rsidRPr="0047300B">
        <w:t>://doi.org/10.1080/17440570903475683</w:t>
      </w:r>
      <w:proofErr w:type="gramEnd"/>
      <w:r w:rsidRPr="0047300B">
        <w:t>.</w:t>
      </w:r>
    </w:p>
    <w:p w14:paraId="1422443A" w14:textId="6BCA4AE6" w:rsidR="0047300B" w:rsidRDefault="0047300B" w:rsidP="0047300B">
      <w:r w:rsidRPr="0047300B">
        <w:t xml:space="preserve">Gilson, E. (2014). The Ethics of Vulnerability: A Feminist Analysis of Social Life and Practice (1st ed.). Routledge. </w:t>
      </w:r>
      <w:hyperlink r:id="rId22" w:history="1">
        <w:r w:rsidRPr="008D541C">
          <w:rPr>
            <w:rStyle w:val="Hyperlink"/>
          </w:rPr>
          <w:t>https://doi.org/10.4324/9780203078136</w:t>
        </w:r>
      </w:hyperlink>
    </w:p>
    <w:p w14:paraId="7C77FEEB" w14:textId="3BD914DC" w:rsidR="0047300B" w:rsidRDefault="0047300B" w:rsidP="0047300B">
      <w:r>
        <w:t>Von Lampe, K</w:t>
      </w:r>
      <w:r w:rsidRPr="0047300B">
        <w:t>. (2018). </w:t>
      </w:r>
      <w:r w:rsidRPr="0047300B">
        <w:rPr>
          <w:i/>
          <w:iCs/>
        </w:rPr>
        <w:t>Trends in Organized Crime | Volume 21, issue 2</w:t>
      </w:r>
      <w:r w:rsidRPr="0047300B">
        <w:t xml:space="preserve">. [online] Available at: https://link.springer.com/journal/12117/volumes-and-issues/21-2 [Accessed </w:t>
      </w:r>
      <w:r>
        <w:t>25</w:t>
      </w:r>
      <w:r w:rsidRPr="0047300B">
        <w:t xml:space="preserve"> </w:t>
      </w:r>
      <w:r>
        <w:t>Aug</w:t>
      </w:r>
      <w:r w:rsidRPr="0047300B">
        <w:t>. 2024].</w:t>
      </w:r>
    </w:p>
    <w:p w14:paraId="22BA32E5" w14:textId="5C59B4A2" w:rsidR="002A6662" w:rsidRDefault="002A6662" w:rsidP="0047300B">
      <w:r w:rsidRPr="002A6662">
        <w:t>Department for Education (201</w:t>
      </w:r>
      <w:r>
        <w:t>7</w:t>
      </w:r>
      <w:r w:rsidRPr="002A6662">
        <w:t>). </w:t>
      </w:r>
      <w:r w:rsidRPr="002A6662">
        <w:rPr>
          <w:i/>
          <w:iCs/>
        </w:rPr>
        <w:t>Child sexual exploitation Definition and a guide for practitioners, local leaders and decision makers working to protect children from child sexual exploitation</w:t>
      </w:r>
      <w:r w:rsidRPr="002A6662">
        <w:t xml:space="preserve">. [online] Available at: </w:t>
      </w:r>
      <w:hyperlink r:id="rId23" w:history="1">
        <w:r w:rsidRPr="008D541C">
          <w:rPr>
            <w:rStyle w:val="Hyperlink"/>
          </w:rPr>
          <w:t>https://assets.publishing.service.gov.uk/media/5a7f8e3640f0b62305b87dbc/</w:t>
        </w:r>
      </w:hyperlink>
    </w:p>
    <w:p w14:paraId="6964DB21" w14:textId="0BEEF97F" w:rsidR="00CA66E5" w:rsidRDefault="00CA66E5" w:rsidP="0047300B">
      <w:r w:rsidRPr="00CA66E5">
        <w:t>Turner, J. (2016). Root Causes, Transnational Mobility and Formations of Patriarchy in the Sex Trafficking of Women. </w:t>
      </w:r>
      <w:r w:rsidRPr="00CA66E5">
        <w:rPr>
          <w:i/>
          <w:iCs/>
        </w:rPr>
        <w:t>Edinburgh University Press eBooks</w:t>
      </w:r>
      <w:r w:rsidRPr="00CA66E5">
        <w:t xml:space="preserve">, [online] pp.194–209. </w:t>
      </w:r>
      <w:proofErr w:type="spellStart"/>
      <w:proofErr w:type="gramStart"/>
      <w:r w:rsidRPr="00CA66E5">
        <w:t>doi:https</w:t>
      </w:r>
      <w:proofErr w:type="spellEnd"/>
      <w:r w:rsidRPr="00CA66E5">
        <w:t>://doi.org/10.3366/</w:t>
      </w:r>
      <w:proofErr w:type="spellStart"/>
      <w:r w:rsidRPr="00CA66E5">
        <w:t>edinburgh</w:t>
      </w:r>
      <w:proofErr w:type="spellEnd"/>
      <w:r w:rsidRPr="00CA66E5">
        <w:t>/9781474401128.003.0012</w:t>
      </w:r>
      <w:proofErr w:type="gramEnd"/>
      <w:r w:rsidRPr="00CA66E5">
        <w:t>.</w:t>
      </w:r>
    </w:p>
    <w:p w14:paraId="7CBC34D1" w14:textId="53AE64FF" w:rsidR="00CA66E5" w:rsidRDefault="00CA66E5" w:rsidP="00CA66E5">
      <w:r w:rsidRPr="00CA66E5">
        <w:t>Quinn, K., Dickson-Gomez, J., Broaddus, M. and Pacella, M. (2019). Running Trains and ‘Sexing-In’: The Functions of Sex Within Adolescent Gangs. </w:t>
      </w:r>
      <w:r w:rsidRPr="00CA66E5">
        <w:rPr>
          <w:i/>
          <w:iCs/>
        </w:rPr>
        <w:t>Youth &amp; society</w:t>
      </w:r>
      <w:r w:rsidRPr="00CA66E5">
        <w:t xml:space="preserve">, [online] 51(2), pp.151–169. </w:t>
      </w:r>
      <w:proofErr w:type="spellStart"/>
      <w:proofErr w:type="gramStart"/>
      <w:r w:rsidRPr="00CA66E5">
        <w:t>doi:https</w:t>
      </w:r>
      <w:proofErr w:type="spellEnd"/>
      <w:r w:rsidRPr="00CA66E5">
        <w:t>://doi.org/10.1177/0044118X16667375</w:t>
      </w:r>
      <w:proofErr w:type="gramEnd"/>
      <w:r w:rsidRPr="00CA66E5">
        <w:t>.</w:t>
      </w:r>
    </w:p>
    <w:p w14:paraId="390CF3B5" w14:textId="7992EF36" w:rsidR="00CA66E5" w:rsidRDefault="00CA66E5" w:rsidP="00CA66E5">
      <w:r w:rsidRPr="00CA66E5">
        <w:t>Windle, J., Moyle, L. and Coomber, R. (2020). Vulnerable kids going country: Children and young people’s involvement in county lines drug dealing. </w:t>
      </w:r>
      <w:r w:rsidRPr="00CA66E5">
        <w:rPr>
          <w:i/>
          <w:iCs/>
        </w:rPr>
        <w:t>Youth Justice</w:t>
      </w:r>
      <w:r w:rsidRPr="00CA66E5">
        <w:t xml:space="preserve">, [online] 20(1-2), pp.64–78. Available at: </w:t>
      </w:r>
      <w:hyperlink r:id="rId24" w:history="1">
        <w:r w:rsidRPr="00CA66E5">
          <w:rPr>
            <w:rStyle w:val="Hyperlink"/>
          </w:rPr>
          <w:t>https://journals.sagepub.com/doi/full/10.1177/1473225420902840</w:t>
        </w:r>
      </w:hyperlink>
      <w:r w:rsidRPr="00CA66E5">
        <w:t>.</w:t>
      </w:r>
    </w:p>
    <w:p w14:paraId="5A471AD4" w14:textId="43F36372" w:rsidR="007A00FE" w:rsidRDefault="007A00FE" w:rsidP="00CA66E5">
      <w:r w:rsidRPr="007A00FE">
        <w:t>Dutton, M. A., &amp; Goodman, L. A. (2005). Coercion in Intimate Partner Violence: Toward a New Conceptualization. </w:t>
      </w:r>
      <w:r w:rsidRPr="007A00FE">
        <w:rPr>
          <w:i/>
          <w:iCs/>
        </w:rPr>
        <w:t>Sex Roles: A Journal of Research, 52</w:t>
      </w:r>
      <w:r w:rsidRPr="007A00FE">
        <w:t>(11-12), 743–756. </w:t>
      </w:r>
      <w:hyperlink r:id="rId25" w:tgtFrame="_blank" w:history="1">
        <w:r w:rsidRPr="007A00FE">
          <w:rPr>
            <w:rStyle w:val="Hyperlink"/>
          </w:rPr>
          <w:t>https://doi.org/10.1007/s11199-005-4196-6</w:t>
        </w:r>
      </w:hyperlink>
    </w:p>
    <w:p w14:paraId="13085E92" w14:textId="4C4446F5" w:rsidR="007A00FE" w:rsidRDefault="007A00FE" w:rsidP="007A00FE">
      <w:r>
        <w:t>S</w:t>
      </w:r>
      <w:r w:rsidRPr="007A00FE">
        <w:t>afeguarding</w:t>
      </w:r>
      <w:r>
        <w:t xml:space="preserve"> </w:t>
      </w:r>
      <w:r w:rsidRPr="007A00FE">
        <w:t>hub (2019). </w:t>
      </w:r>
      <w:r w:rsidRPr="007A00FE">
        <w:rPr>
          <w:i/>
          <w:iCs/>
        </w:rPr>
        <w:t>County Lines – 2019 update | Safeguarding Hub</w:t>
      </w:r>
      <w:r w:rsidRPr="007A00FE">
        <w:t xml:space="preserve">. [online] Safeguarding Hub. Available at: </w:t>
      </w:r>
      <w:hyperlink r:id="rId26" w:history="1">
        <w:r w:rsidRPr="007A00FE">
          <w:rPr>
            <w:rStyle w:val="Hyperlink"/>
          </w:rPr>
          <w:t>https://safeguardinghub.co.uk/county-lines-2019-update/</w:t>
        </w:r>
      </w:hyperlink>
      <w:r w:rsidRPr="007A00FE">
        <w:t>.</w:t>
      </w:r>
    </w:p>
    <w:p w14:paraId="02884BC2" w14:textId="57A725E4" w:rsidR="007A00FE" w:rsidRDefault="007A00FE" w:rsidP="007A00FE">
      <w:r w:rsidRPr="007A00FE">
        <w:t>Havard, T.E., Densley, J.A., Whittaker, A. and Wills, J. (2021). Street Gangs and Coercive control: the Gendered Exploitation of Young Women and Girls in County Lines. </w:t>
      </w:r>
      <w:r w:rsidRPr="007A00FE">
        <w:rPr>
          <w:i/>
          <w:iCs/>
        </w:rPr>
        <w:t>Criminology &amp; Criminal Justice</w:t>
      </w:r>
      <w:r w:rsidRPr="007A00FE">
        <w:t xml:space="preserve">, [online] 23(3), pp.1–17. </w:t>
      </w:r>
      <w:proofErr w:type="spellStart"/>
      <w:proofErr w:type="gramStart"/>
      <w:r w:rsidRPr="007A00FE">
        <w:t>doi:https</w:t>
      </w:r>
      <w:proofErr w:type="spellEnd"/>
      <w:r w:rsidRPr="007A00FE">
        <w:t>://doi.org/10.1177/17488958211051513</w:t>
      </w:r>
      <w:proofErr w:type="gramEnd"/>
      <w:r w:rsidRPr="007A00FE">
        <w:t>.</w:t>
      </w:r>
    </w:p>
    <w:p w14:paraId="15FC195B" w14:textId="77777777" w:rsidR="007A00FE" w:rsidRDefault="007A00FE" w:rsidP="007A00FE"/>
    <w:p w14:paraId="220859E5" w14:textId="77777777" w:rsidR="007A00FE" w:rsidRPr="007A00FE" w:rsidRDefault="007A00FE" w:rsidP="007A00FE"/>
    <w:p w14:paraId="4320D1E4" w14:textId="77777777" w:rsidR="007A00FE" w:rsidRPr="007A00FE" w:rsidRDefault="007A00FE" w:rsidP="007A00FE">
      <w:r w:rsidRPr="007A00FE">
        <w:t>‌</w:t>
      </w:r>
    </w:p>
    <w:p w14:paraId="2F5177FC" w14:textId="77777777" w:rsidR="007A00FE" w:rsidRDefault="007A00FE" w:rsidP="00CA66E5"/>
    <w:p w14:paraId="3E03F62D" w14:textId="77777777" w:rsidR="007A00FE" w:rsidRDefault="007A00FE" w:rsidP="00CA66E5"/>
    <w:p w14:paraId="15D6EF56" w14:textId="77777777" w:rsidR="007A00FE" w:rsidRDefault="007A00FE" w:rsidP="00CA66E5"/>
    <w:p w14:paraId="126525C6" w14:textId="77777777" w:rsidR="00CA66E5" w:rsidRPr="00CA66E5" w:rsidRDefault="00CA66E5" w:rsidP="00CA66E5"/>
    <w:p w14:paraId="40EE3042" w14:textId="77777777" w:rsidR="00CA66E5" w:rsidRPr="00CA66E5" w:rsidRDefault="00CA66E5" w:rsidP="00CA66E5">
      <w:r w:rsidRPr="00CA66E5">
        <w:t>‌</w:t>
      </w:r>
    </w:p>
    <w:p w14:paraId="39A208CA" w14:textId="77777777" w:rsidR="00CA66E5" w:rsidRDefault="00CA66E5" w:rsidP="00CA66E5"/>
    <w:p w14:paraId="02521E92" w14:textId="77777777" w:rsidR="00CA66E5" w:rsidRPr="00CA66E5" w:rsidRDefault="00CA66E5" w:rsidP="00CA66E5"/>
    <w:p w14:paraId="5B4337ED" w14:textId="77777777" w:rsidR="00CA66E5" w:rsidRPr="00CA66E5" w:rsidRDefault="00CA66E5" w:rsidP="00CA66E5">
      <w:r w:rsidRPr="00CA66E5">
        <w:t>‌</w:t>
      </w:r>
    </w:p>
    <w:p w14:paraId="3F95EECB" w14:textId="77777777" w:rsidR="00CA66E5" w:rsidRDefault="00CA66E5" w:rsidP="0047300B"/>
    <w:p w14:paraId="22566CCC" w14:textId="77777777" w:rsidR="00CA66E5" w:rsidRDefault="00CA66E5" w:rsidP="0047300B"/>
    <w:p w14:paraId="0417DC12" w14:textId="77777777" w:rsidR="002A6662" w:rsidRDefault="002A6662" w:rsidP="0047300B"/>
    <w:p w14:paraId="272606EC" w14:textId="77777777" w:rsidR="002A6662" w:rsidRDefault="002A6662" w:rsidP="0047300B"/>
    <w:p w14:paraId="04B67B68" w14:textId="77777777" w:rsidR="002A6662" w:rsidRDefault="002A6662" w:rsidP="0047300B"/>
    <w:p w14:paraId="01E6C74E" w14:textId="77777777" w:rsidR="0047300B" w:rsidRDefault="0047300B" w:rsidP="0047300B"/>
    <w:p w14:paraId="7E7385E0" w14:textId="77777777" w:rsidR="0047300B" w:rsidRPr="0047300B" w:rsidRDefault="0047300B" w:rsidP="0047300B"/>
    <w:p w14:paraId="27102C97" w14:textId="77777777" w:rsidR="0047300B" w:rsidRPr="0047300B" w:rsidRDefault="0047300B" w:rsidP="0047300B">
      <w:r w:rsidRPr="0047300B">
        <w:t>‌</w:t>
      </w:r>
    </w:p>
    <w:p w14:paraId="738ADE25" w14:textId="77777777" w:rsidR="0047300B" w:rsidRDefault="0047300B" w:rsidP="006F1B0B"/>
    <w:p w14:paraId="1C07B4B8" w14:textId="77777777" w:rsidR="0047300B" w:rsidRDefault="0047300B" w:rsidP="006F1B0B"/>
    <w:p w14:paraId="5B5AE97B" w14:textId="77777777" w:rsidR="00E80223" w:rsidRDefault="00E80223" w:rsidP="006F1B0B"/>
    <w:p w14:paraId="511F3DFD" w14:textId="594C9612" w:rsidR="00E80223" w:rsidRDefault="00E80223" w:rsidP="006F1B0B"/>
    <w:p w14:paraId="375A5933" w14:textId="77777777" w:rsidR="00E80223" w:rsidRPr="006F1B0B" w:rsidRDefault="00E80223" w:rsidP="006F1B0B"/>
    <w:sectPr w:rsidR="00E80223" w:rsidRPr="006F1B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257DDF"/>
    <w:multiLevelType w:val="hybridMultilevel"/>
    <w:tmpl w:val="9E20B74E"/>
    <w:lvl w:ilvl="0" w:tplc="CD666E4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0366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033"/>
    <w:rsid w:val="00075295"/>
    <w:rsid w:val="00092470"/>
    <w:rsid w:val="001411B7"/>
    <w:rsid w:val="00150054"/>
    <w:rsid w:val="00151C85"/>
    <w:rsid w:val="00152033"/>
    <w:rsid w:val="001539E1"/>
    <w:rsid w:val="00193301"/>
    <w:rsid w:val="00193B91"/>
    <w:rsid w:val="001E4DDF"/>
    <w:rsid w:val="00213DE5"/>
    <w:rsid w:val="0025334D"/>
    <w:rsid w:val="00295D09"/>
    <w:rsid w:val="002A6662"/>
    <w:rsid w:val="002A7E44"/>
    <w:rsid w:val="002B2528"/>
    <w:rsid w:val="002B2DBA"/>
    <w:rsid w:val="002B56BC"/>
    <w:rsid w:val="002C6C70"/>
    <w:rsid w:val="00305608"/>
    <w:rsid w:val="00376FC3"/>
    <w:rsid w:val="00393DB8"/>
    <w:rsid w:val="003B4D86"/>
    <w:rsid w:val="003E6545"/>
    <w:rsid w:val="003F6918"/>
    <w:rsid w:val="00442A45"/>
    <w:rsid w:val="0047300B"/>
    <w:rsid w:val="004C3FFB"/>
    <w:rsid w:val="004D46BE"/>
    <w:rsid w:val="004D78BD"/>
    <w:rsid w:val="004E2385"/>
    <w:rsid w:val="005067E0"/>
    <w:rsid w:val="005443C8"/>
    <w:rsid w:val="0055472C"/>
    <w:rsid w:val="005640EC"/>
    <w:rsid w:val="00564AF1"/>
    <w:rsid w:val="005A1D81"/>
    <w:rsid w:val="005A2123"/>
    <w:rsid w:val="005B4556"/>
    <w:rsid w:val="005C2FE0"/>
    <w:rsid w:val="005C5D52"/>
    <w:rsid w:val="005D1BB1"/>
    <w:rsid w:val="005E7511"/>
    <w:rsid w:val="005E7BCF"/>
    <w:rsid w:val="006018B2"/>
    <w:rsid w:val="00605808"/>
    <w:rsid w:val="00606BBB"/>
    <w:rsid w:val="00625643"/>
    <w:rsid w:val="00640934"/>
    <w:rsid w:val="0066291D"/>
    <w:rsid w:val="00670108"/>
    <w:rsid w:val="006B63B1"/>
    <w:rsid w:val="006F1B0B"/>
    <w:rsid w:val="006F33DD"/>
    <w:rsid w:val="00752A89"/>
    <w:rsid w:val="00760F7E"/>
    <w:rsid w:val="007A00FE"/>
    <w:rsid w:val="007A6EBD"/>
    <w:rsid w:val="008151E2"/>
    <w:rsid w:val="00826C23"/>
    <w:rsid w:val="00846764"/>
    <w:rsid w:val="00875E83"/>
    <w:rsid w:val="008A599B"/>
    <w:rsid w:val="008B531C"/>
    <w:rsid w:val="008D1DE6"/>
    <w:rsid w:val="008D59AA"/>
    <w:rsid w:val="008E0326"/>
    <w:rsid w:val="008E516B"/>
    <w:rsid w:val="008F6293"/>
    <w:rsid w:val="00907EFB"/>
    <w:rsid w:val="00914DE1"/>
    <w:rsid w:val="00916E48"/>
    <w:rsid w:val="00921E9B"/>
    <w:rsid w:val="00943A6F"/>
    <w:rsid w:val="00947096"/>
    <w:rsid w:val="0097028A"/>
    <w:rsid w:val="009A402E"/>
    <w:rsid w:val="009C3238"/>
    <w:rsid w:val="009D4D17"/>
    <w:rsid w:val="009D6F4C"/>
    <w:rsid w:val="009E2C4F"/>
    <w:rsid w:val="009E635E"/>
    <w:rsid w:val="00A266C2"/>
    <w:rsid w:val="00A5001D"/>
    <w:rsid w:val="00A56CA6"/>
    <w:rsid w:val="00A96B5D"/>
    <w:rsid w:val="00AB4737"/>
    <w:rsid w:val="00AF7919"/>
    <w:rsid w:val="00B042C2"/>
    <w:rsid w:val="00B1758B"/>
    <w:rsid w:val="00B2682F"/>
    <w:rsid w:val="00B44291"/>
    <w:rsid w:val="00B6370B"/>
    <w:rsid w:val="00B737B9"/>
    <w:rsid w:val="00BA372F"/>
    <w:rsid w:val="00BA38F3"/>
    <w:rsid w:val="00BB68BA"/>
    <w:rsid w:val="00BE2653"/>
    <w:rsid w:val="00BE6EDA"/>
    <w:rsid w:val="00BF2F32"/>
    <w:rsid w:val="00C0418F"/>
    <w:rsid w:val="00C748D5"/>
    <w:rsid w:val="00C81908"/>
    <w:rsid w:val="00C9487E"/>
    <w:rsid w:val="00CA26B5"/>
    <w:rsid w:val="00CA66E5"/>
    <w:rsid w:val="00CC0C5E"/>
    <w:rsid w:val="00CC2F69"/>
    <w:rsid w:val="00CD1C33"/>
    <w:rsid w:val="00D01724"/>
    <w:rsid w:val="00D20715"/>
    <w:rsid w:val="00D20AAF"/>
    <w:rsid w:val="00D4289E"/>
    <w:rsid w:val="00D45B6F"/>
    <w:rsid w:val="00D56D09"/>
    <w:rsid w:val="00D75992"/>
    <w:rsid w:val="00D83026"/>
    <w:rsid w:val="00D93BEB"/>
    <w:rsid w:val="00DA3C49"/>
    <w:rsid w:val="00DE239F"/>
    <w:rsid w:val="00DF46CF"/>
    <w:rsid w:val="00E6092D"/>
    <w:rsid w:val="00E80223"/>
    <w:rsid w:val="00E825AA"/>
    <w:rsid w:val="00ED4FC1"/>
    <w:rsid w:val="00ED64B2"/>
    <w:rsid w:val="00EE5008"/>
    <w:rsid w:val="00EE621B"/>
    <w:rsid w:val="00F036B4"/>
    <w:rsid w:val="00F33183"/>
    <w:rsid w:val="00F3413C"/>
    <w:rsid w:val="00F640C5"/>
    <w:rsid w:val="00FB57AD"/>
    <w:rsid w:val="00FB6F60"/>
    <w:rsid w:val="00FB7960"/>
    <w:rsid w:val="00FC460C"/>
    <w:rsid w:val="00FC5D3F"/>
    <w:rsid w:val="00FD5A75"/>
    <w:rsid w:val="00FE326D"/>
    <w:rsid w:val="00FE789F"/>
    <w:rsid w:val="00FF55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DD527"/>
  <w15:chartTrackingRefBased/>
  <w15:docId w15:val="{5D3B2D78-CADD-451E-AF93-8F5B28F65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20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20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20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20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20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20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20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20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20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20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20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20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20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20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20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20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20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2033"/>
    <w:rPr>
      <w:rFonts w:eastAsiaTheme="majorEastAsia" w:cstheme="majorBidi"/>
      <w:color w:val="272727" w:themeColor="text1" w:themeTint="D8"/>
    </w:rPr>
  </w:style>
  <w:style w:type="paragraph" w:styleId="Title">
    <w:name w:val="Title"/>
    <w:basedOn w:val="Normal"/>
    <w:next w:val="Normal"/>
    <w:link w:val="TitleChar"/>
    <w:uiPriority w:val="10"/>
    <w:qFormat/>
    <w:rsid w:val="001520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20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20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20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2033"/>
    <w:pPr>
      <w:spacing w:before="160"/>
      <w:jc w:val="center"/>
    </w:pPr>
    <w:rPr>
      <w:i/>
      <w:iCs/>
      <w:color w:val="404040" w:themeColor="text1" w:themeTint="BF"/>
    </w:rPr>
  </w:style>
  <w:style w:type="character" w:customStyle="1" w:styleId="QuoteChar">
    <w:name w:val="Quote Char"/>
    <w:basedOn w:val="DefaultParagraphFont"/>
    <w:link w:val="Quote"/>
    <w:uiPriority w:val="29"/>
    <w:rsid w:val="00152033"/>
    <w:rPr>
      <w:i/>
      <w:iCs/>
      <w:color w:val="404040" w:themeColor="text1" w:themeTint="BF"/>
    </w:rPr>
  </w:style>
  <w:style w:type="paragraph" w:styleId="ListParagraph">
    <w:name w:val="List Paragraph"/>
    <w:basedOn w:val="Normal"/>
    <w:uiPriority w:val="34"/>
    <w:qFormat/>
    <w:rsid w:val="00152033"/>
    <w:pPr>
      <w:ind w:left="720"/>
      <w:contextualSpacing/>
    </w:pPr>
  </w:style>
  <w:style w:type="character" w:styleId="IntenseEmphasis">
    <w:name w:val="Intense Emphasis"/>
    <w:basedOn w:val="DefaultParagraphFont"/>
    <w:uiPriority w:val="21"/>
    <w:qFormat/>
    <w:rsid w:val="00152033"/>
    <w:rPr>
      <w:i/>
      <w:iCs/>
      <w:color w:val="0F4761" w:themeColor="accent1" w:themeShade="BF"/>
    </w:rPr>
  </w:style>
  <w:style w:type="paragraph" w:styleId="IntenseQuote">
    <w:name w:val="Intense Quote"/>
    <w:basedOn w:val="Normal"/>
    <w:next w:val="Normal"/>
    <w:link w:val="IntenseQuoteChar"/>
    <w:uiPriority w:val="30"/>
    <w:qFormat/>
    <w:rsid w:val="001520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2033"/>
    <w:rPr>
      <w:i/>
      <w:iCs/>
      <w:color w:val="0F4761" w:themeColor="accent1" w:themeShade="BF"/>
    </w:rPr>
  </w:style>
  <w:style w:type="character" w:styleId="IntenseReference">
    <w:name w:val="Intense Reference"/>
    <w:basedOn w:val="DefaultParagraphFont"/>
    <w:uiPriority w:val="32"/>
    <w:qFormat/>
    <w:rsid w:val="00152033"/>
    <w:rPr>
      <w:b/>
      <w:bCs/>
      <w:smallCaps/>
      <w:color w:val="0F4761" w:themeColor="accent1" w:themeShade="BF"/>
      <w:spacing w:val="5"/>
    </w:rPr>
  </w:style>
  <w:style w:type="character" w:styleId="Hyperlink">
    <w:name w:val="Hyperlink"/>
    <w:basedOn w:val="DefaultParagraphFont"/>
    <w:uiPriority w:val="99"/>
    <w:unhideWhenUsed/>
    <w:rsid w:val="003B4D86"/>
    <w:rPr>
      <w:color w:val="467886" w:themeColor="hyperlink"/>
      <w:u w:val="single"/>
    </w:rPr>
  </w:style>
  <w:style w:type="character" w:styleId="UnresolvedMention">
    <w:name w:val="Unresolved Mention"/>
    <w:basedOn w:val="DefaultParagraphFont"/>
    <w:uiPriority w:val="99"/>
    <w:semiHidden/>
    <w:unhideWhenUsed/>
    <w:rsid w:val="003B4D86"/>
    <w:rPr>
      <w:color w:val="605E5C"/>
      <w:shd w:val="clear" w:color="auto" w:fill="E1DFDD"/>
    </w:rPr>
  </w:style>
  <w:style w:type="paragraph" w:styleId="NormalWeb">
    <w:name w:val="Normal (Web)"/>
    <w:basedOn w:val="Normal"/>
    <w:uiPriority w:val="99"/>
    <w:semiHidden/>
    <w:unhideWhenUsed/>
    <w:rsid w:val="00CD1C3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570851">
      <w:bodyDiv w:val="1"/>
      <w:marLeft w:val="0"/>
      <w:marRight w:val="0"/>
      <w:marTop w:val="0"/>
      <w:marBottom w:val="0"/>
      <w:divBdr>
        <w:top w:val="none" w:sz="0" w:space="0" w:color="auto"/>
        <w:left w:val="none" w:sz="0" w:space="0" w:color="auto"/>
        <w:bottom w:val="none" w:sz="0" w:space="0" w:color="auto"/>
        <w:right w:val="none" w:sz="0" w:space="0" w:color="auto"/>
      </w:divBdr>
    </w:div>
    <w:div w:id="87510548">
      <w:bodyDiv w:val="1"/>
      <w:marLeft w:val="0"/>
      <w:marRight w:val="0"/>
      <w:marTop w:val="0"/>
      <w:marBottom w:val="0"/>
      <w:divBdr>
        <w:top w:val="none" w:sz="0" w:space="0" w:color="auto"/>
        <w:left w:val="none" w:sz="0" w:space="0" w:color="auto"/>
        <w:bottom w:val="none" w:sz="0" w:space="0" w:color="auto"/>
        <w:right w:val="none" w:sz="0" w:space="0" w:color="auto"/>
      </w:divBdr>
    </w:div>
    <w:div w:id="135221822">
      <w:bodyDiv w:val="1"/>
      <w:marLeft w:val="0"/>
      <w:marRight w:val="0"/>
      <w:marTop w:val="0"/>
      <w:marBottom w:val="0"/>
      <w:divBdr>
        <w:top w:val="none" w:sz="0" w:space="0" w:color="auto"/>
        <w:left w:val="none" w:sz="0" w:space="0" w:color="auto"/>
        <w:bottom w:val="none" w:sz="0" w:space="0" w:color="auto"/>
        <w:right w:val="none" w:sz="0" w:space="0" w:color="auto"/>
      </w:divBdr>
    </w:div>
    <w:div w:id="146019037">
      <w:bodyDiv w:val="1"/>
      <w:marLeft w:val="0"/>
      <w:marRight w:val="0"/>
      <w:marTop w:val="0"/>
      <w:marBottom w:val="0"/>
      <w:divBdr>
        <w:top w:val="none" w:sz="0" w:space="0" w:color="auto"/>
        <w:left w:val="none" w:sz="0" w:space="0" w:color="auto"/>
        <w:bottom w:val="none" w:sz="0" w:space="0" w:color="auto"/>
        <w:right w:val="none" w:sz="0" w:space="0" w:color="auto"/>
      </w:divBdr>
    </w:div>
    <w:div w:id="151608333">
      <w:bodyDiv w:val="1"/>
      <w:marLeft w:val="0"/>
      <w:marRight w:val="0"/>
      <w:marTop w:val="0"/>
      <w:marBottom w:val="0"/>
      <w:divBdr>
        <w:top w:val="none" w:sz="0" w:space="0" w:color="auto"/>
        <w:left w:val="none" w:sz="0" w:space="0" w:color="auto"/>
        <w:bottom w:val="none" w:sz="0" w:space="0" w:color="auto"/>
        <w:right w:val="none" w:sz="0" w:space="0" w:color="auto"/>
      </w:divBdr>
    </w:div>
    <w:div w:id="170797901">
      <w:bodyDiv w:val="1"/>
      <w:marLeft w:val="0"/>
      <w:marRight w:val="0"/>
      <w:marTop w:val="0"/>
      <w:marBottom w:val="0"/>
      <w:divBdr>
        <w:top w:val="none" w:sz="0" w:space="0" w:color="auto"/>
        <w:left w:val="none" w:sz="0" w:space="0" w:color="auto"/>
        <w:bottom w:val="none" w:sz="0" w:space="0" w:color="auto"/>
        <w:right w:val="none" w:sz="0" w:space="0" w:color="auto"/>
      </w:divBdr>
    </w:div>
    <w:div w:id="337737250">
      <w:bodyDiv w:val="1"/>
      <w:marLeft w:val="0"/>
      <w:marRight w:val="0"/>
      <w:marTop w:val="0"/>
      <w:marBottom w:val="0"/>
      <w:divBdr>
        <w:top w:val="none" w:sz="0" w:space="0" w:color="auto"/>
        <w:left w:val="none" w:sz="0" w:space="0" w:color="auto"/>
        <w:bottom w:val="none" w:sz="0" w:space="0" w:color="auto"/>
        <w:right w:val="none" w:sz="0" w:space="0" w:color="auto"/>
      </w:divBdr>
    </w:div>
    <w:div w:id="349532547">
      <w:bodyDiv w:val="1"/>
      <w:marLeft w:val="0"/>
      <w:marRight w:val="0"/>
      <w:marTop w:val="0"/>
      <w:marBottom w:val="0"/>
      <w:divBdr>
        <w:top w:val="none" w:sz="0" w:space="0" w:color="auto"/>
        <w:left w:val="none" w:sz="0" w:space="0" w:color="auto"/>
        <w:bottom w:val="none" w:sz="0" w:space="0" w:color="auto"/>
        <w:right w:val="none" w:sz="0" w:space="0" w:color="auto"/>
      </w:divBdr>
    </w:div>
    <w:div w:id="469903118">
      <w:bodyDiv w:val="1"/>
      <w:marLeft w:val="0"/>
      <w:marRight w:val="0"/>
      <w:marTop w:val="0"/>
      <w:marBottom w:val="0"/>
      <w:divBdr>
        <w:top w:val="none" w:sz="0" w:space="0" w:color="auto"/>
        <w:left w:val="none" w:sz="0" w:space="0" w:color="auto"/>
        <w:bottom w:val="none" w:sz="0" w:space="0" w:color="auto"/>
        <w:right w:val="none" w:sz="0" w:space="0" w:color="auto"/>
      </w:divBdr>
    </w:div>
    <w:div w:id="475536414">
      <w:bodyDiv w:val="1"/>
      <w:marLeft w:val="0"/>
      <w:marRight w:val="0"/>
      <w:marTop w:val="0"/>
      <w:marBottom w:val="0"/>
      <w:divBdr>
        <w:top w:val="none" w:sz="0" w:space="0" w:color="auto"/>
        <w:left w:val="none" w:sz="0" w:space="0" w:color="auto"/>
        <w:bottom w:val="none" w:sz="0" w:space="0" w:color="auto"/>
        <w:right w:val="none" w:sz="0" w:space="0" w:color="auto"/>
      </w:divBdr>
    </w:div>
    <w:div w:id="566840796">
      <w:bodyDiv w:val="1"/>
      <w:marLeft w:val="0"/>
      <w:marRight w:val="0"/>
      <w:marTop w:val="0"/>
      <w:marBottom w:val="0"/>
      <w:divBdr>
        <w:top w:val="none" w:sz="0" w:space="0" w:color="auto"/>
        <w:left w:val="none" w:sz="0" w:space="0" w:color="auto"/>
        <w:bottom w:val="none" w:sz="0" w:space="0" w:color="auto"/>
        <w:right w:val="none" w:sz="0" w:space="0" w:color="auto"/>
      </w:divBdr>
    </w:div>
    <w:div w:id="574586225">
      <w:bodyDiv w:val="1"/>
      <w:marLeft w:val="0"/>
      <w:marRight w:val="0"/>
      <w:marTop w:val="0"/>
      <w:marBottom w:val="0"/>
      <w:divBdr>
        <w:top w:val="none" w:sz="0" w:space="0" w:color="auto"/>
        <w:left w:val="none" w:sz="0" w:space="0" w:color="auto"/>
        <w:bottom w:val="none" w:sz="0" w:space="0" w:color="auto"/>
        <w:right w:val="none" w:sz="0" w:space="0" w:color="auto"/>
      </w:divBdr>
    </w:div>
    <w:div w:id="587275921">
      <w:bodyDiv w:val="1"/>
      <w:marLeft w:val="0"/>
      <w:marRight w:val="0"/>
      <w:marTop w:val="0"/>
      <w:marBottom w:val="0"/>
      <w:divBdr>
        <w:top w:val="none" w:sz="0" w:space="0" w:color="auto"/>
        <w:left w:val="none" w:sz="0" w:space="0" w:color="auto"/>
        <w:bottom w:val="none" w:sz="0" w:space="0" w:color="auto"/>
        <w:right w:val="none" w:sz="0" w:space="0" w:color="auto"/>
      </w:divBdr>
    </w:div>
    <w:div w:id="587276867">
      <w:bodyDiv w:val="1"/>
      <w:marLeft w:val="0"/>
      <w:marRight w:val="0"/>
      <w:marTop w:val="0"/>
      <w:marBottom w:val="0"/>
      <w:divBdr>
        <w:top w:val="none" w:sz="0" w:space="0" w:color="auto"/>
        <w:left w:val="none" w:sz="0" w:space="0" w:color="auto"/>
        <w:bottom w:val="none" w:sz="0" w:space="0" w:color="auto"/>
        <w:right w:val="none" w:sz="0" w:space="0" w:color="auto"/>
      </w:divBdr>
    </w:div>
    <w:div w:id="721714660">
      <w:bodyDiv w:val="1"/>
      <w:marLeft w:val="0"/>
      <w:marRight w:val="0"/>
      <w:marTop w:val="0"/>
      <w:marBottom w:val="0"/>
      <w:divBdr>
        <w:top w:val="none" w:sz="0" w:space="0" w:color="auto"/>
        <w:left w:val="none" w:sz="0" w:space="0" w:color="auto"/>
        <w:bottom w:val="none" w:sz="0" w:space="0" w:color="auto"/>
        <w:right w:val="none" w:sz="0" w:space="0" w:color="auto"/>
      </w:divBdr>
    </w:div>
    <w:div w:id="769082802">
      <w:bodyDiv w:val="1"/>
      <w:marLeft w:val="0"/>
      <w:marRight w:val="0"/>
      <w:marTop w:val="0"/>
      <w:marBottom w:val="0"/>
      <w:divBdr>
        <w:top w:val="none" w:sz="0" w:space="0" w:color="auto"/>
        <w:left w:val="none" w:sz="0" w:space="0" w:color="auto"/>
        <w:bottom w:val="none" w:sz="0" w:space="0" w:color="auto"/>
        <w:right w:val="none" w:sz="0" w:space="0" w:color="auto"/>
      </w:divBdr>
    </w:div>
    <w:div w:id="791510281">
      <w:bodyDiv w:val="1"/>
      <w:marLeft w:val="0"/>
      <w:marRight w:val="0"/>
      <w:marTop w:val="0"/>
      <w:marBottom w:val="0"/>
      <w:divBdr>
        <w:top w:val="none" w:sz="0" w:space="0" w:color="auto"/>
        <w:left w:val="none" w:sz="0" w:space="0" w:color="auto"/>
        <w:bottom w:val="none" w:sz="0" w:space="0" w:color="auto"/>
        <w:right w:val="none" w:sz="0" w:space="0" w:color="auto"/>
      </w:divBdr>
    </w:div>
    <w:div w:id="828713579">
      <w:bodyDiv w:val="1"/>
      <w:marLeft w:val="0"/>
      <w:marRight w:val="0"/>
      <w:marTop w:val="0"/>
      <w:marBottom w:val="0"/>
      <w:divBdr>
        <w:top w:val="none" w:sz="0" w:space="0" w:color="auto"/>
        <w:left w:val="none" w:sz="0" w:space="0" w:color="auto"/>
        <w:bottom w:val="none" w:sz="0" w:space="0" w:color="auto"/>
        <w:right w:val="none" w:sz="0" w:space="0" w:color="auto"/>
      </w:divBdr>
    </w:div>
    <w:div w:id="909583056">
      <w:bodyDiv w:val="1"/>
      <w:marLeft w:val="0"/>
      <w:marRight w:val="0"/>
      <w:marTop w:val="0"/>
      <w:marBottom w:val="0"/>
      <w:divBdr>
        <w:top w:val="none" w:sz="0" w:space="0" w:color="auto"/>
        <w:left w:val="none" w:sz="0" w:space="0" w:color="auto"/>
        <w:bottom w:val="none" w:sz="0" w:space="0" w:color="auto"/>
        <w:right w:val="none" w:sz="0" w:space="0" w:color="auto"/>
      </w:divBdr>
    </w:div>
    <w:div w:id="967315626">
      <w:bodyDiv w:val="1"/>
      <w:marLeft w:val="0"/>
      <w:marRight w:val="0"/>
      <w:marTop w:val="0"/>
      <w:marBottom w:val="0"/>
      <w:divBdr>
        <w:top w:val="none" w:sz="0" w:space="0" w:color="auto"/>
        <w:left w:val="none" w:sz="0" w:space="0" w:color="auto"/>
        <w:bottom w:val="none" w:sz="0" w:space="0" w:color="auto"/>
        <w:right w:val="none" w:sz="0" w:space="0" w:color="auto"/>
      </w:divBdr>
    </w:div>
    <w:div w:id="990982745">
      <w:bodyDiv w:val="1"/>
      <w:marLeft w:val="0"/>
      <w:marRight w:val="0"/>
      <w:marTop w:val="0"/>
      <w:marBottom w:val="0"/>
      <w:divBdr>
        <w:top w:val="none" w:sz="0" w:space="0" w:color="auto"/>
        <w:left w:val="none" w:sz="0" w:space="0" w:color="auto"/>
        <w:bottom w:val="none" w:sz="0" w:space="0" w:color="auto"/>
        <w:right w:val="none" w:sz="0" w:space="0" w:color="auto"/>
      </w:divBdr>
    </w:div>
    <w:div w:id="1116603318">
      <w:bodyDiv w:val="1"/>
      <w:marLeft w:val="0"/>
      <w:marRight w:val="0"/>
      <w:marTop w:val="0"/>
      <w:marBottom w:val="0"/>
      <w:divBdr>
        <w:top w:val="none" w:sz="0" w:space="0" w:color="auto"/>
        <w:left w:val="none" w:sz="0" w:space="0" w:color="auto"/>
        <w:bottom w:val="none" w:sz="0" w:space="0" w:color="auto"/>
        <w:right w:val="none" w:sz="0" w:space="0" w:color="auto"/>
      </w:divBdr>
    </w:div>
    <w:div w:id="1154880219">
      <w:bodyDiv w:val="1"/>
      <w:marLeft w:val="0"/>
      <w:marRight w:val="0"/>
      <w:marTop w:val="0"/>
      <w:marBottom w:val="0"/>
      <w:divBdr>
        <w:top w:val="none" w:sz="0" w:space="0" w:color="auto"/>
        <w:left w:val="none" w:sz="0" w:space="0" w:color="auto"/>
        <w:bottom w:val="none" w:sz="0" w:space="0" w:color="auto"/>
        <w:right w:val="none" w:sz="0" w:space="0" w:color="auto"/>
      </w:divBdr>
    </w:div>
    <w:div w:id="1232932780">
      <w:bodyDiv w:val="1"/>
      <w:marLeft w:val="0"/>
      <w:marRight w:val="0"/>
      <w:marTop w:val="0"/>
      <w:marBottom w:val="0"/>
      <w:divBdr>
        <w:top w:val="none" w:sz="0" w:space="0" w:color="auto"/>
        <w:left w:val="none" w:sz="0" w:space="0" w:color="auto"/>
        <w:bottom w:val="none" w:sz="0" w:space="0" w:color="auto"/>
        <w:right w:val="none" w:sz="0" w:space="0" w:color="auto"/>
      </w:divBdr>
    </w:div>
    <w:div w:id="1241909841">
      <w:bodyDiv w:val="1"/>
      <w:marLeft w:val="0"/>
      <w:marRight w:val="0"/>
      <w:marTop w:val="0"/>
      <w:marBottom w:val="0"/>
      <w:divBdr>
        <w:top w:val="none" w:sz="0" w:space="0" w:color="auto"/>
        <w:left w:val="none" w:sz="0" w:space="0" w:color="auto"/>
        <w:bottom w:val="none" w:sz="0" w:space="0" w:color="auto"/>
        <w:right w:val="none" w:sz="0" w:space="0" w:color="auto"/>
      </w:divBdr>
    </w:div>
    <w:div w:id="1293055612">
      <w:bodyDiv w:val="1"/>
      <w:marLeft w:val="0"/>
      <w:marRight w:val="0"/>
      <w:marTop w:val="0"/>
      <w:marBottom w:val="0"/>
      <w:divBdr>
        <w:top w:val="none" w:sz="0" w:space="0" w:color="auto"/>
        <w:left w:val="none" w:sz="0" w:space="0" w:color="auto"/>
        <w:bottom w:val="none" w:sz="0" w:space="0" w:color="auto"/>
        <w:right w:val="none" w:sz="0" w:space="0" w:color="auto"/>
      </w:divBdr>
      <w:divsChild>
        <w:div w:id="1869902871">
          <w:marLeft w:val="0"/>
          <w:marRight w:val="0"/>
          <w:marTop w:val="0"/>
          <w:marBottom w:val="0"/>
          <w:divBdr>
            <w:top w:val="none" w:sz="0" w:space="0" w:color="auto"/>
            <w:left w:val="none" w:sz="0" w:space="0" w:color="auto"/>
            <w:bottom w:val="none" w:sz="0" w:space="0" w:color="auto"/>
            <w:right w:val="none" w:sz="0" w:space="0" w:color="auto"/>
          </w:divBdr>
          <w:divsChild>
            <w:div w:id="1333413719">
              <w:marLeft w:val="0"/>
              <w:marRight w:val="0"/>
              <w:marTop w:val="0"/>
              <w:marBottom w:val="0"/>
              <w:divBdr>
                <w:top w:val="none" w:sz="0" w:space="0" w:color="auto"/>
                <w:left w:val="none" w:sz="0" w:space="0" w:color="auto"/>
                <w:bottom w:val="none" w:sz="0" w:space="0" w:color="auto"/>
                <w:right w:val="none" w:sz="0" w:space="0" w:color="auto"/>
              </w:divBdr>
            </w:div>
            <w:div w:id="1895386968">
              <w:marLeft w:val="0"/>
              <w:marRight w:val="0"/>
              <w:marTop w:val="0"/>
              <w:marBottom w:val="0"/>
              <w:divBdr>
                <w:top w:val="none" w:sz="0" w:space="0" w:color="auto"/>
                <w:left w:val="none" w:sz="0" w:space="0" w:color="auto"/>
                <w:bottom w:val="none" w:sz="0" w:space="0" w:color="auto"/>
                <w:right w:val="none" w:sz="0" w:space="0" w:color="auto"/>
              </w:divBdr>
            </w:div>
          </w:divsChild>
        </w:div>
        <w:div w:id="1301351200">
          <w:marLeft w:val="0"/>
          <w:marRight w:val="0"/>
          <w:marTop w:val="0"/>
          <w:marBottom w:val="0"/>
          <w:divBdr>
            <w:top w:val="none" w:sz="0" w:space="0" w:color="auto"/>
            <w:left w:val="none" w:sz="0" w:space="0" w:color="auto"/>
            <w:bottom w:val="none" w:sz="0" w:space="0" w:color="auto"/>
            <w:right w:val="none" w:sz="0" w:space="0" w:color="auto"/>
          </w:divBdr>
        </w:div>
        <w:div w:id="1188104074">
          <w:marLeft w:val="0"/>
          <w:marRight w:val="0"/>
          <w:marTop w:val="0"/>
          <w:marBottom w:val="0"/>
          <w:divBdr>
            <w:top w:val="none" w:sz="0" w:space="0" w:color="auto"/>
            <w:left w:val="none" w:sz="0" w:space="0" w:color="auto"/>
            <w:bottom w:val="none" w:sz="0" w:space="0" w:color="auto"/>
            <w:right w:val="none" w:sz="0" w:space="0" w:color="auto"/>
          </w:divBdr>
        </w:div>
        <w:div w:id="830565778">
          <w:marLeft w:val="0"/>
          <w:marRight w:val="0"/>
          <w:marTop w:val="0"/>
          <w:marBottom w:val="0"/>
          <w:divBdr>
            <w:top w:val="none" w:sz="0" w:space="0" w:color="auto"/>
            <w:left w:val="none" w:sz="0" w:space="0" w:color="auto"/>
            <w:bottom w:val="none" w:sz="0" w:space="0" w:color="auto"/>
            <w:right w:val="none" w:sz="0" w:space="0" w:color="auto"/>
          </w:divBdr>
        </w:div>
        <w:div w:id="1797672938">
          <w:marLeft w:val="0"/>
          <w:marRight w:val="0"/>
          <w:marTop w:val="0"/>
          <w:marBottom w:val="0"/>
          <w:divBdr>
            <w:top w:val="none" w:sz="0" w:space="0" w:color="auto"/>
            <w:left w:val="none" w:sz="0" w:space="0" w:color="auto"/>
            <w:bottom w:val="none" w:sz="0" w:space="0" w:color="auto"/>
            <w:right w:val="none" w:sz="0" w:space="0" w:color="auto"/>
          </w:divBdr>
          <w:divsChild>
            <w:div w:id="794786602">
              <w:marLeft w:val="0"/>
              <w:marRight w:val="0"/>
              <w:marTop w:val="0"/>
              <w:marBottom w:val="0"/>
              <w:divBdr>
                <w:top w:val="none" w:sz="0" w:space="0" w:color="auto"/>
                <w:left w:val="none" w:sz="0" w:space="0" w:color="auto"/>
                <w:bottom w:val="none" w:sz="0" w:space="0" w:color="auto"/>
                <w:right w:val="none" w:sz="0" w:space="0" w:color="auto"/>
              </w:divBdr>
            </w:div>
            <w:div w:id="354309005">
              <w:marLeft w:val="0"/>
              <w:marRight w:val="0"/>
              <w:marTop w:val="0"/>
              <w:marBottom w:val="0"/>
              <w:divBdr>
                <w:top w:val="none" w:sz="0" w:space="0" w:color="auto"/>
                <w:left w:val="none" w:sz="0" w:space="0" w:color="auto"/>
                <w:bottom w:val="none" w:sz="0" w:space="0" w:color="auto"/>
                <w:right w:val="none" w:sz="0" w:space="0" w:color="auto"/>
              </w:divBdr>
            </w:div>
          </w:divsChild>
        </w:div>
        <w:div w:id="1600530366">
          <w:marLeft w:val="0"/>
          <w:marRight w:val="0"/>
          <w:marTop w:val="0"/>
          <w:marBottom w:val="0"/>
          <w:divBdr>
            <w:top w:val="none" w:sz="0" w:space="0" w:color="auto"/>
            <w:left w:val="none" w:sz="0" w:space="0" w:color="auto"/>
            <w:bottom w:val="none" w:sz="0" w:space="0" w:color="auto"/>
            <w:right w:val="none" w:sz="0" w:space="0" w:color="auto"/>
          </w:divBdr>
        </w:div>
        <w:div w:id="925112788">
          <w:marLeft w:val="0"/>
          <w:marRight w:val="0"/>
          <w:marTop w:val="0"/>
          <w:marBottom w:val="0"/>
          <w:divBdr>
            <w:top w:val="none" w:sz="0" w:space="0" w:color="auto"/>
            <w:left w:val="none" w:sz="0" w:space="0" w:color="auto"/>
            <w:bottom w:val="none" w:sz="0" w:space="0" w:color="auto"/>
            <w:right w:val="none" w:sz="0" w:space="0" w:color="auto"/>
          </w:divBdr>
        </w:div>
        <w:div w:id="1789080791">
          <w:marLeft w:val="0"/>
          <w:marRight w:val="0"/>
          <w:marTop w:val="0"/>
          <w:marBottom w:val="0"/>
          <w:divBdr>
            <w:top w:val="none" w:sz="0" w:space="0" w:color="auto"/>
            <w:left w:val="none" w:sz="0" w:space="0" w:color="auto"/>
            <w:bottom w:val="none" w:sz="0" w:space="0" w:color="auto"/>
            <w:right w:val="none" w:sz="0" w:space="0" w:color="auto"/>
          </w:divBdr>
        </w:div>
        <w:div w:id="831987843">
          <w:marLeft w:val="0"/>
          <w:marRight w:val="0"/>
          <w:marTop w:val="0"/>
          <w:marBottom w:val="0"/>
          <w:divBdr>
            <w:top w:val="none" w:sz="0" w:space="0" w:color="auto"/>
            <w:left w:val="none" w:sz="0" w:space="0" w:color="auto"/>
            <w:bottom w:val="none" w:sz="0" w:space="0" w:color="auto"/>
            <w:right w:val="none" w:sz="0" w:space="0" w:color="auto"/>
          </w:divBdr>
        </w:div>
      </w:divsChild>
    </w:div>
    <w:div w:id="1325934509">
      <w:bodyDiv w:val="1"/>
      <w:marLeft w:val="0"/>
      <w:marRight w:val="0"/>
      <w:marTop w:val="0"/>
      <w:marBottom w:val="0"/>
      <w:divBdr>
        <w:top w:val="none" w:sz="0" w:space="0" w:color="auto"/>
        <w:left w:val="none" w:sz="0" w:space="0" w:color="auto"/>
        <w:bottom w:val="none" w:sz="0" w:space="0" w:color="auto"/>
        <w:right w:val="none" w:sz="0" w:space="0" w:color="auto"/>
      </w:divBdr>
    </w:div>
    <w:div w:id="1350789534">
      <w:bodyDiv w:val="1"/>
      <w:marLeft w:val="0"/>
      <w:marRight w:val="0"/>
      <w:marTop w:val="0"/>
      <w:marBottom w:val="0"/>
      <w:divBdr>
        <w:top w:val="none" w:sz="0" w:space="0" w:color="auto"/>
        <w:left w:val="none" w:sz="0" w:space="0" w:color="auto"/>
        <w:bottom w:val="none" w:sz="0" w:space="0" w:color="auto"/>
        <w:right w:val="none" w:sz="0" w:space="0" w:color="auto"/>
      </w:divBdr>
    </w:div>
    <w:div w:id="1365716583">
      <w:bodyDiv w:val="1"/>
      <w:marLeft w:val="0"/>
      <w:marRight w:val="0"/>
      <w:marTop w:val="0"/>
      <w:marBottom w:val="0"/>
      <w:divBdr>
        <w:top w:val="none" w:sz="0" w:space="0" w:color="auto"/>
        <w:left w:val="none" w:sz="0" w:space="0" w:color="auto"/>
        <w:bottom w:val="none" w:sz="0" w:space="0" w:color="auto"/>
        <w:right w:val="none" w:sz="0" w:space="0" w:color="auto"/>
      </w:divBdr>
    </w:div>
    <w:div w:id="1391074163">
      <w:bodyDiv w:val="1"/>
      <w:marLeft w:val="0"/>
      <w:marRight w:val="0"/>
      <w:marTop w:val="0"/>
      <w:marBottom w:val="0"/>
      <w:divBdr>
        <w:top w:val="none" w:sz="0" w:space="0" w:color="auto"/>
        <w:left w:val="none" w:sz="0" w:space="0" w:color="auto"/>
        <w:bottom w:val="none" w:sz="0" w:space="0" w:color="auto"/>
        <w:right w:val="none" w:sz="0" w:space="0" w:color="auto"/>
      </w:divBdr>
    </w:div>
    <w:div w:id="1438911885">
      <w:bodyDiv w:val="1"/>
      <w:marLeft w:val="0"/>
      <w:marRight w:val="0"/>
      <w:marTop w:val="0"/>
      <w:marBottom w:val="0"/>
      <w:divBdr>
        <w:top w:val="none" w:sz="0" w:space="0" w:color="auto"/>
        <w:left w:val="none" w:sz="0" w:space="0" w:color="auto"/>
        <w:bottom w:val="none" w:sz="0" w:space="0" w:color="auto"/>
        <w:right w:val="none" w:sz="0" w:space="0" w:color="auto"/>
      </w:divBdr>
      <w:divsChild>
        <w:div w:id="520095506">
          <w:marLeft w:val="0"/>
          <w:marRight w:val="0"/>
          <w:marTop w:val="0"/>
          <w:marBottom w:val="0"/>
          <w:divBdr>
            <w:top w:val="none" w:sz="0" w:space="0" w:color="auto"/>
            <w:left w:val="none" w:sz="0" w:space="0" w:color="auto"/>
            <w:bottom w:val="none" w:sz="0" w:space="0" w:color="auto"/>
            <w:right w:val="none" w:sz="0" w:space="0" w:color="auto"/>
          </w:divBdr>
          <w:divsChild>
            <w:div w:id="1452092269">
              <w:marLeft w:val="0"/>
              <w:marRight w:val="0"/>
              <w:marTop w:val="0"/>
              <w:marBottom w:val="0"/>
              <w:divBdr>
                <w:top w:val="none" w:sz="0" w:space="0" w:color="auto"/>
                <w:left w:val="none" w:sz="0" w:space="0" w:color="auto"/>
                <w:bottom w:val="none" w:sz="0" w:space="0" w:color="auto"/>
                <w:right w:val="none" w:sz="0" w:space="0" w:color="auto"/>
              </w:divBdr>
            </w:div>
            <w:div w:id="152764987">
              <w:marLeft w:val="0"/>
              <w:marRight w:val="0"/>
              <w:marTop w:val="0"/>
              <w:marBottom w:val="0"/>
              <w:divBdr>
                <w:top w:val="none" w:sz="0" w:space="0" w:color="auto"/>
                <w:left w:val="none" w:sz="0" w:space="0" w:color="auto"/>
                <w:bottom w:val="none" w:sz="0" w:space="0" w:color="auto"/>
                <w:right w:val="none" w:sz="0" w:space="0" w:color="auto"/>
              </w:divBdr>
            </w:div>
          </w:divsChild>
        </w:div>
        <w:div w:id="1263104232">
          <w:marLeft w:val="0"/>
          <w:marRight w:val="0"/>
          <w:marTop w:val="0"/>
          <w:marBottom w:val="0"/>
          <w:divBdr>
            <w:top w:val="none" w:sz="0" w:space="0" w:color="auto"/>
            <w:left w:val="none" w:sz="0" w:space="0" w:color="auto"/>
            <w:bottom w:val="none" w:sz="0" w:space="0" w:color="auto"/>
            <w:right w:val="none" w:sz="0" w:space="0" w:color="auto"/>
          </w:divBdr>
        </w:div>
        <w:div w:id="741872677">
          <w:marLeft w:val="0"/>
          <w:marRight w:val="0"/>
          <w:marTop w:val="0"/>
          <w:marBottom w:val="0"/>
          <w:divBdr>
            <w:top w:val="none" w:sz="0" w:space="0" w:color="auto"/>
            <w:left w:val="none" w:sz="0" w:space="0" w:color="auto"/>
            <w:bottom w:val="none" w:sz="0" w:space="0" w:color="auto"/>
            <w:right w:val="none" w:sz="0" w:space="0" w:color="auto"/>
          </w:divBdr>
        </w:div>
        <w:div w:id="1554271650">
          <w:marLeft w:val="0"/>
          <w:marRight w:val="0"/>
          <w:marTop w:val="0"/>
          <w:marBottom w:val="0"/>
          <w:divBdr>
            <w:top w:val="none" w:sz="0" w:space="0" w:color="auto"/>
            <w:left w:val="none" w:sz="0" w:space="0" w:color="auto"/>
            <w:bottom w:val="none" w:sz="0" w:space="0" w:color="auto"/>
            <w:right w:val="none" w:sz="0" w:space="0" w:color="auto"/>
          </w:divBdr>
        </w:div>
        <w:div w:id="2059087675">
          <w:marLeft w:val="0"/>
          <w:marRight w:val="0"/>
          <w:marTop w:val="0"/>
          <w:marBottom w:val="0"/>
          <w:divBdr>
            <w:top w:val="none" w:sz="0" w:space="0" w:color="auto"/>
            <w:left w:val="none" w:sz="0" w:space="0" w:color="auto"/>
            <w:bottom w:val="none" w:sz="0" w:space="0" w:color="auto"/>
            <w:right w:val="none" w:sz="0" w:space="0" w:color="auto"/>
          </w:divBdr>
          <w:divsChild>
            <w:div w:id="1732580890">
              <w:marLeft w:val="0"/>
              <w:marRight w:val="0"/>
              <w:marTop w:val="0"/>
              <w:marBottom w:val="0"/>
              <w:divBdr>
                <w:top w:val="none" w:sz="0" w:space="0" w:color="auto"/>
                <w:left w:val="none" w:sz="0" w:space="0" w:color="auto"/>
                <w:bottom w:val="none" w:sz="0" w:space="0" w:color="auto"/>
                <w:right w:val="none" w:sz="0" w:space="0" w:color="auto"/>
              </w:divBdr>
            </w:div>
            <w:div w:id="2072578185">
              <w:marLeft w:val="0"/>
              <w:marRight w:val="0"/>
              <w:marTop w:val="0"/>
              <w:marBottom w:val="0"/>
              <w:divBdr>
                <w:top w:val="none" w:sz="0" w:space="0" w:color="auto"/>
                <w:left w:val="none" w:sz="0" w:space="0" w:color="auto"/>
                <w:bottom w:val="none" w:sz="0" w:space="0" w:color="auto"/>
                <w:right w:val="none" w:sz="0" w:space="0" w:color="auto"/>
              </w:divBdr>
            </w:div>
          </w:divsChild>
        </w:div>
        <w:div w:id="109402748">
          <w:marLeft w:val="0"/>
          <w:marRight w:val="0"/>
          <w:marTop w:val="0"/>
          <w:marBottom w:val="0"/>
          <w:divBdr>
            <w:top w:val="none" w:sz="0" w:space="0" w:color="auto"/>
            <w:left w:val="none" w:sz="0" w:space="0" w:color="auto"/>
            <w:bottom w:val="none" w:sz="0" w:space="0" w:color="auto"/>
            <w:right w:val="none" w:sz="0" w:space="0" w:color="auto"/>
          </w:divBdr>
        </w:div>
        <w:div w:id="1738481287">
          <w:marLeft w:val="0"/>
          <w:marRight w:val="0"/>
          <w:marTop w:val="0"/>
          <w:marBottom w:val="0"/>
          <w:divBdr>
            <w:top w:val="none" w:sz="0" w:space="0" w:color="auto"/>
            <w:left w:val="none" w:sz="0" w:space="0" w:color="auto"/>
            <w:bottom w:val="none" w:sz="0" w:space="0" w:color="auto"/>
            <w:right w:val="none" w:sz="0" w:space="0" w:color="auto"/>
          </w:divBdr>
        </w:div>
        <w:div w:id="1145855540">
          <w:marLeft w:val="0"/>
          <w:marRight w:val="0"/>
          <w:marTop w:val="0"/>
          <w:marBottom w:val="0"/>
          <w:divBdr>
            <w:top w:val="none" w:sz="0" w:space="0" w:color="auto"/>
            <w:left w:val="none" w:sz="0" w:space="0" w:color="auto"/>
            <w:bottom w:val="none" w:sz="0" w:space="0" w:color="auto"/>
            <w:right w:val="none" w:sz="0" w:space="0" w:color="auto"/>
          </w:divBdr>
        </w:div>
        <w:div w:id="241332794">
          <w:marLeft w:val="0"/>
          <w:marRight w:val="0"/>
          <w:marTop w:val="0"/>
          <w:marBottom w:val="0"/>
          <w:divBdr>
            <w:top w:val="none" w:sz="0" w:space="0" w:color="auto"/>
            <w:left w:val="none" w:sz="0" w:space="0" w:color="auto"/>
            <w:bottom w:val="none" w:sz="0" w:space="0" w:color="auto"/>
            <w:right w:val="none" w:sz="0" w:space="0" w:color="auto"/>
          </w:divBdr>
        </w:div>
      </w:divsChild>
    </w:div>
    <w:div w:id="1487548871">
      <w:bodyDiv w:val="1"/>
      <w:marLeft w:val="0"/>
      <w:marRight w:val="0"/>
      <w:marTop w:val="0"/>
      <w:marBottom w:val="0"/>
      <w:divBdr>
        <w:top w:val="none" w:sz="0" w:space="0" w:color="auto"/>
        <w:left w:val="none" w:sz="0" w:space="0" w:color="auto"/>
        <w:bottom w:val="none" w:sz="0" w:space="0" w:color="auto"/>
        <w:right w:val="none" w:sz="0" w:space="0" w:color="auto"/>
      </w:divBdr>
    </w:div>
    <w:div w:id="1490243059">
      <w:bodyDiv w:val="1"/>
      <w:marLeft w:val="0"/>
      <w:marRight w:val="0"/>
      <w:marTop w:val="0"/>
      <w:marBottom w:val="0"/>
      <w:divBdr>
        <w:top w:val="none" w:sz="0" w:space="0" w:color="auto"/>
        <w:left w:val="none" w:sz="0" w:space="0" w:color="auto"/>
        <w:bottom w:val="none" w:sz="0" w:space="0" w:color="auto"/>
        <w:right w:val="none" w:sz="0" w:space="0" w:color="auto"/>
      </w:divBdr>
    </w:div>
    <w:div w:id="1530992065">
      <w:bodyDiv w:val="1"/>
      <w:marLeft w:val="0"/>
      <w:marRight w:val="0"/>
      <w:marTop w:val="0"/>
      <w:marBottom w:val="0"/>
      <w:divBdr>
        <w:top w:val="none" w:sz="0" w:space="0" w:color="auto"/>
        <w:left w:val="none" w:sz="0" w:space="0" w:color="auto"/>
        <w:bottom w:val="none" w:sz="0" w:space="0" w:color="auto"/>
        <w:right w:val="none" w:sz="0" w:space="0" w:color="auto"/>
      </w:divBdr>
    </w:div>
    <w:div w:id="1669282281">
      <w:bodyDiv w:val="1"/>
      <w:marLeft w:val="0"/>
      <w:marRight w:val="0"/>
      <w:marTop w:val="0"/>
      <w:marBottom w:val="0"/>
      <w:divBdr>
        <w:top w:val="none" w:sz="0" w:space="0" w:color="auto"/>
        <w:left w:val="none" w:sz="0" w:space="0" w:color="auto"/>
        <w:bottom w:val="none" w:sz="0" w:space="0" w:color="auto"/>
        <w:right w:val="none" w:sz="0" w:space="0" w:color="auto"/>
      </w:divBdr>
    </w:div>
    <w:div w:id="1721594488">
      <w:bodyDiv w:val="1"/>
      <w:marLeft w:val="0"/>
      <w:marRight w:val="0"/>
      <w:marTop w:val="0"/>
      <w:marBottom w:val="0"/>
      <w:divBdr>
        <w:top w:val="none" w:sz="0" w:space="0" w:color="auto"/>
        <w:left w:val="none" w:sz="0" w:space="0" w:color="auto"/>
        <w:bottom w:val="none" w:sz="0" w:space="0" w:color="auto"/>
        <w:right w:val="none" w:sz="0" w:space="0" w:color="auto"/>
      </w:divBdr>
    </w:div>
    <w:div w:id="1745301635">
      <w:bodyDiv w:val="1"/>
      <w:marLeft w:val="0"/>
      <w:marRight w:val="0"/>
      <w:marTop w:val="0"/>
      <w:marBottom w:val="0"/>
      <w:divBdr>
        <w:top w:val="none" w:sz="0" w:space="0" w:color="auto"/>
        <w:left w:val="none" w:sz="0" w:space="0" w:color="auto"/>
        <w:bottom w:val="none" w:sz="0" w:space="0" w:color="auto"/>
        <w:right w:val="none" w:sz="0" w:space="0" w:color="auto"/>
      </w:divBdr>
    </w:div>
    <w:div w:id="1767194973">
      <w:bodyDiv w:val="1"/>
      <w:marLeft w:val="0"/>
      <w:marRight w:val="0"/>
      <w:marTop w:val="0"/>
      <w:marBottom w:val="0"/>
      <w:divBdr>
        <w:top w:val="none" w:sz="0" w:space="0" w:color="auto"/>
        <w:left w:val="none" w:sz="0" w:space="0" w:color="auto"/>
        <w:bottom w:val="none" w:sz="0" w:space="0" w:color="auto"/>
        <w:right w:val="none" w:sz="0" w:space="0" w:color="auto"/>
      </w:divBdr>
    </w:div>
    <w:div w:id="1877547845">
      <w:bodyDiv w:val="1"/>
      <w:marLeft w:val="0"/>
      <w:marRight w:val="0"/>
      <w:marTop w:val="0"/>
      <w:marBottom w:val="0"/>
      <w:divBdr>
        <w:top w:val="none" w:sz="0" w:space="0" w:color="auto"/>
        <w:left w:val="none" w:sz="0" w:space="0" w:color="auto"/>
        <w:bottom w:val="none" w:sz="0" w:space="0" w:color="auto"/>
        <w:right w:val="none" w:sz="0" w:space="0" w:color="auto"/>
      </w:divBdr>
    </w:div>
    <w:div w:id="1890261571">
      <w:bodyDiv w:val="1"/>
      <w:marLeft w:val="0"/>
      <w:marRight w:val="0"/>
      <w:marTop w:val="0"/>
      <w:marBottom w:val="0"/>
      <w:divBdr>
        <w:top w:val="none" w:sz="0" w:space="0" w:color="auto"/>
        <w:left w:val="none" w:sz="0" w:space="0" w:color="auto"/>
        <w:bottom w:val="none" w:sz="0" w:space="0" w:color="auto"/>
        <w:right w:val="none" w:sz="0" w:space="0" w:color="auto"/>
      </w:divBdr>
    </w:div>
    <w:div w:id="1915046207">
      <w:bodyDiv w:val="1"/>
      <w:marLeft w:val="0"/>
      <w:marRight w:val="0"/>
      <w:marTop w:val="0"/>
      <w:marBottom w:val="0"/>
      <w:divBdr>
        <w:top w:val="none" w:sz="0" w:space="0" w:color="auto"/>
        <w:left w:val="none" w:sz="0" w:space="0" w:color="auto"/>
        <w:bottom w:val="none" w:sz="0" w:space="0" w:color="auto"/>
        <w:right w:val="none" w:sz="0" w:space="0" w:color="auto"/>
      </w:divBdr>
    </w:div>
    <w:div w:id="1944804351">
      <w:bodyDiv w:val="1"/>
      <w:marLeft w:val="0"/>
      <w:marRight w:val="0"/>
      <w:marTop w:val="0"/>
      <w:marBottom w:val="0"/>
      <w:divBdr>
        <w:top w:val="none" w:sz="0" w:space="0" w:color="auto"/>
        <w:left w:val="none" w:sz="0" w:space="0" w:color="auto"/>
        <w:bottom w:val="none" w:sz="0" w:space="0" w:color="auto"/>
        <w:right w:val="none" w:sz="0" w:space="0" w:color="auto"/>
      </w:divBdr>
    </w:div>
    <w:div w:id="2056731940">
      <w:bodyDiv w:val="1"/>
      <w:marLeft w:val="0"/>
      <w:marRight w:val="0"/>
      <w:marTop w:val="0"/>
      <w:marBottom w:val="0"/>
      <w:divBdr>
        <w:top w:val="none" w:sz="0" w:space="0" w:color="auto"/>
        <w:left w:val="none" w:sz="0" w:space="0" w:color="auto"/>
        <w:bottom w:val="none" w:sz="0" w:space="0" w:color="auto"/>
        <w:right w:val="none" w:sz="0" w:space="0" w:color="auto"/>
      </w:divBdr>
    </w:div>
    <w:div w:id="2085031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police-officer-uplift-quarterly-update-to-march-2023/police-officer-uplift-england-and-wales-quarterly-update-to-31-march-2023" TargetMode="External"/><Relationship Id="rId13" Type="http://schemas.openxmlformats.org/officeDocument/2006/relationships/hyperlink" Target="https://psycnet.apa.org/doi/10.1300/J158v02n02_01" TargetMode="External"/><Relationship Id="rId18" Type="http://schemas.openxmlformats.org/officeDocument/2006/relationships/hyperlink" Target="https://papers.ssrn.com/sol3/papers.cfm?abstract_id=911240" TargetMode="External"/><Relationship Id="rId26" Type="http://schemas.openxmlformats.org/officeDocument/2006/relationships/hyperlink" Target="https://safeguardinghub.co.uk/county-lines-2019-update/" TargetMode="External"/><Relationship Id="rId3" Type="http://schemas.openxmlformats.org/officeDocument/2006/relationships/settings" Target="settings.xml"/><Relationship Id="rId21" Type="http://schemas.openxmlformats.org/officeDocument/2006/relationships/hyperlink" Target="https://irep.ntu.ac.uk/id/eprint/44335/1/1475824_O'Hagan.pdf" TargetMode="External"/><Relationship Id="rId7" Type="http://schemas.openxmlformats.org/officeDocument/2006/relationships/hyperlink" Target="https://www.taylorfrancis.com/books/mono/10.4324/9781003362722/joining-forces-nigel-fielding" TargetMode="External"/><Relationship Id="rId12" Type="http://schemas.openxmlformats.org/officeDocument/2006/relationships/hyperlink" Target="https://www.who.int/data/gho/data/themes/mental-health/suicide-rates" TargetMode="External"/><Relationship Id="rId17" Type="http://schemas.openxmlformats.org/officeDocument/2006/relationships/hyperlink" Target="https://doi.org/10.4324/9781315162591" TargetMode="External"/><Relationship Id="rId25" Type="http://schemas.openxmlformats.org/officeDocument/2006/relationships/hyperlink" Target="https://psycnet.apa.org/doi/10.1007/s11199-005-4196-6" TargetMode="External"/><Relationship Id="rId2" Type="http://schemas.openxmlformats.org/officeDocument/2006/relationships/styles" Target="styles.xml"/><Relationship Id="rId16" Type="http://schemas.openxmlformats.org/officeDocument/2006/relationships/hyperlink" Target="https://www.college.police.uk/career-learning/competency-and-values-framework" TargetMode="External"/><Relationship Id="rId20" Type="http://schemas.openxmlformats.org/officeDocument/2006/relationships/hyperlink" Target="https://www.legislation.gov.uk/ukpga/2015/9/section/45" TargetMode="External"/><Relationship Id="rId1" Type="http://schemas.openxmlformats.org/officeDocument/2006/relationships/numbering" Target="numbering.xml"/><Relationship Id="rId6" Type="http://schemas.openxmlformats.org/officeDocument/2006/relationships/hyperlink" Target="https://papers.ssrn.com/sol3/papers.cfm?abstract_id=2168702" TargetMode="External"/><Relationship Id="rId11" Type="http://schemas.openxmlformats.org/officeDocument/2006/relationships/hyperlink" Target="https://commonslibrary.parliament.uk/research-briefings/sn06988/" TargetMode="External"/><Relationship Id="rId24" Type="http://schemas.openxmlformats.org/officeDocument/2006/relationships/hyperlink" Target="https://journals.sagepub.com/doi/full/10.1177/1473225420902840" TargetMode="External"/><Relationship Id="rId5" Type="http://schemas.openxmlformats.org/officeDocument/2006/relationships/hyperlink" Target="https://assets-hmicfrs.justiceinspectorates.gov.uk/uploads/peel-police-legitimacy-2017-1.pdf" TargetMode="External"/><Relationship Id="rId15" Type="http://schemas.openxmlformats.org/officeDocument/2006/relationships/hyperlink" Target="https://www.college.police.uk/guidance/conducting-effective-investigations" TargetMode="External"/><Relationship Id="rId23" Type="http://schemas.openxmlformats.org/officeDocument/2006/relationships/hyperlink" Target="https://assets.publishing.service.gov.uk/media/5a7f8e3640f0b62305b87dbc/" TargetMode="External"/><Relationship Id="rId28" Type="http://schemas.openxmlformats.org/officeDocument/2006/relationships/theme" Target="theme/theme1.xml"/><Relationship Id="rId10" Type="http://schemas.openxmlformats.org/officeDocument/2006/relationships/hyperlink" Target="https://assets.college.police.uk/s3fs-public/2021-10/Diversity-equality-and-inclusion-strategy.pdf" TargetMode="External"/><Relationship Id="rId19" Type="http://schemas.openxmlformats.org/officeDocument/2006/relationships/hyperlink" Target="https://psycnet.apa.org/doi/10.1037/13085-014" TargetMode="External"/><Relationship Id="rId4" Type="http://schemas.openxmlformats.org/officeDocument/2006/relationships/webSettings" Target="webSettings.xml"/><Relationship Id="rId9" Type="http://schemas.openxmlformats.org/officeDocument/2006/relationships/hyperlink" Target="https://www.gov.uk/government/statistics/police-workforce-england-and-wales-31-march-2024/police-workforce-england-and-wales-31-march-2024" TargetMode="External"/><Relationship Id="rId14" Type="http://schemas.openxmlformats.org/officeDocument/2006/relationships/hyperlink" Target="https://www.gov.uk/government/publications/home-office-voluntary-report-on-disability-mental-health-and-wellbeing-2019/home-office-voluntary-reporting-on-disability-mental-health-and-wellbeing-april-2019-to-march-2020-accessible-version" TargetMode="External"/><Relationship Id="rId22" Type="http://schemas.openxmlformats.org/officeDocument/2006/relationships/hyperlink" Target="https://doi.org/10.4324/978020307813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17426</TotalTime>
  <Pages>14</Pages>
  <Words>6350</Words>
  <Characters>36200</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Parry,Joshua swp8634</dc:creator>
  <cp:keywords/>
  <dc:description/>
  <cp:lastModifiedBy>Parry,Joshua swp8634</cp:lastModifiedBy>
  <cp:revision>36</cp:revision>
  <dcterms:created xsi:type="dcterms:W3CDTF">2024-08-15T12:48:00Z</dcterms:created>
  <dcterms:modified xsi:type="dcterms:W3CDTF">2024-09-02T21:53:00Z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2024-08-15T14:40:46Z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75fdf0b4-aa23-4efd-86c7-57a3974d2394</vt:lpwstr>
  </property>
  <property fmtid="{D5CDD505-2E9C-101B-9397-08002B2CF9AE}" pid="8" name="MSIP_Label_66cf8fe5-b7b7-4df7-b38d-1c61ac2f6639_ContentBits">
    <vt:lpwstr>0</vt:lpwstr>
  </property>
</Properties>
</file>