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A58B8" w14:textId="77777777" w:rsidR="00135FFB" w:rsidRDefault="00135FFB" w:rsidP="00013636">
      <w:bookmarkStart w:id="0" w:name="_Hlk147143055"/>
    </w:p>
    <w:p w14:paraId="02F6289F" w14:textId="77777777" w:rsidR="00135FFB" w:rsidRDefault="00135FFB" w:rsidP="00135FFB">
      <w:pPr>
        <w:jc w:val="center"/>
        <w:rPr>
          <w:b/>
          <w:bCs/>
          <w:sz w:val="32"/>
          <w:szCs w:val="32"/>
        </w:rPr>
      </w:pPr>
    </w:p>
    <w:p w14:paraId="4A0A2AA5" w14:textId="77777777" w:rsidR="00135FFB" w:rsidRDefault="00135FFB" w:rsidP="00135FFB">
      <w:pPr>
        <w:jc w:val="center"/>
        <w:rPr>
          <w:b/>
          <w:bCs/>
          <w:sz w:val="32"/>
          <w:szCs w:val="32"/>
        </w:rPr>
      </w:pPr>
    </w:p>
    <w:p w14:paraId="2FC73D41" w14:textId="38810E30" w:rsidR="00135FFB" w:rsidRPr="00135FFB" w:rsidRDefault="00135FFB" w:rsidP="00135FFB">
      <w:pPr>
        <w:jc w:val="center"/>
        <w:rPr>
          <w:b/>
          <w:bCs/>
          <w:sz w:val="32"/>
          <w:szCs w:val="32"/>
        </w:rPr>
      </w:pPr>
      <w:r w:rsidRPr="00135FFB">
        <w:rPr>
          <w:b/>
          <w:bCs/>
          <w:sz w:val="32"/>
          <w:szCs w:val="32"/>
        </w:rPr>
        <w:t>Module Handbook Winter Term 2023</w:t>
      </w:r>
    </w:p>
    <w:p w14:paraId="0985AC9A" w14:textId="7E3FF9FF" w:rsidR="00135FFB" w:rsidRDefault="00135FFB" w:rsidP="00135FFB">
      <w:pPr>
        <w:jc w:val="center"/>
        <w:rPr>
          <w:b/>
          <w:bCs/>
          <w:sz w:val="32"/>
          <w:szCs w:val="32"/>
        </w:rPr>
      </w:pPr>
      <w:r w:rsidRPr="00135FFB">
        <w:rPr>
          <w:b/>
          <w:bCs/>
          <w:sz w:val="32"/>
          <w:szCs w:val="32"/>
        </w:rPr>
        <w:t>BMIH5007</w:t>
      </w:r>
    </w:p>
    <w:p w14:paraId="77669834" w14:textId="771D439D" w:rsidR="006D6627" w:rsidRDefault="006D6627" w:rsidP="00135FFB">
      <w:pPr>
        <w:jc w:val="center"/>
        <w:rPr>
          <w:b/>
          <w:bCs/>
          <w:sz w:val="32"/>
          <w:szCs w:val="32"/>
        </w:rPr>
      </w:pPr>
      <w:r>
        <w:rPr>
          <w:b/>
          <w:bCs/>
          <w:sz w:val="32"/>
          <w:szCs w:val="32"/>
        </w:rPr>
        <w:t>Alexandra Gheorghe</w:t>
      </w:r>
    </w:p>
    <w:p w14:paraId="38B7CBE1" w14:textId="76C9D0FB" w:rsidR="006D6627" w:rsidRPr="00135FFB" w:rsidRDefault="006D6627" w:rsidP="00135FFB">
      <w:pPr>
        <w:jc w:val="center"/>
        <w:rPr>
          <w:b/>
          <w:bCs/>
          <w:sz w:val="32"/>
          <w:szCs w:val="32"/>
        </w:rPr>
      </w:pPr>
      <w:r>
        <w:rPr>
          <w:b/>
          <w:bCs/>
          <w:sz w:val="32"/>
          <w:szCs w:val="32"/>
        </w:rPr>
        <w:t>2117801</w:t>
      </w:r>
      <w:bookmarkStart w:id="1" w:name="_GoBack"/>
      <w:bookmarkEnd w:id="1"/>
    </w:p>
    <w:p w14:paraId="683B3615" w14:textId="77777777" w:rsidR="00135FFB" w:rsidRPr="00135FFB" w:rsidRDefault="00135FFB" w:rsidP="00135FFB">
      <w:pPr>
        <w:jc w:val="center"/>
        <w:rPr>
          <w:b/>
          <w:bCs/>
          <w:sz w:val="32"/>
          <w:szCs w:val="32"/>
        </w:rPr>
      </w:pPr>
      <w:r w:rsidRPr="00135FFB">
        <w:rPr>
          <w:b/>
          <w:bCs/>
          <w:sz w:val="32"/>
          <w:szCs w:val="32"/>
        </w:rPr>
        <w:t>Financial Management for the Hotel Industry</w:t>
      </w:r>
    </w:p>
    <w:p w14:paraId="2D238ED7" w14:textId="4296AEED" w:rsidR="00135FFB" w:rsidRDefault="00135FFB" w:rsidP="00135FFB">
      <w:pPr>
        <w:jc w:val="center"/>
        <w:rPr>
          <w:b/>
          <w:bCs/>
          <w:sz w:val="32"/>
          <w:szCs w:val="32"/>
        </w:rPr>
      </w:pPr>
      <w:r w:rsidRPr="00135FFB">
        <w:rPr>
          <w:b/>
          <w:bCs/>
          <w:sz w:val="32"/>
          <w:szCs w:val="32"/>
        </w:rPr>
        <w:t>LEVEL 5</w:t>
      </w:r>
    </w:p>
    <w:p w14:paraId="375509EB" w14:textId="174BEF1C" w:rsidR="007A4913" w:rsidRPr="00135FFB" w:rsidRDefault="007A4913" w:rsidP="00135FFB">
      <w:pPr>
        <w:jc w:val="center"/>
        <w:rPr>
          <w:b/>
          <w:bCs/>
          <w:sz w:val="32"/>
          <w:szCs w:val="32"/>
        </w:rPr>
      </w:pPr>
      <w:r>
        <w:rPr>
          <w:b/>
          <w:bCs/>
          <w:sz w:val="32"/>
          <w:szCs w:val="32"/>
        </w:rPr>
        <w:t>Assessment 2</w:t>
      </w:r>
    </w:p>
    <w:p w14:paraId="4B13A066" w14:textId="77777777" w:rsidR="00135FFB" w:rsidRDefault="00135FFB" w:rsidP="00013636"/>
    <w:p w14:paraId="735D8171" w14:textId="77777777" w:rsidR="00135FFB" w:rsidRDefault="00135FFB" w:rsidP="00013636"/>
    <w:p w14:paraId="4353DD22" w14:textId="77777777" w:rsidR="00135FFB" w:rsidRDefault="00135FFB" w:rsidP="00013636"/>
    <w:p w14:paraId="468EE111" w14:textId="77777777" w:rsidR="00135FFB" w:rsidRDefault="00135FFB" w:rsidP="00013636"/>
    <w:p w14:paraId="77776041" w14:textId="77777777" w:rsidR="00135FFB" w:rsidRDefault="00135FFB" w:rsidP="00013636"/>
    <w:p w14:paraId="6133EB61" w14:textId="77777777" w:rsidR="00135FFB" w:rsidRDefault="00135FFB" w:rsidP="00013636"/>
    <w:p w14:paraId="0084249B" w14:textId="77777777" w:rsidR="00135FFB" w:rsidRDefault="00135FFB" w:rsidP="00013636"/>
    <w:p w14:paraId="1D24FFEE" w14:textId="77777777" w:rsidR="00135FFB" w:rsidRDefault="00135FFB" w:rsidP="00013636"/>
    <w:p w14:paraId="1F5DEC27" w14:textId="77777777" w:rsidR="00135FFB" w:rsidRDefault="00135FFB" w:rsidP="00013636"/>
    <w:p w14:paraId="3E4D4D4D" w14:textId="77777777" w:rsidR="00135FFB" w:rsidRDefault="00135FFB" w:rsidP="00013636"/>
    <w:p w14:paraId="02BFD82B" w14:textId="77777777" w:rsidR="00135FFB" w:rsidRDefault="00135FFB" w:rsidP="00013636"/>
    <w:p w14:paraId="3A81E66E" w14:textId="77777777" w:rsidR="00135FFB" w:rsidRDefault="00135FFB" w:rsidP="00013636"/>
    <w:p w14:paraId="40E69984" w14:textId="77777777" w:rsidR="00135FFB" w:rsidRDefault="00135FFB" w:rsidP="00013636"/>
    <w:p w14:paraId="26EC5292" w14:textId="77777777" w:rsidR="00135FFB" w:rsidRDefault="00135FFB" w:rsidP="00013636"/>
    <w:sdt>
      <w:sdtPr>
        <w:rPr>
          <w:rFonts w:ascii="Times New Roman" w:eastAsiaTheme="minorHAnsi" w:hAnsi="Times New Roman" w:cstheme="minorBidi"/>
          <w:color w:val="auto"/>
          <w:kern w:val="2"/>
          <w:sz w:val="24"/>
          <w:szCs w:val="22"/>
          <w14:ligatures w14:val="standardContextual"/>
        </w:rPr>
        <w:id w:val="-1534337779"/>
        <w:docPartObj>
          <w:docPartGallery w:val="Table of Contents"/>
          <w:docPartUnique/>
        </w:docPartObj>
      </w:sdtPr>
      <w:sdtEndPr>
        <w:rPr>
          <w:b/>
          <w:bCs/>
          <w:noProof/>
        </w:rPr>
      </w:sdtEndPr>
      <w:sdtContent>
        <w:p w14:paraId="064F5B6C" w14:textId="59FDC920" w:rsidR="009C7BC4" w:rsidRPr="007A4913" w:rsidRDefault="00BD41A0" w:rsidP="007A4913">
          <w:pPr>
            <w:pStyle w:val="TOCHeading"/>
            <w:ind w:firstLine="720"/>
            <w:rPr>
              <w:b/>
            </w:rPr>
          </w:pPr>
          <w:r w:rsidRPr="007A4913">
            <w:rPr>
              <w:b/>
            </w:rPr>
            <w:t xml:space="preserve">Table of </w:t>
          </w:r>
          <w:r w:rsidR="009C7BC4" w:rsidRPr="007A4913">
            <w:rPr>
              <w:b/>
            </w:rPr>
            <w:t>Content</w:t>
          </w:r>
        </w:p>
        <w:p w14:paraId="39D17039" w14:textId="77777777" w:rsidR="007A4913" w:rsidRDefault="009C7BC4">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47260244" w:history="1">
            <w:r w:rsidR="007A4913" w:rsidRPr="0069393B">
              <w:rPr>
                <w:rStyle w:val="Hyperlink"/>
                <w:noProof/>
              </w:rPr>
              <w:t>Case Study: The Seaview Resort</w:t>
            </w:r>
            <w:r w:rsidR="007A4913">
              <w:rPr>
                <w:noProof/>
                <w:webHidden/>
              </w:rPr>
              <w:tab/>
            </w:r>
            <w:r w:rsidR="007A4913">
              <w:rPr>
                <w:noProof/>
                <w:webHidden/>
              </w:rPr>
              <w:fldChar w:fldCharType="begin"/>
            </w:r>
            <w:r w:rsidR="007A4913">
              <w:rPr>
                <w:noProof/>
                <w:webHidden/>
              </w:rPr>
              <w:instrText xml:space="preserve"> PAGEREF _Toc147260244 \h </w:instrText>
            </w:r>
            <w:r w:rsidR="007A4913">
              <w:rPr>
                <w:noProof/>
                <w:webHidden/>
              </w:rPr>
            </w:r>
            <w:r w:rsidR="007A4913">
              <w:rPr>
                <w:noProof/>
                <w:webHidden/>
              </w:rPr>
              <w:fldChar w:fldCharType="separate"/>
            </w:r>
            <w:r w:rsidR="007A4913">
              <w:rPr>
                <w:noProof/>
                <w:webHidden/>
              </w:rPr>
              <w:t>3</w:t>
            </w:r>
            <w:r w:rsidR="007A4913">
              <w:rPr>
                <w:noProof/>
                <w:webHidden/>
              </w:rPr>
              <w:fldChar w:fldCharType="end"/>
            </w:r>
          </w:hyperlink>
        </w:p>
        <w:p w14:paraId="32CAFC58"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45" w:history="1">
            <w:r w:rsidR="007A4913" w:rsidRPr="0069393B">
              <w:rPr>
                <w:rStyle w:val="Hyperlink"/>
                <w:noProof/>
              </w:rPr>
              <w:t>Introduction</w:t>
            </w:r>
            <w:r w:rsidR="007A4913">
              <w:rPr>
                <w:noProof/>
                <w:webHidden/>
              </w:rPr>
              <w:tab/>
            </w:r>
            <w:r w:rsidR="007A4913">
              <w:rPr>
                <w:noProof/>
                <w:webHidden/>
              </w:rPr>
              <w:fldChar w:fldCharType="begin"/>
            </w:r>
            <w:r w:rsidR="007A4913">
              <w:rPr>
                <w:noProof/>
                <w:webHidden/>
              </w:rPr>
              <w:instrText xml:space="preserve"> PAGEREF _Toc147260245 \h </w:instrText>
            </w:r>
            <w:r w:rsidR="007A4913">
              <w:rPr>
                <w:noProof/>
                <w:webHidden/>
              </w:rPr>
            </w:r>
            <w:r w:rsidR="007A4913">
              <w:rPr>
                <w:noProof/>
                <w:webHidden/>
              </w:rPr>
              <w:fldChar w:fldCharType="separate"/>
            </w:r>
            <w:r w:rsidR="007A4913">
              <w:rPr>
                <w:noProof/>
                <w:webHidden/>
              </w:rPr>
              <w:t>3</w:t>
            </w:r>
            <w:r w:rsidR="007A4913">
              <w:rPr>
                <w:noProof/>
                <w:webHidden/>
              </w:rPr>
              <w:fldChar w:fldCharType="end"/>
            </w:r>
          </w:hyperlink>
        </w:p>
        <w:p w14:paraId="303F9A4E"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46" w:history="1">
            <w:r w:rsidR="007A4913" w:rsidRPr="0069393B">
              <w:rPr>
                <w:rStyle w:val="Hyperlink"/>
                <w:noProof/>
              </w:rPr>
              <w:t>Objective A: Analysis of The Seaview Resort’s financial performance over the past three financial years</w:t>
            </w:r>
            <w:r w:rsidR="007A4913">
              <w:rPr>
                <w:noProof/>
                <w:webHidden/>
              </w:rPr>
              <w:tab/>
            </w:r>
            <w:r w:rsidR="007A4913">
              <w:rPr>
                <w:noProof/>
                <w:webHidden/>
              </w:rPr>
              <w:fldChar w:fldCharType="begin"/>
            </w:r>
            <w:r w:rsidR="007A4913">
              <w:rPr>
                <w:noProof/>
                <w:webHidden/>
              </w:rPr>
              <w:instrText xml:space="preserve"> PAGEREF _Toc147260246 \h </w:instrText>
            </w:r>
            <w:r w:rsidR="007A4913">
              <w:rPr>
                <w:noProof/>
                <w:webHidden/>
              </w:rPr>
            </w:r>
            <w:r w:rsidR="007A4913">
              <w:rPr>
                <w:noProof/>
                <w:webHidden/>
              </w:rPr>
              <w:fldChar w:fldCharType="separate"/>
            </w:r>
            <w:r w:rsidR="007A4913">
              <w:rPr>
                <w:noProof/>
                <w:webHidden/>
              </w:rPr>
              <w:t>3</w:t>
            </w:r>
            <w:r w:rsidR="007A4913">
              <w:rPr>
                <w:noProof/>
                <w:webHidden/>
              </w:rPr>
              <w:fldChar w:fldCharType="end"/>
            </w:r>
          </w:hyperlink>
        </w:p>
        <w:p w14:paraId="130F701D"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47" w:history="1">
            <w:r w:rsidR="007A4913" w:rsidRPr="0069393B">
              <w:rPr>
                <w:rStyle w:val="Hyperlink"/>
                <w:noProof/>
              </w:rPr>
              <w:t>Objective 2: Identifying Reasons for Profit Decline</w:t>
            </w:r>
            <w:r w:rsidR="007A4913">
              <w:rPr>
                <w:noProof/>
                <w:webHidden/>
              </w:rPr>
              <w:tab/>
            </w:r>
            <w:r w:rsidR="007A4913">
              <w:rPr>
                <w:noProof/>
                <w:webHidden/>
              </w:rPr>
              <w:fldChar w:fldCharType="begin"/>
            </w:r>
            <w:r w:rsidR="007A4913">
              <w:rPr>
                <w:noProof/>
                <w:webHidden/>
              </w:rPr>
              <w:instrText xml:space="preserve"> PAGEREF _Toc147260247 \h </w:instrText>
            </w:r>
            <w:r w:rsidR="007A4913">
              <w:rPr>
                <w:noProof/>
                <w:webHidden/>
              </w:rPr>
            </w:r>
            <w:r w:rsidR="007A4913">
              <w:rPr>
                <w:noProof/>
                <w:webHidden/>
              </w:rPr>
              <w:fldChar w:fldCharType="separate"/>
            </w:r>
            <w:r w:rsidR="007A4913">
              <w:rPr>
                <w:noProof/>
                <w:webHidden/>
              </w:rPr>
              <w:t>6</w:t>
            </w:r>
            <w:r w:rsidR="007A4913">
              <w:rPr>
                <w:noProof/>
                <w:webHidden/>
              </w:rPr>
              <w:fldChar w:fldCharType="end"/>
            </w:r>
          </w:hyperlink>
        </w:p>
        <w:p w14:paraId="524CD0D7"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48" w:history="1">
            <w:r w:rsidR="007A4913" w:rsidRPr="0069393B">
              <w:rPr>
                <w:rStyle w:val="Hyperlink"/>
                <w:noProof/>
              </w:rPr>
              <w:t>Objective 3: Developing a Turnaround Strategy</w:t>
            </w:r>
            <w:r w:rsidR="007A4913">
              <w:rPr>
                <w:noProof/>
                <w:webHidden/>
              </w:rPr>
              <w:tab/>
            </w:r>
            <w:r w:rsidR="007A4913">
              <w:rPr>
                <w:noProof/>
                <w:webHidden/>
              </w:rPr>
              <w:fldChar w:fldCharType="begin"/>
            </w:r>
            <w:r w:rsidR="007A4913">
              <w:rPr>
                <w:noProof/>
                <w:webHidden/>
              </w:rPr>
              <w:instrText xml:space="preserve"> PAGEREF _Toc147260248 \h </w:instrText>
            </w:r>
            <w:r w:rsidR="007A4913">
              <w:rPr>
                <w:noProof/>
                <w:webHidden/>
              </w:rPr>
            </w:r>
            <w:r w:rsidR="007A4913">
              <w:rPr>
                <w:noProof/>
                <w:webHidden/>
              </w:rPr>
              <w:fldChar w:fldCharType="separate"/>
            </w:r>
            <w:r w:rsidR="007A4913">
              <w:rPr>
                <w:noProof/>
                <w:webHidden/>
              </w:rPr>
              <w:t>7</w:t>
            </w:r>
            <w:r w:rsidR="007A4913">
              <w:rPr>
                <w:noProof/>
                <w:webHidden/>
              </w:rPr>
              <w:fldChar w:fldCharType="end"/>
            </w:r>
          </w:hyperlink>
        </w:p>
        <w:p w14:paraId="67F4ACCF"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49" w:history="1">
            <w:r w:rsidR="007A4913" w:rsidRPr="0069393B">
              <w:rPr>
                <w:rStyle w:val="Hyperlink"/>
                <w:noProof/>
              </w:rPr>
              <w:t>Conclusion</w:t>
            </w:r>
            <w:r w:rsidR="007A4913">
              <w:rPr>
                <w:noProof/>
                <w:webHidden/>
              </w:rPr>
              <w:tab/>
            </w:r>
            <w:r w:rsidR="007A4913">
              <w:rPr>
                <w:noProof/>
                <w:webHidden/>
              </w:rPr>
              <w:fldChar w:fldCharType="begin"/>
            </w:r>
            <w:r w:rsidR="007A4913">
              <w:rPr>
                <w:noProof/>
                <w:webHidden/>
              </w:rPr>
              <w:instrText xml:space="preserve"> PAGEREF _Toc147260249 \h </w:instrText>
            </w:r>
            <w:r w:rsidR="007A4913">
              <w:rPr>
                <w:noProof/>
                <w:webHidden/>
              </w:rPr>
            </w:r>
            <w:r w:rsidR="007A4913">
              <w:rPr>
                <w:noProof/>
                <w:webHidden/>
              </w:rPr>
              <w:fldChar w:fldCharType="separate"/>
            </w:r>
            <w:r w:rsidR="007A4913">
              <w:rPr>
                <w:noProof/>
                <w:webHidden/>
              </w:rPr>
              <w:t>8</w:t>
            </w:r>
            <w:r w:rsidR="007A4913">
              <w:rPr>
                <w:noProof/>
                <w:webHidden/>
              </w:rPr>
              <w:fldChar w:fldCharType="end"/>
            </w:r>
          </w:hyperlink>
        </w:p>
        <w:p w14:paraId="30965FD6" w14:textId="77777777" w:rsidR="007A4913" w:rsidRDefault="00AD4F1C">
          <w:pPr>
            <w:pStyle w:val="TOC1"/>
            <w:tabs>
              <w:tab w:val="right" w:leader="dot" w:pos="9350"/>
            </w:tabs>
            <w:rPr>
              <w:rFonts w:asciiTheme="minorHAnsi" w:eastAsiaTheme="minorEastAsia" w:hAnsiTheme="minorHAnsi"/>
              <w:noProof/>
              <w:kern w:val="0"/>
              <w:sz w:val="22"/>
              <w:lang w:val="en-US"/>
              <w14:ligatures w14:val="none"/>
            </w:rPr>
          </w:pPr>
          <w:hyperlink w:anchor="_Toc147260250" w:history="1">
            <w:r w:rsidR="007A4913" w:rsidRPr="0069393B">
              <w:rPr>
                <w:rStyle w:val="Hyperlink"/>
                <w:noProof/>
              </w:rPr>
              <w:t>References</w:t>
            </w:r>
            <w:r w:rsidR="007A4913">
              <w:rPr>
                <w:noProof/>
                <w:webHidden/>
              </w:rPr>
              <w:tab/>
            </w:r>
            <w:r w:rsidR="007A4913">
              <w:rPr>
                <w:noProof/>
                <w:webHidden/>
              </w:rPr>
              <w:fldChar w:fldCharType="begin"/>
            </w:r>
            <w:r w:rsidR="007A4913">
              <w:rPr>
                <w:noProof/>
                <w:webHidden/>
              </w:rPr>
              <w:instrText xml:space="preserve"> PAGEREF _Toc147260250 \h </w:instrText>
            </w:r>
            <w:r w:rsidR="007A4913">
              <w:rPr>
                <w:noProof/>
                <w:webHidden/>
              </w:rPr>
            </w:r>
            <w:r w:rsidR="007A4913">
              <w:rPr>
                <w:noProof/>
                <w:webHidden/>
              </w:rPr>
              <w:fldChar w:fldCharType="separate"/>
            </w:r>
            <w:r w:rsidR="007A4913">
              <w:rPr>
                <w:noProof/>
                <w:webHidden/>
              </w:rPr>
              <w:t>9</w:t>
            </w:r>
            <w:r w:rsidR="007A4913">
              <w:rPr>
                <w:noProof/>
                <w:webHidden/>
              </w:rPr>
              <w:fldChar w:fldCharType="end"/>
            </w:r>
          </w:hyperlink>
        </w:p>
        <w:p w14:paraId="2D72E9FE" w14:textId="2CC8D306" w:rsidR="009C7BC4" w:rsidRDefault="009C7BC4">
          <w:r>
            <w:rPr>
              <w:b/>
              <w:bCs/>
              <w:noProof/>
            </w:rPr>
            <w:fldChar w:fldCharType="end"/>
          </w:r>
        </w:p>
      </w:sdtContent>
    </w:sdt>
    <w:p w14:paraId="64A70BF8" w14:textId="77777777" w:rsidR="009C7BC4" w:rsidRDefault="009C7BC4" w:rsidP="00686D35">
      <w:pPr>
        <w:pStyle w:val="Heading1"/>
        <w:jc w:val="center"/>
      </w:pPr>
    </w:p>
    <w:p w14:paraId="79536E23" w14:textId="77777777" w:rsidR="009C7BC4" w:rsidRDefault="009C7BC4" w:rsidP="00686D35">
      <w:pPr>
        <w:pStyle w:val="Heading1"/>
        <w:jc w:val="center"/>
      </w:pPr>
    </w:p>
    <w:p w14:paraId="131DA8B9" w14:textId="77777777" w:rsidR="009C7BC4" w:rsidRDefault="009C7BC4" w:rsidP="00686D35">
      <w:pPr>
        <w:pStyle w:val="Heading1"/>
        <w:jc w:val="center"/>
      </w:pPr>
    </w:p>
    <w:p w14:paraId="3B28ECFA" w14:textId="77777777" w:rsidR="009C7BC4" w:rsidRDefault="009C7BC4" w:rsidP="00686D35">
      <w:pPr>
        <w:pStyle w:val="Heading1"/>
        <w:jc w:val="center"/>
      </w:pPr>
    </w:p>
    <w:p w14:paraId="2EED20A0" w14:textId="77777777" w:rsidR="009C7BC4" w:rsidRDefault="009C7BC4" w:rsidP="00686D35">
      <w:pPr>
        <w:pStyle w:val="Heading1"/>
        <w:jc w:val="center"/>
      </w:pPr>
    </w:p>
    <w:p w14:paraId="3318116D" w14:textId="77777777" w:rsidR="009C7BC4" w:rsidRDefault="009C7BC4" w:rsidP="00686D35">
      <w:pPr>
        <w:pStyle w:val="Heading1"/>
        <w:jc w:val="center"/>
      </w:pPr>
    </w:p>
    <w:p w14:paraId="5B52044A" w14:textId="77777777" w:rsidR="009C7BC4" w:rsidRDefault="009C7BC4" w:rsidP="00686D35">
      <w:pPr>
        <w:pStyle w:val="Heading1"/>
        <w:jc w:val="center"/>
      </w:pPr>
    </w:p>
    <w:p w14:paraId="503328A3" w14:textId="77777777" w:rsidR="009C7BC4" w:rsidRDefault="009C7BC4" w:rsidP="002C2BA9">
      <w:pPr>
        <w:pStyle w:val="Heading1"/>
      </w:pPr>
    </w:p>
    <w:p w14:paraId="1825F2FA" w14:textId="77777777" w:rsidR="002C2BA9" w:rsidRDefault="002C2BA9" w:rsidP="002C2BA9"/>
    <w:p w14:paraId="02E70E15" w14:textId="77777777" w:rsidR="002C2BA9" w:rsidRDefault="002C2BA9" w:rsidP="002C2BA9"/>
    <w:p w14:paraId="7513E403" w14:textId="77777777" w:rsidR="002C2BA9" w:rsidRPr="002C2BA9" w:rsidRDefault="002C2BA9" w:rsidP="002C2BA9"/>
    <w:p w14:paraId="184B75EE" w14:textId="77777777" w:rsidR="009C7BC4" w:rsidRDefault="009C7BC4" w:rsidP="00686D35">
      <w:pPr>
        <w:pStyle w:val="Heading1"/>
        <w:jc w:val="center"/>
      </w:pPr>
    </w:p>
    <w:p w14:paraId="7213761F" w14:textId="77777777" w:rsidR="00C1099D" w:rsidRDefault="00C1099D" w:rsidP="00C1099D"/>
    <w:p w14:paraId="24E91532" w14:textId="77777777" w:rsidR="00C1099D" w:rsidRDefault="00C1099D" w:rsidP="00C1099D"/>
    <w:p w14:paraId="6FA7858F" w14:textId="77777777" w:rsidR="00C1099D" w:rsidRPr="00C1099D" w:rsidRDefault="00C1099D" w:rsidP="00C1099D"/>
    <w:p w14:paraId="08BBBA5C" w14:textId="1CDED45E" w:rsidR="00C1099D" w:rsidRPr="00C1099D" w:rsidRDefault="00C1099D" w:rsidP="00C1099D">
      <w:pPr>
        <w:pStyle w:val="Heading1"/>
        <w:jc w:val="center"/>
      </w:pPr>
      <w:bookmarkStart w:id="2" w:name="_Toc147260244"/>
      <w:r w:rsidRPr="00C1099D">
        <w:t>Case Study: The Seaview Resort</w:t>
      </w:r>
      <w:bookmarkEnd w:id="2"/>
    </w:p>
    <w:p w14:paraId="08AC3906" w14:textId="54E2A7F7" w:rsidR="00686D35" w:rsidRDefault="00C1099D" w:rsidP="007A4913">
      <w:pPr>
        <w:pStyle w:val="Heading1"/>
      </w:pPr>
      <w:bookmarkStart w:id="3" w:name="_Toc147260245"/>
      <w:r>
        <w:t>Introduction</w:t>
      </w:r>
      <w:bookmarkEnd w:id="3"/>
    </w:p>
    <w:bookmarkEnd w:id="0"/>
    <w:p w14:paraId="69300B05" w14:textId="0C83F28A" w:rsidR="00F8280F" w:rsidRDefault="00C1099D" w:rsidP="00013636">
      <w:r>
        <w:t>The S</w:t>
      </w:r>
      <w:r w:rsidR="00F8280F">
        <w:t>eaview Resort, once a thriving vacation destination, is now facing a critical juncture in its existence</w:t>
      </w:r>
      <w:r w:rsidR="005C0373">
        <w:t xml:space="preserve"> (ATUKALP, 2023)</w:t>
      </w:r>
      <w:r w:rsidR="00F8280F">
        <w:t xml:space="preserve">. </w:t>
      </w:r>
      <w:r w:rsidR="00AD42DB">
        <w:t>The o</w:t>
      </w:r>
      <w:r w:rsidR="00F8280F">
        <w:t xml:space="preserve">wner of the company, Mr. James Henderson, has given us the task of assessing the resort’s current situation and to formulate a comprehensive turnaround strategy. To achieve this, three primary objectives are required to be delved into: </w:t>
      </w:r>
    </w:p>
    <w:p w14:paraId="2910B366" w14:textId="77777777" w:rsidR="00F8280F" w:rsidRDefault="00F8280F" w:rsidP="00013636">
      <w:r>
        <w:t xml:space="preserve">a. </w:t>
      </w:r>
      <w:r w:rsidRPr="00F8280F">
        <w:t>Analysis</w:t>
      </w:r>
      <w:r>
        <w:t xml:space="preserve"> of The Seaview Resort’s financial performance over the past three financial years;</w:t>
      </w:r>
    </w:p>
    <w:p w14:paraId="16A46BF3" w14:textId="273CF17D" w:rsidR="00F8280F" w:rsidRDefault="00F8280F" w:rsidP="00013636">
      <w:r>
        <w:t>b. Identification of the key reasons behind the decline in profitability of The Seaview Resort;</w:t>
      </w:r>
    </w:p>
    <w:p w14:paraId="059446A0" w14:textId="3B06C690" w:rsidR="002C3749" w:rsidRDefault="00F8280F" w:rsidP="00013636">
      <w:r>
        <w:t xml:space="preserve">c. Development of a comprehensive turnaround strategy to revitalize the resort’s financial situation and restoration of its reputation as a premier vacation destination. </w:t>
      </w:r>
    </w:p>
    <w:p w14:paraId="0DFC5CAE" w14:textId="05B3B5E7" w:rsidR="00F8280F" w:rsidRDefault="00F8280F" w:rsidP="00F8280F">
      <w:pPr>
        <w:pStyle w:val="Heading1"/>
      </w:pPr>
      <w:bookmarkStart w:id="4" w:name="_Toc147260246"/>
      <w:r>
        <w:t xml:space="preserve">Objective A: </w:t>
      </w:r>
      <w:r w:rsidRPr="00F8280F">
        <w:t>Analysis of The Seaview Resort’s financial performance over</w:t>
      </w:r>
      <w:r>
        <w:t xml:space="preserve"> the past three financial years</w:t>
      </w:r>
      <w:bookmarkEnd w:id="4"/>
    </w:p>
    <w:p w14:paraId="5A561A1D" w14:textId="30172ABF" w:rsidR="00F8280F" w:rsidRDefault="00F8280F" w:rsidP="00F8280F">
      <w:r>
        <w:t>The financial performance of The Seaview Resort can be analysed by examining the three financial statements: Income Statement, Balance Sheet</w:t>
      </w:r>
      <w:r w:rsidR="00AD42DB">
        <w:t>,</w:t>
      </w:r>
      <w:r>
        <w:t xml:space="preserve"> and Cash Flow Statement</w:t>
      </w:r>
      <w:r w:rsidR="005C0373">
        <w:t xml:space="preserve"> (Bouten et al., 2019)</w:t>
      </w:r>
      <w:r>
        <w:t xml:space="preserve">. We are going to </w:t>
      </w:r>
      <w:r w:rsidRPr="00F8280F">
        <w:t>analyse</w:t>
      </w:r>
      <w:r>
        <w:t xml:space="preserve"> the financial statements of the last three years: 2020, 2021 and 2022. To gain an understanding of the </w:t>
      </w:r>
      <w:r w:rsidR="00AD42DB">
        <w:t>resort’s</w:t>
      </w:r>
      <w:r>
        <w:t xml:space="preserve"> financial trajectory, let’s first analyse its income statement from 2020 to 2022:</w:t>
      </w:r>
    </w:p>
    <w:tbl>
      <w:tblPr>
        <w:tblStyle w:val="GridTable4-Accent3"/>
        <w:tblW w:w="0" w:type="auto"/>
        <w:tblLook w:val="04A0" w:firstRow="1" w:lastRow="0" w:firstColumn="1" w:lastColumn="0" w:noHBand="0" w:noVBand="1"/>
      </w:tblPr>
      <w:tblGrid>
        <w:gridCol w:w="2337"/>
        <w:gridCol w:w="2337"/>
        <w:gridCol w:w="2338"/>
        <w:gridCol w:w="2338"/>
      </w:tblGrid>
      <w:tr w:rsidR="00F8280F" w14:paraId="443B16B7" w14:textId="77777777" w:rsidTr="00A017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bottom"/>
          </w:tcPr>
          <w:p w14:paraId="1DDA8D0F" w14:textId="541993CC" w:rsidR="00F8280F" w:rsidRDefault="00F8280F" w:rsidP="008A697B">
            <w:r>
              <w:t>Item</w:t>
            </w:r>
          </w:p>
        </w:tc>
        <w:tc>
          <w:tcPr>
            <w:tcW w:w="2337" w:type="dxa"/>
            <w:vAlign w:val="bottom"/>
          </w:tcPr>
          <w:p w14:paraId="646228C7" w14:textId="7447DB7D" w:rsidR="00F8280F" w:rsidRDefault="00F8280F" w:rsidP="008A697B">
            <w:pPr>
              <w:jc w:val="right"/>
              <w:cnfStyle w:val="100000000000" w:firstRow="1" w:lastRow="0" w:firstColumn="0" w:lastColumn="0" w:oddVBand="0" w:evenVBand="0" w:oddHBand="0" w:evenHBand="0" w:firstRowFirstColumn="0" w:firstRowLastColumn="0" w:lastRowFirstColumn="0" w:lastRowLastColumn="0"/>
            </w:pPr>
            <w:r>
              <w:t>2020</w:t>
            </w:r>
          </w:p>
        </w:tc>
        <w:tc>
          <w:tcPr>
            <w:tcW w:w="2338" w:type="dxa"/>
            <w:vAlign w:val="bottom"/>
          </w:tcPr>
          <w:p w14:paraId="24C33A34" w14:textId="03BC3736" w:rsidR="00F8280F" w:rsidRDefault="00F8280F" w:rsidP="008A697B">
            <w:pPr>
              <w:jc w:val="right"/>
              <w:cnfStyle w:val="100000000000" w:firstRow="1" w:lastRow="0" w:firstColumn="0" w:lastColumn="0" w:oddVBand="0" w:evenVBand="0" w:oddHBand="0" w:evenHBand="0" w:firstRowFirstColumn="0" w:firstRowLastColumn="0" w:lastRowFirstColumn="0" w:lastRowLastColumn="0"/>
            </w:pPr>
            <w:r>
              <w:t>2021</w:t>
            </w:r>
          </w:p>
        </w:tc>
        <w:tc>
          <w:tcPr>
            <w:tcW w:w="2338" w:type="dxa"/>
            <w:vAlign w:val="bottom"/>
          </w:tcPr>
          <w:p w14:paraId="709CA38C" w14:textId="669EBC33" w:rsidR="00F8280F" w:rsidRDefault="00F8280F" w:rsidP="008A697B">
            <w:pPr>
              <w:jc w:val="right"/>
              <w:cnfStyle w:val="100000000000" w:firstRow="1" w:lastRow="0" w:firstColumn="0" w:lastColumn="0" w:oddVBand="0" w:evenVBand="0" w:oddHBand="0" w:evenHBand="0" w:firstRowFirstColumn="0" w:firstRowLastColumn="0" w:lastRowFirstColumn="0" w:lastRowLastColumn="0"/>
            </w:pPr>
            <w:r>
              <w:t>2022</w:t>
            </w:r>
          </w:p>
        </w:tc>
      </w:tr>
      <w:tr w:rsidR="008A697B" w14:paraId="6B4157B4" w14:textId="77777777" w:rsidTr="00A01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bottom"/>
          </w:tcPr>
          <w:p w14:paraId="29E330D7" w14:textId="72A6E975" w:rsidR="008A697B" w:rsidRPr="00F8280F" w:rsidRDefault="008A697B" w:rsidP="008A697B">
            <w:pPr>
              <w:rPr>
                <w:b w:val="0"/>
              </w:rPr>
            </w:pPr>
            <w:r w:rsidRPr="00F8280F">
              <w:rPr>
                <w:b w:val="0"/>
              </w:rPr>
              <w:t>Total Revenue</w:t>
            </w:r>
          </w:p>
        </w:tc>
        <w:tc>
          <w:tcPr>
            <w:tcW w:w="2337" w:type="dxa"/>
          </w:tcPr>
          <w:p w14:paraId="0BD57117" w14:textId="023164D2" w:rsidR="008A697B" w:rsidRDefault="008A697B" w:rsidP="008A697B">
            <w:pPr>
              <w:jc w:val="right"/>
              <w:cnfStyle w:val="000000100000" w:firstRow="0" w:lastRow="0" w:firstColumn="0" w:lastColumn="0" w:oddVBand="0" w:evenVBand="0" w:oddHBand="1" w:evenHBand="0" w:firstRowFirstColumn="0" w:firstRowLastColumn="0" w:lastRowFirstColumn="0" w:lastRowLastColumn="0"/>
            </w:pPr>
            <w:r w:rsidRPr="000D37EA">
              <w:t xml:space="preserve"> £520,000.00 </w:t>
            </w:r>
          </w:p>
        </w:tc>
        <w:tc>
          <w:tcPr>
            <w:tcW w:w="2338" w:type="dxa"/>
          </w:tcPr>
          <w:p w14:paraId="16602FB0" w14:textId="53A39A58" w:rsidR="008A697B" w:rsidRDefault="008A697B" w:rsidP="008A697B">
            <w:pPr>
              <w:jc w:val="right"/>
              <w:cnfStyle w:val="000000100000" w:firstRow="0" w:lastRow="0" w:firstColumn="0" w:lastColumn="0" w:oddVBand="0" w:evenVBand="0" w:oddHBand="1" w:evenHBand="0" w:firstRowFirstColumn="0" w:firstRowLastColumn="0" w:lastRowFirstColumn="0" w:lastRowLastColumn="0"/>
            </w:pPr>
            <w:r w:rsidRPr="000D37EA">
              <w:t xml:space="preserve"> £480,000.00 </w:t>
            </w:r>
          </w:p>
        </w:tc>
        <w:tc>
          <w:tcPr>
            <w:tcW w:w="2338" w:type="dxa"/>
          </w:tcPr>
          <w:p w14:paraId="03122C7D" w14:textId="2AE0A897" w:rsidR="008A697B" w:rsidRDefault="008A697B" w:rsidP="008A697B">
            <w:pPr>
              <w:jc w:val="right"/>
              <w:cnfStyle w:val="000000100000" w:firstRow="0" w:lastRow="0" w:firstColumn="0" w:lastColumn="0" w:oddVBand="0" w:evenVBand="0" w:oddHBand="1" w:evenHBand="0" w:firstRowFirstColumn="0" w:firstRowLastColumn="0" w:lastRowFirstColumn="0" w:lastRowLastColumn="0"/>
            </w:pPr>
            <w:r w:rsidRPr="000D37EA">
              <w:t xml:space="preserve"> £430,000.00 </w:t>
            </w:r>
          </w:p>
        </w:tc>
      </w:tr>
      <w:tr w:rsidR="008A697B" w14:paraId="0E4233A3" w14:textId="77777777" w:rsidTr="00A017C0">
        <w:tc>
          <w:tcPr>
            <w:cnfStyle w:val="001000000000" w:firstRow="0" w:lastRow="0" w:firstColumn="1" w:lastColumn="0" w:oddVBand="0" w:evenVBand="0" w:oddHBand="0" w:evenHBand="0" w:firstRowFirstColumn="0" w:firstRowLastColumn="0" w:lastRowFirstColumn="0" w:lastRowLastColumn="0"/>
            <w:tcW w:w="2337" w:type="dxa"/>
            <w:vAlign w:val="bottom"/>
          </w:tcPr>
          <w:p w14:paraId="44CE793F" w14:textId="4DAEE377" w:rsidR="008A697B" w:rsidRPr="00F8280F" w:rsidRDefault="008A697B" w:rsidP="008A697B">
            <w:pPr>
              <w:rPr>
                <w:b w:val="0"/>
              </w:rPr>
            </w:pPr>
            <w:r w:rsidRPr="00F8280F">
              <w:rPr>
                <w:b w:val="0"/>
              </w:rPr>
              <w:t>Operating Expenses</w:t>
            </w:r>
          </w:p>
        </w:tc>
        <w:tc>
          <w:tcPr>
            <w:tcW w:w="2337" w:type="dxa"/>
          </w:tcPr>
          <w:p w14:paraId="400E432C" w14:textId="153A4A63" w:rsidR="008A697B" w:rsidRDefault="008A697B" w:rsidP="008A697B">
            <w:pPr>
              <w:jc w:val="right"/>
              <w:cnfStyle w:val="000000000000" w:firstRow="0" w:lastRow="0" w:firstColumn="0" w:lastColumn="0" w:oddVBand="0" w:evenVBand="0" w:oddHBand="0" w:evenHBand="0" w:firstRowFirstColumn="0" w:firstRowLastColumn="0" w:lastRowFirstColumn="0" w:lastRowLastColumn="0"/>
            </w:pPr>
            <w:r w:rsidRPr="000D37EA">
              <w:t xml:space="preserve"> £390,000.00 </w:t>
            </w:r>
          </w:p>
        </w:tc>
        <w:tc>
          <w:tcPr>
            <w:tcW w:w="2338" w:type="dxa"/>
          </w:tcPr>
          <w:p w14:paraId="7E33CE4A" w14:textId="77139A9A" w:rsidR="008A697B" w:rsidRDefault="008A697B" w:rsidP="008A697B">
            <w:pPr>
              <w:jc w:val="right"/>
              <w:cnfStyle w:val="000000000000" w:firstRow="0" w:lastRow="0" w:firstColumn="0" w:lastColumn="0" w:oddVBand="0" w:evenVBand="0" w:oddHBand="0" w:evenHBand="0" w:firstRowFirstColumn="0" w:firstRowLastColumn="0" w:lastRowFirstColumn="0" w:lastRowLastColumn="0"/>
            </w:pPr>
            <w:r w:rsidRPr="000D37EA">
              <w:t xml:space="preserve"> £400,000.00 </w:t>
            </w:r>
          </w:p>
        </w:tc>
        <w:tc>
          <w:tcPr>
            <w:tcW w:w="2338" w:type="dxa"/>
          </w:tcPr>
          <w:p w14:paraId="247DEEE3" w14:textId="302766F3" w:rsidR="008A697B" w:rsidRDefault="008A697B" w:rsidP="008A697B">
            <w:pPr>
              <w:jc w:val="right"/>
              <w:cnfStyle w:val="000000000000" w:firstRow="0" w:lastRow="0" w:firstColumn="0" w:lastColumn="0" w:oddVBand="0" w:evenVBand="0" w:oddHBand="0" w:evenHBand="0" w:firstRowFirstColumn="0" w:firstRowLastColumn="0" w:lastRowFirstColumn="0" w:lastRowLastColumn="0"/>
            </w:pPr>
            <w:r w:rsidRPr="000D37EA">
              <w:t xml:space="preserve"> £450,000.00 </w:t>
            </w:r>
          </w:p>
        </w:tc>
      </w:tr>
      <w:tr w:rsidR="008A697B" w14:paraId="13875616" w14:textId="77777777" w:rsidTr="00A01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bottom"/>
          </w:tcPr>
          <w:p w14:paraId="1CC3BE65" w14:textId="7D56F012" w:rsidR="008A697B" w:rsidRPr="00F8280F" w:rsidRDefault="008A697B" w:rsidP="008A697B">
            <w:r w:rsidRPr="00F8280F">
              <w:t>Gross Profit</w:t>
            </w:r>
          </w:p>
        </w:tc>
        <w:tc>
          <w:tcPr>
            <w:tcW w:w="2337" w:type="dxa"/>
          </w:tcPr>
          <w:p w14:paraId="1C6BFBCA" w14:textId="47A024DC" w:rsidR="008A697B" w:rsidRPr="008A697B" w:rsidRDefault="008A697B" w:rsidP="008A697B">
            <w:pPr>
              <w:jc w:val="right"/>
              <w:cnfStyle w:val="000000100000" w:firstRow="0" w:lastRow="0" w:firstColumn="0" w:lastColumn="0" w:oddVBand="0" w:evenVBand="0" w:oddHBand="1" w:evenHBand="0" w:firstRowFirstColumn="0" w:firstRowLastColumn="0" w:lastRowFirstColumn="0" w:lastRowLastColumn="0"/>
              <w:rPr>
                <w:b/>
              </w:rPr>
            </w:pPr>
            <w:r w:rsidRPr="008A697B">
              <w:rPr>
                <w:b/>
              </w:rPr>
              <w:t xml:space="preserve"> £130,000.00 </w:t>
            </w:r>
          </w:p>
        </w:tc>
        <w:tc>
          <w:tcPr>
            <w:tcW w:w="2338" w:type="dxa"/>
          </w:tcPr>
          <w:p w14:paraId="75A738B7" w14:textId="1BD1B3C1" w:rsidR="008A697B" w:rsidRPr="008A697B" w:rsidRDefault="008A697B" w:rsidP="008A697B">
            <w:pPr>
              <w:jc w:val="right"/>
              <w:cnfStyle w:val="000000100000" w:firstRow="0" w:lastRow="0" w:firstColumn="0" w:lastColumn="0" w:oddVBand="0" w:evenVBand="0" w:oddHBand="1" w:evenHBand="0" w:firstRowFirstColumn="0" w:firstRowLastColumn="0" w:lastRowFirstColumn="0" w:lastRowLastColumn="0"/>
              <w:rPr>
                <w:b/>
              </w:rPr>
            </w:pPr>
            <w:r w:rsidRPr="008A697B">
              <w:rPr>
                <w:b/>
              </w:rPr>
              <w:t xml:space="preserve"> £80,000.00 </w:t>
            </w:r>
          </w:p>
        </w:tc>
        <w:tc>
          <w:tcPr>
            <w:tcW w:w="2338" w:type="dxa"/>
          </w:tcPr>
          <w:p w14:paraId="2B37B77F" w14:textId="5FC7DC93" w:rsidR="008A697B" w:rsidRPr="008A697B" w:rsidRDefault="008A697B" w:rsidP="008A697B">
            <w:pPr>
              <w:jc w:val="right"/>
              <w:cnfStyle w:val="000000100000" w:firstRow="0" w:lastRow="0" w:firstColumn="0" w:lastColumn="0" w:oddVBand="0" w:evenVBand="0" w:oddHBand="1" w:evenHBand="0" w:firstRowFirstColumn="0" w:firstRowLastColumn="0" w:lastRowFirstColumn="0" w:lastRowLastColumn="0"/>
              <w:rPr>
                <w:b/>
              </w:rPr>
            </w:pPr>
            <w:r w:rsidRPr="008A697B">
              <w:rPr>
                <w:b/>
              </w:rPr>
              <w:t xml:space="preserve"> £80,000.00 </w:t>
            </w:r>
          </w:p>
        </w:tc>
      </w:tr>
      <w:tr w:rsidR="008A697B" w14:paraId="01209510" w14:textId="77777777" w:rsidTr="00A017C0">
        <w:tc>
          <w:tcPr>
            <w:cnfStyle w:val="001000000000" w:firstRow="0" w:lastRow="0" w:firstColumn="1" w:lastColumn="0" w:oddVBand="0" w:evenVBand="0" w:oddHBand="0" w:evenHBand="0" w:firstRowFirstColumn="0" w:firstRowLastColumn="0" w:lastRowFirstColumn="0" w:lastRowLastColumn="0"/>
            <w:tcW w:w="2337" w:type="dxa"/>
            <w:vAlign w:val="bottom"/>
          </w:tcPr>
          <w:p w14:paraId="49FE4064" w14:textId="4ACA3C18" w:rsidR="008A697B" w:rsidRPr="008A697B" w:rsidRDefault="008A697B" w:rsidP="008A697B">
            <w:r w:rsidRPr="008A697B">
              <w:t>Net Profit (Loss)</w:t>
            </w:r>
          </w:p>
        </w:tc>
        <w:tc>
          <w:tcPr>
            <w:tcW w:w="2337" w:type="dxa"/>
          </w:tcPr>
          <w:p w14:paraId="39F91139" w14:textId="0A378CEC" w:rsidR="008A697B" w:rsidRPr="008A697B" w:rsidRDefault="008A697B" w:rsidP="008A697B">
            <w:pPr>
              <w:jc w:val="right"/>
              <w:cnfStyle w:val="000000000000" w:firstRow="0" w:lastRow="0" w:firstColumn="0" w:lastColumn="0" w:oddVBand="0" w:evenVBand="0" w:oddHBand="0" w:evenHBand="0" w:firstRowFirstColumn="0" w:firstRowLastColumn="0" w:lastRowFirstColumn="0" w:lastRowLastColumn="0"/>
              <w:rPr>
                <w:b/>
              </w:rPr>
            </w:pPr>
            <w:r w:rsidRPr="008A697B">
              <w:rPr>
                <w:b/>
              </w:rPr>
              <w:t xml:space="preserve"> £78,000.00 </w:t>
            </w:r>
          </w:p>
        </w:tc>
        <w:tc>
          <w:tcPr>
            <w:tcW w:w="2338" w:type="dxa"/>
          </w:tcPr>
          <w:p w14:paraId="231689D5" w14:textId="1AB0BACA" w:rsidR="008A697B" w:rsidRPr="008A697B" w:rsidRDefault="008A697B" w:rsidP="008A697B">
            <w:pPr>
              <w:jc w:val="right"/>
              <w:cnfStyle w:val="000000000000" w:firstRow="0" w:lastRow="0" w:firstColumn="0" w:lastColumn="0" w:oddVBand="0" w:evenVBand="0" w:oddHBand="0" w:evenHBand="0" w:firstRowFirstColumn="0" w:firstRowLastColumn="0" w:lastRowFirstColumn="0" w:lastRowLastColumn="0"/>
              <w:rPr>
                <w:b/>
              </w:rPr>
            </w:pPr>
            <w:r w:rsidRPr="008A697B">
              <w:rPr>
                <w:b/>
              </w:rPr>
              <w:t xml:space="preserve"> £40,000.00 </w:t>
            </w:r>
          </w:p>
        </w:tc>
        <w:tc>
          <w:tcPr>
            <w:tcW w:w="2338" w:type="dxa"/>
          </w:tcPr>
          <w:p w14:paraId="32B266DA" w14:textId="1309396B" w:rsidR="008A697B" w:rsidRPr="008A697B" w:rsidRDefault="008A697B" w:rsidP="008A697B">
            <w:pPr>
              <w:jc w:val="right"/>
              <w:cnfStyle w:val="000000000000" w:firstRow="0" w:lastRow="0" w:firstColumn="0" w:lastColumn="0" w:oddVBand="0" w:evenVBand="0" w:oddHBand="0" w:evenHBand="0" w:firstRowFirstColumn="0" w:firstRowLastColumn="0" w:lastRowFirstColumn="0" w:lastRowLastColumn="0"/>
              <w:rPr>
                <w:b/>
              </w:rPr>
            </w:pPr>
            <w:r w:rsidRPr="008A697B">
              <w:rPr>
                <w:b/>
              </w:rPr>
              <w:t xml:space="preserve"> £17,500.00 </w:t>
            </w:r>
          </w:p>
        </w:tc>
      </w:tr>
      <w:tr w:rsidR="00F8280F" w14:paraId="3198D2C7" w14:textId="77777777" w:rsidTr="00A01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bottom"/>
          </w:tcPr>
          <w:p w14:paraId="73EC7FC5" w14:textId="72E7C723" w:rsidR="00F8280F" w:rsidRPr="008A697B" w:rsidRDefault="00F8280F" w:rsidP="008A697B">
            <w:pPr>
              <w:rPr>
                <w:b w:val="0"/>
              </w:rPr>
            </w:pPr>
            <w:r w:rsidRPr="008A697B">
              <w:rPr>
                <w:b w:val="0"/>
              </w:rPr>
              <w:t>Gross Profit Margin</w:t>
            </w:r>
          </w:p>
        </w:tc>
        <w:tc>
          <w:tcPr>
            <w:tcW w:w="2337" w:type="dxa"/>
            <w:vAlign w:val="bottom"/>
          </w:tcPr>
          <w:p w14:paraId="52EE8EB1" w14:textId="40CF8100" w:rsidR="00F8280F" w:rsidRPr="008A697B" w:rsidRDefault="00F8280F" w:rsidP="008A697B">
            <w:pPr>
              <w:jc w:val="right"/>
              <w:cnfStyle w:val="000000100000" w:firstRow="0" w:lastRow="0" w:firstColumn="0" w:lastColumn="0" w:oddVBand="0" w:evenVBand="0" w:oddHBand="1" w:evenHBand="0" w:firstRowFirstColumn="0" w:firstRowLastColumn="0" w:lastRowFirstColumn="0" w:lastRowLastColumn="0"/>
            </w:pPr>
            <w:r w:rsidRPr="008A697B">
              <w:t>25%</w:t>
            </w:r>
          </w:p>
        </w:tc>
        <w:tc>
          <w:tcPr>
            <w:tcW w:w="2338" w:type="dxa"/>
            <w:vAlign w:val="bottom"/>
          </w:tcPr>
          <w:p w14:paraId="24E50C52" w14:textId="7394BD6E" w:rsidR="00F8280F" w:rsidRPr="008A697B" w:rsidRDefault="00F8280F" w:rsidP="008A697B">
            <w:pPr>
              <w:jc w:val="right"/>
              <w:cnfStyle w:val="000000100000" w:firstRow="0" w:lastRow="0" w:firstColumn="0" w:lastColumn="0" w:oddVBand="0" w:evenVBand="0" w:oddHBand="1" w:evenHBand="0" w:firstRowFirstColumn="0" w:firstRowLastColumn="0" w:lastRowFirstColumn="0" w:lastRowLastColumn="0"/>
            </w:pPr>
            <w:r w:rsidRPr="008A697B">
              <w:t>17%</w:t>
            </w:r>
          </w:p>
        </w:tc>
        <w:tc>
          <w:tcPr>
            <w:tcW w:w="2338" w:type="dxa"/>
            <w:vAlign w:val="bottom"/>
          </w:tcPr>
          <w:p w14:paraId="02166E79" w14:textId="2C341C66" w:rsidR="00F8280F" w:rsidRPr="008A697B" w:rsidRDefault="00F8280F" w:rsidP="008A697B">
            <w:pPr>
              <w:jc w:val="right"/>
              <w:cnfStyle w:val="000000100000" w:firstRow="0" w:lastRow="0" w:firstColumn="0" w:lastColumn="0" w:oddVBand="0" w:evenVBand="0" w:oddHBand="1" w:evenHBand="0" w:firstRowFirstColumn="0" w:firstRowLastColumn="0" w:lastRowFirstColumn="0" w:lastRowLastColumn="0"/>
            </w:pPr>
            <w:r w:rsidRPr="008A697B">
              <w:t>19%</w:t>
            </w:r>
          </w:p>
        </w:tc>
      </w:tr>
      <w:tr w:rsidR="00F8280F" w14:paraId="1D5199D9" w14:textId="77777777" w:rsidTr="00A017C0">
        <w:tc>
          <w:tcPr>
            <w:cnfStyle w:val="001000000000" w:firstRow="0" w:lastRow="0" w:firstColumn="1" w:lastColumn="0" w:oddVBand="0" w:evenVBand="0" w:oddHBand="0" w:evenHBand="0" w:firstRowFirstColumn="0" w:firstRowLastColumn="0" w:lastRowFirstColumn="0" w:lastRowLastColumn="0"/>
            <w:tcW w:w="2337" w:type="dxa"/>
            <w:vAlign w:val="bottom"/>
          </w:tcPr>
          <w:p w14:paraId="4EDAE653" w14:textId="66323D35" w:rsidR="00F8280F" w:rsidRPr="00F8280F" w:rsidRDefault="00F8280F" w:rsidP="008A697B">
            <w:pPr>
              <w:rPr>
                <w:b w:val="0"/>
              </w:rPr>
            </w:pPr>
            <w:r w:rsidRPr="00F8280F">
              <w:rPr>
                <w:b w:val="0"/>
              </w:rPr>
              <w:lastRenderedPageBreak/>
              <w:t>Net Profit Margin</w:t>
            </w:r>
          </w:p>
        </w:tc>
        <w:tc>
          <w:tcPr>
            <w:tcW w:w="2337" w:type="dxa"/>
            <w:vAlign w:val="bottom"/>
          </w:tcPr>
          <w:p w14:paraId="3EC2DA51" w14:textId="30631763" w:rsidR="00F8280F" w:rsidRDefault="00F8280F" w:rsidP="008A697B">
            <w:pPr>
              <w:jc w:val="right"/>
              <w:cnfStyle w:val="000000000000" w:firstRow="0" w:lastRow="0" w:firstColumn="0" w:lastColumn="0" w:oddVBand="0" w:evenVBand="0" w:oddHBand="0" w:evenHBand="0" w:firstRowFirstColumn="0" w:firstRowLastColumn="0" w:lastRowFirstColumn="0" w:lastRowLastColumn="0"/>
            </w:pPr>
            <w:r>
              <w:t>15%</w:t>
            </w:r>
          </w:p>
        </w:tc>
        <w:tc>
          <w:tcPr>
            <w:tcW w:w="2338" w:type="dxa"/>
            <w:vAlign w:val="bottom"/>
          </w:tcPr>
          <w:p w14:paraId="543E18EF" w14:textId="6484F17A" w:rsidR="00F8280F" w:rsidRDefault="00F8280F" w:rsidP="008A697B">
            <w:pPr>
              <w:jc w:val="right"/>
              <w:cnfStyle w:val="000000000000" w:firstRow="0" w:lastRow="0" w:firstColumn="0" w:lastColumn="0" w:oddVBand="0" w:evenVBand="0" w:oddHBand="0" w:evenHBand="0" w:firstRowFirstColumn="0" w:firstRowLastColumn="0" w:lastRowFirstColumn="0" w:lastRowLastColumn="0"/>
            </w:pPr>
            <w:r>
              <w:t>8%</w:t>
            </w:r>
          </w:p>
        </w:tc>
        <w:tc>
          <w:tcPr>
            <w:tcW w:w="2338" w:type="dxa"/>
            <w:vAlign w:val="bottom"/>
          </w:tcPr>
          <w:p w14:paraId="6D4F7BE9" w14:textId="5B30BE38" w:rsidR="00F8280F" w:rsidRDefault="00F8280F" w:rsidP="008A697B">
            <w:pPr>
              <w:jc w:val="right"/>
              <w:cnfStyle w:val="000000000000" w:firstRow="0" w:lastRow="0" w:firstColumn="0" w:lastColumn="0" w:oddVBand="0" w:evenVBand="0" w:oddHBand="0" w:evenHBand="0" w:firstRowFirstColumn="0" w:firstRowLastColumn="0" w:lastRowFirstColumn="0" w:lastRowLastColumn="0"/>
            </w:pPr>
            <w:r>
              <w:t>4%</w:t>
            </w:r>
          </w:p>
        </w:tc>
      </w:tr>
    </w:tbl>
    <w:p w14:paraId="3CFAA6BC" w14:textId="77777777" w:rsidR="00F8280F" w:rsidRDefault="00F8280F" w:rsidP="00F8280F"/>
    <w:p w14:paraId="23E01593" w14:textId="77777777" w:rsidR="000D63A0" w:rsidRDefault="000D63A0" w:rsidP="00F8280F"/>
    <w:p w14:paraId="35C875CF" w14:textId="4E234EF3" w:rsidR="00F8280F" w:rsidRDefault="00F8280F" w:rsidP="00F8280F">
      <w:r>
        <w:t xml:space="preserve">We can draw several insights from </w:t>
      </w:r>
      <w:r w:rsidR="004864FC">
        <w:t xml:space="preserve">the Income Statement: </w:t>
      </w:r>
    </w:p>
    <w:p w14:paraId="274CF36C" w14:textId="42BBF23D" w:rsidR="004864FC" w:rsidRDefault="004864FC" w:rsidP="004864FC">
      <w:pPr>
        <w:pStyle w:val="ListParagraph"/>
        <w:numPr>
          <w:ilvl w:val="0"/>
          <w:numId w:val="2"/>
        </w:numPr>
      </w:pPr>
      <w:r w:rsidRPr="004864FC">
        <w:rPr>
          <w:b/>
        </w:rPr>
        <w:t>Declining Revenue:</w:t>
      </w:r>
      <w:r>
        <w:t xml:space="preserve"> The Seaview Resort has witnessed </w:t>
      </w:r>
      <w:r w:rsidR="00AD42DB">
        <w:t xml:space="preserve">a </w:t>
      </w:r>
      <w:r>
        <w:t>continuous decline in its total revenue over the last three years. This decline in revenue is likely indicative of the resort’s problem in attracting guests and maintain</w:t>
      </w:r>
      <w:r w:rsidR="00AD42DB">
        <w:t>ing</w:t>
      </w:r>
      <w:r>
        <w:t xml:space="preserve"> competitive level of pricing</w:t>
      </w:r>
      <w:r w:rsidR="005C0373">
        <w:t xml:space="preserve"> (Bragg, 2017)</w:t>
      </w:r>
      <w:r>
        <w:t xml:space="preserve">. </w:t>
      </w:r>
    </w:p>
    <w:p w14:paraId="011C0276" w14:textId="18058254" w:rsidR="004864FC" w:rsidRDefault="004864FC" w:rsidP="004864FC">
      <w:pPr>
        <w:pStyle w:val="ListParagraph"/>
        <w:numPr>
          <w:ilvl w:val="0"/>
          <w:numId w:val="2"/>
        </w:numPr>
      </w:pPr>
      <w:r>
        <w:rPr>
          <w:b/>
        </w:rPr>
        <w:t>Rising Operating Expenses:</w:t>
      </w:r>
      <w:r>
        <w:t xml:space="preserve"> Operating expenses </w:t>
      </w:r>
      <w:r w:rsidR="00AD42DB">
        <w:t>have</w:t>
      </w:r>
      <w:r>
        <w:t xml:space="preserve"> witnessed</w:t>
      </w:r>
      <w:r w:rsidR="00AD42DB">
        <w:t xml:space="preserve"> a</w:t>
      </w:r>
      <w:r>
        <w:t xml:space="preserve"> steady rise over the last three years. This can be indicative of several issues such as inefficiencies in cost management and </w:t>
      </w:r>
      <w:r w:rsidR="00AD42DB">
        <w:t xml:space="preserve">the </w:t>
      </w:r>
      <w:r>
        <w:t>contribution of diminishing profit margins</w:t>
      </w:r>
      <w:r w:rsidR="005C0373">
        <w:t xml:space="preserve"> (Gomes, 2021)</w:t>
      </w:r>
      <w:r>
        <w:t xml:space="preserve">. </w:t>
      </w:r>
    </w:p>
    <w:p w14:paraId="351D9974" w14:textId="14B66679" w:rsidR="00AD42DB" w:rsidRPr="00AD42DB" w:rsidRDefault="00AD42DB" w:rsidP="00AD42DB">
      <w:pPr>
        <w:pStyle w:val="ListParagraph"/>
        <w:numPr>
          <w:ilvl w:val="0"/>
          <w:numId w:val="2"/>
        </w:numPr>
        <w:rPr>
          <w:b/>
        </w:rPr>
      </w:pPr>
      <w:r w:rsidRPr="00AD42DB">
        <w:rPr>
          <w:b/>
        </w:rPr>
        <w:t xml:space="preserve">Fluctuating Gross Profit Margin: </w:t>
      </w:r>
      <w:r w:rsidRPr="00AD42DB">
        <w:t>The Seaview Resort’s gross profit margin has witnessed fluctuation as the gross profit margin declined by 800 basis points in 2021 but witnessed a rise of 200 points in 2022. This indicates a lack of control of the Resort’s over its costs and the level of pricing</w:t>
      </w:r>
      <w:r w:rsidR="005C0373">
        <w:t xml:space="preserve"> (Goodwin, 2023)</w:t>
      </w:r>
      <w:r w:rsidRPr="00AD42DB">
        <w:t xml:space="preserve">. </w:t>
      </w:r>
    </w:p>
    <w:p w14:paraId="4B94C870" w14:textId="5853C148" w:rsidR="00AD42DB" w:rsidRPr="00AD42DB" w:rsidRDefault="00AD42DB" w:rsidP="00AD42DB">
      <w:pPr>
        <w:pStyle w:val="ListParagraph"/>
        <w:numPr>
          <w:ilvl w:val="0"/>
          <w:numId w:val="2"/>
        </w:numPr>
        <w:rPr>
          <w:b/>
        </w:rPr>
      </w:pPr>
      <w:r w:rsidRPr="00AD42DB">
        <w:rPr>
          <w:b/>
        </w:rPr>
        <w:t xml:space="preserve">Net Profit Decline: </w:t>
      </w:r>
      <w:r w:rsidRPr="00AD42DB">
        <w:t>The net profit of The Seaview Resort has declined both in 2021 and 2022. Net profit in 2021 declined by 48.72% from £78,000.00 in 2020 to £40,000.00 in 2021 and further declined by 56.25% to £17,500.00 in 2022. This decline appears to be unsustainable and needs immediate attention from the management</w:t>
      </w:r>
      <w:r w:rsidR="007A4913">
        <w:t xml:space="preserve"> (Woods, 2022)</w:t>
      </w:r>
      <w:r w:rsidRPr="00AD42DB">
        <w:t>.</w:t>
      </w:r>
      <w:r w:rsidRPr="00AD42DB">
        <w:rPr>
          <w:b/>
        </w:rPr>
        <w:t xml:space="preserve"> </w:t>
      </w:r>
    </w:p>
    <w:p w14:paraId="55D40CBC" w14:textId="0C3D8723" w:rsidR="008A697B" w:rsidRPr="004C0BA4" w:rsidRDefault="00AD42DB" w:rsidP="00AD42DB">
      <w:pPr>
        <w:pStyle w:val="ListParagraph"/>
        <w:numPr>
          <w:ilvl w:val="0"/>
          <w:numId w:val="2"/>
        </w:numPr>
        <w:rPr>
          <w:b/>
        </w:rPr>
      </w:pPr>
      <w:r w:rsidRPr="00AD42DB">
        <w:rPr>
          <w:b/>
        </w:rPr>
        <w:t xml:space="preserve">Net Profit Margin: </w:t>
      </w:r>
      <w:r w:rsidRPr="00AD42DB">
        <w:t>The net profit margin of the resort has also declined in 2021 and 2022 along with a decline in net profit. Net profit margin came down to 8% in 2021 from 15% in 2022. Net profit margin declined further in 2022 to 4%. This net profit margin is significantly below the industry standards</w:t>
      </w:r>
      <w:r w:rsidR="005C0373">
        <w:t xml:space="preserve"> (Gowthorpe, 2020)</w:t>
      </w:r>
      <w:r w:rsidRPr="00AD42DB">
        <w:t>. This decline indicates a need for cost optimization and revenue enhancement.</w:t>
      </w:r>
    </w:p>
    <w:tbl>
      <w:tblPr>
        <w:tblStyle w:val="GridTable4-Accent3"/>
        <w:tblW w:w="0" w:type="auto"/>
        <w:tblInd w:w="2335" w:type="dxa"/>
        <w:tblLook w:val="04A0" w:firstRow="1" w:lastRow="0" w:firstColumn="1" w:lastColumn="0" w:noHBand="0" w:noVBand="1"/>
      </w:tblPr>
      <w:tblGrid>
        <w:gridCol w:w="2337"/>
        <w:gridCol w:w="2337"/>
      </w:tblGrid>
      <w:tr w:rsidR="004C0BA4" w14:paraId="71C0F521" w14:textId="77777777" w:rsidTr="004C0B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bottom"/>
          </w:tcPr>
          <w:p w14:paraId="4D9675CE" w14:textId="77777777" w:rsidR="004C0BA4" w:rsidRDefault="004C0BA4" w:rsidP="00A017C0">
            <w:r>
              <w:t>Item</w:t>
            </w:r>
          </w:p>
        </w:tc>
        <w:tc>
          <w:tcPr>
            <w:tcW w:w="2337" w:type="dxa"/>
            <w:vAlign w:val="bottom"/>
          </w:tcPr>
          <w:p w14:paraId="20324D29" w14:textId="19B5B285" w:rsidR="004C0BA4" w:rsidRDefault="004C0BA4" w:rsidP="00A017C0">
            <w:pPr>
              <w:jc w:val="right"/>
              <w:cnfStyle w:val="100000000000" w:firstRow="1" w:lastRow="0" w:firstColumn="0" w:lastColumn="0" w:oddVBand="0" w:evenVBand="0" w:oddHBand="0" w:evenHBand="0" w:firstRowFirstColumn="0" w:firstRowLastColumn="0" w:lastRowFirstColumn="0" w:lastRowLastColumn="0"/>
            </w:pPr>
            <w:r>
              <w:t>2022</w:t>
            </w:r>
          </w:p>
        </w:tc>
      </w:tr>
      <w:tr w:rsidR="004C0BA4" w14:paraId="572E6575" w14:textId="77777777" w:rsidTr="004C0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288EA21" w14:textId="155704C2" w:rsidR="004C0BA4" w:rsidRPr="00A017C0" w:rsidRDefault="004C0BA4" w:rsidP="004C0BA4">
            <w:r w:rsidRPr="00A017C0">
              <w:t>Total Assets</w:t>
            </w:r>
          </w:p>
        </w:tc>
        <w:tc>
          <w:tcPr>
            <w:tcW w:w="2337" w:type="dxa"/>
          </w:tcPr>
          <w:p w14:paraId="298AA046" w14:textId="3D2663CD" w:rsidR="004C0BA4" w:rsidRPr="00A017C0" w:rsidRDefault="004C0BA4" w:rsidP="004C0BA4">
            <w:pPr>
              <w:jc w:val="right"/>
              <w:cnfStyle w:val="000000100000" w:firstRow="0" w:lastRow="0" w:firstColumn="0" w:lastColumn="0" w:oddVBand="0" w:evenVBand="0" w:oddHBand="1" w:evenHBand="0" w:firstRowFirstColumn="0" w:firstRowLastColumn="0" w:lastRowFirstColumn="0" w:lastRowLastColumn="0"/>
              <w:rPr>
                <w:b/>
              </w:rPr>
            </w:pPr>
            <w:r w:rsidRPr="00A017C0">
              <w:rPr>
                <w:b/>
              </w:rPr>
              <w:t>£1,200,000</w:t>
            </w:r>
          </w:p>
        </w:tc>
      </w:tr>
      <w:tr w:rsidR="004C0BA4" w14:paraId="0A1351AD" w14:textId="77777777" w:rsidTr="004C0BA4">
        <w:tc>
          <w:tcPr>
            <w:cnfStyle w:val="001000000000" w:firstRow="0" w:lastRow="0" w:firstColumn="1" w:lastColumn="0" w:oddVBand="0" w:evenVBand="0" w:oddHBand="0" w:evenHBand="0" w:firstRowFirstColumn="0" w:firstRowLastColumn="0" w:lastRowFirstColumn="0" w:lastRowLastColumn="0"/>
            <w:tcW w:w="2337" w:type="dxa"/>
          </w:tcPr>
          <w:p w14:paraId="29F7246E" w14:textId="26FF0188" w:rsidR="004C0BA4" w:rsidRPr="004C0BA4" w:rsidRDefault="004C0BA4" w:rsidP="004C0BA4">
            <w:pPr>
              <w:rPr>
                <w:b w:val="0"/>
              </w:rPr>
            </w:pPr>
            <w:r w:rsidRPr="004C0BA4">
              <w:rPr>
                <w:b w:val="0"/>
              </w:rPr>
              <w:t>- Current Assets</w:t>
            </w:r>
          </w:p>
        </w:tc>
        <w:tc>
          <w:tcPr>
            <w:tcW w:w="2337" w:type="dxa"/>
          </w:tcPr>
          <w:p w14:paraId="093D4B28" w14:textId="28271B7F" w:rsidR="004C0BA4" w:rsidRDefault="004C0BA4" w:rsidP="004C0BA4">
            <w:pPr>
              <w:jc w:val="right"/>
              <w:cnfStyle w:val="000000000000" w:firstRow="0" w:lastRow="0" w:firstColumn="0" w:lastColumn="0" w:oddVBand="0" w:evenVBand="0" w:oddHBand="0" w:evenHBand="0" w:firstRowFirstColumn="0" w:firstRowLastColumn="0" w:lastRowFirstColumn="0" w:lastRowLastColumn="0"/>
            </w:pPr>
            <w:r w:rsidRPr="009534B3">
              <w:t>£250,000</w:t>
            </w:r>
          </w:p>
        </w:tc>
      </w:tr>
      <w:tr w:rsidR="004C0BA4" w14:paraId="3DC9230A" w14:textId="77777777" w:rsidTr="004C0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2311425" w14:textId="02DA3D5A" w:rsidR="004C0BA4" w:rsidRPr="004C0BA4" w:rsidRDefault="004C0BA4" w:rsidP="004C0BA4">
            <w:pPr>
              <w:rPr>
                <w:b w:val="0"/>
              </w:rPr>
            </w:pPr>
            <w:r w:rsidRPr="004C0BA4">
              <w:rPr>
                <w:b w:val="0"/>
              </w:rPr>
              <w:t>- Property</w:t>
            </w:r>
          </w:p>
        </w:tc>
        <w:tc>
          <w:tcPr>
            <w:tcW w:w="2337" w:type="dxa"/>
          </w:tcPr>
          <w:p w14:paraId="4FDE8F0E" w14:textId="388E9DFF" w:rsidR="004C0BA4" w:rsidRPr="008A697B" w:rsidRDefault="004C0BA4" w:rsidP="004C0BA4">
            <w:pPr>
              <w:jc w:val="right"/>
              <w:cnfStyle w:val="000000100000" w:firstRow="0" w:lastRow="0" w:firstColumn="0" w:lastColumn="0" w:oddVBand="0" w:evenVBand="0" w:oddHBand="1" w:evenHBand="0" w:firstRowFirstColumn="0" w:firstRowLastColumn="0" w:lastRowFirstColumn="0" w:lastRowLastColumn="0"/>
              <w:rPr>
                <w:b/>
              </w:rPr>
            </w:pPr>
            <w:r w:rsidRPr="009534B3">
              <w:t>£800,000</w:t>
            </w:r>
          </w:p>
        </w:tc>
      </w:tr>
      <w:tr w:rsidR="004C0BA4" w14:paraId="4AEDCD9D" w14:textId="77777777" w:rsidTr="004C0BA4">
        <w:tc>
          <w:tcPr>
            <w:cnfStyle w:val="001000000000" w:firstRow="0" w:lastRow="0" w:firstColumn="1" w:lastColumn="0" w:oddVBand="0" w:evenVBand="0" w:oddHBand="0" w:evenHBand="0" w:firstRowFirstColumn="0" w:firstRowLastColumn="0" w:lastRowFirstColumn="0" w:lastRowLastColumn="0"/>
            <w:tcW w:w="2337" w:type="dxa"/>
          </w:tcPr>
          <w:p w14:paraId="68520754" w14:textId="3570264A" w:rsidR="004C0BA4" w:rsidRPr="004C0BA4" w:rsidRDefault="004C0BA4" w:rsidP="004C0BA4">
            <w:pPr>
              <w:rPr>
                <w:b w:val="0"/>
              </w:rPr>
            </w:pPr>
            <w:r w:rsidRPr="004C0BA4">
              <w:rPr>
                <w:b w:val="0"/>
              </w:rPr>
              <w:t>- Other Assets</w:t>
            </w:r>
          </w:p>
        </w:tc>
        <w:tc>
          <w:tcPr>
            <w:tcW w:w="2337" w:type="dxa"/>
          </w:tcPr>
          <w:p w14:paraId="2DF01368" w14:textId="66BD25AE" w:rsidR="004C0BA4" w:rsidRPr="008A697B" w:rsidRDefault="004C0BA4" w:rsidP="004C0BA4">
            <w:pPr>
              <w:jc w:val="right"/>
              <w:cnfStyle w:val="000000000000" w:firstRow="0" w:lastRow="0" w:firstColumn="0" w:lastColumn="0" w:oddVBand="0" w:evenVBand="0" w:oddHBand="0" w:evenHBand="0" w:firstRowFirstColumn="0" w:firstRowLastColumn="0" w:lastRowFirstColumn="0" w:lastRowLastColumn="0"/>
              <w:rPr>
                <w:b/>
              </w:rPr>
            </w:pPr>
            <w:r w:rsidRPr="009534B3">
              <w:t>£150,000</w:t>
            </w:r>
          </w:p>
        </w:tc>
      </w:tr>
      <w:tr w:rsidR="004C0BA4" w14:paraId="52F84B92" w14:textId="77777777" w:rsidTr="004C0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FF5EE2F" w14:textId="1B28F9C9" w:rsidR="004C0BA4" w:rsidRPr="00A017C0" w:rsidRDefault="004C0BA4" w:rsidP="004C0BA4">
            <w:r w:rsidRPr="00A017C0">
              <w:t>Total Liabilities</w:t>
            </w:r>
          </w:p>
        </w:tc>
        <w:tc>
          <w:tcPr>
            <w:tcW w:w="2337" w:type="dxa"/>
          </w:tcPr>
          <w:p w14:paraId="38BF3500" w14:textId="2AA99995" w:rsidR="004C0BA4" w:rsidRPr="00A017C0" w:rsidRDefault="004C0BA4" w:rsidP="004C0BA4">
            <w:pPr>
              <w:jc w:val="right"/>
              <w:cnfStyle w:val="000000100000" w:firstRow="0" w:lastRow="0" w:firstColumn="0" w:lastColumn="0" w:oddVBand="0" w:evenVBand="0" w:oddHBand="1" w:evenHBand="0" w:firstRowFirstColumn="0" w:firstRowLastColumn="0" w:lastRowFirstColumn="0" w:lastRowLastColumn="0"/>
              <w:rPr>
                <w:b/>
              </w:rPr>
            </w:pPr>
            <w:r w:rsidRPr="00A017C0">
              <w:rPr>
                <w:b/>
              </w:rPr>
              <w:t>£750,000</w:t>
            </w:r>
          </w:p>
        </w:tc>
      </w:tr>
      <w:tr w:rsidR="004C0BA4" w14:paraId="5CD42BE3" w14:textId="77777777" w:rsidTr="004C0BA4">
        <w:tc>
          <w:tcPr>
            <w:cnfStyle w:val="001000000000" w:firstRow="0" w:lastRow="0" w:firstColumn="1" w:lastColumn="0" w:oddVBand="0" w:evenVBand="0" w:oddHBand="0" w:evenHBand="0" w:firstRowFirstColumn="0" w:firstRowLastColumn="0" w:lastRowFirstColumn="0" w:lastRowLastColumn="0"/>
            <w:tcW w:w="2337" w:type="dxa"/>
          </w:tcPr>
          <w:p w14:paraId="1A77FD07" w14:textId="2EF1A3C6" w:rsidR="004C0BA4" w:rsidRPr="004C0BA4" w:rsidRDefault="004C0BA4" w:rsidP="004C0BA4">
            <w:pPr>
              <w:rPr>
                <w:b w:val="0"/>
              </w:rPr>
            </w:pPr>
            <w:r w:rsidRPr="004C0BA4">
              <w:rPr>
                <w:b w:val="0"/>
              </w:rPr>
              <w:lastRenderedPageBreak/>
              <w:t>- Current Liabilities</w:t>
            </w:r>
          </w:p>
        </w:tc>
        <w:tc>
          <w:tcPr>
            <w:tcW w:w="2337" w:type="dxa"/>
          </w:tcPr>
          <w:p w14:paraId="0832B8FB" w14:textId="0BE7FFB8" w:rsidR="004C0BA4" w:rsidRDefault="004C0BA4" w:rsidP="004C0BA4">
            <w:pPr>
              <w:jc w:val="right"/>
              <w:cnfStyle w:val="000000000000" w:firstRow="0" w:lastRow="0" w:firstColumn="0" w:lastColumn="0" w:oddVBand="0" w:evenVBand="0" w:oddHBand="0" w:evenHBand="0" w:firstRowFirstColumn="0" w:firstRowLastColumn="0" w:lastRowFirstColumn="0" w:lastRowLastColumn="0"/>
            </w:pPr>
            <w:r w:rsidRPr="009534B3">
              <w:t>£180,000</w:t>
            </w:r>
          </w:p>
        </w:tc>
      </w:tr>
      <w:tr w:rsidR="004C0BA4" w14:paraId="087C9A16" w14:textId="77777777" w:rsidTr="004C0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78B7B81" w14:textId="0724C1B8" w:rsidR="004C0BA4" w:rsidRPr="004C0BA4" w:rsidRDefault="004C0BA4" w:rsidP="004C0BA4">
            <w:pPr>
              <w:rPr>
                <w:b w:val="0"/>
              </w:rPr>
            </w:pPr>
            <w:r w:rsidRPr="004C0BA4">
              <w:rPr>
                <w:b w:val="0"/>
              </w:rPr>
              <w:t>- Long-term</w:t>
            </w:r>
          </w:p>
        </w:tc>
        <w:tc>
          <w:tcPr>
            <w:tcW w:w="2337" w:type="dxa"/>
          </w:tcPr>
          <w:p w14:paraId="3D0DF561" w14:textId="5E49EC64" w:rsidR="004C0BA4" w:rsidRDefault="004C0BA4" w:rsidP="004C0BA4">
            <w:pPr>
              <w:jc w:val="right"/>
              <w:cnfStyle w:val="000000100000" w:firstRow="0" w:lastRow="0" w:firstColumn="0" w:lastColumn="0" w:oddVBand="0" w:evenVBand="0" w:oddHBand="1" w:evenHBand="0" w:firstRowFirstColumn="0" w:firstRowLastColumn="0" w:lastRowFirstColumn="0" w:lastRowLastColumn="0"/>
            </w:pPr>
            <w:r w:rsidRPr="009534B3">
              <w:t>£500,000</w:t>
            </w:r>
          </w:p>
        </w:tc>
      </w:tr>
      <w:tr w:rsidR="004C0BA4" w14:paraId="442267AA" w14:textId="77777777" w:rsidTr="004C0BA4">
        <w:tc>
          <w:tcPr>
            <w:cnfStyle w:val="001000000000" w:firstRow="0" w:lastRow="0" w:firstColumn="1" w:lastColumn="0" w:oddVBand="0" w:evenVBand="0" w:oddHBand="0" w:evenHBand="0" w:firstRowFirstColumn="0" w:firstRowLastColumn="0" w:lastRowFirstColumn="0" w:lastRowLastColumn="0"/>
            <w:tcW w:w="2337" w:type="dxa"/>
          </w:tcPr>
          <w:p w14:paraId="2F2FE375" w14:textId="28285AB4" w:rsidR="004C0BA4" w:rsidRPr="00A017C0" w:rsidRDefault="004C0BA4" w:rsidP="004C0BA4">
            <w:r w:rsidRPr="00A017C0">
              <w:t>Equity</w:t>
            </w:r>
          </w:p>
        </w:tc>
        <w:tc>
          <w:tcPr>
            <w:tcW w:w="2337" w:type="dxa"/>
          </w:tcPr>
          <w:p w14:paraId="5B35D273" w14:textId="54FE9B28" w:rsidR="004C0BA4" w:rsidRPr="00A017C0" w:rsidRDefault="004C0BA4" w:rsidP="004C0BA4">
            <w:pPr>
              <w:jc w:val="right"/>
              <w:cnfStyle w:val="000000000000" w:firstRow="0" w:lastRow="0" w:firstColumn="0" w:lastColumn="0" w:oddVBand="0" w:evenVBand="0" w:oddHBand="0" w:evenHBand="0" w:firstRowFirstColumn="0" w:firstRowLastColumn="0" w:lastRowFirstColumn="0" w:lastRowLastColumn="0"/>
              <w:rPr>
                <w:b/>
              </w:rPr>
            </w:pPr>
            <w:r w:rsidRPr="00A017C0">
              <w:rPr>
                <w:b/>
              </w:rPr>
              <w:t>£450,000</w:t>
            </w:r>
          </w:p>
        </w:tc>
      </w:tr>
    </w:tbl>
    <w:p w14:paraId="25EEB521" w14:textId="77777777" w:rsidR="004C0BA4" w:rsidRDefault="004C0BA4" w:rsidP="004C0BA4"/>
    <w:p w14:paraId="16ED2CE5" w14:textId="77777777" w:rsidR="000D63A0" w:rsidRDefault="000D63A0" w:rsidP="004C0BA4"/>
    <w:p w14:paraId="5F92BCB4" w14:textId="77777777" w:rsidR="00AD42DB" w:rsidRDefault="00AD42DB" w:rsidP="00AD42DB">
      <w:r>
        <w:t>We can draw several insights from the balance sheet:</w:t>
      </w:r>
    </w:p>
    <w:p w14:paraId="1B5E1F88" w14:textId="0253A5EE" w:rsidR="00AD42DB" w:rsidRDefault="00AD42DB" w:rsidP="00AD42DB">
      <w:r>
        <w:t xml:space="preserve">a. </w:t>
      </w:r>
      <w:r w:rsidRPr="00AD42DB">
        <w:rPr>
          <w:b/>
        </w:rPr>
        <w:t>High amount of fixed asset:</w:t>
      </w:r>
      <w:r>
        <w:t xml:space="preserve"> The company has £800,000 as fixed asset which is two thirds of its total amount of asset. As the company is in the resort business, it is normal for the resort to have such a high percentage of fixed assets</w:t>
      </w:r>
      <w:r w:rsidR="005C0373">
        <w:t xml:space="preserve"> (Hardy, 2021)</w:t>
      </w:r>
      <w:r>
        <w:t>. However, a high amount of fixed asset can lead to high depreciation costs which can also further adversely affect the profitability of the company</w:t>
      </w:r>
      <w:r w:rsidR="005C0373">
        <w:t xml:space="preserve"> (Hayes et al., 2020)</w:t>
      </w:r>
      <w:r>
        <w:t xml:space="preserve">. </w:t>
      </w:r>
    </w:p>
    <w:p w14:paraId="04EC6B98" w14:textId="342850C1" w:rsidR="00AD42DB" w:rsidRDefault="00AD42DB" w:rsidP="00AD42DB">
      <w:r>
        <w:t xml:space="preserve">b. </w:t>
      </w:r>
      <w:r w:rsidRPr="00AD42DB">
        <w:rPr>
          <w:b/>
        </w:rPr>
        <w:t>Positive working capital:</w:t>
      </w:r>
      <w:r>
        <w:t xml:space="preserve"> The company has a positive £70,000 worth of working capital. This is a good sign as this means the company has low liquidity risk</w:t>
      </w:r>
      <w:r w:rsidR="00D57653">
        <w:t xml:space="preserve"> (PARMENTIER, 2021)</w:t>
      </w:r>
      <w:r>
        <w:t xml:space="preserve">. However, with declined profitability, the company should manage its working capital more diligently. </w:t>
      </w:r>
    </w:p>
    <w:p w14:paraId="6D29E997" w14:textId="48A93971" w:rsidR="00A017C0" w:rsidRPr="00A017C0" w:rsidRDefault="00AD42DB" w:rsidP="00AD42DB">
      <w:r>
        <w:t xml:space="preserve">c. </w:t>
      </w:r>
      <w:r w:rsidRPr="00AD42DB">
        <w:rPr>
          <w:b/>
        </w:rPr>
        <w:t>Significant long-term debt:</w:t>
      </w:r>
      <w:r>
        <w:t xml:space="preserve"> The resort has significant long-term debt which was likely taken to finance capital expenditure</w:t>
      </w:r>
      <w:r w:rsidR="007A4913">
        <w:t xml:space="preserve"> (Tuovila, 2023)</w:t>
      </w:r>
      <w:r>
        <w:t>. However, finance expense incurred from this long-term debt is likely having a negative impact on the profitability of the resort.</w:t>
      </w:r>
    </w:p>
    <w:tbl>
      <w:tblPr>
        <w:tblStyle w:val="GridTable4-Accent3"/>
        <w:tblW w:w="0" w:type="auto"/>
        <w:tblInd w:w="2335" w:type="dxa"/>
        <w:tblLook w:val="04A0" w:firstRow="1" w:lastRow="0" w:firstColumn="1" w:lastColumn="0" w:noHBand="0" w:noVBand="1"/>
      </w:tblPr>
      <w:tblGrid>
        <w:gridCol w:w="4229"/>
        <w:gridCol w:w="1188"/>
      </w:tblGrid>
      <w:tr w:rsidR="00AD42DB" w14:paraId="56B346B3" w14:textId="77777777" w:rsidTr="00AD42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BF34694" w14:textId="4EE2ABC5" w:rsidR="00AD42DB" w:rsidRDefault="00AD42DB" w:rsidP="00AD42DB">
            <w:r w:rsidRPr="00CC7B2C">
              <w:t>Item</w:t>
            </w:r>
          </w:p>
        </w:tc>
        <w:tc>
          <w:tcPr>
            <w:tcW w:w="0" w:type="auto"/>
          </w:tcPr>
          <w:p w14:paraId="3EE79E5E" w14:textId="391F0C3B" w:rsidR="00AD42DB" w:rsidRDefault="00AD42DB" w:rsidP="00AD42DB">
            <w:pPr>
              <w:jc w:val="right"/>
              <w:cnfStyle w:val="100000000000" w:firstRow="1" w:lastRow="0" w:firstColumn="0" w:lastColumn="0" w:oddVBand="0" w:evenVBand="0" w:oddHBand="0" w:evenHBand="0" w:firstRowFirstColumn="0" w:firstRowLastColumn="0" w:lastRowFirstColumn="0" w:lastRowLastColumn="0"/>
            </w:pPr>
            <w:r w:rsidRPr="009258CA">
              <w:t>Amount</w:t>
            </w:r>
          </w:p>
        </w:tc>
      </w:tr>
      <w:tr w:rsidR="00AD42DB" w14:paraId="3D92A82D" w14:textId="77777777" w:rsidTr="00AD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6AC36F7" w14:textId="1FFD7707" w:rsidR="00AD42DB" w:rsidRPr="00AD42DB" w:rsidRDefault="00AD42DB" w:rsidP="00AD42DB">
            <w:pPr>
              <w:rPr>
                <w:b w:val="0"/>
              </w:rPr>
            </w:pPr>
            <w:r w:rsidRPr="00AD42DB">
              <w:rPr>
                <w:b w:val="0"/>
              </w:rPr>
              <w:t>Net Cash Flow from Operations</w:t>
            </w:r>
          </w:p>
        </w:tc>
        <w:tc>
          <w:tcPr>
            <w:tcW w:w="0" w:type="auto"/>
          </w:tcPr>
          <w:p w14:paraId="07C577D4" w14:textId="6E56ECC8" w:rsidR="00AD42DB" w:rsidRPr="00A017C0" w:rsidRDefault="00AD42DB" w:rsidP="00AD42DB">
            <w:pPr>
              <w:jc w:val="right"/>
              <w:cnfStyle w:val="000000100000" w:firstRow="0" w:lastRow="0" w:firstColumn="0" w:lastColumn="0" w:oddVBand="0" w:evenVBand="0" w:oddHBand="1" w:evenHBand="0" w:firstRowFirstColumn="0" w:firstRowLastColumn="0" w:lastRowFirstColumn="0" w:lastRowLastColumn="0"/>
              <w:rPr>
                <w:b/>
              </w:rPr>
            </w:pPr>
            <w:r>
              <w:t>-</w:t>
            </w:r>
            <w:r w:rsidRPr="009534B3">
              <w:t>£</w:t>
            </w:r>
            <w:r w:rsidRPr="009258CA">
              <w:t>80,000</w:t>
            </w:r>
          </w:p>
        </w:tc>
      </w:tr>
      <w:tr w:rsidR="00AD42DB" w14:paraId="0D1BDE72" w14:textId="77777777" w:rsidTr="00AD42DB">
        <w:tc>
          <w:tcPr>
            <w:cnfStyle w:val="001000000000" w:firstRow="0" w:lastRow="0" w:firstColumn="1" w:lastColumn="0" w:oddVBand="0" w:evenVBand="0" w:oddHBand="0" w:evenHBand="0" w:firstRowFirstColumn="0" w:firstRowLastColumn="0" w:lastRowFirstColumn="0" w:lastRowLastColumn="0"/>
            <w:tcW w:w="0" w:type="auto"/>
          </w:tcPr>
          <w:p w14:paraId="3E4AADF9" w14:textId="010DC4A1" w:rsidR="00AD42DB" w:rsidRPr="00AD42DB" w:rsidRDefault="00AD42DB" w:rsidP="00AD42DB">
            <w:pPr>
              <w:rPr>
                <w:b w:val="0"/>
              </w:rPr>
            </w:pPr>
            <w:r w:rsidRPr="00AD42DB">
              <w:rPr>
                <w:b w:val="0"/>
              </w:rPr>
              <w:t>Capital Expenditures</w:t>
            </w:r>
          </w:p>
        </w:tc>
        <w:tc>
          <w:tcPr>
            <w:tcW w:w="0" w:type="auto"/>
          </w:tcPr>
          <w:p w14:paraId="52010B50" w14:textId="3F78665C" w:rsidR="00AD42DB" w:rsidRDefault="00AD42DB" w:rsidP="00AD42DB">
            <w:pPr>
              <w:jc w:val="right"/>
              <w:cnfStyle w:val="000000000000" w:firstRow="0" w:lastRow="0" w:firstColumn="0" w:lastColumn="0" w:oddVBand="0" w:evenVBand="0" w:oddHBand="0" w:evenHBand="0" w:firstRowFirstColumn="0" w:firstRowLastColumn="0" w:lastRowFirstColumn="0" w:lastRowLastColumn="0"/>
            </w:pPr>
            <w:r w:rsidRPr="009534B3">
              <w:t>£</w:t>
            </w:r>
            <w:r w:rsidRPr="009258CA">
              <w:t>30,000</w:t>
            </w:r>
          </w:p>
        </w:tc>
      </w:tr>
      <w:tr w:rsidR="00AD42DB" w14:paraId="7035983A" w14:textId="77777777" w:rsidTr="00AD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13181DA" w14:textId="2ADA0436" w:rsidR="00AD42DB" w:rsidRPr="00AD42DB" w:rsidRDefault="00AD42DB" w:rsidP="00AD42DB">
            <w:pPr>
              <w:rPr>
                <w:b w:val="0"/>
              </w:rPr>
            </w:pPr>
            <w:r w:rsidRPr="00AD42DB">
              <w:rPr>
                <w:b w:val="0"/>
              </w:rPr>
              <w:t>Net Cash Flow (Change in Cash Balance)</w:t>
            </w:r>
          </w:p>
        </w:tc>
        <w:tc>
          <w:tcPr>
            <w:tcW w:w="0" w:type="auto"/>
          </w:tcPr>
          <w:p w14:paraId="634F31C7" w14:textId="17C69C96" w:rsidR="00AD42DB" w:rsidRPr="008A697B" w:rsidRDefault="00AD42DB" w:rsidP="00AD42DB">
            <w:pPr>
              <w:jc w:val="right"/>
              <w:cnfStyle w:val="000000100000" w:firstRow="0" w:lastRow="0" w:firstColumn="0" w:lastColumn="0" w:oddVBand="0" w:evenVBand="0" w:oddHBand="1" w:evenHBand="0" w:firstRowFirstColumn="0" w:firstRowLastColumn="0" w:lastRowFirstColumn="0" w:lastRowLastColumn="0"/>
              <w:rPr>
                <w:b/>
              </w:rPr>
            </w:pPr>
            <w:r>
              <w:t>-</w:t>
            </w:r>
            <w:r w:rsidRPr="009534B3">
              <w:t>£</w:t>
            </w:r>
            <w:r w:rsidRPr="009258CA">
              <w:t>110,000</w:t>
            </w:r>
          </w:p>
        </w:tc>
      </w:tr>
    </w:tbl>
    <w:p w14:paraId="5ED3F353" w14:textId="070BDCFF" w:rsidR="00A017C0" w:rsidRPr="00A017C0" w:rsidRDefault="00A017C0" w:rsidP="004C0BA4"/>
    <w:p w14:paraId="245545A3" w14:textId="77777777" w:rsidR="00AC7512" w:rsidRDefault="00AC7512" w:rsidP="00AC7512">
      <w:r>
        <w:t>We can draw several insights from the Cash flow statement:</w:t>
      </w:r>
    </w:p>
    <w:p w14:paraId="765D4B50" w14:textId="0943A3F7" w:rsidR="00AC7512" w:rsidRDefault="00AC7512" w:rsidP="00AC7512">
      <w:r w:rsidRPr="00AC7512">
        <w:rPr>
          <w:b/>
        </w:rPr>
        <w:t>a. Negative net cash flow from operations:</w:t>
      </w:r>
      <w:r>
        <w:t xml:space="preserve"> Net cash flow from operations represents the cash generated by the resort’s core business activities</w:t>
      </w:r>
      <w:r w:rsidR="00D57653">
        <w:t xml:space="preserve"> (Rees, 2022)</w:t>
      </w:r>
      <w:r>
        <w:t xml:space="preserve">. In 2021, the company generated negative -£80,000 net cash flow from operations which indicates the resort’s operating activities were not generating enough cash to cover for all its expenses and investments. </w:t>
      </w:r>
    </w:p>
    <w:p w14:paraId="741F38BE" w14:textId="73E8DD5A" w:rsidR="00AC7512" w:rsidRDefault="00AC7512" w:rsidP="00AC7512">
      <w:r w:rsidRPr="00AC7512">
        <w:rPr>
          <w:b/>
        </w:rPr>
        <w:lastRenderedPageBreak/>
        <w:t>b. Capital expenditure of £30,000:</w:t>
      </w:r>
      <w:r>
        <w:t xml:space="preserve"> Capital expenditure (CapEx) is the investments made in acquiring long-term assets such as property and equipment</w:t>
      </w:r>
      <w:r w:rsidR="007A4913">
        <w:t xml:space="preserve"> (TRACY, 2019)</w:t>
      </w:r>
      <w:r>
        <w:t xml:space="preserve">. The Seaview Resort’s CapEx likely represents investment made in maintenance, upgrade, and expansion. </w:t>
      </w:r>
    </w:p>
    <w:p w14:paraId="45C735E8" w14:textId="7D8922E1" w:rsidR="00F8280F" w:rsidRDefault="00AC7512" w:rsidP="00AC7512">
      <w:r w:rsidRPr="00AC7512">
        <w:rPr>
          <w:b/>
        </w:rPr>
        <w:t>c. Negative Net Cash flow:</w:t>
      </w:r>
      <w:r>
        <w:t xml:space="preserve"> Net cash flow is the overall change in the resort’s cash balance in the year</w:t>
      </w:r>
      <w:r w:rsidR="00D57653">
        <w:t xml:space="preserve"> (Santi, 2023)</w:t>
      </w:r>
      <w:r>
        <w:t>. It is calculated by subtracting CapEx from the net cash flow from operations. A negative net cash flow of -£110,000 indicates the resort has spent more cash than it has generated during the year.</w:t>
      </w:r>
    </w:p>
    <w:p w14:paraId="40559DA2" w14:textId="46B5EBCE" w:rsidR="00AC7512" w:rsidRDefault="00AC7512" w:rsidP="00AC7512">
      <w:pPr>
        <w:pStyle w:val="Heading1"/>
      </w:pPr>
      <w:bookmarkStart w:id="5" w:name="_Toc147260247"/>
      <w:r w:rsidRPr="00AC7512">
        <w:t>Objective 2: Identifying Reasons for Profit Decline</w:t>
      </w:r>
      <w:bookmarkEnd w:id="5"/>
    </w:p>
    <w:p w14:paraId="49ED777C" w14:textId="77777777" w:rsidR="006C2E6E" w:rsidRDefault="006C2E6E" w:rsidP="006C2E6E">
      <w:r>
        <w:t xml:space="preserve">To get an understanding of why The Seaview Resort's profitability has declined, various factors that have caused its financial challenges need to be explored: </w:t>
      </w:r>
    </w:p>
    <w:p w14:paraId="360DAA09" w14:textId="2304DBE6" w:rsidR="006C2E6E" w:rsidRDefault="006C2E6E" w:rsidP="006C2E6E">
      <w:r>
        <w:t xml:space="preserve">a. </w:t>
      </w:r>
      <w:r w:rsidRPr="006C2E6E">
        <w:rPr>
          <w:b/>
        </w:rPr>
        <w:t>Intense Competition:</w:t>
      </w:r>
      <w:r>
        <w:t xml:space="preserve"> The coastal resort market is very competitive. There are more modern and newer resorts in the vicinity of The Seaview Resort</w:t>
      </w:r>
      <w:r w:rsidR="007A4913">
        <w:t xml:space="preserve"> (Furhmann, 2022)</w:t>
      </w:r>
      <w:r>
        <w:t xml:space="preserve">. These competitors also offer state-of-the-art amenities. The lure of the high-class amenities has likely drawn potential customers away from The Seaview Resort. The Seaview Resort has also failed to find any sound strategy to be able to fight for market share in this competitive industry, </w:t>
      </w:r>
    </w:p>
    <w:p w14:paraId="4540FAE1" w14:textId="01704683" w:rsidR="006C2E6E" w:rsidRDefault="006C2E6E" w:rsidP="006C2E6E">
      <w:r>
        <w:t xml:space="preserve">b. </w:t>
      </w:r>
      <w:r w:rsidRPr="006C2E6E">
        <w:rPr>
          <w:b/>
        </w:rPr>
        <w:t>Changing Customer Preferences:</w:t>
      </w:r>
      <w:r>
        <w:t xml:space="preserve"> The travellers of the current day look for eco-friendly and experiential tourism</w:t>
      </w:r>
      <w:r w:rsidR="007A4913">
        <w:t xml:space="preserve"> (Hoggett et al., 2021)</w:t>
      </w:r>
      <w:r>
        <w:t xml:space="preserve">. Unfortunately, The Seaview Resort has outdated amenities. Also, the resort lacks any major eco-friendly initiatives. These two factors have likely resulted in a decline in the customer’s taste. The Seaview Resort has failed to upgrade and adapt itself to the changing customer preferences. </w:t>
      </w:r>
    </w:p>
    <w:p w14:paraId="68E55AE2" w14:textId="4E88BBCA" w:rsidR="006C2E6E" w:rsidRDefault="006C2E6E" w:rsidP="006C2E6E">
      <w:r>
        <w:t xml:space="preserve">c. </w:t>
      </w:r>
      <w:r w:rsidRPr="006C2E6E">
        <w:rPr>
          <w:b/>
        </w:rPr>
        <w:t>Decline in Average Room Rate (ARR):</w:t>
      </w:r>
      <w:r>
        <w:t xml:space="preserve"> The Average Room Rate (ARR) of the resort was £250 in 2020. However, the Average Room Rate (ARR) has declined to £230 in 2021 and further declined to £210 in 2022. This decline in ARR resulted in declined revenue which further negatively impacted the profitability of the resort. The decline in ARR suggests a potential problem with pricing strategy. This can also be a result of perceived value by the customers</w:t>
      </w:r>
      <w:r w:rsidR="007A4913">
        <w:t xml:space="preserve"> (Horner &amp; Mott, 2022)</w:t>
      </w:r>
      <w:r>
        <w:t xml:space="preserve">. </w:t>
      </w:r>
    </w:p>
    <w:p w14:paraId="41DC8571" w14:textId="7BFCAA4B" w:rsidR="006C2E6E" w:rsidRDefault="006C2E6E" w:rsidP="006C2E6E">
      <w:r>
        <w:t xml:space="preserve">d. </w:t>
      </w:r>
      <w:r w:rsidRPr="006C2E6E">
        <w:rPr>
          <w:b/>
        </w:rPr>
        <w:t>Reduced Occupancy Rates:</w:t>
      </w:r>
      <w:r>
        <w:t xml:space="preserve"> The Seaview Resort had a healthy occupancy rate of 70% in 2020. However, this too has been on the decline. In 2021, occupancy rate declined to 65% in 2021. In 2022, the occupancy rate further went down to 60%. A lower occupancy rate means lower number </w:t>
      </w:r>
      <w:r>
        <w:lastRenderedPageBreak/>
        <w:t>of visitors in a particular year which results in lower amount of revenue generated</w:t>
      </w:r>
      <w:r w:rsidR="007A4913">
        <w:t xml:space="preserve"> (Kenton, 2023)</w:t>
      </w:r>
      <w:r>
        <w:t xml:space="preserve">. As the resort has to bear a significant amount of fixed costs, lower revenue generation results in declined profitability. </w:t>
      </w:r>
    </w:p>
    <w:p w14:paraId="33121E50" w14:textId="61E30ED8" w:rsidR="00BA4C2A" w:rsidRDefault="006C2E6E" w:rsidP="006C2E6E">
      <w:r w:rsidRPr="006C2E6E">
        <w:t>e.</w:t>
      </w:r>
      <w:r w:rsidRPr="006C2E6E">
        <w:rPr>
          <w:b/>
        </w:rPr>
        <w:t xml:space="preserve"> Cost Management:</w:t>
      </w:r>
      <w:r>
        <w:t xml:space="preserve"> Operating expenses of The Seaview Resort have grown to £450,000 in 2022 from £400,000 in 2021 while the revenue has declined by £50,000 during the same period. This issue needs further examination. Revenue and operating expenses should be managed proportionately</w:t>
      </w:r>
      <w:r w:rsidR="007A4913">
        <w:t xml:space="preserve"> (Kourdi, 2021)</w:t>
      </w:r>
      <w:r>
        <w:t xml:space="preserve">. Since the operating expense has grown disproportionately to the revenue, this has resulted in declined profitability. </w:t>
      </w:r>
    </w:p>
    <w:p w14:paraId="631B83DF" w14:textId="047D6818" w:rsidR="006C2E6E" w:rsidRDefault="006C2E6E" w:rsidP="006C2E6E">
      <w:pPr>
        <w:pStyle w:val="Heading1"/>
      </w:pPr>
      <w:bookmarkStart w:id="6" w:name="_Toc147260248"/>
      <w:r w:rsidRPr="006C2E6E">
        <w:t>Objective 3: Developing a Turnaround Strategy</w:t>
      </w:r>
      <w:bookmarkEnd w:id="6"/>
    </w:p>
    <w:p w14:paraId="294E7C8C" w14:textId="77777777" w:rsidR="00772B8C" w:rsidRDefault="00772B8C" w:rsidP="00602086">
      <w:pPr>
        <w:pStyle w:val="ListParagraph"/>
        <w:ind w:left="0"/>
      </w:pPr>
      <w:r>
        <w:t xml:space="preserve">To restore The Seaview Resort to its formal glory, a comprehensive turnaround strategy needs to be formulated. The key elements of the strategy are described below: </w:t>
      </w:r>
    </w:p>
    <w:p w14:paraId="430CC3ED" w14:textId="77777777" w:rsidR="00772B8C" w:rsidRDefault="00772B8C" w:rsidP="00772B8C">
      <w:pPr>
        <w:pStyle w:val="ListParagraph"/>
        <w:numPr>
          <w:ilvl w:val="0"/>
          <w:numId w:val="5"/>
        </w:numPr>
      </w:pPr>
      <w:r w:rsidRPr="00602086">
        <w:rPr>
          <w:b/>
        </w:rPr>
        <w:t>Enhanced Customer Experience:</w:t>
      </w:r>
      <w:r>
        <w:t xml:space="preserve"> The Seaview Resort needs to renovate and modernize all its amenities and rooms to meet the industry standard. The resort should also invest in implementing eco-friendly initiatives as this will match the preferences of modern day travellers and will also promote sustainable tourism. The resort must differentiate from other competitors to survive and thrive in this very competitive industry. For that reason, the company should invest to offer unique and memorable experiences that differentiate itself from the rest of the competitors. </w:t>
      </w:r>
    </w:p>
    <w:p w14:paraId="5BC5365C" w14:textId="77777777" w:rsidR="00772B8C" w:rsidRDefault="00772B8C" w:rsidP="00772B8C">
      <w:pPr>
        <w:pStyle w:val="ListParagraph"/>
        <w:numPr>
          <w:ilvl w:val="0"/>
          <w:numId w:val="5"/>
        </w:numPr>
      </w:pPr>
      <w:r w:rsidRPr="00602086">
        <w:rPr>
          <w:b/>
        </w:rPr>
        <w:t>Revised Pricing Strategy:</w:t>
      </w:r>
      <w:r>
        <w:t xml:space="preserve"> The current pricing strategy of The Seaview Resort is not optimum. The company should reassess its pricing strategy so that it can strike a balance between affordability and perceived value. The resort can also adopt dynamic pricing. For example, the company can charge higher in peak seasons due to high demand. This will also help the resort to maximize its revenue. </w:t>
      </w:r>
    </w:p>
    <w:p w14:paraId="37C34A67" w14:textId="77777777" w:rsidR="00772B8C" w:rsidRDefault="00772B8C" w:rsidP="00772B8C">
      <w:pPr>
        <w:pStyle w:val="ListParagraph"/>
        <w:numPr>
          <w:ilvl w:val="0"/>
          <w:numId w:val="5"/>
        </w:numPr>
      </w:pPr>
      <w:r w:rsidRPr="00602086">
        <w:rPr>
          <w:b/>
        </w:rPr>
        <w:t>Marketing and Branding:</w:t>
      </w:r>
      <w:r>
        <w:t xml:space="preserve"> The resort should invest in marketing and branding with the goal of repositioning The Seaview Resort as a premier destination for the travellers. The resort should utilize and leverage digital media and social media marketing. More and more people make their decision of travelling and selecting resorts through digital and social media. The Seaview Resort should utilize these tools to get a wider reach of its marketing. </w:t>
      </w:r>
    </w:p>
    <w:p w14:paraId="5A0A293C" w14:textId="77777777" w:rsidR="00772B8C" w:rsidRDefault="00772B8C" w:rsidP="00772B8C">
      <w:pPr>
        <w:pStyle w:val="ListParagraph"/>
        <w:numPr>
          <w:ilvl w:val="0"/>
          <w:numId w:val="5"/>
        </w:numPr>
      </w:pPr>
      <w:r w:rsidRPr="00602086">
        <w:rPr>
          <w:b/>
        </w:rPr>
        <w:t>Operational Efficiency:</w:t>
      </w:r>
      <w:r>
        <w:t xml:space="preserve"> A thorough review of operating expenses should be conducted by the resort. The goal of the review will be to identify areas for cost reduction and optimization. The </w:t>
      </w:r>
      <w:r>
        <w:lastRenderedPageBreak/>
        <w:t xml:space="preserve">company should also identify and implement ways to improve operational efficiency and reduce wastage. </w:t>
      </w:r>
    </w:p>
    <w:p w14:paraId="52DCB824" w14:textId="77777777" w:rsidR="00772B8C" w:rsidRDefault="00772B8C" w:rsidP="00772B8C">
      <w:pPr>
        <w:pStyle w:val="ListParagraph"/>
        <w:numPr>
          <w:ilvl w:val="0"/>
          <w:numId w:val="5"/>
        </w:numPr>
      </w:pPr>
      <w:r w:rsidRPr="00602086">
        <w:rPr>
          <w:b/>
        </w:rPr>
        <w:t>Customer Feedback and Service Quality:</w:t>
      </w:r>
      <w:r>
        <w:t xml:space="preserve"> The resort should actively seek and act upon customer feedback to address concerns related to the quality of service. The resort should invest in training and motivating its staff to provide exceptional service. </w:t>
      </w:r>
    </w:p>
    <w:p w14:paraId="789112A5" w14:textId="77777777" w:rsidR="00772B8C" w:rsidRDefault="00772B8C" w:rsidP="00772B8C">
      <w:pPr>
        <w:pStyle w:val="ListParagraph"/>
        <w:numPr>
          <w:ilvl w:val="0"/>
          <w:numId w:val="5"/>
        </w:numPr>
      </w:pPr>
      <w:r w:rsidRPr="00602086">
        <w:rPr>
          <w:b/>
        </w:rPr>
        <w:t>Collaborate with local communities:</w:t>
      </w:r>
      <w:r>
        <w:t xml:space="preserve"> The resort should engage with the local community to foster fruitful relationships and support the local businesses. This process can involve sourcing local services and products, offering opportunities for employment to the local residents, and organizing community events. </w:t>
      </w:r>
    </w:p>
    <w:p w14:paraId="70852E69" w14:textId="77777777" w:rsidR="00772B8C" w:rsidRDefault="00772B8C" w:rsidP="00772B8C">
      <w:pPr>
        <w:pStyle w:val="ListParagraph"/>
        <w:numPr>
          <w:ilvl w:val="0"/>
          <w:numId w:val="5"/>
        </w:numPr>
      </w:pPr>
      <w:r w:rsidRPr="00602086">
        <w:rPr>
          <w:b/>
        </w:rPr>
        <w:t>Offer attractive packages and promotions:</w:t>
      </w:r>
      <w:r>
        <w:t xml:space="preserve"> The resort should invest in creating attractive packages and promotions to incentivise bookings. This strategy can help with increasing occupancy rates. The resort can offer discounted rates for guests with longer stays, special &amp; exclusive offers for weddings and events and bundled services. </w:t>
      </w:r>
    </w:p>
    <w:p w14:paraId="405276B1" w14:textId="77777777" w:rsidR="00772B8C" w:rsidRDefault="00772B8C" w:rsidP="00772B8C">
      <w:pPr>
        <w:pStyle w:val="ListParagraph"/>
        <w:numPr>
          <w:ilvl w:val="0"/>
          <w:numId w:val="5"/>
        </w:numPr>
      </w:pPr>
      <w:r w:rsidRPr="00602086">
        <w:rPr>
          <w:b/>
        </w:rPr>
        <w:t>Debt Management:</w:t>
      </w:r>
      <w:r>
        <w:t xml:space="preserve"> The resort should explore options to refinance or restructure its long-term debt to improve its Net Cash Flow position. </w:t>
      </w:r>
    </w:p>
    <w:p w14:paraId="36A04A94" w14:textId="77777777" w:rsidR="00772B8C" w:rsidRDefault="00772B8C" w:rsidP="00772B8C">
      <w:pPr>
        <w:pStyle w:val="ListParagraph"/>
        <w:numPr>
          <w:ilvl w:val="0"/>
          <w:numId w:val="5"/>
        </w:numPr>
      </w:pPr>
      <w:r w:rsidRPr="00602086">
        <w:rPr>
          <w:b/>
        </w:rPr>
        <w:t>Revenue Diversification:</w:t>
      </w:r>
      <w:r>
        <w:t xml:space="preserve"> The resort should also explore additional revenue streams which may include hosting events, partnering with local businesses etc. </w:t>
      </w:r>
    </w:p>
    <w:p w14:paraId="61FB3667" w14:textId="3E59E748" w:rsidR="00772B8C" w:rsidRDefault="00772B8C" w:rsidP="00772B8C">
      <w:pPr>
        <w:pStyle w:val="ListParagraph"/>
        <w:numPr>
          <w:ilvl w:val="0"/>
          <w:numId w:val="5"/>
        </w:numPr>
      </w:pPr>
      <w:r w:rsidRPr="00602086">
        <w:rPr>
          <w:b/>
        </w:rPr>
        <w:t>Monitoring and Adaptation:</w:t>
      </w:r>
      <w:r>
        <w:t xml:space="preserve"> The resort should implement Key Performance Indicators (KPIs) to monitor and track the progress of these strategies. The resort should continuously adapt the turnaround strategy based on market trends and data.</w:t>
      </w:r>
    </w:p>
    <w:p w14:paraId="6242AFCD" w14:textId="661332ED" w:rsidR="00602086" w:rsidRDefault="00602086" w:rsidP="00602086">
      <w:pPr>
        <w:pStyle w:val="Heading1"/>
      </w:pPr>
      <w:bookmarkStart w:id="7" w:name="_Toc147260249"/>
      <w:r>
        <w:t>Conclusion</w:t>
      </w:r>
      <w:bookmarkEnd w:id="7"/>
    </w:p>
    <w:p w14:paraId="7ACB66CD" w14:textId="29D9A24F" w:rsidR="00602086" w:rsidRPr="00602086" w:rsidRDefault="00602086" w:rsidP="00602086">
      <w:r>
        <w:t xml:space="preserve">The Seaview Resort is currently facing a number of challenges. However, by implementing a well-structured turnaround strategy, the resort can regain its status as a premier vacation destination. The company has acknowledged that it has a problem of declining revenue and profitability. In this report, we have tried to identify key factors behind the decline in revenue and profitability. After that, we have a formulated turnaround strategy consisting of ten sections. By implementing this comprehensive strategy, the resort can look forward to </w:t>
      </w:r>
      <w:r w:rsidR="00547D1B">
        <w:t xml:space="preserve">achieving </w:t>
      </w:r>
      <w:r>
        <w:t xml:space="preserve">brighter and more prosperous coming days in the very competitive coastal resort market. </w:t>
      </w:r>
    </w:p>
    <w:p w14:paraId="0D34631E" w14:textId="77777777" w:rsidR="00772B8C" w:rsidRPr="00772B8C" w:rsidRDefault="00772B8C" w:rsidP="006C2E6E"/>
    <w:p w14:paraId="4637BFE7" w14:textId="77777777" w:rsidR="00772B8C" w:rsidRDefault="00772B8C" w:rsidP="006C2E6E"/>
    <w:p w14:paraId="4E0F0666" w14:textId="77777777" w:rsidR="00547D1B" w:rsidRDefault="00547D1B" w:rsidP="006C2E6E"/>
    <w:p w14:paraId="31754BF3" w14:textId="77777777" w:rsidR="00547D1B" w:rsidRDefault="00547D1B" w:rsidP="006C2E6E"/>
    <w:p w14:paraId="7BEF7B65" w14:textId="77777777" w:rsidR="00547D1B" w:rsidRDefault="00547D1B" w:rsidP="006C2E6E"/>
    <w:p w14:paraId="52A3B1D9" w14:textId="77777777" w:rsidR="007A4913" w:rsidRDefault="007A4913" w:rsidP="006C2E6E">
      <w:pPr>
        <w:sectPr w:rsidR="007A491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42BA02F7" w14:textId="7CD3F86F" w:rsidR="007611FC" w:rsidRDefault="009C7BC4" w:rsidP="009C7BC4">
      <w:pPr>
        <w:pStyle w:val="Heading1"/>
      </w:pPr>
      <w:bookmarkStart w:id="8" w:name="_Toc147260250"/>
      <w:r>
        <w:lastRenderedPageBreak/>
        <w:t>References</w:t>
      </w:r>
      <w:bookmarkEnd w:id="8"/>
    </w:p>
    <w:p w14:paraId="088CDE4F" w14:textId="77777777" w:rsidR="005C0373" w:rsidRDefault="005C0373" w:rsidP="000F0211">
      <w:pPr>
        <w:pStyle w:val="ListParagraph"/>
        <w:numPr>
          <w:ilvl w:val="0"/>
          <w:numId w:val="6"/>
        </w:numPr>
        <w:spacing w:line="480" w:lineRule="auto"/>
      </w:pPr>
      <w:r>
        <w:t xml:space="preserve">ATUKALP, E. (2023) ‘The effect of financial statements on financial review results. statement of financial position or income statement’, Gazi Journal of Economics and Business, 9(1). doi:10.30855/gjeb.2023.9.1.006. </w:t>
      </w:r>
    </w:p>
    <w:p w14:paraId="1F392D1B" w14:textId="77777777" w:rsidR="005C0373" w:rsidRDefault="005C0373" w:rsidP="000F0211">
      <w:pPr>
        <w:pStyle w:val="ListParagraph"/>
        <w:numPr>
          <w:ilvl w:val="0"/>
          <w:numId w:val="6"/>
        </w:numPr>
        <w:spacing w:line="480" w:lineRule="auto"/>
      </w:pPr>
      <w:r>
        <w:t xml:space="preserve">Bouten, L., Palepu, K.G. and Healy, P.M. (2019) Financial analysis. Andover: Cengage Learning EMEA. </w:t>
      </w:r>
    </w:p>
    <w:p w14:paraId="6F842552" w14:textId="77777777" w:rsidR="005C0373" w:rsidRDefault="005C0373" w:rsidP="000F0211">
      <w:pPr>
        <w:pStyle w:val="ListParagraph"/>
        <w:numPr>
          <w:ilvl w:val="0"/>
          <w:numId w:val="6"/>
        </w:numPr>
        <w:spacing w:line="480" w:lineRule="auto"/>
      </w:pPr>
      <w:r>
        <w:t xml:space="preserve">Bragg, S.M. (2017) Financial analysis: A business decision guide. Centennial, CO: AccountingTools, Inc. </w:t>
      </w:r>
    </w:p>
    <w:p w14:paraId="3B98A3B0" w14:textId="77777777" w:rsidR="005C0373" w:rsidRDefault="005C0373" w:rsidP="000F0211">
      <w:pPr>
        <w:pStyle w:val="ListParagraph"/>
        <w:numPr>
          <w:ilvl w:val="0"/>
          <w:numId w:val="6"/>
        </w:numPr>
        <w:spacing w:line="480" w:lineRule="auto"/>
      </w:pPr>
      <w:r>
        <w:t xml:space="preserve">Gomes, E. (2021) Mergers and acquisitions as strategic methods of business development in the Global Automobile Industry: An Analysis of five cases. Lewiston, NY: Edwin Mellen Press. </w:t>
      </w:r>
    </w:p>
    <w:p w14:paraId="69CC7C2A" w14:textId="77777777" w:rsidR="005C0373" w:rsidRDefault="005C0373" w:rsidP="000F0211">
      <w:pPr>
        <w:pStyle w:val="ListParagraph"/>
        <w:numPr>
          <w:ilvl w:val="0"/>
          <w:numId w:val="6"/>
        </w:numPr>
        <w:spacing w:line="480" w:lineRule="auto"/>
      </w:pPr>
      <w:r>
        <w:t xml:space="preserve">Goodwin, S. (2023) The resort. London: Avon. </w:t>
      </w:r>
    </w:p>
    <w:p w14:paraId="64C4404E" w14:textId="77777777" w:rsidR="005C0373" w:rsidRDefault="005C0373" w:rsidP="000F0211">
      <w:pPr>
        <w:pStyle w:val="ListParagraph"/>
        <w:numPr>
          <w:ilvl w:val="0"/>
          <w:numId w:val="6"/>
        </w:numPr>
        <w:spacing w:line="480" w:lineRule="auto"/>
      </w:pPr>
      <w:r>
        <w:t xml:space="preserve">Gowthorpe, C. (2020) Financial analysis. Oxford: CIMA. </w:t>
      </w:r>
    </w:p>
    <w:p w14:paraId="57E3E380" w14:textId="77777777" w:rsidR="005C0373" w:rsidRDefault="005C0373" w:rsidP="000F0211">
      <w:pPr>
        <w:pStyle w:val="ListParagraph"/>
        <w:numPr>
          <w:ilvl w:val="0"/>
          <w:numId w:val="6"/>
        </w:numPr>
        <w:spacing w:line="480" w:lineRule="auto"/>
      </w:pPr>
      <w:r>
        <w:t xml:space="preserve">Hardy, M.J. (2021) The resort. M J Hardy. </w:t>
      </w:r>
    </w:p>
    <w:p w14:paraId="5C9B864E" w14:textId="77777777" w:rsidR="005C0373" w:rsidRDefault="005C0373" w:rsidP="000F0211">
      <w:pPr>
        <w:pStyle w:val="ListParagraph"/>
        <w:numPr>
          <w:ilvl w:val="0"/>
          <w:numId w:val="6"/>
        </w:numPr>
        <w:spacing w:line="480" w:lineRule="auto"/>
      </w:pPr>
      <w:r>
        <w:t xml:space="preserve">Hayes, D.K., Ninemeier, J.D. and Miller, A.A. (2020) Foundations of lodging management. Boston: Prentice Hall. </w:t>
      </w:r>
    </w:p>
    <w:p w14:paraId="557C5240" w14:textId="77777777" w:rsidR="005C0373" w:rsidRDefault="005C0373" w:rsidP="000F0211">
      <w:pPr>
        <w:pStyle w:val="ListParagraph"/>
        <w:numPr>
          <w:ilvl w:val="0"/>
          <w:numId w:val="6"/>
        </w:numPr>
        <w:spacing w:line="480" w:lineRule="auto"/>
      </w:pPr>
      <w:r>
        <w:t xml:space="preserve">PARMENTIER, G. (2021) Financial analysis. INTERSENTIA. </w:t>
      </w:r>
    </w:p>
    <w:p w14:paraId="1D6C3B04" w14:textId="77777777" w:rsidR="005C0373" w:rsidRDefault="005C0373" w:rsidP="000F0211">
      <w:pPr>
        <w:pStyle w:val="ListParagraph"/>
        <w:numPr>
          <w:ilvl w:val="0"/>
          <w:numId w:val="6"/>
        </w:numPr>
        <w:spacing w:line="480" w:lineRule="auto"/>
      </w:pPr>
      <w:r>
        <w:t xml:space="preserve">Rees, B. (2022) Financial analysis. Harlow: Financial Times Prentice Hall. </w:t>
      </w:r>
    </w:p>
    <w:p w14:paraId="5C20D328" w14:textId="77777777" w:rsidR="005C0373" w:rsidRDefault="005C0373" w:rsidP="000F0211">
      <w:pPr>
        <w:pStyle w:val="ListParagraph"/>
        <w:numPr>
          <w:ilvl w:val="0"/>
          <w:numId w:val="6"/>
        </w:numPr>
        <w:spacing w:line="480" w:lineRule="auto"/>
      </w:pPr>
      <w:r>
        <w:t xml:space="preserve">Santi, C. (2023) ‘Investor climate sentiment and Financial Markets’, International Review of Financial Analysis, 86, p. 102490. doi:10.1016/j.irfa.2023.102490. </w:t>
      </w:r>
    </w:p>
    <w:p w14:paraId="7251830A" w14:textId="77777777" w:rsidR="005C0373" w:rsidRDefault="005C0373" w:rsidP="000F0211">
      <w:pPr>
        <w:pStyle w:val="ListParagraph"/>
        <w:numPr>
          <w:ilvl w:val="0"/>
          <w:numId w:val="6"/>
        </w:numPr>
        <w:spacing w:line="480" w:lineRule="auto"/>
      </w:pPr>
      <w:r>
        <w:t xml:space="preserve">Sharp, J. (2019) Profitability. Warragul, Vic.: McMillan College, Institute of Land and Food Resources, The University of Melbourne. </w:t>
      </w:r>
    </w:p>
    <w:p w14:paraId="312E6788" w14:textId="0426EA0B" w:rsidR="00D57653" w:rsidRDefault="007A4913" w:rsidP="000F0211">
      <w:pPr>
        <w:pStyle w:val="ListParagraph"/>
        <w:numPr>
          <w:ilvl w:val="0"/>
          <w:numId w:val="6"/>
        </w:numPr>
        <w:spacing w:line="480" w:lineRule="auto"/>
      </w:pPr>
      <w:r>
        <w:lastRenderedPageBreak/>
        <w:t>Furhmann, R. (2022</w:t>
      </w:r>
      <w:r w:rsidR="00D57653">
        <w:t xml:space="preserve">) How to read a financial analysis report, Investopedia. Available at: https://www.investopedia.com/articles/investing/032113/basics-financial-analysis-report.asp (Accessed: 03 October 2023). </w:t>
      </w:r>
    </w:p>
    <w:p w14:paraId="5C469A8E" w14:textId="77777777" w:rsidR="00D57653" w:rsidRDefault="00D57653" w:rsidP="000F0211">
      <w:pPr>
        <w:pStyle w:val="ListParagraph"/>
        <w:numPr>
          <w:ilvl w:val="0"/>
          <w:numId w:val="6"/>
        </w:numPr>
        <w:spacing w:line="480" w:lineRule="auto"/>
      </w:pPr>
      <w:r>
        <w:t xml:space="preserve">Hoggett, J. et al. (2021) Accounting. Milton, Qld.: Wiley. </w:t>
      </w:r>
    </w:p>
    <w:p w14:paraId="1BA424BC" w14:textId="7EEEE775" w:rsidR="00D57653" w:rsidRDefault="007A4913" w:rsidP="000F0211">
      <w:pPr>
        <w:pStyle w:val="ListParagraph"/>
        <w:numPr>
          <w:ilvl w:val="0"/>
          <w:numId w:val="6"/>
        </w:numPr>
        <w:spacing w:line="480" w:lineRule="auto"/>
      </w:pPr>
      <w:r>
        <w:t>Horner, D. and Mott, G. (2022</w:t>
      </w:r>
      <w:r w:rsidR="00D57653">
        <w:t xml:space="preserve">) Accounting for non-accountants. London: Kogan Page Ltd. </w:t>
      </w:r>
    </w:p>
    <w:p w14:paraId="03221066" w14:textId="43F1FB21" w:rsidR="00D57653" w:rsidRDefault="00D57653" w:rsidP="000F0211">
      <w:pPr>
        <w:pStyle w:val="ListParagraph"/>
        <w:numPr>
          <w:ilvl w:val="0"/>
          <w:numId w:val="6"/>
        </w:numPr>
        <w:spacing w:line="480" w:lineRule="auto"/>
      </w:pPr>
      <w:r>
        <w:t>Kenton, W. (</w:t>
      </w:r>
      <w:r w:rsidR="007A4913">
        <w:t>2023</w:t>
      </w:r>
      <w:r>
        <w:t xml:space="preserve">) Financial statement analysis: How it’s done, by statement type, Investopedia. Available at: https://www.investopedia.com/terms/f/financial-statement-analysis.asp (Accessed: 03 October 2023). </w:t>
      </w:r>
    </w:p>
    <w:p w14:paraId="4CDBD333" w14:textId="77777777" w:rsidR="00D57653" w:rsidRDefault="00D57653" w:rsidP="000F0211">
      <w:pPr>
        <w:pStyle w:val="ListParagraph"/>
        <w:numPr>
          <w:ilvl w:val="0"/>
          <w:numId w:val="6"/>
        </w:numPr>
        <w:spacing w:line="480" w:lineRule="auto"/>
      </w:pPr>
      <w:r>
        <w:t xml:space="preserve">Kourdi, J. (2021) Business strategy: A guide to effective decision-making. New York: PublicAffairs. </w:t>
      </w:r>
    </w:p>
    <w:p w14:paraId="28422392" w14:textId="77777777" w:rsidR="00D57653" w:rsidRDefault="00D57653" w:rsidP="000F0211">
      <w:pPr>
        <w:pStyle w:val="ListParagraph"/>
        <w:numPr>
          <w:ilvl w:val="0"/>
          <w:numId w:val="6"/>
        </w:numPr>
        <w:spacing w:line="480" w:lineRule="auto"/>
      </w:pPr>
      <w:r>
        <w:t xml:space="preserve">TRACY, B. (2019) Business strategy. S.l.: AMACOM. </w:t>
      </w:r>
    </w:p>
    <w:p w14:paraId="0C5B72EE" w14:textId="251512F9" w:rsidR="00D57653" w:rsidRDefault="007A4913" w:rsidP="000F0211">
      <w:pPr>
        <w:pStyle w:val="ListParagraph"/>
        <w:numPr>
          <w:ilvl w:val="0"/>
          <w:numId w:val="6"/>
        </w:numPr>
        <w:spacing w:line="480" w:lineRule="auto"/>
      </w:pPr>
      <w:r>
        <w:t>Tuovila, A. (2023</w:t>
      </w:r>
      <w:r w:rsidR="00D57653">
        <w:t xml:space="preserve">) Financial analysis: Definition, importance, types, and examples, Investopedia. Available at: https://www.investopedia.com/terms/f/financial-analysis.asp (Accessed: 03 October 2023). </w:t>
      </w:r>
    </w:p>
    <w:p w14:paraId="758C273A" w14:textId="2B54D49A" w:rsidR="005C0373" w:rsidRPr="005C0373" w:rsidRDefault="00D57653" w:rsidP="000F0211">
      <w:pPr>
        <w:pStyle w:val="ListParagraph"/>
        <w:numPr>
          <w:ilvl w:val="0"/>
          <w:numId w:val="6"/>
        </w:numPr>
        <w:spacing w:line="480" w:lineRule="auto"/>
      </w:pPr>
      <w:r>
        <w:t>Woods, S.J. (2022) Business strategy. Harlow: Pearson.</w:t>
      </w:r>
    </w:p>
    <w:sectPr w:rsidR="005C0373" w:rsidRPr="005C03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9BB2C" w14:textId="77777777" w:rsidR="00AD4F1C" w:rsidRDefault="00AD4F1C" w:rsidP="007611FC">
      <w:pPr>
        <w:spacing w:after="0" w:line="240" w:lineRule="auto"/>
      </w:pPr>
      <w:r>
        <w:separator/>
      </w:r>
    </w:p>
  </w:endnote>
  <w:endnote w:type="continuationSeparator" w:id="0">
    <w:p w14:paraId="17DCA490" w14:textId="77777777" w:rsidR="00AD4F1C" w:rsidRDefault="00AD4F1C" w:rsidP="00761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E1673" w14:textId="77777777" w:rsidR="00182B9F" w:rsidRDefault="00182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29457"/>
      <w:docPartObj>
        <w:docPartGallery w:val="Page Numbers (Bottom of Page)"/>
        <w:docPartUnique/>
      </w:docPartObj>
    </w:sdtPr>
    <w:sdtEndPr>
      <w:rPr>
        <w:color w:val="7F7F7F" w:themeColor="background1" w:themeShade="7F"/>
        <w:spacing w:val="60"/>
      </w:rPr>
    </w:sdtEndPr>
    <w:sdtContent>
      <w:p w14:paraId="249DFADC" w14:textId="320E09E1" w:rsidR="00A017C0" w:rsidRDefault="00A017C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D6627" w:rsidRPr="006D6627">
          <w:rPr>
            <w:b/>
            <w:bCs/>
            <w:noProof/>
          </w:rPr>
          <w:t>1</w:t>
        </w:r>
        <w:r>
          <w:rPr>
            <w:b/>
            <w:bCs/>
            <w:noProof/>
          </w:rPr>
          <w:fldChar w:fldCharType="end"/>
        </w:r>
        <w:r>
          <w:rPr>
            <w:b/>
            <w:bCs/>
          </w:rPr>
          <w:t xml:space="preserve"> | </w:t>
        </w:r>
        <w:r>
          <w:rPr>
            <w:color w:val="7F7F7F" w:themeColor="background1" w:themeShade="7F"/>
            <w:spacing w:val="60"/>
          </w:rPr>
          <w:t>Page</w:t>
        </w:r>
      </w:p>
    </w:sdtContent>
  </w:sdt>
  <w:p w14:paraId="57B5F724" w14:textId="77777777" w:rsidR="00A017C0" w:rsidRDefault="00A01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BBD69" w14:textId="77777777" w:rsidR="00182B9F" w:rsidRDefault="00182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E0C95" w14:textId="77777777" w:rsidR="00AD4F1C" w:rsidRDefault="00AD4F1C" w:rsidP="007611FC">
      <w:pPr>
        <w:spacing w:after="0" w:line="240" w:lineRule="auto"/>
      </w:pPr>
      <w:r>
        <w:separator/>
      </w:r>
    </w:p>
  </w:footnote>
  <w:footnote w:type="continuationSeparator" w:id="0">
    <w:p w14:paraId="4EA4F69F" w14:textId="77777777" w:rsidR="00AD4F1C" w:rsidRDefault="00AD4F1C" w:rsidP="00761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020D2" w14:textId="77777777" w:rsidR="00182B9F" w:rsidRDefault="00182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405A8" w14:textId="77777777" w:rsidR="00182B9F" w:rsidRDefault="00182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E2F11" w14:textId="77777777" w:rsidR="00182B9F" w:rsidRDefault="00182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63B88"/>
    <w:multiLevelType w:val="hybridMultilevel"/>
    <w:tmpl w:val="445CDE2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E7642A"/>
    <w:multiLevelType w:val="hybridMultilevel"/>
    <w:tmpl w:val="90463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436FD5"/>
    <w:multiLevelType w:val="hybridMultilevel"/>
    <w:tmpl w:val="1D4664E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24E042C"/>
    <w:multiLevelType w:val="hybridMultilevel"/>
    <w:tmpl w:val="C9C2A4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6776F6"/>
    <w:multiLevelType w:val="hybridMultilevel"/>
    <w:tmpl w:val="3D0A33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C10337"/>
    <w:multiLevelType w:val="hybridMultilevel"/>
    <w:tmpl w:val="0F3CC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49"/>
    <w:rsid w:val="000025E8"/>
    <w:rsid w:val="00013636"/>
    <w:rsid w:val="000B7D6B"/>
    <w:rsid w:val="000D63A0"/>
    <w:rsid w:val="000E0E77"/>
    <w:rsid w:val="000E7728"/>
    <w:rsid w:val="000F0211"/>
    <w:rsid w:val="000F08DF"/>
    <w:rsid w:val="000F5833"/>
    <w:rsid w:val="00135FFB"/>
    <w:rsid w:val="00162E71"/>
    <w:rsid w:val="00182B9F"/>
    <w:rsid w:val="001B7E98"/>
    <w:rsid w:val="001E1839"/>
    <w:rsid w:val="002C2BA9"/>
    <w:rsid w:val="002C3749"/>
    <w:rsid w:val="002D2057"/>
    <w:rsid w:val="002E01BD"/>
    <w:rsid w:val="0037342A"/>
    <w:rsid w:val="003B5AA0"/>
    <w:rsid w:val="003C57DE"/>
    <w:rsid w:val="00420823"/>
    <w:rsid w:val="004403B5"/>
    <w:rsid w:val="004471E3"/>
    <w:rsid w:val="00455E59"/>
    <w:rsid w:val="004864FC"/>
    <w:rsid w:val="00487831"/>
    <w:rsid w:val="004B3C64"/>
    <w:rsid w:val="004C0BA4"/>
    <w:rsid w:val="004F7E10"/>
    <w:rsid w:val="00510408"/>
    <w:rsid w:val="00521D01"/>
    <w:rsid w:val="00547D1B"/>
    <w:rsid w:val="00553396"/>
    <w:rsid w:val="00575D51"/>
    <w:rsid w:val="005C0373"/>
    <w:rsid w:val="00602086"/>
    <w:rsid w:val="00650498"/>
    <w:rsid w:val="00651A30"/>
    <w:rsid w:val="00680CC8"/>
    <w:rsid w:val="0068587D"/>
    <w:rsid w:val="00686D35"/>
    <w:rsid w:val="0069231A"/>
    <w:rsid w:val="0069448C"/>
    <w:rsid w:val="006C2E6E"/>
    <w:rsid w:val="006D6627"/>
    <w:rsid w:val="00712BB2"/>
    <w:rsid w:val="007611FC"/>
    <w:rsid w:val="00772B8C"/>
    <w:rsid w:val="007A4913"/>
    <w:rsid w:val="008A697B"/>
    <w:rsid w:val="008E27FD"/>
    <w:rsid w:val="00951CD8"/>
    <w:rsid w:val="0096291E"/>
    <w:rsid w:val="009677B1"/>
    <w:rsid w:val="00987186"/>
    <w:rsid w:val="009C7BC4"/>
    <w:rsid w:val="00A017C0"/>
    <w:rsid w:val="00A24906"/>
    <w:rsid w:val="00A95AE3"/>
    <w:rsid w:val="00AA30FE"/>
    <w:rsid w:val="00AC7512"/>
    <w:rsid w:val="00AD42DB"/>
    <w:rsid w:val="00AD4F1C"/>
    <w:rsid w:val="00B24541"/>
    <w:rsid w:val="00B85864"/>
    <w:rsid w:val="00BA4C2A"/>
    <w:rsid w:val="00BB6A67"/>
    <w:rsid w:val="00BC299A"/>
    <w:rsid w:val="00BD41A0"/>
    <w:rsid w:val="00C1099D"/>
    <w:rsid w:val="00CE23D1"/>
    <w:rsid w:val="00D57653"/>
    <w:rsid w:val="00D770DB"/>
    <w:rsid w:val="00D904F7"/>
    <w:rsid w:val="00DE66F9"/>
    <w:rsid w:val="00E17293"/>
    <w:rsid w:val="00E66DB1"/>
    <w:rsid w:val="00F37985"/>
    <w:rsid w:val="00F578CD"/>
    <w:rsid w:val="00F8280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7EA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FF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611FC"/>
    <w:pPr>
      <w:keepNext/>
      <w:keepLines/>
      <w:spacing w:after="0"/>
      <w:outlineLvl w:val="0"/>
    </w:pPr>
    <w:rPr>
      <w:rFonts w:eastAsiaTheme="majorEastAsia"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3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55339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E01B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7611FC"/>
    <w:rPr>
      <w:rFonts w:ascii="Times New Roman" w:eastAsiaTheme="majorEastAsia" w:hAnsi="Times New Roman" w:cstheme="majorBidi"/>
      <w:b/>
      <w:color w:val="2F5496" w:themeColor="accent1" w:themeShade="BF"/>
      <w:sz w:val="28"/>
      <w:szCs w:val="32"/>
    </w:rPr>
  </w:style>
  <w:style w:type="paragraph" w:styleId="Header">
    <w:name w:val="header"/>
    <w:basedOn w:val="Normal"/>
    <w:link w:val="HeaderChar"/>
    <w:uiPriority w:val="99"/>
    <w:unhideWhenUsed/>
    <w:rsid w:val="00761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1FC"/>
    <w:rPr>
      <w:rFonts w:ascii="Times New Roman" w:hAnsi="Times New Roman"/>
      <w:sz w:val="24"/>
    </w:rPr>
  </w:style>
  <w:style w:type="paragraph" w:styleId="Footer">
    <w:name w:val="footer"/>
    <w:basedOn w:val="Normal"/>
    <w:link w:val="FooterChar"/>
    <w:uiPriority w:val="99"/>
    <w:unhideWhenUsed/>
    <w:rsid w:val="00761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1FC"/>
    <w:rPr>
      <w:rFonts w:ascii="Times New Roman" w:hAnsi="Times New Roman"/>
      <w:sz w:val="24"/>
    </w:rPr>
  </w:style>
  <w:style w:type="paragraph" w:styleId="NormalWeb">
    <w:name w:val="Normal (Web)"/>
    <w:basedOn w:val="Normal"/>
    <w:uiPriority w:val="99"/>
    <w:semiHidden/>
    <w:unhideWhenUsed/>
    <w:rsid w:val="009C7BC4"/>
    <w:pPr>
      <w:spacing w:before="100" w:beforeAutospacing="1" w:after="100" w:afterAutospacing="1" w:line="240" w:lineRule="auto"/>
      <w:jc w:val="left"/>
    </w:pPr>
    <w:rPr>
      <w:rFonts w:eastAsia="Times New Roman" w:cs="Times New Roman"/>
      <w:kern w:val="0"/>
      <w:szCs w:val="24"/>
      <w14:ligatures w14:val="none"/>
    </w:rPr>
  </w:style>
  <w:style w:type="paragraph" w:styleId="ListParagraph">
    <w:name w:val="List Paragraph"/>
    <w:basedOn w:val="Normal"/>
    <w:uiPriority w:val="34"/>
    <w:qFormat/>
    <w:rsid w:val="009C7BC4"/>
    <w:pPr>
      <w:ind w:left="720"/>
      <w:contextualSpacing/>
    </w:pPr>
  </w:style>
  <w:style w:type="paragraph" w:styleId="TOCHeading">
    <w:name w:val="TOC Heading"/>
    <w:basedOn w:val="Heading1"/>
    <w:next w:val="Normal"/>
    <w:uiPriority w:val="39"/>
    <w:unhideWhenUsed/>
    <w:qFormat/>
    <w:rsid w:val="009C7BC4"/>
    <w:pPr>
      <w:spacing w:before="240" w:line="259" w:lineRule="auto"/>
      <w:jc w:val="left"/>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9C7BC4"/>
    <w:pPr>
      <w:spacing w:after="100"/>
    </w:pPr>
  </w:style>
  <w:style w:type="character" w:styleId="Hyperlink">
    <w:name w:val="Hyperlink"/>
    <w:basedOn w:val="DefaultParagraphFont"/>
    <w:uiPriority w:val="99"/>
    <w:unhideWhenUsed/>
    <w:rsid w:val="009C7B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7974">
      <w:bodyDiv w:val="1"/>
      <w:marLeft w:val="0"/>
      <w:marRight w:val="0"/>
      <w:marTop w:val="0"/>
      <w:marBottom w:val="0"/>
      <w:divBdr>
        <w:top w:val="none" w:sz="0" w:space="0" w:color="auto"/>
        <w:left w:val="none" w:sz="0" w:space="0" w:color="auto"/>
        <w:bottom w:val="none" w:sz="0" w:space="0" w:color="auto"/>
        <w:right w:val="none" w:sz="0" w:space="0" w:color="auto"/>
      </w:divBdr>
    </w:div>
    <w:div w:id="40909936">
      <w:bodyDiv w:val="1"/>
      <w:marLeft w:val="0"/>
      <w:marRight w:val="0"/>
      <w:marTop w:val="0"/>
      <w:marBottom w:val="0"/>
      <w:divBdr>
        <w:top w:val="none" w:sz="0" w:space="0" w:color="auto"/>
        <w:left w:val="none" w:sz="0" w:space="0" w:color="auto"/>
        <w:bottom w:val="none" w:sz="0" w:space="0" w:color="auto"/>
        <w:right w:val="none" w:sz="0" w:space="0" w:color="auto"/>
      </w:divBdr>
    </w:div>
    <w:div w:id="266154623">
      <w:bodyDiv w:val="1"/>
      <w:marLeft w:val="0"/>
      <w:marRight w:val="0"/>
      <w:marTop w:val="0"/>
      <w:marBottom w:val="0"/>
      <w:divBdr>
        <w:top w:val="none" w:sz="0" w:space="0" w:color="auto"/>
        <w:left w:val="none" w:sz="0" w:space="0" w:color="auto"/>
        <w:bottom w:val="none" w:sz="0" w:space="0" w:color="auto"/>
        <w:right w:val="none" w:sz="0" w:space="0" w:color="auto"/>
      </w:divBdr>
    </w:div>
    <w:div w:id="306011562">
      <w:bodyDiv w:val="1"/>
      <w:marLeft w:val="0"/>
      <w:marRight w:val="0"/>
      <w:marTop w:val="0"/>
      <w:marBottom w:val="0"/>
      <w:divBdr>
        <w:top w:val="none" w:sz="0" w:space="0" w:color="auto"/>
        <w:left w:val="none" w:sz="0" w:space="0" w:color="auto"/>
        <w:bottom w:val="none" w:sz="0" w:space="0" w:color="auto"/>
        <w:right w:val="none" w:sz="0" w:space="0" w:color="auto"/>
      </w:divBdr>
    </w:div>
    <w:div w:id="492722076">
      <w:bodyDiv w:val="1"/>
      <w:marLeft w:val="0"/>
      <w:marRight w:val="0"/>
      <w:marTop w:val="0"/>
      <w:marBottom w:val="0"/>
      <w:divBdr>
        <w:top w:val="none" w:sz="0" w:space="0" w:color="auto"/>
        <w:left w:val="none" w:sz="0" w:space="0" w:color="auto"/>
        <w:bottom w:val="none" w:sz="0" w:space="0" w:color="auto"/>
        <w:right w:val="none" w:sz="0" w:space="0" w:color="auto"/>
      </w:divBdr>
    </w:div>
    <w:div w:id="631640156">
      <w:bodyDiv w:val="1"/>
      <w:marLeft w:val="0"/>
      <w:marRight w:val="0"/>
      <w:marTop w:val="0"/>
      <w:marBottom w:val="0"/>
      <w:divBdr>
        <w:top w:val="none" w:sz="0" w:space="0" w:color="auto"/>
        <w:left w:val="none" w:sz="0" w:space="0" w:color="auto"/>
        <w:bottom w:val="none" w:sz="0" w:space="0" w:color="auto"/>
        <w:right w:val="none" w:sz="0" w:space="0" w:color="auto"/>
      </w:divBdr>
    </w:div>
    <w:div w:id="773287129">
      <w:bodyDiv w:val="1"/>
      <w:marLeft w:val="0"/>
      <w:marRight w:val="0"/>
      <w:marTop w:val="0"/>
      <w:marBottom w:val="0"/>
      <w:divBdr>
        <w:top w:val="none" w:sz="0" w:space="0" w:color="auto"/>
        <w:left w:val="none" w:sz="0" w:space="0" w:color="auto"/>
        <w:bottom w:val="none" w:sz="0" w:space="0" w:color="auto"/>
        <w:right w:val="none" w:sz="0" w:space="0" w:color="auto"/>
      </w:divBdr>
    </w:div>
    <w:div w:id="810947063">
      <w:bodyDiv w:val="1"/>
      <w:marLeft w:val="0"/>
      <w:marRight w:val="0"/>
      <w:marTop w:val="0"/>
      <w:marBottom w:val="0"/>
      <w:divBdr>
        <w:top w:val="none" w:sz="0" w:space="0" w:color="auto"/>
        <w:left w:val="none" w:sz="0" w:space="0" w:color="auto"/>
        <w:bottom w:val="none" w:sz="0" w:space="0" w:color="auto"/>
        <w:right w:val="none" w:sz="0" w:space="0" w:color="auto"/>
      </w:divBdr>
    </w:div>
    <w:div w:id="881207326">
      <w:bodyDiv w:val="1"/>
      <w:marLeft w:val="0"/>
      <w:marRight w:val="0"/>
      <w:marTop w:val="0"/>
      <w:marBottom w:val="0"/>
      <w:divBdr>
        <w:top w:val="none" w:sz="0" w:space="0" w:color="auto"/>
        <w:left w:val="none" w:sz="0" w:space="0" w:color="auto"/>
        <w:bottom w:val="none" w:sz="0" w:space="0" w:color="auto"/>
        <w:right w:val="none" w:sz="0" w:space="0" w:color="auto"/>
      </w:divBdr>
    </w:div>
    <w:div w:id="926305907">
      <w:bodyDiv w:val="1"/>
      <w:marLeft w:val="0"/>
      <w:marRight w:val="0"/>
      <w:marTop w:val="0"/>
      <w:marBottom w:val="0"/>
      <w:divBdr>
        <w:top w:val="none" w:sz="0" w:space="0" w:color="auto"/>
        <w:left w:val="none" w:sz="0" w:space="0" w:color="auto"/>
        <w:bottom w:val="none" w:sz="0" w:space="0" w:color="auto"/>
        <w:right w:val="none" w:sz="0" w:space="0" w:color="auto"/>
      </w:divBdr>
    </w:div>
    <w:div w:id="1120495522">
      <w:bodyDiv w:val="1"/>
      <w:marLeft w:val="0"/>
      <w:marRight w:val="0"/>
      <w:marTop w:val="0"/>
      <w:marBottom w:val="0"/>
      <w:divBdr>
        <w:top w:val="none" w:sz="0" w:space="0" w:color="auto"/>
        <w:left w:val="none" w:sz="0" w:space="0" w:color="auto"/>
        <w:bottom w:val="none" w:sz="0" w:space="0" w:color="auto"/>
        <w:right w:val="none" w:sz="0" w:space="0" w:color="auto"/>
      </w:divBdr>
    </w:div>
    <w:div w:id="1560945654">
      <w:bodyDiv w:val="1"/>
      <w:marLeft w:val="0"/>
      <w:marRight w:val="0"/>
      <w:marTop w:val="0"/>
      <w:marBottom w:val="0"/>
      <w:divBdr>
        <w:top w:val="none" w:sz="0" w:space="0" w:color="auto"/>
        <w:left w:val="none" w:sz="0" w:space="0" w:color="auto"/>
        <w:bottom w:val="none" w:sz="0" w:space="0" w:color="auto"/>
        <w:right w:val="none" w:sz="0" w:space="0" w:color="auto"/>
      </w:divBdr>
    </w:div>
    <w:div w:id="1561821053">
      <w:bodyDiv w:val="1"/>
      <w:marLeft w:val="0"/>
      <w:marRight w:val="0"/>
      <w:marTop w:val="0"/>
      <w:marBottom w:val="0"/>
      <w:divBdr>
        <w:top w:val="none" w:sz="0" w:space="0" w:color="auto"/>
        <w:left w:val="none" w:sz="0" w:space="0" w:color="auto"/>
        <w:bottom w:val="none" w:sz="0" w:space="0" w:color="auto"/>
        <w:right w:val="none" w:sz="0" w:space="0" w:color="auto"/>
      </w:divBdr>
    </w:div>
    <w:div w:id="1565410662">
      <w:bodyDiv w:val="1"/>
      <w:marLeft w:val="0"/>
      <w:marRight w:val="0"/>
      <w:marTop w:val="0"/>
      <w:marBottom w:val="0"/>
      <w:divBdr>
        <w:top w:val="none" w:sz="0" w:space="0" w:color="auto"/>
        <w:left w:val="none" w:sz="0" w:space="0" w:color="auto"/>
        <w:bottom w:val="none" w:sz="0" w:space="0" w:color="auto"/>
        <w:right w:val="none" w:sz="0" w:space="0" w:color="auto"/>
      </w:divBdr>
    </w:div>
    <w:div w:id="1683163972">
      <w:bodyDiv w:val="1"/>
      <w:marLeft w:val="0"/>
      <w:marRight w:val="0"/>
      <w:marTop w:val="0"/>
      <w:marBottom w:val="0"/>
      <w:divBdr>
        <w:top w:val="none" w:sz="0" w:space="0" w:color="auto"/>
        <w:left w:val="none" w:sz="0" w:space="0" w:color="auto"/>
        <w:bottom w:val="none" w:sz="0" w:space="0" w:color="auto"/>
        <w:right w:val="none" w:sz="0" w:space="0" w:color="auto"/>
      </w:divBdr>
    </w:div>
    <w:div w:id="1786536411">
      <w:bodyDiv w:val="1"/>
      <w:marLeft w:val="0"/>
      <w:marRight w:val="0"/>
      <w:marTop w:val="0"/>
      <w:marBottom w:val="0"/>
      <w:divBdr>
        <w:top w:val="none" w:sz="0" w:space="0" w:color="auto"/>
        <w:left w:val="none" w:sz="0" w:space="0" w:color="auto"/>
        <w:bottom w:val="none" w:sz="0" w:space="0" w:color="auto"/>
        <w:right w:val="none" w:sz="0" w:space="0" w:color="auto"/>
      </w:divBdr>
    </w:div>
    <w:div w:id="195651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1768E-467A-491B-A42C-BE695233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2023-11-08T11:39:00Z</dcterms:created>
  <dcterms:modified xsi:type="dcterms:W3CDTF">2023-11-08T11:39:00Z</dcterms:modified>
</cp:coreProperties>
</file>