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R="00262E18" w:rsidP="71466893" w:rsidRDefault="00262E18" w14:paraId="6A05A809" wp14:textId="77886255">
      <w:pPr>
        <w:pStyle w:val="Normal"/>
        <w:jc w:val="center"/>
        <w:rPr>
          <w:rFonts w:cs="Calibri" w:cstheme="minorAscii"/>
          <w:b w:val="1"/>
          <w:bCs w:val="1"/>
          <w:sz w:val="24"/>
          <w:szCs w:val="24"/>
        </w:rPr>
      </w:pPr>
    </w:p>
    <w:p xmlns:wp14="http://schemas.microsoft.com/office/word/2010/wordml" w:rsidR="00262E18" w:rsidP="00262E18" w:rsidRDefault="00262E18" w14:paraId="5A39BBE3" wp14:textId="77777777">
      <w:pPr>
        <w:jc w:val="center"/>
        <w:rPr>
          <w:rFonts w:cstheme="minorHAnsi"/>
          <w:b/>
          <w:sz w:val="24"/>
          <w:szCs w:val="24"/>
        </w:rPr>
      </w:pPr>
    </w:p>
    <w:p xmlns:wp14="http://schemas.microsoft.com/office/word/2010/wordml" w:rsidR="00262E18" w:rsidP="71466893" w:rsidRDefault="00262E18" w14:paraId="6F47ED0A" wp14:textId="70F583CA">
      <w:pPr>
        <w:pStyle w:val="Normal"/>
        <w:jc w:val="center"/>
        <w:rPr>
          <w:rFonts w:cs="Calibri" w:cstheme="minorAscii"/>
          <w:b w:val="1"/>
          <w:bCs w:val="1"/>
          <w:sz w:val="24"/>
          <w:szCs w:val="24"/>
        </w:rPr>
      </w:pPr>
      <w:r w:rsidRPr="71466893" w:rsidR="71466893">
        <w:rPr>
          <w:rFonts w:cs="Calibri" w:cstheme="minorAscii"/>
          <w:b w:val="1"/>
          <w:bCs w:val="1"/>
          <w:sz w:val="24"/>
          <w:szCs w:val="24"/>
        </w:rPr>
        <w:t>Knowledge Management Value Chain</w:t>
      </w:r>
      <w:r w:rsidRPr="71466893">
        <w:rPr>
          <w:rFonts w:cs="Calibri" w:cstheme="minorAscii"/>
          <w:b w:val="1"/>
          <w:bCs w:val="1"/>
          <w:sz w:val="24"/>
          <w:szCs w:val="24"/>
        </w:rPr>
        <w:br w:type="page"/>
      </w:r>
    </w:p>
    <w:p xmlns:wp14="http://schemas.microsoft.com/office/word/2010/wordml" w:rsidRPr="00262E18" w:rsidR="00262E18" w:rsidP="71466893" w:rsidRDefault="00262E18" w14:paraId="2A769D13" wp14:textId="7165CD2F">
      <w:pPr>
        <w:tabs>
          <w:tab w:val="left" w:pos="3179"/>
        </w:tabs>
        <w:spacing w:line="480" w:lineRule="auto"/>
        <w:jc w:val="both"/>
        <w:rPr>
          <w:rFonts w:cs="Calibri" w:cstheme="minorAscii"/>
          <w:b w:val="1"/>
          <w:bCs w:val="1"/>
          <w:noProof w:val="0"/>
          <w:sz w:val="24"/>
          <w:szCs w:val="24"/>
          <w:lang w:val="en-GB"/>
        </w:rPr>
      </w:pPr>
      <w:r w:rsidRPr="71466893" w:rsidR="71466893">
        <w:rPr>
          <w:rFonts w:cs="Calibri" w:cstheme="minorAscii"/>
          <w:b w:val="1"/>
          <w:bCs w:val="1"/>
          <w:sz w:val="24"/>
          <w:szCs w:val="24"/>
        </w:rPr>
        <w:t xml:space="preserve">        </w:t>
      </w:r>
      <w:r w:rsidRPr="71466893" w:rsidR="71466893">
        <w:rPr>
          <w:rFonts w:cs="Calibri" w:cstheme="minorAscii"/>
          <w:b w:val="1"/>
          <w:bCs w:val="1"/>
          <w:noProof w:val="0"/>
          <w:sz w:val="24"/>
          <w:szCs w:val="24"/>
          <w:lang w:val="en-GB"/>
        </w:rPr>
        <w:t xml:space="preserve">                               Introduction</w:t>
      </w:r>
    </w:p>
    <w:p xmlns:wp14="http://schemas.microsoft.com/office/word/2010/wordml" w:rsidRPr="00262E18" w:rsidR="00262E18" w:rsidP="71466893" w:rsidRDefault="00262E18" w14:paraId="7915AFC0" wp14:textId="3EEBAEDA">
      <w:pPr>
        <w:tabs>
          <w:tab w:val="left" w:pos="3179"/>
        </w:tabs>
        <w:spacing w:line="480" w:lineRule="auto"/>
        <w:jc w:val="both"/>
        <w:rPr>
          <w:rFonts w:cs="Calibri" w:cstheme="minorAscii"/>
          <w:noProof w:val="0"/>
          <w:sz w:val="24"/>
          <w:szCs w:val="24"/>
          <w:lang w:val="en-GB"/>
        </w:rPr>
      </w:pPr>
      <w:r w:rsidRPr="71466893" w:rsidR="71466893">
        <w:rPr>
          <w:rFonts w:cs="Calibri" w:cstheme="minorAscii"/>
          <w:noProof w:val="0"/>
          <w:sz w:val="24"/>
          <w:szCs w:val="24"/>
          <w:lang w:val="en-GB"/>
        </w:rPr>
        <w:t xml:space="preserve"> Knowledge management is a progression of steps that include identifying, collecting, storing, and sharing explicit, implicit, and tacit information.</w:t>
      </w:r>
    </w:p>
    <w:p xmlns:wp14="http://schemas.microsoft.com/office/word/2010/wordml" w:rsidRPr="00262E18" w:rsidR="00262E18" w:rsidP="71466893" w:rsidRDefault="00262E18" w14:paraId="021FA458" wp14:textId="5B73F72D">
      <w:pPr>
        <w:tabs>
          <w:tab w:val="left" w:pos="3179"/>
        </w:tabs>
        <w:spacing w:line="480" w:lineRule="auto"/>
        <w:jc w:val="both"/>
        <w:rPr>
          <w:rFonts w:cs="Calibri" w:cstheme="minorAscii"/>
          <w:noProof w:val="0"/>
          <w:sz w:val="24"/>
          <w:szCs w:val="24"/>
          <w:lang w:val="en-GB"/>
        </w:rPr>
      </w:pPr>
      <w:r w:rsidRPr="71466893" w:rsidR="71466893">
        <w:rPr>
          <w:rFonts w:cs="Calibri" w:cstheme="minorAscii"/>
          <w:noProof w:val="0"/>
          <w:sz w:val="24"/>
          <w:szCs w:val="24"/>
          <w:lang w:val="en-GB"/>
        </w:rPr>
        <w:t>KM (Knowledge Management) keeps on being a crucial fixing in making supportable competitive advantage (Grant, 1997; Blackler, 1995). Close by later years various specialised advancements and expanding globalisation follow an integration, obscuring, and redefinition of business sectors and plans of action (Håkansson, 1982; Hedberg et al, 1997; Paulsen and Hernes, 2003). Organisations are meeting these patterns with the expanded association in, and reliance on authoritative exercises (Baker, 1992; Cravens, Shipp and Cravens, 1994).</w:t>
      </w:r>
    </w:p>
    <w:p xmlns:wp14="http://schemas.microsoft.com/office/word/2010/wordml" w:rsidRPr="00262E18" w:rsidR="00262E18" w:rsidP="71466893" w:rsidRDefault="00262E18" w14:paraId="6E7E0C9C" wp14:textId="77777777">
      <w:pPr>
        <w:tabs>
          <w:tab w:val="left" w:pos="3179"/>
        </w:tabs>
        <w:spacing w:line="480" w:lineRule="auto"/>
        <w:jc w:val="both"/>
        <w:rPr>
          <w:rFonts w:cs="Calibri" w:cstheme="minorAscii"/>
          <w:b w:val="1"/>
          <w:bCs w:val="1"/>
          <w:noProof w:val="0"/>
          <w:sz w:val="24"/>
          <w:szCs w:val="24"/>
          <w:lang w:val="en-GB"/>
        </w:rPr>
      </w:pPr>
      <w:r w:rsidRPr="71466893" w:rsidR="71466893">
        <w:rPr>
          <w:rFonts w:cs="Calibri" w:cstheme="minorAscii"/>
          <w:b w:val="1"/>
          <w:bCs w:val="1"/>
          <w:noProof w:val="0"/>
          <w:sz w:val="24"/>
          <w:szCs w:val="24"/>
          <w:lang w:val="en-GB"/>
        </w:rPr>
        <w:t>The comparative business model between Amazon and Alibaba eCommerce sites</w:t>
      </w:r>
    </w:p>
    <w:p xmlns:wp14="http://schemas.microsoft.com/office/word/2010/wordml" w:rsidRPr="00262E18" w:rsidR="00262E18" w:rsidP="71466893" w:rsidRDefault="00262E18" w14:paraId="3C704635" wp14:textId="692DA080">
      <w:pPr>
        <w:pStyle w:val="NoSpacing"/>
        <w:spacing w:line="480" w:lineRule="auto"/>
        <w:jc w:val="both"/>
        <w:rPr>
          <w:rFonts w:cs="Calibri" w:cstheme="minorAscii"/>
          <w:noProof w:val="0"/>
          <w:color w:val="000000"/>
          <w:sz w:val="24"/>
          <w:szCs w:val="24"/>
          <w:shd w:val="clear" w:color="auto" w:fill="FFFFFF"/>
          <w:lang w:val="en-GB"/>
        </w:rPr>
      </w:pPr>
      <w:r w:rsidRPr="71466893">
        <w:rPr>
          <w:rFonts w:cs="Calibri" w:cstheme="minorAscii"/>
          <w:noProof w:val="0"/>
          <w:color w:val="000000"/>
          <w:sz w:val="24"/>
          <w:szCs w:val="24"/>
          <w:shd w:val="clear" w:color="auto" w:fill="FFFFFF"/>
          <w:lang w:val="en-GB"/>
        </w:rPr>
        <w:t xml:space="preserve">Amazon's Business Model Often promoted as the biggest online retailer in the world, Amazon works a plan of action with many moving parts. Although Alibaba's Business Model Just as Amazon is referred to by most American customers as an internet business titan, China's web-based business market is overwhelmed by Alibaba. Though the organisation works through a remarkable blend of business models, Alibaba's </w:t>
      </w:r>
      <w:r w:rsidRPr="71466893">
        <w:rPr>
          <w:rFonts w:cs="Calibri" w:cstheme="minorAscii"/>
          <w:noProof w:val="0"/>
          <w:color w:val="000000"/>
          <w:sz w:val="24"/>
          <w:szCs w:val="24"/>
          <w:shd w:val="clear" w:color="auto" w:fill="FFFFFF"/>
          <w:lang w:val="en-GB"/>
        </w:rPr>
        <w:t>centre</w:t>
      </w:r>
      <w:r w:rsidRPr="71466893">
        <w:rPr>
          <w:rFonts w:cs="Calibri" w:cstheme="minorAscii"/>
          <w:noProof w:val="0"/>
          <w:color w:val="000000"/>
          <w:sz w:val="24"/>
          <w:szCs w:val="24"/>
          <w:shd w:val="clear" w:color="auto" w:fill="FFFFFF"/>
          <w:lang w:val="en-GB"/>
        </w:rPr>
        <w:t xml:space="preserve"> business looks like that of eBay. Alibaba goes about as an agent among purchasers and vendors on the web and works with the offer of merchandise between the two gatherings through its broad organization of sites</w:t>
      </w:r>
      <w:r w:rsidRPr="71466893">
        <w:rPr>
          <w:rFonts w:cs="Calibri" w:cstheme="minorAscii"/>
          <w:noProof w:val="0"/>
          <w:color w:val="000000"/>
          <w:sz w:val="24"/>
          <w:szCs w:val="24"/>
          <w:shd w:val="clear" w:color="auto" w:fill="FFFFFF"/>
          <w:lang w:val="en-GB"/>
        </w:rPr>
        <w:t>.</w:t>
      </w:r>
    </w:p>
    <w:p xmlns:wp14="http://schemas.microsoft.com/office/word/2010/wordml" w:rsidRPr="00262E18" w:rsidR="00262E18" w:rsidP="71466893" w:rsidRDefault="00262E18" w14:paraId="7BC69D49" wp14:textId="77777777">
      <w:pPr>
        <w:tabs>
          <w:tab w:val="left" w:pos="3179"/>
        </w:tabs>
        <w:spacing w:line="480" w:lineRule="auto"/>
        <w:jc w:val="both"/>
        <w:rPr>
          <w:rFonts w:cs="Calibri" w:cstheme="minorAscii"/>
          <w:noProof w:val="0"/>
          <w:color w:val="2E333A"/>
          <w:sz w:val="24"/>
          <w:szCs w:val="24"/>
          <w:shd w:val="clear" w:color="auto" w:fill="FFFFFF"/>
          <w:lang w:val="en-GB"/>
        </w:rPr>
      </w:pPr>
      <w:r w:rsidRPr="71466893">
        <w:rPr>
          <w:rFonts w:cs="Calibri" w:cstheme="minorAscii"/>
          <w:b w:val="1"/>
          <w:bCs w:val="1"/>
          <w:noProof w:val="0"/>
          <w:color w:val="2E333A"/>
          <w:sz w:val="24"/>
          <w:szCs w:val="24"/>
          <w:shd w:val="clear" w:color="auto" w:fill="FFFFFF"/>
          <w:lang w:val="en-GB"/>
        </w:rPr>
        <w:t xml:space="preserve">Knowledge Management of Amazon, Storage stage </w:t>
      </w:r>
    </w:p>
    <w:p xmlns:wp14="http://schemas.microsoft.com/office/word/2010/wordml" w:rsidRPr="00262E18" w:rsidR="00262E18" w:rsidP="71466893" w:rsidRDefault="00262E18" w14:paraId="456D0B18" wp14:textId="77777777">
      <w:pPr>
        <w:tabs>
          <w:tab w:val="left" w:pos="3179"/>
        </w:tabs>
        <w:spacing w:line="480" w:lineRule="auto"/>
        <w:jc w:val="both"/>
        <w:rPr>
          <w:rFonts w:cs="Calibri" w:cstheme="minorAscii"/>
          <w:noProof w:val="0"/>
          <w:color w:val="2E333A"/>
          <w:sz w:val="24"/>
          <w:szCs w:val="24"/>
          <w:shd w:val="clear" w:color="auto" w:fill="FFFFFF"/>
          <w:lang w:val="en-GB"/>
        </w:rPr>
      </w:pPr>
      <w:r w:rsidRPr="71466893">
        <w:rPr>
          <w:rFonts w:cs="Calibri" w:cstheme="minorAscii"/>
          <w:noProof w:val="0"/>
          <w:color w:val="2E333A"/>
          <w:sz w:val="24"/>
          <w:szCs w:val="24"/>
          <w:shd w:val="clear" w:color="auto" w:fill="FFFFFF"/>
          <w:lang w:val="en-GB"/>
        </w:rPr>
        <w:t>Amazon uses KM principles and practices to add significant value for their customers in many ways:</w:t>
      </w:r>
    </w:p>
    <w:p xmlns:wp14="http://schemas.microsoft.com/office/word/2010/wordml" w:rsidRPr="00262E18" w:rsidR="00000000" w:rsidP="71466893" w:rsidRDefault="00C51657" w14:paraId="6312FFA2" wp14:textId="77777777">
      <w:pPr>
        <w:numPr>
          <w:ilvl w:val="0"/>
          <w:numId w:val="1"/>
        </w:numPr>
        <w:tabs>
          <w:tab w:val="left" w:pos="3179"/>
        </w:tabs>
        <w:spacing w:line="480" w:lineRule="auto"/>
        <w:jc w:val="both"/>
        <w:rPr>
          <w:rFonts w:cs="Calibri" w:cstheme="minorAscii"/>
          <w:color w:val="2E333A"/>
          <w:sz w:val="24"/>
          <w:szCs w:val="24"/>
          <w:shd w:val="clear" w:color="auto" w:fill="FFFFFF"/>
        </w:rPr>
      </w:pPr>
      <w:r w:rsidRPr="71466893">
        <w:rPr>
          <w:rFonts w:cs="Calibri" w:cstheme="minorAscii"/>
          <w:noProof w:val="0"/>
          <w:color w:val="2E333A"/>
          <w:sz w:val="24"/>
          <w:szCs w:val="24"/>
          <w:shd w:val="clear" w:color="auto" w:fill="FFFFFF"/>
          <w:lang w:val="en-GB"/>
        </w:rPr>
        <w:lastRenderedPageBreak/>
        <w:t>One portal, one interfac</w:t>
      </w:r>
      <w:r w:rsidRPr="71466893">
        <w:rPr>
          <w:rFonts w:cs="Calibri" w:cstheme="minorAscii"/>
          <w:noProof w:val="0"/>
          <w:color w:val="2E333A"/>
          <w:sz w:val="24"/>
          <w:szCs w:val="24"/>
          <w:shd w:val="clear" w:color="auto" w:fill="FFFFFF"/>
          <w:lang w:val="en-GB"/>
        </w:rPr>
        <w:t>e</w:t>
      </w:r>
    </w:p>
    <w:p xmlns:wp14="http://schemas.microsoft.com/office/word/2010/wordml" w:rsidRPr="00262E18" w:rsidR="00000000" w:rsidP="71466893" w:rsidRDefault="00C51657" w14:paraId="5B701A6E" wp14:textId="77777777">
      <w:pPr>
        <w:numPr>
          <w:ilvl w:val="0"/>
          <w:numId w:val="1"/>
        </w:numPr>
        <w:tabs>
          <w:tab w:val="left" w:pos="3179"/>
        </w:tabs>
        <w:spacing w:line="480" w:lineRule="auto"/>
        <w:jc w:val="both"/>
        <w:rPr>
          <w:rFonts w:cs="Calibri" w:cstheme="minorAscii"/>
          <w:color w:val="2E333A"/>
          <w:sz w:val="24"/>
          <w:szCs w:val="24"/>
          <w:shd w:val="clear" w:color="auto" w:fill="FFFFFF"/>
        </w:rPr>
      </w:pPr>
      <w:r w:rsidRPr="71466893">
        <w:rPr>
          <w:rFonts w:cs="Calibri" w:cstheme="minorAscii"/>
          <w:noProof w:val="0"/>
          <w:color w:val="2E333A"/>
          <w:sz w:val="24"/>
          <w:szCs w:val="24"/>
          <w:shd w:val="clear" w:color="auto" w:fill="FFFFFF"/>
          <w:lang w:val="en-GB"/>
        </w:rPr>
        <w:t>Consistent presentation</w:t>
      </w:r>
    </w:p>
    <w:p xmlns:wp14="http://schemas.microsoft.com/office/word/2010/wordml" w:rsidRPr="00262E18" w:rsidR="00000000" w:rsidP="71466893" w:rsidRDefault="00C51657" w14:paraId="121C646B" wp14:textId="77777777">
      <w:pPr>
        <w:numPr>
          <w:ilvl w:val="0"/>
          <w:numId w:val="1"/>
        </w:numPr>
        <w:tabs>
          <w:tab w:val="left" w:pos="3179"/>
        </w:tabs>
        <w:spacing w:line="480" w:lineRule="auto"/>
        <w:jc w:val="both"/>
        <w:rPr>
          <w:rFonts w:cs="Calibri" w:cstheme="minorAscii"/>
          <w:color w:val="2E333A"/>
          <w:sz w:val="24"/>
          <w:szCs w:val="24"/>
          <w:shd w:val="clear" w:color="auto" w:fill="FFFFFF"/>
        </w:rPr>
      </w:pPr>
      <w:r w:rsidRPr="71466893">
        <w:rPr>
          <w:rFonts w:cs="Calibri" w:cstheme="minorAscii"/>
          <w:noProof w:val="0"/>
          <w:color w:val="2E333A"/>
          <w:sz w:val="24"/>
          <w:szCs w:val="24"/>
          <w:shd w:val="clear" w:color="auto" w:fill="FFFFFF"/>
          <w:lang w:val="en-GB"/>
        </w:rPr>
        <w:t>Modular content</w:t>
      </w:r>
    </w:p>
    <w:p xmlns:wp14="http://schemas.microsoft.com/office/word/2010/wordml" w:rsidRPr="00262E18" w:rsidR="00000000" w:rsidP="71466893" w:rsidRDefault="00C51657" w14:paraId="79C4064C" wp14:textId="77777777">
      <w:pPr>
        <w:numPr>
          <w:ilvl w:val="0"/>
          <w:numId w:val="1"/>
        </w:numPr>
        <w:tabs>
          <w:tab w:val="left" w:pos="3179"/>
        </w:tabs>
        <w:spacing w:line="480" w:lineRule="auto"/>
        <w:jc w:val="both"/>
        <w:rPr>
          <w:rFonts w:cs="Calibri" w:cstheme="minorAscii"/>
          <w:color w:val="2E333A"/>
          <w:sz w:val="24"/>
          <w:szCs w:val="24"/>
          <w:shd w:val="clear" w:color="auto" w:fill="FFFFFF"/>
        </w:rPr>
      </w:pPr>
      <w:r w:rsidRPr="71466893">
        <w:rPr>
          <w:rFonts w:cs="Calibri" w:cstheme="minorAscii"/>
          <w:noProof w:val="0"/>
          <w:color w:val="2E333A"/>
          <w:sz w:val="24"/>
          <w:szCs w:val="24"/>
          <w:shd w:val="clear" w:color="auto" w:fill="FFFFFF"/>
          <w:lang w:val="en-GB"/>
        </w:rPr>
        <w:t>Distributed upstream content</w:t>
      </w:r>
      <w:r w:rsidRPr="71466893">
        <w:rPr>
          <w:rFonts w:cs="Calibri" w:cstheme="minorAscii"/>
          <w:noProof w:val="0"/>
          <w:color w:val="2E333A"/>
          <w:sz w:val="24"/>
          <w:szCs w:val="24"/>
          <w:shd w:val="clear" w:color="auto" w:fill="FFFFFF"/>
          <w:lang w:val="en-GB"/>
        </w:rPr>
        <w:t xml:space="preserve"> creation</w:t>
      </w:r>
    </w:p>
    <w:p xmlns:wp14="http://schemas.microsoft.com/office/word/2010/wordml" w:rsidRPr="00262E18" w:rsidR="00000000" w:rsidP="71466893" w:rsidRDefault="00C51657" w14:paraId="7DFC0F9C" wp14:textId="77777777">
      <w:pPr>
        <w:numPr>
          <w:ilvl w:val="0"/>
          <w:numId w:val="1"/>
        </w:numPr>
        <w:tabs>
          <w:tab w:val="left" w:pos="3179"/>
        </w:tabs>
        <w:spacing w:line="480" w:lineRule="auto"/>
        <w:jc w:val="both"/>
        <w:rPr>
          <w:rFonts w:cs="Calibri" w:cstheme="minorAscii"/>
          <w:color w:val="2E333A"/>
          <w:sz w:val="24"/>
          <w:szCs w:val="24"/>
          <w:shd w:val="clear" w:color="auto" w:fill="FFFFFF"/>
        </w:rPr>
      </w:pPr>
      <w:r w:rsidRPr="71466893">
        <w:rPr>
          <w:rFonts w:cs="Calibri" w:cstheme="minorAscii"/>
          <w:noProof w:val="0"/>
          <w:color w:val="2E333A"/>
          <w:sz w:val="24"/>
          <w:szCs w:val="24"/>
          <w:shd w:val="clear" w:color="auto" w:fill="FFFFFF"/>
          <w:lang w:val="en-GB"/>
        </w:rPr>
        <w:t>Almost magical personalization</w:t>
      </w:r>
    </w:p>
    <w:p xmlns:wp14="http://schemas.microsoft.com/office/word/2010/wordml" w:rsidRPr="00262E18" w:rsidR="00262E18" w:rsidP="71466893" w:rsidRDefault="00262E18" w14:paraId="5B7EEFEA" wp14:textId="77777777">
      <w:pPr>
        <w:pStyle w:val="NoSpacing"/>
        <w:spacing w:line="480" w:lineRule="auto"/>
        <w:jc w:val="both"/>
        <w:rPr>
          <w:rFonts w:cs="Calibri" w:cstheme="minorAscii"/>
          <w:b w:val="1"/>
          <w:bCs w:val="1"/>
          <w:noProof w:val="0"/>
          <w:sz w:val="24"/>
          <w:szCs w:val="24"/>
          <w:lang w:val="en-GB"/>
        </w:rPr>
      </w:pPr>
      <w:r w:rsidRPr="71466893" w:rsidR="71466893">
        <w:rPr>
          <w:rFonts w:cs="Calibri" w:cstheme="minorAscii"/>
          <w:b w:val="1"/>
          <w:bCs w:val="1"/>
          <w:noProof w:val="0"/>
          <w:sz w:val="24"/>
          <w:szCs w:val="24"/>
          <w:lang w:val="en-GB"/>
        </w:rPr>
        <w:t>Their Method</w:t>
      </w:r>
    </w:p>
    <w:p xmlns:wp14="http://schemas.microsoft.com/office/word/2010/wordml" w:rsidRPr="00262E18" w:rsidR="00262E18" w:rsidP="71466893" w:rsidRDefault="00262E18" w14:paraId="2218C4C7" wp14:textId="59E14F77">
      <w:pPr>
        <w:pStyle w:val="NoSpacing"/>
        <w:spacing w:line="480" w:lineRule="auto"/>
        <w:jc w:val="both"/>
        <w:rPr>
          <w:rFonts w:cs="Calibri" w:cstheme="minorAscii"/>
          <w:noProof w:val="0"/>
          <w:sz w:val="24"/>
          <w:szCs w:val="24"/>
          <w:lang w:val="en-GB"/>
        </w:rPr>
      </w:pPr>
      <w:r w:rsidRPr="71466893" w:rsidR="71466893">
        <w:rPr>
          <w:rFonts w:cs="Calibri" w:cstheme="minorAscii"/>
          <w:noProof w:val="0"/>
          <w:sz w:val="24"/>
          <w:szCs w:val="24"/>
          <w:lang w:val="en-GB"/>
        </w:rPr>
        <w:t xml:space="preserve">Amazon maintains a business platform of action as a </w:t>
      </w:r>
      <w:r w:rsidRPr="71466893" w:rsidR="71466893">
        <w:rPr>
          <w:rFonts w:cs="Calibri" w:cstheme="minorAscii"/>
          <w:noProof w:val="0"/>
          <w:sz w:val="24"/>
          <w:szCs w:val="24"/>
          <w:lang w:val="en-GB"/>
        </w:rPr>
        <w:t>centre</w:t>
      </w:r>
      <w:r w:rsidRPr="71466893" w:rsidR="71466893">
        <w:rPr>
          <w:rFonts w:cs="Calibri" w:cstheme="minorAscii"/>
          <w:noProof w:val="0"/>
          <w:sz w:val="24"/>
          <w:szCs w:val="24"/>
          <w:lang w:val="en-GB"/>
        </w:rPr>
        <w:t xml:space="preserve"> model with a few specialty units inside. A few units like; Prime and the Advertising business, are exceptionally attached to the E-commerce business platform. For example, Prime assists Amazon with compensating rehash clients, accordingly upgrading its foundation business.</w:t>
      </w:r>
    </w:p>
    <w:p xmlns:wp14="http://schemas.microsoft.com/office/word/2010/wordml" w:rsidRPr="00262E18" w:rsidR="00262E18" w:rsidP="71466893" w:rsidRDefault="00262E18" w14:paraId="034EA8F0" wp14:textId="77777777">
      <w:pPr>
        <w:pStyle w:val="NoSpacing"/>
        <w:spacing w:line="480" w:lineRule="auto"/>
        <w:jc w:val="both"/>
        <w:rPr>
          <w:rFonts w:cs="Calibri" w:cstheme="minorAscii"/>
          <w:b w:val="1"/>
          <w:bCs w:val="1"/>
          <w:noProof w:val="0"/>
          <w:sz w:val="24"/>
          <w:szCs w:val="24"/>
          <w:lang w:val="en-GB"/>
        </w:rPr>
      </w:pPr>
      <w:r w:rsidRPr="71466893" w:rsidR="71466893">
        <w:rPr>
          <w:rFonts w:cs="Calibri" w:cstheme="minorAscii"/>
          <w:b w:val="1"/>
          <w:bCs w:val="1"/>
          <w:noProof w:val="0"/>
          <w:sz w:val="24"/>
          <w:szCs w:val="24"/>
          <w:lang w:val="en-GB"/>
        </w:rPr>
        <w:t>Reason (Why Amazon is Good)!</w:t>
      </w:r>
    </w:p>
    <w:p xmlns:wp14="http://schemas.microsoft.com/office/word/2010/wordml" w:rsidRPr="00262E18" w:rsidR="00262E18" w:rsidP="71466893" w:rsidRDefault="00262E18" w14:paraId="28EAAC28" wp14:textId="77777777">
      <w:pPr>
        <w:pStyle w:val="NoSpacing"/>
        <w:spacing w:line="480" w:lineRule="auto"/>
        <w:jc w:val="both"/>
        <w:rPr>
          <w:rFonts w:cs="Calibri" w:cstheme="minorAscii"/>
          <w:noProof w:val="0"/>
          <w:sz w:val="24"/>
          <w:szCs w:val="24"/>
          <w:lang w:val="en-GB"/>
        </w:rPr>
      </w:pPr>
      <w:r w:rsidRPr="71466893" w:rsidR="71466893">
        <w:rPr>
          <w:rFonts w:cs="Calibri" w:cstheme="minorAscii"/>
          <w:noProof w:val="0"/>
          <w:sz w:val="24"/>
          <w:szCs w:val="24"/>
          <w:lang w:val="en-GB"/>
        </w:rPr>
        <w:t>There are three ways due to which Amazon is better than Alibaba:</w:t>
      </w:r>
    </w:p>
    <w:p xmlns:wp14="http://schemas.microsoft.com/office/word/2010/wordml" w:rsidRPr="00262E18" w:rsidR="00262E18" w:rsidP="71466893" w:rsidRDefault="00262E18" w14:paraId="22CB1493" wp14:textId="77777777">
      <w:pPr>
        <w:pStyle w:val="NoSpacing"/>
        <w:spacing w:line="480" w:lineRule="auto"/>
        <w:jc w:val="both"/>
        <w:rPr>
          <w:rFonts w:cs="Calibri" w:cstheme="minorAscii"/>
          <w:noProof w:val="0"/>
          <w:sz w:val="24"/>
          <w:szCs w:val="24"/>
          <w:lang w:val="en-GB"/>
        </w:rPr>
      </w:pPr>
      <w:r w:rsidRPr="71466893" w:rsidR="71466893">
        <w:rPr>
          <w:rFonts w:cs="Calibri" w:cstheme="minorAscii"/>
          <w:noProof w:val="0"/>
          <w:sz w:val="24"/>
          <w:szCs w:val="24"/>
          <w:lang w:val="en-GB"/>
        </w:rPr>
        <w:t>Target Audience: It is the biggest difference, Amazon sells directly to consumers for both new and used items, while Alibaba is a middleman between buyers and sellers.</w:t>
      </w:r>
    </w:p>
    <w:p xmlns:wp14="http://schemas.microsoft.com/office/word/2010/wordml" w:rsidRPr="00262E18" w:rsidR="00262E18" w:rsidP="71466893" w:rsidRDefault="00262E18" w14:paraId="17D0059B" wp14:textId="77777777">
      <w:pPr>
        <w:pStyle w:val="NoSpacing"/>
        <w:spacing w:line="480" w:lineRule="auto"/>
        <w:jc w:val="both"/>
        <w:rPr>
          <w:rFonts w:cs="Calibri" w:cstheme="minorAscii"/>
          <w:noProof w:val="0"/>
          <w:sz w:val="24"/>
          <w:szCs w:val="24"/>
          <w:lang w:val="en-GB"/>
        </w:rPr>
      </w:pPr>
      <w:r w:rsidRPr="71466893" w:rsidR="71466893">
        <w:rPr>
          <w:rFonts w:cs="Calibri" w:cstheme="minorAscii"/>
          <w:noProof w:val="0"/>
          <w:sz w:val="24"/>
          <w:szCs w:val="24"/>
          <w:lang w:val="en-GB"/>
        </w:rPr>
        <w:t>Fees: Amazon charge seller various fees in exchange for being able to list products through monthly fees, membership, or many other ways.</w:t>
      </w:r>
    </w:p>
    <w:p xmlns:wp14="http://schemas.microsoft.com/office/word/2010/wordml" w:rsidRPr="00262E18" w:rsidR="00262E18" w:rsidP="71466893" w:rsidRDefault="00262E18" w14:paraId="6F94E1D3" wp14:textId="77777777">
      <w:pPr>
        <w:pStyle w:val="NoSpacing"/>
        <w:spacing w:line="480" w:lineRule="auto"/>
        <w:jc w:val="both"/>
        <w:rPr>
          <w:rFonts w:cs="Calibri" w:cstheme="minorAscii"/>
          <w:noProof w:val="0"/>
          <w:sz w:val="24"/>
          <w:szCs w:val="24"/>
          <w:lang w:val="en-GB"/>
        </w:rPr>
      </w:pPr>
      <w:r w:rsidRPr="71466893" w:rsidR="71466893">
        <w:rPr>
          <w:rFonts w:cs="Calibri" w:cstheme="minorAscii"/>
          <w:noProof w:val="0"/>
          <w:sz w:val="24"/>
          <w:szCs w:val="24"/>
          <w:lang w:val="en-GB"/>
        </w:rPr>
        <w:t>Revenue Sources: This is a major difference, Amazon has a combination of online and offline stores (see: Whole Foods), with their revenue sources coming from big-name brands, individual sellers, subscription services, and advertising.</w:t>
      </w:r>
    </w:p>
    <w:p xmlns:wp14="http://schemas.microsoft.com/office/word/2010/wordml" w:rsidRPr="00262E18" w:rsidR="00262E18" w:rsidP="71466893" w:rsidRDefault="00262E18" w14:paraId="212BCF59" wp14:textId="77777777">
      <w:pPr>
        <w:pStyle w:val="NoSpacing"/>
        <w:spacing w:line="480" w:lineRule="auto"/>
        <w:jc w:val="both"/>
        <w:rPr>
          <w:rFonts w:cs="Calibri" w:cstheme="minorAscii"/>
          <w:b w:val="1"/>
          <w:bCs w:val="1"/>
          <w:noProof w:val="0"/>
          <w:sz w:val="24"/>
          <w:szCs w:val="24"/>
          <w:lang w:val="en-GB"/>
        </w:rPr>
      </w:pPr>
      <w:r w:rsidRPr="71466893" w:rsidR="71466893">
        <w:rPr>
          <w:rFonts w:cs="Calibri" w:cstheme="minorAscii"/>
          <w:b w:val="1"/>
          <w:bCs w:val="1"/>
          <w:noProof w:val="0"/>
          <w:sz w:val="24"/>
          <w:szCs w:val="24"/>
          <w:lang w:val="en-GB"/>
        </w:rPr>
        <w:t>Analysis of outcomes for Strategic</w:t>
      </w:r>
      <w:bookmarkStart w:name="_GoBack" w:id="0"/>
      <w:bookmarkEnd w:id="0"/>
    </w:p>
    <w:p xmlns:wp14="http://schemas.microsoft.com/office/word/2010/wordml" w:rsidRPr="00262E18" w:rsidR="00262E18" w:rsidP="71466893" w:rsidRDefault="00262E18" w14:paraId="36E35B45" wp14:textId="6D61FA7A">
      <w:pPr>
        <w:pStyle w:val="NormalWeb"/>
        <w:shd w:val="clear" w:color="auto" w:fill="FFFFFF" w:themeFill="background1"/>
        <w:spacing w:before="240" w:beforeAutospacing="off" w:after="225" w:afterAutospacing="off" w:line="480" w:lineRule="auto"/>
        <w:jc w:val="both"/>
        <w:rPr>
          <w:rFonts w:ascii="Calibri" w:hAnsi="Calibri" w:cs="Calibri" w:asciiTheme="minorAscii" w:hAnsiTheme="minorAscii" w:cstheme="minorAscii"/>
          <w:noProof w:val="0"/>
          <w:color w:val="000000"/>
          <w:lang w:val="en-GB"/>
        </w:rPr>
      </w:pPr>
      <w:r w:rsidRPr="71466893">
        <w:rPr>
          <w:rFonts w:ascii="Calibri" w:hAnsi="Calibri" w:cs="Calibri" w:asciiTheme="minorAscii" w:hAnsiTheme="minorAscii" w:cstheme="minorAscii"/>
          <w:noProof w:val="0"/>
          <w:color w:val="333333"/>
          <w:shd w:val="clear" w:color="auto" w:fill="FFFFFF"/>
          <w:lang w:val="en-GB"/>
        </w:rPr>
        <w:t xml:space="preserve">Amazon’s strategy is driven by its sources of competitive advantage wherein it is focused on technology, actualising the benefits of economies of scale, and leveraging the efficiencies from the synergies between its external drivers and internal resources have been the cornerstones of its business model. Further, Amazon uses Big Data Analytics as a tool to map consumer </w:t>
      </w:r>
      <w:r w:rsidRPr="71466893">
        <w:rPr>
          <w:rFonts w:ascii="Calibri" w:hAnsi="Calibri" w:cs="Calibri" w:asciiTheme="minorAscii" w:hAnsiTheme="minorAscii" w:cstheme="minorAscii"/>
          <w:noProof w:val="0"/>
          <w:color w:val="333333"/>
          <w:shd w:val="clear" w:color="auto" w:fill="FFFFFF"/>
          <w:lang w:val="en-GB"/>
        </w:rPr>
        <w:t>behaviour</w:t>
      </w:r>
      <w:r w:rsidRPr="71466893">
        <w:rPr>
          <w:rFonts w:ascii="Calibri" w:hAnsi="Calibri" w:cs="Calibri" w:asciiTheme="minorAscii" w:hAnsiTheme="minorAscii" w:cstheme="minorAscii"/>
          <w:noProof w:val="0"/>
          <w:color w:val="333333"/>
          <w:shd w:val="clear" w:color="auto" w:fill="FFFFFF"/>
          <w:lang w:val="en-GB"/>
        </w:rPr>
        <w:lastRenderedPageBreak/>
        <w:t>. Indeed, Big Data has been embraced to such an extent by the company that it is now in a position to market this as another service offering.</w:t>
      </w:r>
    </w:p>
    <w:p xmlns:wp14="http://schemas.microsoft.com/office/word/2010/wordml" w:rsidR="00262E18" w:rsidP="71466893" w:rsidRDefault="00262E18" w14:paraId="4B94D5A5" wp14:textId="77777777">
      <w:pPr>
        <w:spacing w:line="480" w:lineRule="auto"/>
        <w:rPr>
          <w:rFonts w:cs="Calibri" w:cstheme="minorAscii"/>
          <w:b w:val="1"/>
          <w:bCs w:val="1"/>
          <w:noProof w:val="0"/>
          <w:sz w:val="24"/>
          <w:szCs w:val="24"/>
          <w:lang w:val="en-GB"/>
        </w:rPr>
      </w:pPr>
      <w:r w:rsidRPr="71466893">
        <w:rPr>
          <w:rFonts w:cs="Calibri" w:cstheme="minorAscii"/>
          <w:b w:val="1"/>
          <w:bCs w:val="1"/>
          <w:noProof w:val="0"/>
          <w:sz w:val="24"/>
          <w:szCs w:val="24"/>
          <w:lang w:val="en-GB"/>
        </w:rPr>
        <w:br w:type="page"/>
      </w:r>
    </w:p>
    <w:p w:rsidR="71466893" w:rsidP="71466893" w:rsidRDefault="71466893" w14:paraId="60F96A61" w14:textId="5C2E8DCE">
      <w:pPr>
        <w:pStyle w:val="NoSpacing"/>
        <w:spacing w:line="480" w:lineRule="auto"/>
        <w:jc w:val="both"/>
        <w:rPr>
          <w:rFonts w:cs="Calibri" w:cstheme="minorAscii"/>
          <w:b w:val="1"/>
          <w:bCs w:val="1"/>
          <w:noProof w:val="0"/>
          <w:sz w:val="24"/>
          <w:szCs w:val="24"/>
          <w:lang w:val="en-GB"/>
        </w:rPr>
      </w:pPr>
      <w:r w:rsidRPr="71466893" w:rsidR="71466893">
        <w:rPr>
          <w:rFonts w:cs="Calibri" w:cstheme="minorAscii"/>
          <w:b w:val="1"/>
          <w:bCs w:val="1"/>
          <w:noProof w:val="0"/>
          <w:sz w:val="24"/>
          <w:szCs w:val="24"/>
          <w:lang w:val="en-GB"/>
        </w:rPr>
        <w:t>References:</w:t>
      </w:r>
    </w:p>
    <w:p w:rsidR="71466893" w:rsidP="71466893" w:rsidRDefault="71466893" w14:paraId="03D2DD3E" w14:textId="3150101E">
      <w:pPr>
        <w:spacing w:line="480" w:lineRule="auto"/>
        <w:ind w:left="720" w:hanging="720"/>
        <w:jc w:val="both"/>
        <w:rPr>
          <w:rFonts w:cs="Calibri" w:cstheme="minorAscii"/>
          <w:noProof w:val="0"/>
          <w:color w:val="222222"/>
          <w:sz w:val="24"/>
          <w:szCs w:val="24"/>
          <w:lang w:val="en-GB"/>
        </w:rPr>
      </w:pPr>
      <w:r w:rsidRPr="7636053E" w:rsidR="7636053E">
        <w:rPr>
          <w:rFonts w:cs="Calibri" w:cstheme="minorAscii"/>
          <w:noProof w:val="0"/>
          <w:color w:val="222222"/>
          <w:sz w:val="24"/>
          <w:szCs w:val="24"/>
          <w:lang w:val="en-GB"/>
        </w:rPr>
        <w:t xml:space="preserve">Baker, C., (1992) </w:t>
      </w:r>
      <w:r w:rsidRPr="7636053E" w:rsidR="7636053E">
        <w:rPr>
          <w:rFonts w:cs="Calibri" w:cstheme="minorAscii"/>
          <w:i w:val="1"/>
          <w:iCs w:val="1"/>
          <w:noProof w:val="0"/>
          <w:color w:val="222222"/>
          <w:sz w:val="24"/>
          <w:szCs w:val="24"/>
          <w:lang w:val="en-GB"/>
        </w:rPr>
        <w:t>Attitudes and language</w:t>
      </w:r>
      <w:r w:rsidRPr="7636053E" w:rsidR="7636053E">
        <w:rPr>
          <w:rFonts w:cs="Calibri" w:cstheme="minorAscii"/>
          <w:noProof w:val="0"/>
          <w:color w:val="222222"/>
          <w:sz w:val="24"/>
          <w:szCs w:val="24"/>
          <w:lang w:val="en-GB"/>
        </w:rPr>
        <w:t> (Vol. 83). Multilingual Matters.</w:t>
      </w:r>
    </w:p>
    <w:p xmlns:wp14="http://schemas.microsoft.com/office/word/2010/wordml" w:rsidRPr="00262E18" w:rsidR="00262E18" w:rsidP="71466893" w:rsidRDefault="00262E18" w14:paraId="698D449A" wp14:textId="77777777">
      <w:pPr>
        <w:spacing w:line="480" w:lineRule="auto"/>
        <w:ind w:left="720" w:hanging="720"/>
        <w:jc w:val="both"/>
        <w:rPr>
          <w:rFonts w:cs="Calibri" w:cstheme="minorAscii"/>
          <w:noProof w:val="0"/>
          <w:color w:val="222222"/>
          <w:sz w:val="24"/>
          <w:szCs w:val="24"/>
          <w:shd w:val="clear" w:color="auto" w:fill="FFFFFF"/>
          <w:lang w:val="en-GB"/>
        </w:rPr>
      </w:pPr>
      <w:r w:rsidRPr="71466893">
        <w:rPr>
          <w:rFonts w:cs="Calibri" w:cstheme="minorAscii"/>
          <w:noProof w:val="0"/>
          <w:color w:val="222222"/>
          <w:sz w:val="24"/>
          <w:szCs w:val="24"/>
          <w:shd w:val="clear" w:color="auto" w:fill="FFFFFF"/>
          <w:lang w:val="en-GB"/>
        </w:rPr>
        <w:t>Blackler, F., (1995) ‘Knowledge, knowledge work and organisations: An overview and interpretation’, </w:t>
      </w:r>
      <w:r w:rsidRPr="7636053E">
        <w:rPr>
          <w:rFonts w:cs="Calibri" w:cstheme="minorAscii"/>
          <w:i w:val="1"/>
          <w:iCs w:val="1"/>
          <w:noProof w:val="0"/>
          <w:color w:val="222222"/>
          <w:sz w:val="24"/>
          <w:szCs w:val="24"/>
          <w:shd w:val="clear" w:color="auto" w:fill="FFFFFF"/>
          <w:lang w:val="en-GB"/>
        </w:rPr>
        <w:t>Organisation studies</w:t>
      </w:r>
      <w:r w:rsidRPr="71466893">
        <w:rPr>
          <w:rFonts w:cs="Calibri" w:cstheme="minorAscii"/>
          <w:noProof w:val="0"/>
          <w:color w:val="222222"/>
          <w:sz w:val="24"/>
          <w:szCs w:val="24"/>
          <w:shd w:val="clear" w:color="auto" w:fill="FFFFFF"/>
          <w:lang w:val="en-GB"/>
        </w:rPr>
        <w:t>, </w:t>
      </w:r>
      <w:r w:rsidRPr="7636053E">
        <w:rPr>
          <w:rFonts w:cs="Calibri" w:cstheme="minorAscii"/>
          <w:i w:val="1"/>
          <w:iCs w:val="1"/>
          <w:noProof w:val="0"/>
          <w:color w:val="222222"/>
          <w:sz w:val="24"/>
          <w:szCs w:val="24"/>
          <w:shd w:val="clear" w:color="auto" w:fill="FFFFFF"/>
          <w:lang w:val="en-GB"/>
        </w:rPr>
        <w:t>16</w:t>
      </w:r>
      <w:r w:rsidRPr="71466893">
        <w:rPr>
          <w:rFonts w:cs="Calibri" w:cstheme="minorAscii"/>
          <w:noProof w:val="0"/>
          <w:color w:val="222222"/>
          <w:sz w:val="24"/>
          <w:szCs w:val="24"/>
          <w:shd w:val="clear" w:color="auto" w:fill="FFFFFF"/>
          <w:lang w:val="en-GB"/>
        </w:rPr>
        <w:t>(6), pp.1021-1046.</w:t>
      </w:r>
    </w:p>
    <w:p w:rsidR="71466893" w:rsidP="71466893" w:rsidRDefault="71466893" w14:paraId="3082CB96" w14:textId="6627165A">
      <w:pPr>
        <w:pStyle w:val="Normal"/>
        <w:spacing w:line="480" w:lineRule="auto"/>
        <w:ind w:left="720" w:hanging="720"/>
        <w:jc w:val="both"/>
        <w:rPr>
          <w:rFonts w:cs="Calibri" w:cstheme="minorAscii"/>
          <w:noProof w:val="0"/>
          <w:sz w:val="24"/>
          <w:szCs w:val="24"/>
          <w:lang w:val="en-GB"/>
        </w:rPr>
      </w:pPr>
      <w:r w:rsidRPr="7636053E" w:rsidR="7636053E">
        <w:rPr>
          <w:rFonts w:cs="Calibri" w:cstheme="minorAscii"/>
          <w:noProof w:val="0"/>
          <w:color w:val="222222"/>
          <w:sz w:val="24"/>
          <w:szCs w:val="24"/>
          <w:lang w:val="en-GB"/>
        </w:rPr>
        <w:t xml:space="preserve">Cravens, D.W., Shipp, S.H. and Cravens, K.S., (1994) </w:t>
      </w:r>
      <w:r w:rsidRPr="7636053E" w:rsidR="7636053E">
        <w:rPr>
          <w:rFonts w:cs="Calibri" w:cstheme="minorAscii"/>
          <w:noProof w:val="0"/>
          <w:color w:val="222222"/>
          <w:sz w:val="24"/>
          <w:szCs w:val="24"/>
          <w:lang w:val="en-GB"/>
        </w:rPr>
        <w:t>‘Reforming</w:t>
      </w:r>
      <w:r w:rsidRPr="7636053E" w:rsidR="7636053E">
        <w:rPr>
          <w:rFonts w:cs="Calibri" w:cstheme="minorAscii"/>
          <w:noProof w:val="0"/>
          <w:color w:val="222222"/>
          <w:sz w:val="24"/>
          <w:szCs w:val="24"/>
          <w:lang w:val="en-GB"/>
        </w:rPr>
        <w:t xml:space="preserve"> the traditional organisation: the mandate for developing </w:t>
      </w:r>
      <w:r w:rsidRPr="7636053E" w:rsidR="7636053E">
        <w:rPr>
          <w:rFonts w:cs="Calibri" w:cstheme="minorAscii"/>
          <w:noProof w:val="0"/>
          <w:color w:val="222222"/>
          <w:sz w:val="24"/>
          <w:szCs w:val="24"/>
          <w:lang w:val="en-GB"/>
        </w:rPr>
        <w:t xml:space="preserve">networks’, </w:t>
      </w:r>
      <w:r w:rsidRPr="7636053E" w:rsidR="7636053E">
        <w:rPr>
          <w:rFonts w:cs="Calibri" w:cstheme="minorAscii"/>
          <w:i w:val="1"/>
          <w:iCs w:val="1"/>
          <w:noProof w:val="0"/>
          <w:color w:val="222222"/>
          <w:sz w:val="24"/>
          <w:szCs w:val="24"/>
          <w:lang w:val="en-GB"/>
        </w:rPr>
        <w:t>Business</w:t>
      </w:r>
      <w:r w:rsidRPr="7636053E" w:rsidR="7636053E">
        <w:rPr>
          <w:rFonts w:cs="Calibri" w:cstheme="minorAscii"/>
          <w:i w:val="1"/>
          <w:iCs w:val="1"/>
          <w:noProof w:val="0"/>
          <w:color w:val="222222"/>
          <w:sz w:val="24"/>
          <w:szCs w:val="24"/>
          <w:lang w:val="en-GB"/>
        </w:rPr>
        <w:t xml:space="preserve"> Horizons</w:t>
      </w:r>
      <w:r w:rsidRPr="7636053E" w:rsidR="7636053E">
        <w:rPr>
          <w:rFonts w:cs="Calibri" w:cstheme="minorAscii"/>
          <w:noProof w:val="0"/>
          <w:color w:val="222222"/>
          <w:sz w:val="24"/>
          <w:szCs w:val="24"/>
          <w:lang w:val="en-GB"/>
        </w:rPr>
        <w:t>, </w:t>
      </w:r>
      <w:r w:rsidRPr="7636053E" w:rsidR="7636053E">
        <w:rPr>
          <w:rFonts w:cs="Calibri" w:cstheme="minorAscii"/>
          <w:i w:val="1"/>
          <w:iCs w:val="1"/>
          <w:noProof w:val="0"/>
          <w:color w:val="222222"/>
          <w:sz w:val="24"/>
          <w:szCs w:val="24"/>
          <w:lang w:val="en-GB"/>
        </w:rPr>
        <w:t>37</w:t>
      </w:r>
      <w:r w:rsidRPr="7636053E" w:rsidR="7636053E">
        <w:rPr>
          <w:rFonts w:cs="Calibri" w:cstheme="minorAscii"/>
          <w:noProof w:val="0"/>
          <w:color w:val="222222"/>
          <w:sz w:val="24"/>
          <w:szCs w:val="24"/>
          <w:lang w:val="en-GB"/>
        </w:rPr>
        <w:t>(4), pp.19-28</w:t>
      </w:r>
    </w:p>
    <w:p w:rsidR="71466893" w:rsidP="71466893" w:rsidRDefault="71466893" w14:paraId="7D6704BF" w14:textId="27B753F9">
      <w:pPr>
        <w:spacing w:line="480" w:lineRule="auto"/>
        <w:ind w:left="720" w:hanging="720"/>
        <w:jc w:val="both"/>
        <w:rPr>
          <w:rFonts w:cs="Calibri" w:cstheme="minorAscii"/>
          <w:noProof w:val="0"/>
          <w:color w:val="222222"/>
          <w:sz w:val="24"/>
          <w:szCs w:val="24"/>
          <w:lang w:val="en-GB"/>
        </w:rPr>
      </w:pPr>
      <w:r w:rsidRPr="7636053E" w:rsidR="7636053E">
        <w:rPr>
          <w:rFonts w:cs="Calibri" w:cstheme="minorAscii"/>
          <w:noProof w:val="0"/>
          <w:color w:val="222222"/>
          <w:sz w:val="24"/>
          <w:szCs w:val="24"/>
          <w:lang w:val="en-GB"/>
        </w:rPr>
        <w:t>Grant, R.M., (1997) ‘The knowledge-based view of the firm: implications for management practice’, </w:t>
      </w:r>
      <w:r w:rsidRPr="7636053E" w:rsidR="7636053E">
        <w:rPr>
          <w:rFonts w:cs="Calibri" w:cstheme="minorAscii"/>
          <w:i w:val="1"/>
          <w:iCs w:val="1"/>
          <w:noProof w:val="0"/>
          <w:color w:val="222222"/>
          <w:sz w:val="24"/>
          <w:szCs w:val="24"/>
          <w:lang w:val="en-GB"/>
        </w:rPr>
        <w:t>Long range planning</w:t>
      </w:r>
      <w:r w:rsidRPr="7636053E" w:rsidR="7636053E">
        <w:rPr>
          <w:rFonts w:cs="Calibri" w:cstheme="minorAscii"/>
          <w:noProof w:val="0"/>
          <w:color w:val="222222"/>
          <w:sz w:val="24"/>
          <w:szCs w:val="24"/>
          <w:lang w:val="en-GB"/>
        </w:rPr>
        <w:t>, </w:t>
      </w:r>
      <w:r w:rsidRPr="7636053E" w:rsidR="7636053E">
        <w:rPr>
          <w:rFonts w:cs="Calibri" w:cstheme="minorAscii"/>
          <w:i w:val="1"/>
          <w:iCs w:val="1"/>
          <w:noProof w:val="0"/>
          <w:color w:val="222222"/>
          <w:sz w:val="24"/>
          <w:szCs w:val="24"/>
          <w:lang w:val="en-GB"/>
        </w:rPr>
        <w:t>30</w:t>
      </w:r>
      <w:r w:rsidRPr="7636053E" w:rsidR="7636053E">
        <w:rPr>
          <w:rFonts w:cs="Calibri" w:cstheme="minorAscii"/>
          <w:noProof w:val="0"/>
          <w:color w:val="222222"/>
          <w:sz w:val="24"/>
          <w:szCs w:val="24"/>
          <w:lang w:val="en-GB"/>
        </w:rPr>
        <w:t>(3), pp.450-454.</w:t>
      </w:r>
    </w:p>
    <w:p xmlns:wp14="http://schemas.microsoft.com/office/word/2010/wordml" w:rsidRPr="00262E18" w:rsidR="00262E18" w:rsidP="71466893" w:rsidRDefault="00262E18" w14:paraId="485943A6" wp14:textId="77777777">
      <w:pPr>
        <w:spacing w:line="480" w:lineRule="auto"/>
        <w:ind w:left="720" w:hanging="720"/>
        <w:jc w:val="both"/>
        <w:rPr>
          <w:rFonts w:cs="Calibri" w:cstheme="minorAscii"/>
          <w:noProof w:val="0"/>
          <w:color w:val="222222"/>
          <w:sz w:val="24"/>
          <w:szCs w:val="24"/>
          <w:shd w:val="clear" w:color="auto" w:fill="FFFFFF"/>
          <w:lang w:val="en-GB"/>
        </w:rPr>
      </w:pPr>
      <w:r w:rsidRPr="71466893">
        <w:rPr>
          <w:rFonts w:cs="Calibri" w:cstheme="minorAscii"/>
          <w:noProof w:val="0"/>
          <w:color w:val="222222"/>
          <w:sz w:val="24"/>
          <w:szCs w:val="24"/>
          <w:shd w:val="clear" w:color="auto" w:fill="FFFFFF"/>
          <w:lang w:val="en-GB"/>
        </w:rPr>
        <w:t xml:space="preserve">Hakansson, N.H., Kunkel, J.G. and Ohlson, J.A., (1982) ‘Sufficient and necessary conditions for information to have social value in pure exchange’, </w:t>
      </w:r>
      <w:r w:rsidRPr="7636053E">
        <w:rPr>
          <w:rFonts w:cs="Calibri" w:cstheme="minorAscii"/>
          <w:i w:val="1"/>
          <w:iCs w:val="1"/>
          <w:noProof w:val="0"/>
          <w:color w:val="222222"/>
          <w:sz w:val="24"/>
          <w:szCs w:val="24"/>
          <w:shd w:val="clear" w:color="auto" w:fill="FFFFFF"/>
          <w:lang w:val="en-GB"/>
        </w:rPr>
        <w:t>The Journal of Finance</w:t>
      </w:r>
      <w:r w:rsidRPr="71466893">
        <w:rPr>
          <w:rFonts w:cs="Calibri" w:cstheme="minorAscii"/>
          <w:noProof w:val="0"/>
          <w:color w:val="222222"/>
          <w:sz w:val="24"/>
          <w:szCs w:val="24"/>
          <w:shd w:val="clear" w:color="auto" w:fill="FFFFFF"/>
          <w:lang w:val="en-GB"/>
        </w:rPr>
        <w:t>, </w:t>
      </w:r>
      <w:r w:rsidRPr="7636053E">
        <w:rPr>
          <w:rFonts w:cs="Calibri" w:cstheme="minorAscii"/>
          <w:i w:val="1"/>
          <w:iCs w:val="1"/>
          <w:noProof w:val="0"/>
          <w:color w:val="222222"/>
          <w:sz w:val="24"/>
          <w:szCs w:val="24"/>
          <w:shd w:val="clear" w:color="auto" w:fill="FFFFFF"/>
          <w:lang w:val="en-GB"/>
        </w:rPr>
        <w:t>37</w:t>
      </w:r>
      <w:r w:rsidRPr="71466893">
        <w:rPr>
          <w:rFonts w:cs="Calibri" w:cstheme="minorAscii"/>
          <w:noProof w:val="0"/>
          <w:color w:val="222222"/>
          <w:sz w:val="24"/>
          <w:szCs w:val="24"/>
          <w:shd w:val="clear" w:color="auto" w:fill="FFFFFF"/>
          <w:lang w:val="en-GB"/>
        </w:rPr>
        <w:t>(5), pp.1169-1181.</w:t>
      </w:r>
    </w:p>
    <w:p xmlns:wp14="http://schemas.microsoft.com/office/word/2010/wordml" w:rsidRPr="00262E18" w:rsidR="00262E18" w:rsidP="71466893" w:rsidRDefault="00262E18" w14:paraId="4C229048" wp14:textId="4D528667">
      <w:pPr>
        <w:spacing w:line="480" w:lineRule="auto"/>
        <w:ind w:left="720" w:hanging="720"/>
        <w:jc w:val="both"/>
        <w:rPr>
          <w:rFonts w:cs="Calibri" w:cstheme="minorAscii"/>
          <w:noProof w:val="0"/>
          <w:color w:val="222222"/>
          <w:sz w:val="24"/>
          <w:szCs w:val="24"/>
          <w:lang w:val="en-GB"/>
        </w:rPr>
      </w:pPr>
      <w:r w:rsidRPr="71466893">
        <w:rPr>
          <w:rFonts w:cs="Calibri" w:cstheme="minorAscii"/>
          <w:noProof w:val="0"/>
          <w:color w:val="222222"/>
          <w:sz w:val="24"/>
          <w:szCs w:val="24"/>
          <w:shd w:val="clear" w:color="auto" w:fill="FFFFFF"/>
          <w:lang w:val="en-GB"/>
        </w:rPr>
        <w:t>Paulsen, N. and Hernes, T. eds., (</w:t>
      </w:r>
      <w:r w:rsidRPr="71466893">
        <w:rPr>
          <w:rFonts w:cs="Calibri" w:cstheme="minorAscii"/>
          <w:noProof w:val="0"/>
          <w:color w:val="222222"/>
          <w:sz w:val="24"/>
          <w:szCs w:val="24"/>
          <w:shd w:val="clear" w:color="auto" w:fill="FFFFFF"/>
          <w:lang w:val="en-GB"/>
        </w:rPr>
        <w:t xml:space="preserve">2003) </w:t>
      </w:r>
      <w:r w:rsidRPr="7636053E">
        <w:rPr>
          <w:rFonts w:cs="Calibri" w:cstheme="minorAscii"/>
          <w:i w:val="1"/>
          <w:iCs w:val="1"/>
          <w:noProof w:val="0"/>
          <w:color w:val="222222"/>
          <w:sz w:val="24"/>
          <w:szCs w:val="24"/>
          <w:shd w:val="clear" w:color="auto" w:fill="FFFFFF"/>
          <w:lang w:val="en-GB"/>
        </w:rPr>
        <w:t>Managing</w:t>
      </w:r>
      <w:r w:rsidRPr="7636053E">
        <w:rPr>
          <w:rFonts w:cs="Calibri" w:cstheme="minorAscii"/>
          <w:i w:val="1"/>
          <w:iCs w:val="1"/>
          <w:noProof w:val="0"/>
          <w:color w:val="222222"/>
          <w:sz w:val="24"/>
          <w:szCs w:val="24"/>
          <w:shd w:val="clear" w:color="auto" w:fill="FFFFFF"/>
          <w:lang w:val="en-GB"/>
        </w:rPr>
        <w:t xml:space="preserve"> boundaries in organisations</w:t>
      </w:r>
      <w:r w:rsidRPr="71466893">
        <w:rPr>
          <w:rFonts w:cs="Calibri" w:cstheme="minorAscii"/>
          <w:noProof w:val="0"/>
          <w:color w:val="222222"/>
          <w:sz w:val="24"/>
          <w:szCs w:val="24"/>
          <w:shd w:val="clear" w:color="auto" w:fill="FFFFFF"/>
          <w:lang w:val="en-GB"/>
        </w:rPr>
        <w:t>. London: Palgrave Macmillan.</w:t>
      </w:r>
    </w:p>
    <w:p xmlns:wp14="http://schemas.microsoft.com/office/word/2010/wordml" w:rsidRPr="00262E18" w:rsidR="00262E18" w:rsidP="71466893" w:rsidRDefault="00262E18" w14:paraId="01427826" wp14:textId="7790B357">
      <w:pPr>
        <w:spacing w:line="480" w:lineRule="auto"/>
        <w:ind w:left="720" w:hanging="720"/>
        <w:jc w:val="both"/>
        <w:rPr>
          <w:rFonts w:cs="Calibri" w:cstheme="minorAscii"/>
          <w:noProof w:val="0"/>
          <w:color w:val="222222"/>
          <w:sz w:val="24"/>
          <w:szCs w:val="24"/>
          <w:lang w:val="en-GB"/>
        </w:rPr>
      </w:pPr>
      <w:proofErr w:type="spellStart"/>
      <w:r w:rsidRPr="7636053E" w:rsidR="7636053E">
        <w:rPr>
          <w:rFonts w:cs="Calibri" w:cstheme="minorAscii"/>
          <w:noProof w:val="0"/>
          <w:color w:val="222222"/>
          <w:sz w:val="24"/>
          <w:szCs w:val="24"/>
          <w:lang w:val="en-GB"/>
        </w:rPr>
        <w:t>Tauxe</w:t>
      </w:r>
      <w:proofErr w:type="spellEnd"/>
      <w:r w:rsidRPr="7636053E" w:rsidR="7636053E">
        <w:rPr>
          <w:rFonts w:cs="Calibri" w:cstheme="minorAscii"/>
          <w:noProof w:val="0"/>
          <w:color w:val="222222"/>
          <w:sz w:val="24"/>
          <w:szCs w:val="24"/>
          <w:lang w:val="en-GB"/>
        </w:rPr>
        <w:t>, R., Kruse, H., Hedberg, C., Potter, M., Madden, J. and Wachsmuth, K., (1997) ‘Microbial hazards and emerging issues associated with produce a preliminary report to the national advisory committee on microbiologic criteria for foods’, </w:t>
      </w:r>
      <w:r w:rsidRPr="7636053E" w:rsidR="7636053E">
        <w:rPr>
          <w:rFonts w:cs="Calibri" w:cstheme="minorAscii"/>
          <w:i w:val="1"/>
          <w:iCs w:val="1"/>
          <w:noProof w:val="0"/>
          <w:color w:val="222222"/>
          <w:sz w:val="24"/>
          <w:szCs w:val="24"/>
          <w:lang w:val="en-GB"/>
        </w:rPr>
        <w:t>Journal of food protection</w:t>
      </w:r>
      <w:r w:rsidRPr="7636053E" w:rsidR="7636053E">
        <w:rPr>
          <w:rFonts w:cs="Calibri" w:cstheme="minorAscii"/>
          <w:noProof w:val="0"/>
          <w:color w:val="222222"/>
          <w:sz w:val="24"/>
          <w:szCs w:val="24"/>
          <w:lang w:val="en-GB"/>
        </w:rPr>
        <w:t>, </w:t>
      </w:r>
      <w:r w:rsidRPr="7636053E" w:rsidR="7636053E">
        <w:rPr>
          <w:rFonts w:cs="Calibri" w:cstheme="minorAscii"/>
          <w:i w:val="1"/>
          <w:iCs w:val="1"/>
          <w:noProof w:val="0"/>
          <w:color w:val="222222"/>
          <w:sz w:val="24"/>
          <w:szCs w:val="24"/>
          <w:lang w:val="en-GB"/>
        </w:rPr>
        <w:t>60</w:t>
      </w:r>
      <w:r w:rsidRPr="7636053E" w:rsidR="7636053E">
        <w:rPr>
          <w:rFonts w:cs="Calibri" w:cstheme="minorAscii"/>
          <w:noProof w:val="0"/>
          <w:color w:val="222222"/>
          <w:sz w:val="24"/>
          <w:szCs w:val="24"/>
          <w:lang w:val="en-GB"/>
        </w:rPr>
        <w:t>(11), pp.1400-1408.</w:t>
      </w:r>
    </w:p>
    <w:p xmlns:wp14="http://schemas.microsoft.com/office/word/2010/wordml" w:rsidRPr="00262E18" w:rsidR="00262E18" w:rsidP="71466893" w:rsidRDefault="00262E18" w14:paraId="3DEEC669" wp14:textId="769B314B">
      <w:pPr>
        <w:pStyle w:val="NoSpacing"/>
        <w:spacing w:line="480" w:lineRule="auto"/>
        <w:jc w:val="both"/>
        <w:rPr>
          <w:rFonts w:cs="Calibri" w:cstheme="minorAscii"/>
          <w:b w:val="1"/>
          <w:bCs w:val="1"/>
          <w:sz w:val="24"/>
          <w:szCs w:val="24"/>
        </w:rPr>
      </w:pPr>
    </w:p>
    <w:sectPr w:rsidRPr="00262E18" w:rsidR="00262E18">
      <w:pgSz w:w="12240" w:h="15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C51657" w:rsidP="00262E18" w:rsidRDefault="00C51657" w14:paraId="53128261" wp14:textId="77777777">
      <w:pPr>
        <w:spacing w:after="0" w:line="240" w:lineRule="auto"/>
      </w:pPr>
      <w:r>
        <w:separator/>
      </w:r>
    </w:p>
  </w:endnote>
  <w:endnote w:type="continuationSeparator" w:id="0">
    <w:p xmlns:wp14="http://schemas.microsoft.com/office/word/2010/wordml" w:rsidR="00C51657" w:rsidP="00262E18" w:rsidRDefault="00C51657" w14:paraId="62486C05"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C51657" w:rsidP="00262E18" w:rsidRDefault="00C51657" w14:paraId="4B99056E" wp14:textId="77777777">
      <w:pPr>
        <w:spacing w:after="0" w:line="240" w:lineRule="auto"/>
      </w:pPr>
      <w:r>
        <w:separator/>
      </w:r>
    </w:p>
  </w:footnote>
  <w:footnote w:type="continuationSeparator" w:id="0">
    <w:p xmlns:wp14="http://schemas.microsoft.com/office/word/2010/wordml" w:rsidR="00C51657" w:rsidP="00262E18" w:rsidRDefault="00C51657" w14:paraId="1299C43A" wp14:textId="7777777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2183488"/>
    <w:multiLevelType w:val="hybridMultilevel"/>
    <w:tmpl w:val="EFDED462"/>
    <w:lvl w:ilvl="0" w:tplc="47DC1912">
      <w:start w:val="1"/>
      <w:numFmt w:val="bullet"/>
      <w:lvlText w:val="•"/>
      <w:lvlJc w:val="left"/>
      <w:pPr>
        <w:tabs>
          <w:tab w:val="num" w:pos="720"/>
        </w:tabs>
        <w:ind w:left="720" w:hanging="360"/>
      </w:pPr>
      <w:rPr>
        <w:rFonts w:hint="default" w:ascii="Arial" w:hAnsi="Arial"/>
      </w:rPr>
    </w:lvl>
    <w:lvl w:ilvl="1" w:tplc="33104986" w:tentative="1">
      <w:start w:val="1"/>
      <w:numFmt w:val="bullet"/>
      <w:lvlText w:val="•"/>
      <w:lvlJc w:val="left"/>
      <w:pPr>
        <w:tabs>
          <w:tab w:val="num" w:pos="1440"/>
        </w:tabs>
        <w:ind w:left="1440" w:hanging="360"/>
      </w:pPr>
      <w:rPr>
        <w:rFonts w:hint="default" w:ascii="Arial" w:hAnsi="Arial"/>
      </w:rPr>
    </w:lvl>
    <w:lvl w:ilvl="2" w:tplc="00C0238C" w:tentative="1">
      <w:start w:val="1"/>
      <w:numFmt w:val="bullet"/>
      <w:lvlText w:val="•"/>
      <w:lvlJc w:val="left"/>
      <w:pPr>
        <w:tabs>
          <w:tab w:val="num" w:pos="2160"/>
        </w:tabs>
        <w:ind w:left="2160" w:hanging="360"/>
      </w:pPr>
      <w:rPr>
        <w:rFonts w:hint="default" w:ascii="Arial" w:hAnsi="Arial"/>
      </w:rPr>
    </w:lvl>
    <w:lvl w:ilvl="3" w:tplc="F5DC86B4" w:tentative="1">
      <w:start w:val="1"/>
      <w:numFmt w:val="bullet"/>
      <w:lvlText w:val="•"/>
      <w:lvlJc w:val="left"/>
      <w:pPr>
        <w:tabs>
          <w:tab w:val="num" w:pos="2880"/>
        </w:tabs>
        <w:ind w:left="2880" w:hanging="360"/>
      </w:pPr>
      <w:rPr>
        <w:rFonts w:hint="default" w:ascii="Arial" w:hAnsi="Arial"/>
      </w:rPr>
    </w:lvl>
    <w:lvl w:ilvl="4" w:tplc="229AE6BC" w:tentative="1">
      <w:start w:val="1"/>
      <w:numFmt w:val="bullet"/>
      <w:lvlText w:val="•"/>
      <w:lvlJc w:val="left"/>
      <w:pPr>
        <w:tabs>
          <w:tab w:val="num" w:pos="3600"/>
        </w:tabs>
        <w:ind w:left="3600" w:hanging="360"/>
      </w:pPr>
      <w:rPr>
        <w:rFonts w:hint="default" w:ascii="Arial" w:hAnsi="Arial"/>
      </w:rPr>
    </w:lvl>
    <w:lvl w:ilvl="5" w:tplc="4D1445EA" w:tentative="1">
      <w:start w:val="1"/>
      <w:numFmt w:val="bullet"/>
      <w:lvlText w:val="•"/>
      <w:lvlJc w:val="left"/>
      <w:pPr>
        <w:tabs>
          <w:tab w:val="num" w:pos="4320"/>
        </w:tabs>
        <w:ind w:left="4320" w:hanging="360"/>
      </w:pPr>
      <w:rPr>
        <w:rFonts w:hint="default" w:ascii="Arial" w:hAnsi="Arial"/>
      </w:rPr>
    </w:lvl>
    <w:lvl w:ilvl="6" w:tplc="863642BE" w:tentative="1">
      <w:start w:val="1"/>
      <w:numFmt w:val="bullet"/>
      <w:lvlText w:val="•"/>
      <w:lvlJc w:val="left"/>
      <w:pPr>
        <w:tabs>
          <w:tab w:val="num" w:pos="5040"/>
        </w:tabs>
        <w:ind w:left="5040" w:hanging="360"/>
      </w:pPr>
      <w:rPr>
        <w:rFonts w:hint="default" w:ascii="Arial" w:hAnsi="Arial"/>
      </w:rPr>
    </w:lvl>
    <w:lvl w:ilvl="7" w:tplc="F90A7AA6" w:tentative="1">
      <w:start w:val="1"/>
      <w:numFmt w:val="bullet"/>
      <w:lvlText w:val="•"/>
      <w:lvlJc w:val="left"/>
      <w:pPr>
        <w:tabs>
          <w:tab w:val="num" w:pos="5760"/>
        </w:tabs>
        <w:ind w:left="5760" w:hanging="360"/>
      </w:pPr>
      <w:rPr>
        <w:rFonts w:hint="default" w:ascii="Arial" w:hAnsi="Arial"/>
      </w:rPr>
    </w:lvl>
    <w:lvl w:ilvl="8" w:tplc="8D8A4918" w:tentative="1">
      <w:start w:val="1"/>
      <w:numFmt w:val="bullet"/>
      <w:lvlText w:val="•"/>
      <w:lvlJc w:val="left"/>
      <w:pPr>
        <w:tabs>
          <w:tab w:val="num" w:pos="6480"/>
        </w:tabs>
        <w:ind w:left="6480" w:hanging="360"/>
      </w:pPr>
      <w:rPr>
        <w:rFonts w:hint="default" w:ascii="Arial" w:hAnsi="Arial"/>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3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zc0NDA3NbAwM7AwsTBR0lEKTi0uzszPAykwrAUAfyzU3iwAAAA="/>
  </w:docVars>
  <w:rsids>
    <w:rsidRoot w:val="00262E18"/>
    <w:rsid w:val="00262E18"/>
    <w:rsid w:val="00B826AB"/>
    <w:rsid w:val="00C51657"/>
    <w:rsid w:val="00F55C07"/>
    <w:rsid w:val="71466893"/>
    <w:rsid w:val="763605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28018"/>
  <w15:chartTrackingRefBased/>
  <w15:docId w15:val="{BAE4694F-A090-4C6A-815A-A3BFDEDC838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2">
    <w:name w:val="heading 2"/>
    <w:basedOn w:val="Normal"/>
    <w:link w:val="Heading2Char"/>
    <w:uiPriority w:val="9"/>
    <w:qFormat/>
    <w:rsid w:val="00262E18"/>
    <w:pPr>
      <w:spacing w:before="100" w:beforeAutospacing="1" w:after="100" w:afterAutospacing="1" w:line="240" w:lineRule="auto"/>
      <w:outlineLvl w:val="1"/>
    </w:pPr>
    <w:rPr>
      <w:rFonts w:ascii="Times New Roman" w:hAnsi="Times New Roman" w:eastAsia="Times New Roman" w:cs="Times New Roman"/>
      <w:b/>
      <w:bCs/>
      <w:sz w:val="36"/>
      <w:szCs w:val="36"/>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semiHidden/>
    <w:unhideWhenUsed/>
    <w:rsid w:val="00262E18"/>
    <w:rPr>
      <w:color w:val="0000FF"/>
      <w:u w:val="single"/>
    </w:rPr>
  </w:style>
  <w:style w:type="paragraph" w:styleId="NoSpacing">
    <w:name w:val="No Spacing"/>
    <w:uiPriority w:val="1"/>
    <w:qFormat/>
    <w:rsid w:val="00262E18"/>
    <w:pPr>
      <w:spacing w:after="0" w:line="240" w:lineRule="auto"/>
    </w:pPr>
  </w:style>
  <w:style w:type="character" w:styleId="Heading2Char" w:customStyle="1">
    <w:name w:val="Heading 2 Char"/>
    <w:basedOn w:val="DefaultParagraphFont"/>
    <w:link w:val="Heading2"/>
    <w:uiPriority w:val="9"/>
    <w:rsid w:val="00262E18"/>
    <w:rPr>
      <w:rFonts w:ascii="Times New Roman" w:hAnsi="Times New Roman" w:eastAsia="Times New Roman" w:cs="Times New Roman"/>
      <w:b/>
      <w:bCs/>
      <w:sz w:val="36"/>
      <w:szCs w:val="36"/>
    </w:rPr>
  </w:style>
  <w:style w:type="character" w:styleId="mntl-sc-block-headingtext" w:customStyle="1">
    <w:name w:val="mntl-sc-block-heading__text"/>
    <w:basedOn w:val="DefaultParagraphFont"/>
    <w:rsid w:val="00262E18"/>
  </w:style>
  <w:style w:type="paragraph" w:styleId="comp" w:customStyle="1">
    <w:name w:val="comp"/>
    <w:basedOn w:val="Normal"/>
    <w:rsid w:val="00262E18"/>
    <w:pPr>
      <w:spacing w:before="100" w:beforeAutospacing="1" w:after="100" w:afterAutospacing="1" w:line="240" w:lineRule="auto"/>
    </w:pPr>
    <w:rPr>
      <w:rFonts w:ascii="Times New Roman" w:hAnsi="Times New Roman" w:eastAsia="Times New Roman" w:cs="Times New Roman"/>
      <w:sz w:val="24"/>
      <w:szCs w:val="24"/>
    </w:rPr>
  </w:style>
  <w:style w:type="character" w:styleId="mntl-inline-citation" w:customStyle="1">
    <w:name w:val="mntl-inline-citation"/>
    <w:basedOn w:val="DefaultParagraphFont"/>
    <w:rsid w:val="00262E18"/>
  </w:style>
  <w:style w:type="paragraph" w:styleId="NormalWeb">
    <w:name w:val="Normal (Web)"/>
    <w:basedOn w:val="Normal"/>
    <w:uiPriority w:val="99"/>
    <w:unhideWhenUsed/>
    <w:rsid w:val="00262E18"/>
    <w:pPr>
      <w:spacing w:before="100" w:beforeAutospacing="1" w:after="100" w:afterAutospacing="1" w:line="240" w:lineRule="auto"/>
    </w:pPr>
    <w:rPr>
      <w:rFonts w:ascii="Times New Roman" w:hAnsi="Times New Roman" w:eastAsia="Times New Roman" w:cs="Times New Roman"/>
      <w:sz w:val="24"/>
      <w:szCs w:val="24"/>
    </w:rPr>
  </w:style>
  <w:style w:type="paragraph" w:styleId="ListParagraph">
    <w:name w:val="List Paragraph"/>
    <w:basedOn w:val="Normal"/>
    <w:uiPriority w:val="34"/>
    <w:qFormat/>
    <w:rsid w:val="00262E18"/>
    <w:pPr>
      <w:ind w:left="720"/>
      <w:contextualSpacing/>
    </w:pPr>
  </w:style>
  <w:style w:type="paragraph" w:styleId="Header">
    <w:name w:val="header"/>
    <w:basedOn w:val="Normal"/>
    <w:link w:val="HeaderChar"/>
    <w:uiPriority w:val="99"/>
    <w:unhideWhenUsed/>
    <w:rsid w:val="00262E18"/>
    <w:pPr>
      <w:tabs>
        <w:tab w:val="center" w:pos="4680"/>
        <w:tab w:val="right" w:pos="9360"/>
      </w:tabs>
      <w:spacing w:after="0" w:line="240" w:lineRule="auto"/>
    </w:pPr>
  </w:style>
  <w:style w:type="character" w:styleId="HeaderChar" w:customStyle="1">
    <w:name w:val="Header Char"/>
    <w:basedOn w:val="DefaultParagraphFont"/>
    <w:link w:val="Header"/>
    <w:uiPriority w:val="99"/>
    <w:rsid w:val="00262E18"/>
  </w:style>
  <w:style w:type="paragraph" w:styleId="Footer">
    <w:name w:val="footer"/>
    <w:basedOn w:val="Normal"/>
    <w:link w:val="FooterChar"/>
    <w:uiPriority w:val="99"/>
    <w:unhideWhenUsed/>
    <w:rsid w:val="00262E18"/>
    <w:pPr>
      <w:tabs>
        <w:tab w:val="center" w:pos="4680"/>
        <w:tab w:val="right" w:pos="9360"/>
      </w:tabs>
      <w:spacing w:after="0" w:line="240" w:lineRule="auto"/>
    </w:pPr>
  </w:style>
  <w:style w:type="character" w:styleId="FooterChar" w:customStyle="1">
    <w:name w:val="Footer Char"/>
    <w:basedOn w:val="DefaultParagraphFont"/>
    <w:link w:val="Footer"/>
    <w:uiPriority w:val="99"/>
    <w:rsid w:val="00262E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4424561">
      <w:bodyDiv w:val="1"/>
      <w:marLeft w:val="0"/>
      <w:marRight w:val="0"/>
      <w:marTop w:val="0"/>
      <w:marBottom w:val="0"/>
      <w:divBdr>
        <w:top w:val="none" w:sz="0" w:space="0" w:color="auto"/>
        <w:left w:val="none" w:sz="0" w:space="0" w:color="auto"/>
        <w:bottom w:val="none" w:sz="0" w:space="0" w:color="auto"/>
        <w:right w:val="none" w:sz="0" w:space="0" w:color="auto"/>
      </w:divBdr>
    </w:div>
    <w:div w:id="501701045">
      <w:bodyDiv w:val="1"/>
      <w:marLeft w:val="0"/>
      <w:marRight w:val="0"/>
      <w:marTop w:val="0"/>
      <w:marBottom w:val="0"/>
      <w:divBdr>
        <w:top w:val="none" w:sz="0" w:space="0" w:color="auto"/>
        <w:left w:val="none" w:sz="0" w:space="0" w:color="auto"/>
        <w:bottom w:val="none" w:sz="0" w:space="0" w:color="auto"/>
        <w:right w:val="none" w:sz="0" w:space="0" w:color="auto"/>
      </w:divBdr>
      <w:divsChild>
        <w:div w:id="1740668416">
          <w:marLeft w:val="274"/>
          <w:marRight w:val="0"/>
          <w:marTop w:val="0"/>
          <w:marBottom w:val="0"/>
          <w:divBdr>
            <w:top w:val="none" w:sz="0" w:space="0" w:color="auto"/>
            <w:left w:val="none" w:sz="0" w:space="0" w:color="auto"/>
            <w:bottom w:val="none" w:sz="0" w:space="0" w:color="auto"/>
            <w:right w:val="none" w:sz="0" w:space="0" w:color="auto"/>
          </w:divBdr>
        </w:div>
        <w:div w:id="561143181">
          <w:marLeft w:val="274"/>
          <w:marRight w:val="0"/>
          <w:marTop w:val="0"/>
          <w:marBottom w:val="0"/>
          <w:divBdr>
            <w:top w:val="none" w:sz="0" w:space="0" w:color="auto"/>
            <w:left w:val="none" w:sz="0" w:space="0" w:color="auto"/>
            <w:bottom w:val="none" w:sz="0" w:space="0" w:color="auto"/>
            <w:right w:val="none" w:sz="0" w:space="0" w:color="auto"/>
          </w:divBdr>
        </w:div>
        <w:div w:id="919024399">
          <w:marLeft w:val="274"/>
          <w:marRight w:val="0"/>
          <w:marTop w:val="0"/>
          <w:marBottom w:val="0"/>
          <w:divBdr>
            <w:top w:val="none" w:sz="0" w:space="0" w:color="auto"/>
            <w:left w:val="none" w:sz="0" w:space="0" w:color="auto"/>
            <w:bottom w:val="none" w:sz="0" w:space="0" w:color="auto"/>
            <w:right w:val="none" w:sz="0" w:space="0" w:color="auto"/>
          </w:divBdr>
        </w:div>
        <w:div w:id="148981412">
          <w:marLeft w:val="274"/>
          <w:marRight w:val="0"/>
          <w:marTop w:val="0"/>
          <w:marBottom w:val="0"/>
          <w:divBdr>
            <w:top w:val="none" w:sz="0" w:space="0" w:color="auto"/>
            <w:left w:val="none" w:sz="0" w:space="0" w:color="auto"/>
            <w:bottom w:val="none" w:sz="0" w:space="0" w:color="auto"/>
            <w:right w:val="none" w:sz="0" w:space="0" w:color="auto"/>
          </w:divBdr>
        </w:div>
        <w:div w:id="441346366">
          <w:marLeft w:val="274"/>
          <w:marRight w:val="0"/>
          <w:marTop w:val="0"/>
          <w:marBottom w:val="0"/>
          <w:divBdr>
            <w:top w:val="none" w:sz="0" w:space="0" w:color="auto"/>
            <w:left w:val="none" w:sz="0" w:space="0" w:color="auto"/>
            <w:bottom w:val="none" w:sz="0" w:space="0" w:color="auto"/>
            <w:right w:val="none" w:sz="0" w:space="0" w:color="auto"/>
          </w:divBdr>
        </w:div>
      </w:divsChild>
    </w:div>
    <w:div w:id="1201434006">
      <w:bodyDiv w:val="1"/>
      <w:marLeft w:val="0"/>
      <w:marRight w:val="0"/>
      <w:marTop w:val="0"/>
      <w:marBottom w:val="0"/>
      <w:divBdr>
        <w:top w:val="none" w:sz="0" w:space="0" w:color="auto"/>
        <w:left w:val="none" w:sz="0" w:space="0" w:color="auto"/>
        <w:bottom w:val="none" w:sz="0" w:space="0" w:color="auto"/>
        <w:right w:val="none" w:sz="0" w:space="0" w:color="auto"/>
      </w:divBdr>
    </w:div>
    <w:div w:id="1234856724">
      <w:bodyDiv w:val="1"/>
      <w:marLeft w:val="0"/>
      <w:marRight w:val="0"/>
      <w:marTop w:val="0"/>
      <w:marBottom w:val="0"/>
      <w:divBdr>
        <w:top w:val="none" w:sz="0" w:space="0" w:color="auto"/>
        <w:left w:val="none" w:sz="0" w:space="0" w:color="auto"/>
        <w:bottom w:val="none" w:sz="0" w:space="0" w:color="auto"/>
        <w:right w:val="none" w:sz="0" w:space="0" w:color="auto"/>
      </w:divBdr>
    </w:div>
    <w:div w:id="1245653436">
      <w:bodyDiv w:val="1"/>
      <w:marLeft w:val="0"/>
      <w:marRight w:val="0"/>
      <w:marTop w:val="0"/>
      <w:marBottom w:val="0"/>
      <w:divBdr>
        <w:top w:val="none" w:sz="0" w:space="0" w:color="auto"/>
        <w:left w:val="none" w:sz="0" w:space="0" w:color="auto"/>
        <w:bottom w:val="none" w:sz="0" w:space="0" w:color="auto"/>
        <w:right w:val="none" w:sz="0" w:space="0" w:color="auto"/>
      </w:divBdr>
    </w:div>
    <w:div w:id="1521041123">
      <w:bodyDiv w:val="1"/>
      <w:marLeft w:val="0"/>
      <w:marRight w:val="0"/>
      <w:marTop w:val="0"/>
      <w:marBottom w:val="0"/>
      <w:divBdr>
        <w:top w:val="none" w:sz="0" w:space="0" w:color="auto"/>
        <w:left w:val="none" w:sz="0" w:space="0" w:color="auto"/>
        <w:bottom w:val="none" w:sz="0" w:space="0" w:color="auto"/>
        <w:right w:val="none" w:sz="0" w:space="0" w:color="auto"/>
      </w:divBdr>
    </w:div>
    <w:div w:id="1548179652">
      <w:bodyDiv w:val="1"/>
      <w:marLeft w:val="0"/>
      <w:marRight w:val="0"/>
      <w:marTop w:val="0"/>
      <w:marBottom w:val="0"/>
      <w:divBdr>
        <w:top w:val="none" w:sz="0" w:space="0" w:color="auto"/>
        <w:left w:val="none" w:sz="0" w:space="0" w:color="auto"/>
        <w:bottom w:val="none" w:sz="0" w:space="0" w:color="auto"/>
        <w:right w:val="none" w:sz="0" w:space="0" w:color="auto"/>
      </w:divBdr>
    </w:div>
    <w:div w:id="1846556832">
      <w:bodyDiv w:val="1"/>
      <w:marLeft w:val="0"/>
      <w:marRight w:val="0"/>
      <w:marTop w:val="0"/>
      <w:marBottom w:val="0"/>
      <w:divBdr>
        <w:top w:val="none" w:sz="0" w:space="0" w:color="auto"/>
        <w:left w:val="none" w:sz="0" w:space="0" w:color="auto"/>
        <w:bottom w:val="none" w:sz="0" w:space="0" w:color="auto"/>
        <w:right w:val="none" w:sz="0" w:space="0" w:color="auto"/>
      </w:divBdr>
    </w:div>
    <w:div w:id="1894123250">
      <w:bodyDiv w:val="1"/>
      <w:marLeft w:val="0"/>
      <w:marRight w:val="0"/>
      <w:marTop w:val="0"/>
      <w:marBottom w:val="0"/>
      <w:divBdr>
        <w:top w:val="none" w:sz="0" w:space="0" w:color="auto"/>
        <w:left w:val="none" w:sz="0" w:space="0" w:color="auto"/>
        <w:bottom w:val="none" w:sz="0" w:space="0" w:color="auto"/>
        <w:right w:val="none" w:sz="0" w:space="0" w:color="auto"/>
      </w:divBdr>
    </w:div>
    <w:div w:id="2023824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webSettings" Target="webSettings.xml" Id="rId4" /><Relationship Type="http://schemas.openxmlformats.org/officeDocument/2006/relationships/glossaryDocument" Target="glossary/document.xml" Id="rId14"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414D"/>
    <w:rsid w:val="001B4CE3"/>
    <w:rsid w:val="00EC41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23E55D92DF4450A868F4BBA0BFF62DB">
    <w:name w:val="623E55D92DF4450A868F4BBA0BFF62DB"/>
    <w:rsid w:val="00EC414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Microsoft account</dc:creator>
  <keywords/>
  <dc:description/>
  <lastModifiedBy>Lazar Ionela</lastModifiedBy>
  <revision>3</revision>
  <dcterms:created xsi:type="dcterms:W3CDTF">2021-06-02T12:32:00.0000000Z</dcterms:created>
  <dcterms:modified xsi:type="dcterms:W3CDTF">2021-06-07T04:58:27.7160689Z</dcterms:modified>
</coreProperties>
</file>