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A94EC" w14:textId="77777777" w:rsidR="000113E6" w:rsidRDefault="000113E6" w:rsidP="004D34DA"/>
    <w:p w14:paraId="7BCE0BAA" w14:textId="06874A1D" w:rsidR="004D34DA" w:rsidRDefault="004D34DA" w:rsidP="004D34DA">
      <w:pPr>
        <w:pStyle w:val="NormalWeb"/>
        <w:spacing w:before="0" w:beforeAutospacing="0" w:after="0" w:afterAutospacing="0"/>
        <w:ind w:left="-180" w:right="-334"/>
      </w:pPr>
      <w:r>
        <w:rPr>
          <w:noProof/>
          <w:lang w:eastAsia="en-GB"/>
        </w:rPr>
        <w:drawing>
          <wp:inline distT="0" distB="0" distL="0" distR="0" wp14:anchorId="356D6DB6" wp14:editId="68364F26">
            <wp:extent cx="1905000" cy="638175"/>
            <wp:effectExtent l="19050" t="19050" r="19050" b="28575"/>
            <wp:docPr id="1353109270"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2AA27D88" w14:textId="77777777" w:rsidR="004D34DA" w:rsidRDefault="004D34DA" w:rsidP="004D34DA">
      <w:pPr>
        <w:pStyle w:val="NormalWeb"/>
        <w:spacing w:before="0" w:beforeAutospacing="0" w:after="0" w:afterAutospacing="0"/>
        <w:ind w:left="-180" w:right="-334"/>
      </w:pPr>
    </w:p>
    <w:p w14:paraId="36B69F27" w14:textId="77777777" w:rsidR="004D34DA" w:rsidRDefault="004D34DA" w:rsidP="004D34DA">
      <w:pPr>
        <w:pStyle w:val="NormalWeb"/>
        <w:spacing w:before="0" w:beforeAutospacing="0" w:after="0" w:afterAutospacing="0"/>
        <w:ind w:left="-180" w:right="-334"/>
      </w:pPr>
    </w:p>
    <w:p w14:paraId="17045F5B" w14:textId="77777777" w:rsidR="004D34DA" w:rsidRDefault="004D34DA" w:rsidP="004D34DA">
      <w:pPr>
        <w:pStyle w:val="NormalWeb"/>
        <w:spacing w:before="0" w:beforeAutospacing="0" w:after="0" w:afterAutospacing="0"/>
        <w:ind w:left="-180" w:right="-334"/>
        <w:jc w:val="center"/>
        <w:rPr>
          <w:rFonts w:ascii="Arial" w:hAnsi="Arial" w:cs="Arial"/>
          <w:b/>
          <w:sz w:val="28"/>
          <w:szCs w:val="28"/>
          <w:lang w:val="cy-GB"/>
        </w:rPr>
      </w:pPr>
      <w:r>
        <w:rPr>
          <w:rFonts w:ascii="Arial" w:hAnsi="Arial" w:cs="Arial"/>
          <w:b/>
          <w:sz w:val="28"/>
          <w:szCs w:val="28"/>
          <w:lang w:val="cy-GB"/>
        </w:rPr>
        <w:t xml:space="preserve">Postgraduate/Distance Learning </w:t>
      </w:r>
    </w:p>
    <w:p w14:paraId="1DCAE4C7" w14:textId="77777777" w:rsidR="004D34DA" w:rsidRDefault="004D34DA" w:rsidP="004D34DA">
      <w:pPr>
        <w:pStyle w:val="NormalWeb"/>
        <w:spacing w:before="0" w:beforeAutospacing="0" w:after="0" w:afterAutospacing="0"/>
        <w:ind w:left="-180" w:right="-334"/>
        <w:jc w:val="center"/>
        <w:rPr>
          <w:rFonts w:ascii="Arial" w:hAnsi="Arial" w:cs="Arial"/>
          <w:b/>
          <w:sz w:val="28"/>
          <w:szCs w:val="28"/>
          <w:lang w:val="en-GB"/>
        </w:rPr>
      </w:pPr>
      <w:r>
        <w:rPr>
          <w:rFonts w:ascii="Arial" w:hAnsi="Arial" w:cs="Arial"/>
          <w:b/>
          <w:sz w:val="28"/>
          <w:szCs w:val="28"/>
          <w:lang w:val="cy-GB"/>
        </w:rPr>
        <w:t>Assignment coversheet &amp; feedback form</w:t>
      </w:r>
    </w:p>
    <w:p w14:paraId="0BB75B0C" w14:textId="77777777" w:rsidR="004D34DA" w:rsidRDefault="004D34DA" w:rsidP="004D34DA">
      <w:pPr>
        <w:rPr>
          <w:rFonts w:ascii="Arial" w:hAnsi="Arial" w:cs="Arial"/>
          <w:sz w:val="28"/>
          <w:szCs w:val="28"/>
          <w:lang w:val="cy-GB"/>
        </w:rPr>
      </w:pPr>
    </w:p>
    <w:p w14:paraId="142C8A0B" w14:textId="77777777" w:rsidR="004D34DA" w:rsidRDefault="004D34DA" w:rsidP="004D34DA">
      <w:pPr>
        <w:pStyle w:val="Heading3"/>
        <w:jc w:val="center"/>
        <w:rPr>
          <w:lang w:val="cy-GB"/>
        </w:rPr>
      </w:pPr>
      <w:r>
        <w:rPr>
          <w:lang w:val="cy-GB"/>
        </w:rPr>
        <w:t>THIS SHEET MUST BE THE FIRST PAGE OF THE ASSIGNMENT YOU ARE SUBMITTING  (DO NOT SEND AS A SEPARATE FILE)</w:t>
      </w:r>
    </w:p>
    <w:p w14:paraId="0BB881B2" w14:textId="77777777" w:rsidR="004D34DA" w:rsidRDefault="004D34DA" w:rsidP="004D34DA">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4D34DA" w14:paraId="79F128CD" w14:textId="77777777">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14:paraId="405437E5" w14:textId="77777777"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r>
              <w:rPr>
                <w:rFonts w:ascii="Arial" w:hAnsi="Arial" w:cs="Arial"/>
                <w:b/>
                <w:kern w:val="2"/>
                <w:sz w:val="22"/>
                <w:szCs w:val="22"/>
                <w14:ligatures w14:val="standardContextual"/>
              </w:rPr>
              <w:t>For completion by the student</w:t>
            </w:r>
            <w:r>
              <w:rPr>
                <w:rFonts w:ascii="Arial" w:hAnsi="Arial" w:cs="Arial"/>
                <w:kern w:val="2"/>
                <w:sz w:val="22"/>
                <w:szCs w:val="22"/>
                <w14:ligatures w14:val="standardContextual"/>
              </w:rPr>
              <w:t>:</w:t>
            </w:r>
          </w:p>
        </w:tc>
      </w:tr>
      <w:tr w:rsidR="004D34DA" w14:paraId="1D071DC6" w14:textId="77777777">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14:paraId="33B72DCB" w14:textId="77777777"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r>
              <w:rPr>
                <w:rFonts w:ascii="Arial" w:hAnsi="Arial" w:cs="Arial"/>
                <w:kern w:val="2"/>
                <w:sz w:val="22"/>
                <w:szCs w:val="22"/>
                <w14:ligatures w14:val="standardContextual"/>
              </w:rPr>
              <w:t>Student Name:  Silvio Marchese Ragona</w:t>
            </w:r>
          </w:p>
          <w:p w14:paraId="15649F30" w14:textId="77777777"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p>
          <w:p w14:paraId="503BB121" w14:textId="77777777"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r>
              <w:rPr>
                <w:rFonts w:ascii="Arial" w:hAnsi="Arial" w:cs="Arial"/>
                <w:kern w:val="2"/>
                <w:sz w:val="22"/>
                <w:szCs w:val="22"/>
                <w14:ligatures w14:val="standardContextual"/>
              </w:rPr>
              <w:t xml:space="preserve">Student </w:t>
            </w:r>
            <w:r>
              <w:rPr>
                <w:rFonts w:ascii="Arial" w:hAnsi="Arial" w:cs="Arial"/>
                <w:b/>
                <w:bCs/>
                <w:kern w:val="2"/>
                <w:sz w:val="22"/>
                <w:szCs w:val="22"/>
                <w:u w:val="single"/>
                <w14:ligatures w14:val="standardContextual"/>
              </w:rPr>
              <w:t>University</w:t>
            </w:r>
            <w:r>
              <w:rPr>
                <w:rFonts w:ascii="Arial" w:hAnsi="Arial" w:cs="Arial"/>
                <w:kern w:val="2"/>
                <w:sz w:val="22"/>
                <w:szCs w:val="22"/>
                <w:u w:val="single"/>
                <w14:ligatures w14:val="standardContextual"/>
              </w:rPr>
              <w:t xml:space="preserve"> </w:t>
            </w:r>
            <w:r>
              <w:rPr>
                <w:rFonts w:ascii="Arial" w:hAnsi="Arial" w:cs="Arial"/>
                <w:kern w:val="2"/>
                <w:sz w:val="22"/>
                <w:szCs w:val="22"/>
                <w14:ligatures w14:val="standardContextual"/>
              </w:rPr>
              <w:t>Email:   2518636@student.uwtsd.ac.uk</w:t>
            </w:r>
          </w:p>
        </w:tc>
      </w:tr>
      <w:tr w:rsidR="004D34DA" w14:paraId="0972B6C8" w14:textId="77777777">
        <w:trPr>
          <w:trHeight w:val="849"/>
        </w:trPr>
        <w:tc>
          <w:tcPr>
            <w:tcW w:w="4788" w:type="dxa"/>
            <w:tcBorders>
              <w:top w:val="single" w:sz="4" w:space="0" w:color="000000"/>
              <w:left w:val="single" w:sz="4" w:space="0" w:color="000000"/>
              <w:bottom w:val="single" w:sz="4" w:space="0" w:color="000000"/>
              <w:right w:val="single" w:sz="4" w:space="0" w:color="000000"/>
            </w:tcBorders>
          </w:tcPr>
          <w:p w14:paraId="350E0627" w14:textId="2425E154"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r>
              <w:rPr>
                <w:rFonts w:ascii="Arial" w:hAnsi="Arial" w:cs="Arial"/>
                <w:kern w:val="2"/>
                <w:sz w:val="22"/>
                <w:szCs w:val="22"/>
                <w14:ligatures w14:val="standardContextual"/>
              </w:rPr>
              <w:t>Module code:  HPCA701</w:t>
            </w:r>
            <w:r w:rsidR="00C04D3E">
              <w:rPr>
                <w:rFonts w:ascii="Arial" w:hAnsi="Arial" w:cs="Arial"/>
                <w:kern w:val="2"/>
                <w:sz w:val="22"/>
                <w:szCs w:val="22"/>
                <w14:ligatures w14:val="standardContextual"/>
              </w:rPr>
              <w:t>6</w:t>
            </w:r>
          </w:p>
          <w:p w14:paraId="760EDC1C" w14:textId="77777777"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p>
          <w:p w14:paraId="331F0520" w14:textId="2B183561"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r>
              <w:rPr>
                <w:rFonts w:ascii="Arial" w:hAnsi="Arial" w:cs="Arial"/>
                <w:kern w:val="2"/>
                <w:sz w:val="22"/>
                <w:szCs w:val="22"/>
                <w14:ligatures w14:val="standardContextual"/>
              </w:rPr>
              <w:t xml:space="preserve">Module title: </w:t>
            </w:r>
            <w:r w:rsidR="00C04D3E">
              <w:rPr>
                <w:rFonts w:ascii="Arial" w:hAnsi="Arial" w:cs="Arial"/>
                <w:kern w:val="2"/>
                <w:sz w:val="22"/>
                <w:szCs w:val="22"/>
                <w14:ligatures w14:val="standardContextual"/>
              </w:rPr>
              <w:t xml:space="preserve">Researching Contemporary Cosmologies </w:t>
            </w:r>
          </w:p>
          <w:p w14:paraId="48146648" w14:textId="77777777"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p>
        </w:tc>
        <w:tc>
          <w:tcPr>
            <w:tcW w:w="2266" w:type="dxa"/>
            <w:gridSpan w:val="3"/>
            <w:tcBorders>
              <w:top w:val="single" w:sz="4" w:space="0" w:color="000000"/>
              <w:left w:val="single" w:sz="4" w:space="0" w:color="000000"/>
              <w:bottom w:val="single" w:sz="4" w:space="0" w:color="000000"/>
              <w:right w:val="single" w:sz="4" w:space="0" w:color="000000"/>
            </w:tcBorders>
          </w:tcPr>
          <w:p w14:paraId="51A4A0D6" w14:textId="77777777"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r>
              <w:rPr>
                <w:rFonts w:ascii="Arial" w:hAnsi="Arial" w:cs="Arial"/>
                <w:kern w:val="2"/>
                <w:sz w:val="22"/>
                <w:szCs w:val="22"/>
                <w14:ligatures w14:val="standardContextual"/>
              </w:rPr>
              <w:t xml:space="preserve">Student ID number: </w:t>
            </w:r>
          </w:p>
          <w:p w14:paraId="33BB12ED" w14:textId="77777777"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p>
          <w:p w14:paraId="2AD1D821" w14:textId="77777777"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r>
              <w:rPr>
                <w:rFonts w:ascii="Arial" w:hAnsi="Arial" w:cs="Arial"/>
                <w:kern w:val="2"/>
                <w:sz w:val="22"/>
                <w:szCs w:val="22"/>
                <w14:ligatures w14:val="standardContextual"/>
              </w:rPr>
              <w:t>2518636</w:t>
            </w:r>
          </w:p>
        </w:tc>
        <w:tc>
          <w:tcPr>
            <w:tcW w:w="1802" w:type="dxa"/>
            <w:tcBorders>
              <w:top w:val="single" w:sz="4" w:space="0" w:color="000000"/>
              <w:left w:val="single" w:sz="4" w:space="0" w:color="000000"/>
              <w:bottom w:val="single" w:sz="4" w:space="0" w:color="000000"/>
              <w:right w:val="single" w:sz="4" w:space="0" w:color="000000"/>
            </w:tcBorders>
          </w:tcPr>
          <w:p w14:paraId="4F5D2F26" w14:textId="77777777"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r>
              <w:rPr>
                <w:rFonts w:ascii="Arial" w:hAnsi="Arial" w:cs="Arial"/>
                <w:kern w:val="2"/>
                <w:sz w:val="22"/>
                <w:szCs w:val="22"/>
                <w14:ligatures w14:val="standardContextual"/>
              </w:rPr>
              <w:t>Educational support needs:</w:t>
            </w:r>
          </w:p>
          <w:p w14:paraId="44E69162" w14:textId="77777777"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p>
          <w:p w14:paraId="5C642881" w14:textId="77777777"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r>
              <w:rPr>
                <w:rFonts w:ascii="Arial" w:hAnsi="Arial" w:cs="Arial"/>
                <w:kern w:val="2"/>
                <w:sz w:val="22"/>
                <w:szCs w:val="22"/>
                <w14:ligatures w14:val="standardContextual"/>
              </w:rPr>
              <w:t xml:space="preserve">No </w:t>
            </w:r>
          </w:p>
        </w:tc>
      </w:tr>
      <w:tr w:rsidR="004D34DA" w14:paraId="159EBB06" w14:textId="77777777">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345B4E18" w14:textId="68E6D8A5"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r>
              <w:rPr>
                <w:rFonts w:ascii="Arial" w:hAnsi="Arial" w:cs="Arial"/>
                <w:kern w:val="2"/>
                <w:sz w:val="22"/>
                <w:szCs w:val="22"/>
                <w14:ligatures w14:val="standardContextual"/>
              </w:rPr>
              <w:t xml:space="preserve">Assignment title:  Essay # </w:t>
            </w:r>
            <w:r w:rsidR="00C04D3E">
              <w:rPr>
                <w:rFonts w:ascii="Arial" w:hAnsi="Arial" w:cs="Arial"/>
                <w:kern w:val="2"/>
                <w:sz w:val="22"/>
                <w:szCs w:val="22"/>
                <w14:ligatures w14:val="standardContextual"/>
              </w:rPr>
              <w:t>1</w:t>
            </w:r>
            <w:r>
              <w:rPr>
                <w:rFonts w:ascii="Arial" w:hAnsi="Arial" w:cs="Arial"/>
                <w:kern w:val="2"/>
                <w:sz w:val="22"/>
                <w:szCs w:val="22"/>
                <w14:ligatures w14:val="standardContextual"/>
              </w:rPr>
              <w:t xml:space="preserve">: </w:t>
            </w:r>
            <w:r w:rsidR="00C04D3E" w:rsidRPr="00C04D3E">
              <w:rPr>
                <w:rFonts w:ascii="Arial" w:hAnsi="Arial" w:cs="Arial"/>
                <w:kern w:val="2"/>
                <w:sz w:val="22"/>
                <w:szCs w:val="22"/>
                <w14:ligatures w14:val="standardContextual"/>
              </w:rPr>
              <w:t>A Critical Comparison of Two Secondary Sources</w:t>
            </w:r>
          </w:p>
          <w:p w14:paraId="041A871E" w14:textId="77777777" w:rsidR="00C04D3E" w:rsidRDefault="00C04D3E">
            <w:pPr>
              <w:pStyle w:val="NormalWeb"/>
              <w:spacing w:before="0" w:beforeAutospacing="0" w:after="0" w:afterAutospacing="0" w:line="276" w:lineRule="auto"/>
              <w:ind w:right="34"/>
              <w:rPr>
                <w:rFonts w:ascii="Arial" w:hAnsi="Arial" w:cs="Arial"/>
                <w:kern w:val="2"/>
                <w:sz w:val="22"/>
                <w:szCs w:val="22"/>
                <w14:ligatures w14:val="standardContextual"/>
              </w:rPr>
            </w:pPr>
          </w:p>
          <w:p w14:paraId="2DCFBD52" w14:textId="0664C69D"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r>
              <w:rPr>
                <w:rFonts w:ascii="Arial" w:hAnsi="Arial" w:cs="Arial"/>
                <w:kern w:val="2"/>
                <w:sz w:val="22"/>
                <w:szCs w:val="22"/>
                <w14:ligatures w14:val="standardContextual"/>
              </w:rPr>
              <w:t xml:space="preserve">Assignment due date: </w:t>
            </w:r>
            <w:r w:rsidR="00C04D3E">
              <w:rPr>
                <w:rFonts w:ascii="Arial" w:hAnsi="Arial" w:cs="Arial"/>
                <w:kern w:val="2"/>
                <w:sz w:val="22"/>
                <w:szCs w:val="22"/>
                <w14:ligatures w14:val="standardContextual"/>
              </w:rPr>
              <w:t>17</w:t>
            </w:r>
            <w:r>
              <w:rPr>
                <w:rFonts w:ascii="Arial" w:hAnsi="Arial" w:cs="Arial"/>
                <w:kern w:val="2"/>
                <w:sz w:val="22"/>
                <w:szCs w:val="22"/>
                <w:vertAlign w:val="superscript"/>
                <w14:ligatures w14:val="standardContextual"/>
              </w:rPr>
              <w:t>th</w:t>
            </w:r>
            <w:r>
              <w:rPr>
                <w:rFonts w:ascii="Arial" w:hAnsi="Arial" w:cs="Arial"/>
                <w:kern w:val="2"/>
                <w:sz w:val="22"/>
                <w:szCs w:val="22"/>
                <w14:ligatures w14:val="standardContextual"/>
              </w:rPr>
              <w:t xml:space="preserve"> </w:t>
            </w:r>
            <w:r w:rsidR="00C04D3E">
              <w:rPr>
                <w:rFonts w:ascii="Arial" w:hAnsi="Arial" w:cs="Arial"/>
                <w:kern w:val="2"/>
                <w:sz w:val="22"/>
                <w:szCs w:val="22"/>
                <w14:ligatures w14:val="standardContextual"/>
              </w:rPr>
              <w:t>March</w:t>
            </w:r>
            <w:r>
              <w:rPr>
                <w:rFonts w:ascii="Arial" w:hAnsi="Arial" w:cs="Arial"/>
                <w:kern w:val="2"/>
                <w:sz w:val="22"/>
                <w:szCs w:val="22"/>
                <w14:ligatures w14:val="standardContextual"/>
              </w:rPr>
              <w:t xml:space="preserve"> 2026</w:t>
            </w:r>
          </w:p>
        </w:tc>
      </w:tr>
      <w:tr w:rsidR="004D34DA" w14:paraId="2311DFFB" w14:textId="77777777">
        <w:trPr>
          <w:trHeight w:val="978"/>
        </w:trPr>
        <w:tc>
          <w:tcPr>
            <w:tcW w:w="8856" w:type="dxa"/>
            <w:gridSpan w:val="5"/>
            <w:tcBorders>
              <w:top w:val="single" w:sz="4" w:space="0" w:color="000000"/>
              <w:left w:val="single" w:sz="4" w:space="0" w:color="000000"/>
              <w:bottom w:val="single" w:sz="4" w:space="0" w:color="000000"/>
              <w:right w:val="single" w:sz="4" w:space="0" w:color="000000"/>
            </w:tcBorders>
            <w:hideMark/>
          </w:tcPr>
          <w:p w14:paraId="05798C8E" w14:textId="77777777" w:rsidR="004D34DA" w:rsidRDefault="004D34DA">
            <w:pPr>
              <w:rPr>
                <w:rFonts w:ascii="Arial" w:hAnsi="Arial" w:cs="Arial"/>
              </w:rPr>
            </w:pPr>
            <w:r>
              <w:rPr>
                <w:rFonts w:ascii="Arial" w:hAnsi="Arial" w:cs="Arial"/>
              </w:rPr>
              <w:t>This assignment is for the       1</w:t>
            </w:r>
            <w:r>
              <w:rPr>
                <w:rFonts w:ascii="Arial" w:hAnsi="Arial" w:cs="Arial"/>
                <w:vertAlign w:val="superscript"/>
              </w:rPr>
              <w:t xml:space="preserve">st  </w:t>
            </w:r>
            <w:r>
              <w:rPr>
                <w:rFonts w:ascii="Arial" w:hAnsi="Arial" w:cs="Arial"/>
              </w:rPr>
              <w:fldChar w:fldCharType="begin">
                <w:ffData>
                  <w:name w:val="Check14"/>
                  <w:enabled/>
                  <w:calcOnExit w:val="0"/>
                  <w:checkBox>
                    <w:sizeAuto/>
                    <w:default w:val="0"/>
                  </w:checkBox>
                </w:ffData>
              </w:fldChar>
            </w:r>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r>
              <w:rPr>
                <w:rFonts w:ascii="Arial" w:hAnsi="Arial" w:cs="Arial"/>
              </w:rPr>
              <w:t xml:space="preserve"> 2</w:t>
            </w:r>
            <w:r>
              <w:rPr>
                <w:rFonts w:ascii="Arial" w:hAnsi="Arial" w:cs="Arial"/>
                <w:vertAlign w:val="superscript"/>
              </w:rPr>
              <w:t>nd</w:t>
            </w:r>
            <w:r>
              <w:rPr>
                <w:rFonts w:ascii="Arial" w:hAnsi="Arial" w:cs="Arial"/>
              </w:rPr>
              <w:t xml:space="preserve">   </w:t>
            </w:r>
            <w:r>
              <w:rPr>
                <w:rFonts w:ascii="Arial" w:hAnsi="Arial" w:cs="Arial"/>
              </w:rPr>
              <w:fldChar w:fldCharType="begin">
                <w:ffData>
                  <w:name w:val="Check15"/>
                  <w:enabled/>
                  <w:calcOnExit w:val="0"/>
                  <w:checkBox>
                    <w:sizeAuto/>
                    <w:default w:val="0"/>
                  </w:checkBox>
                </w:ffData>
              </w:fldChar>
            </w:r>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r>
              <w:rPr>
                <w:rFonts w:ascii="Arial" w:hAnsi="Arial" w:cs="Arial"/>
              </w:rPr>
              <w:t xml:space="preserve">    3</w:t>
            </w:r>
            <w:r>
              <w:rPr>
                <w:rFonts w:ascii="Arial" w:hAnsi="Arial" w:cs="Arial"/>
                <w:vertAlign w:val="superscript"/>
              </w:rPr>
              <w:t>rd</w:t>
            </w:r>
            <w:r>
              <w:rPr>
                <w:rFonts w:ascii="Arial" w:hAnsi="Arial" w:cs="Arial"/>
              </w:rPr>
              <w:t xml:space="preserve">  </w:t>
            </w:r>
            <w:r>
              <w:rPr>
                <w:rFonts w:ascii="Arial" w:hAnsi="Arial" w:cs="Arial"/>
              </w:rPr>
              <w:fldChar w:fldCharType="begin">
                <w:ffData>
                  <w:name w:val="Check15"/>
                  <w:enabled/>
                  <w:calcOnExit w:val="0"/>
                  <w:checkBox>
                    <w:sizeAuto/>
                    <w:default w:val="0"/>
                  </w:checkBox>
                </w:ffData>
              </w:fldChar>
            </w:r>
            <w:bookmarkStart w:id="0" w:name="Check15"/>
            <w:r>
              <w:rPr>
                <w:rFonts w:ascii="Arial" w:hAnsi="Arial" w:cs="Arial"/>
              </w:rPr>
              <w:instrText xml:space="preserve"> FORMCHECKBOX </w:instrText>
            </w:r>
            <w:r>
              <w:rPr>
                <w:rFonts w:ascii="Arial" w:hAnsi="Arial" w:cs="Arial"/>
              </w:rPr>
            </w:r>
            <w:r>
              <w:rPr>
                <w:rFonts w:ascii="Arial" w:hAnsi="Arial" w:cs="Arial"/>
              </w:rPr>
              <w:fldChar w:fldCharType="separate"/>
            </w:r>
            <w:r>
              <w:fldChar w:fldCharType="end"/>
            </w:r>
            <w:bookmarkEnd w:id="0"/>
            <w:r>
              <w:rPr>
                <w:rFonts w:ascii="Arial" w:hAnsi="Arial" w:cs="Arial"/>
              </w:rPr>
              <w:t xml:space="preserve">      4</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6"/>
                  <w:enabled/>
                  <w:calcOnExit w:val="0"/>
                  <w:checkBox>
                    <w:sizeAuto/>
                    <w:default w:val="0"/>
                  </w:checkBox>
                </w:ffData>
              </w:fldChar>
            </w:r>
            <w:bookmarkStart w:id="1" w:name="Check16"/>
            <w:r>
              <w:rPr>
                <w:rFonts w:ascii="Arial" w:hAnsi="Arial" w:cs="Arial"/>
              </w:rPr>
              <w:instrText xml:space="preserve"> FORMCHECKBOX </w:instrText>
            </w:r>
            <w:r>
              <w:rPr>
                <w:rFonts w:ascii="Arial" w:hAnsi="Arial" w:cs="Arial"/>
              </w:rPr>
            </w:r>
            <w:r>
              <w:rPr>
                <w:rFonts w:ascii="Arial" w:hAnsi="Arial" w:cs="Arial"/>
              </w:rPr>
              <w:fldChar w:fldCharType="separate"/>
            </w:r>
            <w:r>
              <w:fldChar w:fldCharType="end"/>
            </w:r>
            <w:bookmarkEnd w:id="1"/>
            <w:r>
              <w:rPr>
                <w:rFonts w:ascii="Arial" w:hAnsi="Arial" w:cs="Arial"/>
              </w:rPr>
              <w:t xml:space="preserve">      5</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7"/>
                  <w:enabled/>
                  <w:calcOnExit w:val="0"/>
                  <w:checkBox>
                    <w:sizeAuto/>
                    <w:default w:val="0"/>
                  </w:checkBox>
                </w:ffData>
              </w:fldChar>
            </w:r>
            <w:bookmarkStart w:id="2" w:name="Check17"/>
            <w:r>
              <w:rPr>
                <w:rFonts w:ascii="Arial" w:hAnsi="Arial" w:cs="Arial"/>
              </w:rPr>
              <w:instrText xml:space="preserve"> FORMCHECKBOX </w:instrText>
            </w:r>
            <w:r>
              <w:rPr>
                <w:rFonts w:ascii="Arial" w:hAnsi="Arial" w:cs="Arial"/>
              </w:rPr>
            </w:r>
            <w:r>
              <w:rPr>
                <w:rFonts w:ascii="Arial" w:hAnsi="Arial" w:cs="Arial"/>
              </w:rPr>
              <w:fldChar w:fldCharType="separate"/>
            </w:r>
            <w:r>
              <w:fldChar w:fldCharType="end"/>
            </w:r>
            <w:bookmarkEnd w:id="2"/>
            <w:r>
              <w:rPr>
                <w:rFonts w:ascii="Arial" w:hAnsi="Arial" w:cs="Arial"/>
              </w:rPr>
              <w:t xml:space="preserve">      6</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8"/>
                  <w:enabled/>
                  <w:calcOnExit w:val="0"/>
                  <w:checkBox>
                    <w:sizeAuto/>
                    <w:default w:val="0"/>
                  </w:checkBox>
                </w:ffData>
              </w:fldChar>
            </w:r>
            <w:bookmarkStart w:id="3" w:name="Check18"/>
            <w:r>
              <w:rPr>
                <w:rFonts w:ascii="Arial" w:hAnsi="Arial" w:cs="Arial"/>
              </w:rPr>
              <w:instrText xml:space="preserve"> FORMCHECKBOX </w:instrText>
            </w:r>
            <w:r>
              <w:rPr>
                <w:rFonts w:ascii="Arial" w:hAnsi="Arial" w:cs="Arial"/>
              </w:rPr>
            </w:r>
            <w:r>
              <w:rPr>
                <w:rFonts w:ascii="Arial" w:hAnsi="Arial" w:cs="Arial"/>
              </w:rPr>
              <w:fldChar w:fldCharType="separate"/>
            </w:r>
            <w:r>
              <w:fldChar w:fldCharType="end"/>
            </w:r>
            <w:bookmarkEnd w:id="3"/>
            <w:r>
              <w:rPr>
                <w:rFonts w:ascii="Arial" w:hAnsi="Arial" w:cs="Arial"/>
                <w:b/>
              </w:rPr>
              <w:t xml:space="preserve">   </w:t>
            </w:r>
            <w:r>
              <w:rPr>
                <w:rFonts w:ascii="Arial" w:hAnsi="Arial" w:cs="Arial"/>
              </w:rPr>
              <w:t>module of the degree</w:t>
            </w:r>
          </w:p>
        </w:tc>
      </w:tr>
      <w:tr w:rsidR="004D34DA" w14:paraId="5D25B2F1" w14:textId="77777777">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tcPr>
          <w:p w14:paraId="7FCA6317" w14:textId="77777777"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r>
              <w:rPr>
                <w:rFonts w:ascii="Arial" w:hAnsi="Arial" w:cs="Arial"/>
                <w:kern w:val="2"/>
                <w:sz w:val="22"/>
                <w:szCs w:val="22"/>
                <w14:ligatures w14:val="standardContextual"/>
              </w:rPr>
              <w:t>Plagiarism declaration</w:t>
            </w:r>
          </w:p>
          <w:p w14:paraId="1248716E" w14:textId="77777777"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r>
              <w:rPr>
                <w:rFonts w:ascii="Arial" w:hAnsi="Arial" w:cs="Arial"/>
                <w:kern w:val="2"/>
                <w:sz w:val="22"/>
                <w:szCs w:val="22"/>
                <w14:ligatures w14:val="standardContextual"/>
              </w:rPr>
              <w:t>I confirm that this is my original work and that I have adhered to the University policy on plagiarism.</w:t>
            </w:r>
          </w:p>
          <w:p w14:paraId="0034370C" w14:textId="77777777"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p>
          <w:p w14:paraId="6E306FAB" w14:textId="77777777"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r>
              <w:rPr>
                <w:rFonts w:ascii="Arial" w:hAnsi="Arial" w:cs="Arial"/>
                <w:kern w:val="2"/>
                <w:sz w:val="22"/>
                <w:szCs w:val="22"/>
                <w14:ligatures w14:val="standardContextual"/>
              </w:rPr>
              <w:t>Artificial Intelligence (AI) declaration</w:t>
            </w:r>
          </w:p>
          <w:p w14:paraId="5338E8AF" w14:textId="77777777" w:rsidR="004D34DA" w:rsidRDefault="004D34DA">
            <w:pPr>
              <w:pStyle w:val="NormalWeb"/>
              <w:spacing w:before="0" w:beforeAutospacing="0" w:after="0" w:afterAutospacing="0" w:line="276" w:lineRule="auto"/>
              <w:ind w:right="34"/>
              <w:rPr>
                <w:rFonts w:ascii="Arial" w:hAnsi="Arial" w:cs="Arial"/>
                <w:color w:val="000000" w:themeColor="text1"/>
                <w:kern w:val="2"/>
                <w:sz w:val="22"/>
                <w:szCs w:val="22"/>
                <w14:ligatures w14:val="standardContextual"/>
              </w:rPr>
            </w:pPr>
            <w:r>
              <w:rPr>
                <w:rFonts w:ascii="Arial" w:hAnsi="Arial" w:cs="Arial"/>
                <w:kern w:val="2"/>
                <w:sz w:val="22"/>
                <w:szCs w:val="22"/>
                <w14:ligatures w14:val="standardContextual"/>
              </w:rPr>
              <w:t xml:space="preserve">For this assessment, you can use Generative AI to check your own text/creation for grammatical and syntactical mistakes, </w:t>
            </w:r>
            <w:r>
              <w:rPr>
                <w:rFonts w:ascii="Arial" w:hAnsi="Arial" w:cs="Arial"/>
                <w:color w:val="000000" w:themeColor="text1"/>
                <w:kern w:val="2"/>
                <w:sz w:val="22"/>
                <w:szCs w:val="22"/>
                <w14:ligatures w14:val="standardContextual"/>
              </w:rPr>
              <w:t>including rephrasing of your own work within specific standards.*</w:t>
            </w:r>
          </w:p>
          <w:p w14:paraId="494369A6" w14:textId="77777777" w:rsidR="004D34DA" w:rsidRDefault="004D34DA">
            <w:pPr>
              <w:pStyle w:val="NormalWeb"/>
              <w:spacing w:before="0" w:beforeAutospacing="0" w:after="0" w:afterAutospacing="0" w:line="276" w:lineRule="auto"/>
              <w:ind w:right="34"/>
              <w:rPr>
                <w:rFonts w:ascii="Arial" w:hAnsi="Arial" w:cs="Arial"/>
                <w:color w:val="000000" w:themeColor="text1"/>
                <w:kern w:val="2"/>
                <w:sz w:val="22"/>
                <w:szCs w:val="22"/>
                <w14:ligatures w14:val="standardContextual"/>
              </w:rPr>
            </w:pPr>
          </w:p>
          <w:p w14:paraId="3A38EA9C" w14:textId="77777777" w:rsidR="004D34DA" w:rsidRDefault="004D34DA">
            <w:pPr>
              <w:pStyle w:val="NormalWeb"/>
              <w:spacing w:before="0" w:beforeAutospacing="0" w:after="0" w:afterAutospacing="0" w:line="276" w:lineRule="auto"/>
              <w:ind w:right="34"/>
              <w:rPr>
                <w:rFonts w:ascii="Cambria" w:hAnsi="Cambria"/>
                <w:color w:val="000000" w:themeColor="text1"/>
                <w:kern w:val="2"/>
                <w:sz w:val="22"/>
                <w:szCs w:val="22"/>
                <w14:ligatures w14:val="standardContextual"/>
              </w:rPr>
            </w:pPr>
            <w:r>
              <w:rPr>
                <w:color w:val="000000" w:themeColor="text1"/>
                <w:kern w:val="2"/>
                <w:sz w:val="22"/>
                <w:szCs w:val="22"/>
                <w14:ligatures w14:val="standardContextual"/>
              </w:rPr>
              <w:lastRenderedPageBreak/>
              <w:t>*</w:t>
            </w:r>
            <w:r>
              <w:rPr>
                <w:rFonts w:ascii="Cambria" w:hAnsi="Cambria"/>
                <w:color w:val="000000" w:themeColor="text1"/>
                <w:kern w:val="2"/>
                <w:sz w:val="22"/>
                <w:szCs w:val="22"/>
                <w14:ligatures w14:val="standardContextual"/>
              </w:rPr>
              <w:t xml:space="preserve">You should only rephrase sentences in which you have corrected </w:t>
            </w:r>
            <w:r>
              <w:rPr>
                <w:rFonts w:ascii="Cambria" w:hAnsi="Cambria" w:cs="Arial"/>
                <w:kern w:val="2"/>
                <w:sz w:val="22"/>
                <w:szCs w:val="22"/>
                <w14:ligatures w14:val="standardContextual"/>
              </w:rPr>
              <w:t>grammatical and syntactical mistakes.</w:t>
            </w:r>
          </w:p>
          <w:p w14:paraId="348D2C54" w14:textId="77777777" w:rsidR="004D34DA" w:rsidRDefault="004D34DA">
            <w:pPr>
              <w:pStyle w:val="NormalWeb"/>
              <w:spacing w:before="0" w:beforeAutospacing="0" w:after="0" w:afterAutospacing="0" w:line="276" w:lineRule="auto"/>
              <w:ind w:right="34"/>
              <w:rPr>
                <w:rFonts w:ascii="Arial" w:hAnsi="Arial" w:cs="Arial"/>
                <w:color w:val="000000"/>
                <w:kern w:val="2"/>
                <w:sz w:val="22"/>
                <w:szCs w:val="22"/>
                <w14:ligatures w14:val="standardContextual"/>
              </w:rPr>
            </w:pPr>
            <w:r>
              <w:rPr>
                <w:rFonts w:ascii="Arial" w:hAnsi="Arial" w:cs="Arial"/>
                <w:kern w:val="2"/>
                <w:sz w:val="22"/>
                <w:szCs w:val="22"/>
                <w14:ligatures w14:val="standardContextual"/>
              </w:rPr>
              <w:t xml:space="preserve">I confirm that I have not used any AI tools in the research and creation of this assignment, </w:t>
            </w:r>
            <w:r>
              <w:rPr>
                <w:rFonts w:ascii="Arial" w:hAnsi="Arial" w:cs="Arial"/>
                <w:color w:val="000000" w:themeColor="text1"/>
                <w:kern w:val="2"/>
                <w:sz w:val="22"/>
                <w:szCs w:val="22"/>
                <w14:ligatures w14:val="standardContextual"/>
              </w:rPr>
              <w:t>except as permitted above.</w:t>
            </w:r>
            <w:r>
              <w:rPr>
                <w:rFonts w:ascii="Arial" w:hAnsi="Arial" w:cs="Arial"/>
                <w:color w:val="EE0000"/>
                <w:kern w:val="2"/>
                <w:sz w:val="22"/>
                <w:szCs w:val="22"/>
                <w14:ligatures w14:val="standardContextual"/>
              </w:rPr>
              <w:t xml:space="preserve"> </w:t>
            </w:r>
            <w:r>
              <w:rPr>
                <w:rFonts w:ascii="Arial" w:hAnsi="Arial" w:cs="Arial"/>
                <w:kern w:val="2"/>
                <w:sz w:val="22"/>
                <w:szCs w:val="22"/>
                <w14:ligatures w14:val="standardContextual"/>
              </w:rPr>
              <w:t>I confirm that I have not presented any AI generated materials as my own work. I confirm I have copies of my drafts, notes, and other resources I used, which I may be asked to provide in evidence.</w:t>
            </w:r>
          </w:p>
          <w:p w14:paraId="26EA5B33" w14:textId="77777777"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p>
          <w:p w14:paraId="07B96E5A" w14:textId="77777777"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r>
              <w:rPr>
                <w:rFonts w:ascii="Arial" w:hAnsi="Arial" w:cs="Arial"/>
                <w:kern w:val="2"/>
                <w:sz w:val="22"/>
                <w:szCs w:val="22"/>
                <w14:ligatures w14:val="standardContextual"/>
              </w:rPr>
              <w:t>Signed:    S. Marchese Ragona</w:t>
            </w:r>
          </w:p>
          <w:p w14:paraId="6FCB165C" w14:textId="77777777"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p>
        </w:tc>
      </w:tr>
      <w:tr w:rsidR="004D34DA" w14:paraId="2B3A6573" w14:textId="77777777">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0A4EBA92" w14:textId="77777777" w:rsidR="004D34DA" w:rsidRDefault="004D34DA">
            <w:pPr>
              <w:rPr>
                <w:rFonts w:ascii="Arial" w:hAnsi="Arial"/>
                <w:b/>
              </w:rPr>
            </w:pPr>
          </w:p>
          <w:p w14:paraId="09581F8D" w14:textId="77777777" w:rsidR="004D34DA" w:rsidRDefault="004D34DA">
            <w:pPr>
              <w:rPr>
                <w:rFonts w:ascii="Arial" w:hAnsi="Arial"/>
              </w:rPr>
            </w:pPr>
            <w:r>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D34DA" w14:paraId="42DC9F26" w14:textId="77777777">
              <w:tc>
                <w:tcPr>
                  <w:tcW w:w="6970" w:type="dxa"/>
                  <w:tcBorders>
                    <w:top w:val="single" w:sz="4" w:space="0" w:color="auto"/>
                    <w:left w:val="single" w:sz="4" w:space="0" w:color="auto"/>
                    <w:bottom w:val="single" w:sz="4" w:space="0" w:color="auto"/>
                    <w:right w:val="single" w:sz="4" w:space="0" w:color="auto"/>
                  </w:tcBorders>
                </w:tcPr>
                <w:p w14:paraId="14BF13A8" w14:textId="77777777" w:rsidR="004D34DA" w:rsidRDefault="004D34DA">
                  <w:pPr>
                    <w:rPr>
                      <w:rFonts w:ascii="Arial" w:hAnsi="Arial"/>
                      <w:sz w:val="20"/>
                      <w:szCs w:val="20"/>
                    </w:rPr>
                  </w:pPr>
                </w:p>
                <w:p w14:paraId="0161C6B0" w14:textId="77777777" w:rsidR="004D34DA" w:rsidRDefault="004D34DA">
                  <w:pPr>
                    <w:rPr>
                      <w:rFonts w:ascii="Arial" w:hAnsi="Arial"/>
                      <w:sz w:val="20"/>
                      <w:szCs w:val="20"/>
                    </w:rPr>
                  </w:pPr>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14:paraId="1F0FF953" w14:textId="77777777" w:rsidR="004D34DA" w:rsidRDefault="004D34DA">
                  <w:pPr>
                    <w:rPr>
                      <w:rFonts w:ascii="Arial" w:hAnsi="Arial"/>
                      <w:sz w:val="20"/>
                      <w:szCs w:val="20"/>
                    </w:rPr>
                  </w:pPr>
                </w:p>
              </w:tc>
            </w:tr>
            <w:tr w:rsidR="004D34DA" w14:paraId="26842E50" w14:textId="77777777">
              <w:tc>
                <w:tcPr>
                  <w:tcW w:w="6970" w:type="dxa"/>
                  <w:tcBorders>
                    <w:top w:val="single" w:sz="4" w:space="0" w:color="auto"/>
                    <w:left w:val="single" w:sz="4" w:space="0" w:color="auto"/>
                    <w:bottom w:val="single" w:sz="4" w:space="0" w:color="auto"/>
                    <w:right w:val="single" w:sz="4" w:space="0" w:color="auto"/>
                  </w:tcBorders>
                </w:tcPr>
                <w:p w14:paraId="24D24A6A" w14:textId="77777777" w:rsidR="004D34DA" w:rsidRDefault="004D34DA">
                  <w:pPr>
                    <w:rPr>
                      <w:rFonts w:ascii="Arial" w:hAnsi="Arial"/>
                      <w:sz w:val="20"/>
                      <w:szCs w:val="20"/>
                    </w:rPr>
                  </w:pPr>
                </w:p>
                <w:p w14:paraId="327D78F5" w14:textId="77777777" w:rsidR="004D34DA" w:rsidRDefault="004D34DA">
                  <w:pPr>
                    <w:rPr>
                      <w:rFonts w:ascii="Arial" w:hAnsi="Arial"/>
                      <w:sz w:val="20"/>
                      <w:szCs w:val="20"/>
                    </w:rPr>
                  </w:pPr>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14:paraId="12962E8A" w14:textId="77777777" w:rsidR="004D34DA" w:rsidRDefault="004D34DA">
                  <w:pPr>
                    <w:rPr>
                      <w:rFonts w:ascii="Arial" w:hAnsi="Arial"/>
                      <w:sz w:val="20"/>
                      <w:szCs w:val="20"/>
                    </w:rPr>
                  </w:pPr>
                </w:p>
              </w:tc>
            </w:tr>
            <w:tr w:rsidR="004D34DA" w14:paraId="718A41DC" w14:textId="77777777">
              <w:tc>
                <w:tcPr>
                  <w:tcW w:w="6970" w:type="dxa"/>
                  <w:tcBorders>
                    <w:top w:val="single" w:sz="4" w:space="0" w:color="auto"/>
                    <w:left w:val="single" w:sz="4" w:space="0" w:color="auto"/>
                    <w:bottom w:val="single" w:sz="4" w:space="0" w:color="auto"/>
                    <w:right w:val="single" w:sz="4" w:space="0" w:color="auto"/>
                  </w:tcBorders>
                </w:tcPr>
                <w:p w14:paraId="37F18629" w14:textId="77777777" w:rsidR="004D34DA" w:rsidRDefault="004D34DA">
                  <w:pPr>
                    <w:rPr>
                      <w:rFonts w:ascii="Arial" w:hAnsi="Arial"/>
                      <w:sz w:val="20"/>
                      <w:szCs w:val="20"/>
                    </w:rPr>
                  </w:pPr>
                </w:p>
                <w:p w14:paraId="47B4973B" w14:textId="77777777" w:rsidR="004D34DA" w:rsidRDefault="004D34DA">
                  <w:pPr>
                    <w:rPr>
                      <w:rFonts w:ascii="Arial" w:hAnsi="Arial"/>
                      <w:sz w:val="20"/>
                      <w:szCs w:val="20"/>
                    </w:rPr>
                  </w:pPr>
                  <w:r>
                    <w:rPr>
                      <w:rFonts w:ascii="Arial" w:hAnsi="Arial"/>
                      <w:sz w:val="20"/>
                      <w:szCs w:val="20"/>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14:paraId="761A7F15" w14:textId="77777777" w:rsidR="004D34DA" w:rsidRDefault="004D34DA">
                  <w:pPr>
                    <w:rPr>
                      <w:rFonts w:ascii="Arial" w:hAnsi="Arial"/>
                      <w:sz w:val="20"/>
                      <w:szCs w:val="20"/>
                    </w:rPr>
                  </w:pPr>
                </w:p>
              </w:tc>
            </w:tr>
            <w:tr w:rsidR="004D34DA" w14:paraId="610B7ED6" w14:textId="77777777">
              <w:tc>
                <w:tcPr>
                  <w:tcW w:w="6970" w:type="dxa"/>
                  <w:tcBorders>
                    <w:top w:val="single" w:sz="4" w:space="0" w:color="auto"/>
                    <w:left w:val="single" w:sz="4" w:space="0" w:color="auto"/>
                    <w:bottom w:val="single" w:sz="4" w:space="0" w:color="auto"/>
                    <w:right w:val="single" w:sz="4" w:space="0" w:color="auto"/>
                  </w:tcBorders>
                </w:tcPr>
                <w:p w14:paraId="600D913A" w14:textId="77777777" w:rsidR="004D34DA" w:rsidRDefault="004D34DA">
                  <w:pPr>
                    <w:rPr>
                      <w:rFonts w:ascii="Arial" w:hAnsi="Arial"/>
                      <w:sz w:val="20"/>
                      <w:szCs w:val="20"/>
                    </w:rPr>
                  </w:pPr>
                </w:p>
                <w:p w14:paraId="0389451A" w14:textId="77777777" w:rsidR="004D34DA" w:rsidRDefault="004D34DA">
                  <w:pPr>
                    <w:rPr>
                      <w:rFonts w:ascii="Arial" w:hAnsi="Arial"/>
                      <w:b/>
                      <w:sz w:val="20"/>
                      <w:szCs w:val="20"/>
                    </w:rPr>
                  </w:pPr>
                  <w:r>
                    <w:rPr>
                      <w:rFonts w:ascii="Arial" w:hAnsi="Arial"/>
                      <w:b/>
                      <w:sz w:val="20"/>
                      <w:szCs w:val="20"/>
                    </w:rPr>
                    <w:t>Final Mark</w:t>
                  </w:r>
                </w:p>
                <w:p w14:paraId="442CA08E" w14:textId="77777777" w:rsidR="004D34DA" w:rsidRDefault="004D34DA">
                  <w:pPr>
                    <w:rPr>
                      <w:rFonts w:ascii="Arial" w:hAnsi="Arial"/>
                      <w:sz w:val="20"/>
                      <w:szCs w:val="20"/>
                    </w:rPr>
                  </w:pPr>
                </w:p>
              </w:tc>
              <w:tc>
                <w:tcPr>
                  <w:tcW w:w="1660" w:type="dxa"/>
                  <w:tcBorders>
                    <w:top w:val="single" w:sz="4" w:space="0" w:color="auto"/>
                    <w:left w:val="single" w:sz="4" w:space="0" w:color="auto"/>
                    <w:bottom w:val="single" w:sz="4" w:space="0" w:color="auto"/>
                    <w:right w:val="single" w:sz="4" w:space="0" w:color="auto"/>
                  </w:tcBorders>
                </w:tcPr>
                <w:p w14:paraId="7F184492" w14:textId="77777777" w:rsidR="004D34DA" w:rsidRDefault="004D34DA">
                  <w:pPr>
                    <w:rPr>
                      <w:rFonts w:ascii="Arial" w:hAnsi="Arial"/>
                      <w:sz w:val="20"/>
                      <w:szCs w:val="20"/>
                    </w:rPr>
                  </w:pPr>
                </w:p>
              </w:tc>
            </w:tr>
          </w:tbl>
          <w:p w14:paraId="110DC3DE" w14:textId="77777777" w:rsidR="004D34DA" w:rsidRDefault="004D34DA">
            <w:pPr>
              <w:pStyle w:val="NormalWeb"/>
              <w:spacing w:before="0" w:beforeAutospacing="0" w:after="0" w:afterAutospacing="0" w:line="276" w:lineRule="auto"/>
              <w:ind w:left="142" w:right="34"/>
              <w:rPr>
                <w:rFonts w:ascii="Arial" w:hAnsi="Arial" w:cs="Arial"/>
                <w:b/>
                <w:kern w:val="2"/>
                <w:sz w:val="22"/>
                <w:szCs w:val="22"/>
                <w14:ligatures w14:val="standardContextual"/>
              </w:rPr>
            </w:pPr>
          </w:p>
          <w:p w14:paraId="581FD33E" w14:textId="77777777" w:rsidR="004D34DA" w:rsidRDefault="004D34DA">
            <w:pPr>
              <w:pStyle w:val="NormalWeb"/>
              <w:spacing w:before="0" w:beforeAutospacing="0" w:after="0" w:afterAutospacing="0" w:line="276" w:lineRule="auto"/>
              <w:ind w:left="142" w:right="34"/>
              <w:rPr>
                <w:rFonts w:ascii="Arial" w:hAnsi="Arial" w:cs="Arial"/>
                <w:kern w:val="2"/>
                <w:sz w:val="22"/>
                <w:szCs w:val="22"/>
                <w14:ligatures w14:val="standardContextual"/>
              </w:rPr>
            </w:pPr>
            <w:r>
              <w:rPr>
                <w:rFonts w:ascii="Arial" w:hAnsi="Arial" w:cs="Arial"/>
                <w:b/>
                <w:kern w:val="2"/>
                <w:sz w:val="22"/>
                <w:szCs w:val="22"/>
                <w14:ligatures w14:val="standardContextual"/>
              </w:rPr>
              <w:t>NB.</w:t>
            </w:r>
            <w:r>
              <w:rPr>
                <w:rFonts w:ascii="Arial" w:hAnsi="Arial" w:cs="Arial"/>
                <w:kern w:val="2"/>
                <w:sz w:val="22"/>
                <w:szCs w:val="22"/>
                <w14:ligatures w14:val="standardContextual"/>
              </w:rPr>
              <w:t xml:space="preserve">  All marks are provisional until confirmed by the Final Examination Board.</w:t>
            </w:r>
          </w:p>
          <w:p w14:paraId="57F7E92F" w14:textId="77777777" w:rsidR="004D34DA" w:rsidRDefault="004D34DA">
            <w:pPr>
              <w:pStyle w:val="NormalWeb"/>
              <w:spacing w:before="0" w:beforeAutospacing="0" w:after="0" w:afterAutospacing="0" w:line="276" w:lineRule="auto"/>
              <w:rPr>
                <w:rFonts w:ascii="Arial" w:hAnsi="Arial" w:cs="Arial"/>
                <w:b/>
                <w:kern w:val="2"/>
                <w:sz w:val="22"/>
                <w:szCs w:val="22"/>
                <w14:ligatures w14:val="standardContextual"/>
              </w:rPr>
            </w:pPr>
          </w:p>
          <w:p w14:paraId="5CB98CFC" w14:textId="77777777" w:rsidR="004D34DA" w:rsidRDefault="004D34DA">
            <w:pPr>
              <w:pStyle w:val="NormalWeb"/>
              <w:spacing w:before="0" w:beforeAutospacing="0" w:after="0" w:afterAutospacing="0" w:line="276" w:lineRule="auto"/>
              <w:rPr>
                <w:rFonts w:ascii="Arial" w:hAnsi="Arial" w:cs="Arial"/>
                <w:b/>
                <w:kern w:val="2"/>
                <w:sz w:val="22"/>
                <w:szCs w:val="22"/>
                <w14:ligatures w14:val="standardContextual"/>
              </w:rPr>
            </w:pPr>
          </w:p>
          <w:p w14:paraId="55628260" w14:textId="77777777" w:rsidR="004D34DA" w:rsidRDefault="004D34DA">
            <w:pPr>
              <w:pStyle w:val="NormalWeb"/>
              <w:spacing w:before="0" w:beforeAutospacing="0" w:after="0" w:afterAutospacing="0" w:line="276" w:lineRule="auto"/>
              <w:rPr>
                <w:rFonts w:ascii="Arial" w:hAnsi="Arial" w:cs="Arial"/>
                <w:b/>
                <w:kern w:val="2"/>
                <w:sz w:val="22"/>
                <w:szCs w:val="22"/>
                <w14:ligatures w14:val="standardContextual"/>
              </w:rPr>
            </w:pPr>
          </w:p>
          <w:p w14:paraId="3F308D1E" w14:textId="77777777" w:rsidR="004D34DA" w:rsidRDefault="004D34DA">
            <w:pPr>
              <w:pStyle w:val="NormalWeb"/>
              <w:spacing w:before="0" w:beforeAutospacing="0" w:after="0" w:afterAutospacing="0" w:line="276" w:lineRule="auto"/>
              <w:rPr>
                <w:rFonts w:ascii="Arial" w:hAnsi="Arial" w:cs="Arial"/>
                <w:b/>
                <w:kern w:val="2"/>
                <w:sz w:val="22"/>
                <w:szCs w:val="22"/>
                <w14:ligatures w14:val="standardContextual"/>
              </w:rPr>
            </w:pPr>
          </w:p>
          <w:p w14:paraId="44A2957C" w14:textId="77777777" w:rsidR="004D34DA" w:rsidRDefault="004D34DA">
            <w:pPr>
              <w:pStyle w:val="NormalWeb"/>
              <w:spacing w:before="0" w:beforeAutospacing="0" w:after="0" w:afterAutospacing="0" w:line="276" w:lineRule="auto"/>
              <w:rPr>
                <w:rFonts w:ascii="Arial" w:hAnsi="Arial" w:cs="Arial"/>
                <w:b/>
                <w:kern w:val="2"/>
                <w:sz w:val="22"/>
                <w:szCs w:val="22"/>
                <w14:ligatures w14:val="standardContextual"/>
              </w:rPr>
            </w:pPr>
          </w:p>
          <w:p w14:paraId="2C4D8ADE" w14:textId="77777777" w:rsidR="004D34DA" w:rsidRDefault="004D34DA">
            <w:pPr>
              <w:pStyle w:val="NormalWeb"/>
              <w:spacing w:before="0" w:beforeAutospacing="0" w:after="0" w:afterAutospacing="0" w:line="276" w:lineRule="auto"/>
              <w:rPr>
                <w:rFonts w:ascii="Arial" w:hAnsi="Arial" w:cs="Arial"/>
                <w:b/>
                <w:kern w:val="2"/>
                <w:sz w:val="22"/>
                <w:szCs w:val="22"/>
                <w14:ligatures w14:val="standardContextual"/>
              </w:rPr>
            </w:pPr>
            <w:r>
              <w:rPr>
                <w:rFonts w:ascii="Arial" w:hAnsi="Arial" w:cs="Arial"/>
                <w:b/>
                <w:kern w:val="2"/>
                <w:sz w:val="22"/>
                <w:szCs w:val="22"/>
                <w14:ligatures w14:val="standardContextual"/>
              </w:rPr>
              <w:t>For completion by Marker 1 :</w:t>
            </w:r>
          </w:p>
          <w:p w14:paraId="35D531CD" w14:textId="77777777" w:rsidR="004D34DA" w:rsidRDefault="004D34DA">
            <w:pPr>
              <w:pStyle w:val="NormalWeb"/>
              <w:spacing w:line="276" w:lineRule="auto"/>
              <w:rPr>
                <w:rFonts w:ascii="Arial" w:hAnsi="Arial" w:cs="Arial"/>
                <w:kern w:val="2"/>
                <w:sz w:val="22"/>
                <w:szCs w:val="22"/>
                <w14:ligatures w14:val="standardContextual"/>
              </w:rPr>
            </w:pPr>
            <w:r>
              <w:rPr>
                <w:rFonts w:ascii="Arial" w:hAnsi="Arial" w:cs="Arial"/>
                <w:kern w:val="2"/>
                <w:sz w:val="22"/>
                <w:szCs w:val="22"/>
                <w14:ligatures w14:val="standardContextual"/>
              </w:rPr>
              <w:t>Comments:</w:t>
            </w:r>
          </w:p>
          <w:p w14:paraId="4EE4666E" w14:textId="77777777" w:rsidR="004D34DA" w:rsidRDefault="004D34DA">
            <w:pPr>
              <w:pStyle w:val="NormalWeb"/>
              <w:spacing w:line="276" w:lineRule="auto"/>
              <w:rPr>
                <w:rFonts w:ascii="Arial" w:hAnsi="Arial" w:cs="Arial"/>
                <w:kern w:val="2"/>
                <w:sz w:val="22"/>
                <w:szCs w:val="22"/>
                <w14:ligatures w14:val="standardContextual"/>
              </w:rPr>
            </w:pPr>
          </w:p>
        </w:tc>
      </w:tr>
      <w:tr w:rsidR="004D34DA" w14:paraId="72CF3B23" w14:textId="77777777">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14:paraId="7A52BE4C" w14:textId="77777777" w:rsidR="004D34DA" w:rsidRDefault="004D34DA">
            <w:pPr>
              <w:pStyle w:val="NormalWeb"/>
              <w:spacing w:beforeAutospacing="0" w:afterAutospacing="0" w:line="276" w:lineRule="auto"/>
              <w:ind w:left="142" w:right="34"/>
              <w:rPr>
                <w:rFonts w:ascii="Arial" w:hAnsi="Arial" w:cs="Arial"/>
                <w:kern w:val="2"/>
                <w:sz w:val="22"/>
                <w:szCs w:val="22"/>
                <w14:ligatures w14:val="standardContextual"/>
              </w:rPr>
            </w:pPr>
            <w:r>
              <w:rPr>
                <w:rFonts w:ascii="Arial" w:hAnsi="Arial" w:cs="Arial"/>
                <w:kern w:val="2"/>
                <w:sz w:val="22"/>
                <w:szCs w:val="22"/>
                <w14:ligatures w14:val="standardContextual"/>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535B5B6D" w14:textId="77777777" w:rsidR="004D34DA" w:rsidRDefault="004D34DA">
            <w:pPr>
              <w:pStyle w:val="NormalWeb"/>
              <w:spacing w:beforeAutospacing="0" w:after="0" w:afterAutospacing="0" w:line="276" w:lineRule="auto"/>
              <w:ind w:left="142" w:right="34"/>
              <w:rPr>
                <w:rFonts w:ascii="Arial" w:hAnsi="Arial" w:cs="Arial"/>
                <w:kern w:val="2"/>
                <w:sz w:val="22"/>
                <w:szCs w:val="22"/>
                <w14:ligatures w14:val="standardContextual"/>
              </w:rPr>
            </w:pPr>
            <w:r>
              <w:rPr>
                <w:rFonts w:ascii="Arial" w:hAnsi="Arial" w:cs="Arial"/>
                <w:kern w:val="2"/>
                <w:sz w:val="22"/>
                <w:szCs w:val="22"/>
                <w14:ligatures w14:val="standardContextual"/>
              </w:rPr>
              <w:t>Date:</w:t>
            </w:r>
          </w:p>
        </w:tc>
      </w:tr>
      <w:tr w:rsidR="004D34DA" w14:paraId="05F90998" w14:textId="77777777">
        <w:tc>
          <w:tcPr>
            <w:tcW w:w="8856" w:type="dxa"/>
            <w:gridSpan w:val="5"/>
            <w:tcBorders>
              <w:top w:val="single" w:sz="4" w:space="0" w:color="000000"/>
              <w:left w:val="single" w:sz="4" w:space="0" w:color="000000"/>
              <w:bottom w:val="single" w:sz="4" w:space="0" w:color="000000"/>
              <w:right w:val="single" w:sz="4" w:space="0" w:color="000000"/>
            </w:tcBorders>
          </w:tcPr>
          <w:p w14:paraId="131CA60E" w14:textId="77777777" w:rsidR="004D34DA" w:rsidRDefault="004D34DA">
            <w:pPr>
              <w:pStyle w:val="NormalWeb"/>
              <w:spacing w:before="0" w:beforeAutospacing="0" w:after="0" w:afterAutospacing="0" w:line="276" w:lineRule="auto"/>
              <w:ind w:right="-334"/>
              <w:rPr>
                <w:rFonts w:ascii="Arial" w:hAnsi="Arial" w:cs="Arial"/>
                <w:bCs/>
                <w:i/>
                <w:kern w:val="2"/>
                <w:sz w:val="22"/>
                <w:szCs w:val="22"/>
                <w14:ligatures w14:val="standardContextual"/>
              </w:rPr>
            </w:pPr>
          </w:p>
          <w:p w14:paraId="4D1B0FC6" w14:textId="77777777" w:rsidR="004D34DA" w:rsidRDefault="004D34DA">
            <w:pPr>
              <w:pStyle w:val="NormalWeb"/>
              <w:spacing w:before="0" w:beforeAutospacing="0" w:after="0" w:afterAutospacing="0" w:line="276" w:lineRule="auto"/>
              <w:ind w:right="-334"/>
              <w:rPr>
                <w:rFonts w:ascii="Arial" w:hAnsi="Arial" w:cs="Arial"/>
                <w:b/>
                <w:bCs/>
                <w:kern w:val="2"/>
                <w:sz w:val="22"/>
                <w:szCs w:val="22"/>
                <w14:ligatures w14:val="standardContextual"/>
              </w:rPr>
            </w:pPr>
            <w:r>
              <w:rPr>
                <w:rFonts w:ascii="Arial" w:hAnsi="Arial" w:cs="Arial"/>
                <w:b/>
                <w:bCs/>
                <w:kern w:val="2"/>
                <w:sz w:val="22"/>
                <w:szCs w:val="22"/>
                <w14:ligatures w14:val="standardContextual"/>
              </w:rPr>
              <w:t>For completion by Marker 2/Moderator:</w:t>
            </w:r>
          </w:p>
          <w:p w14:paraId="2238EA9C" w14:textId="77777777" w:rsidR="004D34DA" w:rsidRDefault="004D34DA">
            <w:pPr>
              <w:pStyle w:val="NormalWeb"/>
              <w:spacing w:before="0" w:beforeAutospacing="0" w:after="0" w:afterAutospacing="0" w:line="276" w:lineRule="auto"/>
              <w:ind w:right="-334"/>
              <w:rPr>
                <w:rFonts w:ascii="Arial" w:hAnsi="Arial" w:cs="Arial"/>
                <w:b/>
                <w:bCs/>
                <w:kern w:val="2"/>
                <w:sz w:val="22"/>
                <w:szCs w:val="22"/>
                <w14:ligatures w14:val="standardContextual"/>
              </w:rPr>
            </w:pPr>
          </w:p>
          <w:p w14:paraId="7C8D27AD"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r>
              <w:rPr>
                <w:rFonts w:ascii="Arial" w:hAnsi="Arial" w:cs="Arial"/>
                <w:bCs/>
                <w:kern w:val="2"/>
                <w:sz w:val="22"/>
                <w:szCs w:val="22"/>
                <w14:ligatures w14:val="standardContextual"/>
              </w:rPr>
              <w:t>Comments:</w:t>
            </w:r>
          </w:p>
          <w:p w14:paraId="4E382337"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5AABC920"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0B4FA9CB"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0A318A12"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298A864B"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424EB61A"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60ACC887"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5F95CF03"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11339C7B"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0406CDDD"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14144D16"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69DE0880"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tc>
      </w:tr>
      <w:tr w:rsidR="004D34DA" w14:paraId="72F879A1" w14:textId="77777777">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3DF1BFB2"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r>
              <w:rPr>
                <w:rFonts w:ascii="Arial" w:hAnsi="Arial" w:cs="Arial"/>
                <w:bCs/>
                <w:kern w:val="2"/>
                <w:sz w:val="22"/>
                <w:szCs w:val="22"/>
                <w14:ligatures w14:val="standardContextual"/>
              </w:rPr>
              <w:lastRenderedPageBreak/>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7E53E155"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r>
              <w:rPr>
                <w:rFonts w:ascii="Arial" w:hAnsi="Arial" w:cs="Arial"/>
                <w:bCs/>
                <w:kern w:val="2"/>
                <w:sz w:val="22"/>
                <w:szCs w:val="22"/>
                <w14:ligatures w14:val="standardContextual"/>
              </w:rPr>
              <w:t>Date:</w:t>
            </w:r>
          </w:p>
        </w:tc>
      </w:tr>
      <w:tr w:rsidR="004D34DA" w14:paraId="67A961F8" w14:textId="77777777">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415F0A27" w14:textId="77777777" w:rsidR="004D34DA" w:rsidRDefault="004D34DA">
            <w:pPr>
              <w:rPr>
                <w:rFonts w:ascii="Arial" w:hAnsi="Arial" w:cs="Arial"/>
                <w:b/>
              </w:rPr>
            </w:pPr>
            <w:r>
              <w:rPr>
                <w:rFonts w:ascii="Arial" w:hAnsi="Arial" w:cs="Arial"/>
                <w:b/>
              </w:rPr>
              <w:t>External Examiner’s comments (if relevant)</w:t>
            </w:r>
          </w:p>
          <w:p w14:paraId="76154CF6"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2A366E8F"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053C1ABA"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6DD9FC94"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5EBB9DA5"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5E9BA1B9"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13982DCC"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50219AB0"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343838E4"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6BEB4C55"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3CDC39FD"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tc>
      </w:tr>
      <w:tr w:rsidR="004D34DA" w14:paraId="5E7359B5" w14:textId="77777777">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682056BC" w14:textId="77777777" w:rsidR="004D34DA" w:rsidRDefault="004D34DA">
            <w:pPr>
              <w:rPr>
                <w:rFonts w:ascii="Arial" w:hAnsi="Arial" w:cs="Arial"/>
              </w:rPr>
            </w:pPr>
            <w:r>
              <w:rPr>
                <w:rFonts w:ascii="Arial" w:hAnsi="Arial" w:cs="Arial"/>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3BAC5CDD" w14:textId="77777777" w:rsidR="004D34DA" w:rsidRDefault="004D34DA">
            <w:pPr>
              <w:rPr>
                <w:rFonts w:ascii="Arial" w:hAnsi="Arial" w:cs="Arial"/>
              </w:rPr>
            </w:pPr>
            <w:r>
              <w:rPr>
                <w:rFonts w:ascii="Arial" w:hAnsi="Arial" w:cs="Arial"/>
              </w:rPr>
              <w:t>Date:</w:t>
            </w:r>
          </w:p>
        </w:tc>
      </w:tr>
    </w:tbl>
    <w:p w14:paraId="0A456347" w14:textId="77777777" w:rsidR="004D34DA" w:rsidRDefault="004D34DA" w:rsidP="004D34DA"/>
    <w:p w14:paraId="6BA99A61" w14:textId="77777777" w:rsidR="00543AC9" w:rsidRDefault="00543AC9"/>
    <w:p w14:paraId="0B233262" w14:textId="77777777" w:rsidR="00200C74" w:rsidRDefault="00200C74" w:rsidP="00A46669">
      <w:pPr>
        <w:jc w:val="center"/>
        <w:rPr>
          <w:b/>
          <w:bCs/>
          <w:u w:val="single"/>
        </w:rPr>
      </w:pPr>
      <w:r w:rsidRPr="00200C74">
        <w:rPr>
          <w:b/>
          <w:bCs/>
          <w:u w:val="single"/>
        </w:rPr>
        <w:t>A Critical Comparison of Two Secondary Sources</w:t>
      </w:r>
    </w:p>
    <w:p w14:paraId="3CFA31D6" w14:textId="7D1E36A4" w:rsidR="00A46669" w:rsidRPr="00271091" w:rsidRDefault="00A46669" w:rsidP="00A46669">
      <w:pPr>
        <w:jc w:val="center"/>
        <w:rPr>
          <w:b/>
          <w:bCs/>
        </w:rPr>
      </w:pPr>
      <w:r w:rsidRPr="00271091">
        <w:rPr>
          <w:b/>
          <w:bCs/>
        </w:rPr>
        <w:t xml:space="preserve">By </w:t>
      </w:r>
    </w:p>
    <w:p w14:paraId="6556AB3E" w14:textId="77777777" w:rsidR="00A46669" w:rsidRPr="00271091" w:rsidRDefault="00A46669" w:rsidP="00A46669">
      <w:pPr>
        <w:jc w:val="center"/>
        <w:rPr>
          <w:b/>
          <w:bCs/>
        </w:rPr>
      </w:pPr>
      <w:r w:rsidRPr="00271091">
        <w:rPr>
          <w:b/>
          <w:bCs/>
        </w:rPr>
        <w:t>Silvio (Sid) Paul Marchese Ragona</w:t>
      </w:r>
    </w:p>
    <w:p w14:paraId="48F454D2" w14:textId="146BFD1C" w:rsidR="00A46669" w:rsidRPr="00A47D41" w:rsidRDefault="00A46669" w:rsidP="00A46669">
      <w:pPr>
        <w:jc w:val="center"/>
        <w:rPr>
          <w:b/>
          <w:bCs/>
        </w:rPr>
      </w:pPr>
      <w:r w:rsidRPr="00A47D41">
        <w:rPr>
          <w:b/>
          <w:bCs/>
        </w:rPr>
        <w:t xml:space="preserve">Word Count: </w:t>
      </w:r>
      <w:r w:rsidR="007F6173">
        <w:rPr>
          <w:b/>
          <w:bCs/>
        </w:rPr>
        <w:t>2616</w:t>
      </w:r>
    </w:p>
    <w:p w14:paraId="60ECD4FE" w14:textId="77777777" w:rsidR="00A46669" w:rsidRDefault="00A46669"/>
    <w:p w14:paraId="2FAC6BA9" w14:textId="5E19222A" w:rsidR="00543AC9" w:rsidRPr="00A946D4" w:rsidRDefault="00543AC9">
      <w:pPr>
        <w:rPr>
          <w:b/>
          <w:bCs/>
          <w:u w:val="single"/>
        </w:rPr>
      </w:pPr>
      <w:bookmarkStart w:id="4" w:name="_Hlk224141175"/>
      <w:r w:rsidRPr="00A946D4">
        <w:rPr>
          <w:b/>
          <w:bCs/>
          <w:u w:val="single"/>
        </w:rPr>
        <w:t>Introduction:</w:t>
      </w:r>
    </w:p>
    <w:p w14:paraId="4B46F460" w14:textId="3901C943" w:rsidR="00543AC9" w:rsidRDefault="00543AC9">
      <w:r w:rsidRPr="00543AC9">
        <w:lastRenderedPageBreak/>
        <w:t xml:space="preserve">This essay compares two </w:t>
      </w:r>
      <w:r w:rsidR="007428A6">
        <w:t xml:space="preserve">well-structured </w:t>
      </w:r>
      <w:r w:rsidRPr="00543AC9">
        <w:t>studies that explore the coexistence of multiple and potentially conflicting belief frameworks:  Brink’s 1978</w:t>
      </w:r>
      <w:r w:rsidR="00827299">
        <w:t xml:space="preserve"> </w:t>
      </w:r>
      <w:r w:rsidR="00827299" w:rsidRPr="00543AC9">
        <w:t>quantitative</w:t>
      </w:r>
      <w:r w:rsidRPr="00543AC9">
        <w:t xml:space="preserve"> investigation of Catholic adolescent schoolgirls’ belief</w:t>
      </w:r>
      <w:r w:rsidR="00D95E96">
        <w:t>s</w:t>
      </w:r>
      <w:r w:rsidRPr="00543AC9">
        <w:t xml:space="preserve"> and Walter and Waterhouse’s 1999 </w:t>
      </w:r>
      <w:r w:rsidR="00827299" w:rsidRPr="00543AC9">
        <w:t>qua</w:t>
      </w:r>
      <w:r w:rsidR="00827299">
        <w:t>litative</w:t>
      </w:r>
      <w:r w:rsidRPr="00543AC9">
        <w:t xml:space="preserve"> study </w:t>
      </w:r>
      <w:r w:rsidR="00827299">
        <w:t xml:space="preserve">of </w:t>
      </w:r>
      <w:r w:rsidRPr="00543AC9">
        <w:t xml:space="preserve">reincarnation in </w:t>
      </w:r>
      <w:r w:rsidR="00827299">
        <w:t xml:space="preserve">contemporary </w:t>
      </w:r>
      <w:r w:rsidRPr="00543AC9">
        <w:t>England</w:t>
      </w:r>
      <w:r w:rsidR="00B90986">
        <w:t>.</w:t>
      </w:r>
      <w:r>
        <w:rPr>
          <w:rStyle w:val="FootnoteReference"/>
        </w:rPr>
        <w:footnoteReference w:id="1"/>
      </w:r>
      <w:r w:rsidR="00ED44F4">
        <w:t xml:space="preserve">  </w:t>
      </w:r>
      <w:r w:rsidR="008D6009">
        <w:t>S</w:t>
      </w:r>
      <w:r w:rsidR="00ED44F4">
        <w:t>eparated by more than two decades and grounded in different disciplinary backgrounds, the authors</w:t>
      </w:r>
      <w:r w:rsidR="008D6009">
        <w:t xml:space="preserve"> bring</w:t>
      </w:r>
      <w:r w:rsidR="00ED44F4">
        <w:t xml:space="preserve"> contrasting areas of expertise and methodological procedures shape the questions they ask and the kinds of knowledge they consider valid. </w:t>
      </w:r>
    </w:p>
    <w:p w14:paraId="7EFBF619" w14:textId="401AFFB5" w:rsidR="007C3F7B" w:rsidRDefault="007C3F7B">
      <w:r>
        <w:t xml:space="preserve">When the papers are read separately, they offer dramatically different methodologies </w:t>
      </w:r>
      <w:r w:rsidR="008D6009">
        <w:t xml:space="preserve">and reflexivity </w:t>
      </w:r>
      <w:r>
        <w:t>and seek different understandings, however when</w:t>
      </w:r>
      <w:r w:rsidR="00813314" w:rsidRPr="00813314">
        <w:t xml:space="preserve"> </w:t>
      </w:r>
      <w:r w:rsidR="002612A5">
        <w:t xml:space="preserve">they </w:t>
      </w:r>
      <w:r w:rsidR="00813314" w:rsidRPr="00813314">
        <w:t>are read in tandem as opposed to isolation, they demonstrate that a methodologic divergence does not prevent an empirical convergence</w:t>
      </w:r>
      <w:r w:rsidR="003D57BD">
        <w:t>.</w:t>
      </w:r>
      <w:r>
        <w:t xml:space="preserve"> </w:t>
      </w:r>
      <w:r w:rsidR="003D57BD">
        <w:t>B</w:t>
      </w:r>
      <w:r>
        <w:t>oth papers reveal that individuals often hold multiple, overlapping and sometimes contradictory belief frameworks</w:t>
      </w:r>
      <w:r w:rsidR="003D57BD">
        <w:t>.</w:t>
      </w:r>
    </w:p>
    <w:p w14:paraId="35C3FDE3" w14:textId="6A609E34" w:rsidR="009701CF" w:rsidRDefault="00A14EBE">
      <w:r>
        <w:t>The essay also considers the</w:t>
      </w:r>
      <w:r w:rsidR="009318C7">
        <w:t xml:space="preserve"> ethical </w:t>
      </w:r>
      <w:r w:rsidR="00003D99">
        <w:t xml:space="preserve">stance </w:t>
      </w:r>
      <w:r>
        <w:t>of each publication, using a contemporary lens to highlight how significantly research ethics have evolved.</w:t>
      </w:r>
    </w:p>
    <w:p w14:paraId="2D36B4ED" w14:textId="77777777" w:rsidR="00543AC9" w:rsidRDefault="00543AC9"/>
    <w:p w14:paraId="4A5A8F5B" w14:textId="62E3C639" w:rsidR="002F28AF" w:rsidRPr="00C124A8" w:rsidRDefault="00C124A8">
      <w:pPr>
        <w:rPr>
          <w:b/>
          <w:bCs/>
          <w:u w:val="single"/>
        </w:rPr>
      </w:pPr>
      <w:r w:rsidRPr="00C124A8">
        <w:rPr>
          <w:b/>
          <w:bCs/>
          <w:u w:val="single"/>
        </w:rPr>
        <w:t>Synopsis of the Brink (1978) and Walter and Waterhouse (1999</w:t>
      </w:r>
      <w:r w:rsidR="00CD3D44">
        <w:rPr>
          <w:b/>
          <w:bCs/>
          <w:u w:val="single"/>
        </w:rPr>
        <w:t>)</w:t>
      </w:r>
      <w:r>
        <w:rPr>
          <w:b/>
          <w:bCs/>
          <w:u w:val="single"/>
        </w:rPr>
        <w:t>:</w:t>
      </w:r>
    </w:p>
    <w:p w14:paraId="1A7FBA5E" w14:textId="3E834F00" w:rsidR="00C124A8" w:rsidRPr="00C124A8" w:rsidRDefault="00484B54">
      <w:pPr>
        <w:rPr>
          <w:b/>
          <w:bCs/>
        </w:rPr>
      </w:pPr>
      <w:r w:rsidRPr="00C124A8">
        <w:rPr>
          <w:b/>
          <w:bCs/>
        </w:rPr>
        <w:t xml:space="preserve">Brink (1978) </w:t>
      </w:r>
    </w:p>
    <w:p w14:paraId="18C41638" w14:textId="1A626E4F" w:rsidR="00D44857" w:rsidRDefault="008F4342">
      <w:r>
        <w:t>Brink’s study</w:t>
      </w:r>
      <w:r w:rsidR="00484B54">
        <w:t xml:space="preserve"> is </w:t>
      </w:r>
      <w:r w:rsidR="00156CF9">
        <w:t>a quantitative</w:t>
      </w:r>
      <w:r>
        <w:t xml:space="preserve"> investigation designed to test</w:t>
      </w:r>
      <w:r w:rsidR="00156CF9">
        <w:t xml:space="preserve"> </w:t>
      </w:r>
      <w:r>
        <w:t xml:space="preserve">the </w:t>
      </w:r>
      <w:r w:rsidR="00484B54">
        <w:t xml:space="preserve">hypothesis that simultaneous belief in </w:t>
      </w:r>
      <w:r w:rsidR="003A443A">
        <w:t>t</w:t>
      </w:r>
      <w:r w:rsidR="00484B54">
        <w:t xml:space="preserve">he Roman Catholic doctrine, astrology and reincarnation is logically incompatible. </w:t>
      </w:r>
      <w:r w:rsidR="00C10DBC">
        <w:t xml:space="preserve"> </w:t>
      </w:r>
      <w:r>
        <w:t>Using a</w:t>
      </w:r>
      <w:r w:rsidR="00C10DBC">
        <w:t xml:space="preserve"> yes/no questionnaire </w:t>
      </w:r>
      <w:r>
        <w:t>administered to</w:t>
      </w:r>
      <w:r w:rsidR="00C10DBC">
        <w:t xml:space="preserve"> adolescent girls a</w:t>
      </w:r>
      <w:r w:rsidR="00275C4F">
        <w:t xml:space="preserve">t a </w:t>
      </w:r>
      <w:r>
        <w:t>C</w:t>
      </w:r>
      <w:r w:rsidR="00275C4F">
        <w:t>atholic school</w:t>
      </w:r>
      <w:r>
        <w:t xml:space="preserve">, </w:t>
      </w:r>
      <w:r w:rsidR="003A443A">
        <w:t>the expectation was</w:t>
      </w:r>
      <w:r>
        <w:t xml:space="preserve"> that </w:t>
      </w:r>
      <w:r w:rsidR="00A22D77">
        <w:t xml:space="preserve">acceptance of one of the three belief </w:t>
      </w:r>
      <w:r w:rsidR="00C124A8">
        <w:t>systems,</w:t>
      </w:r>
      <w:r w:rsidR="00B00439">
        <w:t xml:space="preserve"> </w:t>
      </w:r>
      <w:r w:rsidR="00CD3D44">
        <w:t>(Catholicism</w:t>
      </w:r>
      <w:r w:rsidR="00524687">
        <w:t>,</w:t>
      </w:r>
      <w:r w:rsidR="00A22D77">
        <w:t xml:space="preserve"> </w:t>
      </w:r>
      <w:r w:rsidR="00524687">
        <w:t>a</w:t>
      </w:r>
      <w:r w:rsidR="00A22D77">
        <w:t>strology</w:t>
      </w:r>
      <w:r w:rsidR="00524687">
        <w:t>,</w:t>
      </w:r>
      <w:r w:rsidR="00A22D77">
        <w:t xml:space="preserve"> or </w:t>
      </w:r>
      <w:r w:rsidR="00524687">
        <w:t>r</w:t>
      </w:r>
      <w:r>
        <w:t>eincarnation) would entail the rejection of the other two</w:t>
      </w:r>
      <w:r w:rsidR="00B90986">
        <w:t>.</w:t>
      </w:r>
      <w:r w:rsidR="008A7F2C">
        <w:rPr>
          <w:rStyle w:val="FootnoteReference"/>
        </w:rPr>
        <w:footnoteReference w:id="2"/>
      </w:r>
      <w:r w:rsidR="00A22D77">
        <w:t xml:space="preserve"> </w:t>
      </w:r>
      <w:r>
        <w:t xml:space="preserve">His findings did not confirm </w:t>
      </w:r>
      <w:r w:rsidR="003A443A">
        <w:t>this</w:t>
      </w:r>
      <w:r>
        <w:t xml:space="preserve"> hypothesis</w:t>
      </w:r>
      <w:r w:rsidR="00524687">
        <w:t xml:space="preserve">. </w:t>
      </w:r>
      <w:r>
        <w:t xml:space="preserve"> </w:t>
      </w:r>
      <w:r w:rsidR="00D95E96">
        <w:t>Instead,</w:t>
      </w:r>
      <w:r>
        <w:t xml:space="preserve"> the results revealed patterns of belief that raised more questions </w:t>
      </w:r>
      <w:r w:rsidR="00D95E96">
        <w:t>than</w:t>
      </w:r>
      <w:r>
        <w:t xml:space="preserve"> they answered</w:t>
      </w:r>
      <w:r w:rsidR="008A7F2C">
        <w:t>,</w:t>
      </w:r>
      <w:r>
        <w:t xml:space="preserve"> particularly regarding how adolescents navigate multiple</w:t>
      </w:r>
      <w:r w:rsidR="00524687">
        <w:t>,</w:t>
      </w:r>
      <w:r>
        <w:t xml:space="preserve"> potentially conflicting belief frameworks</w:t>
      </w:r>
      <w:r w:rsidR="00B90986">
        <w:t>.</w:t>
      </w:r>
      <w:r w:rsidR="008A7F2C">
        <w:rPr>
          <w:rStyle w:val="FootnoteReference"/>
        </w:rPr>
        <w:footnoteReference w:id="3"/>
      </w:r>
      <w:r>
        <w:t xml:space="preserve">  </w:t>
      </w:r>
    </w:p>
    <w:p w14:paraId="2CE2EA51" w14:textId="77777777" w:rsidR="00C124A8" w:rsidRPr="00C124A8" w:rsidRDefault="00C124A8">
      <w:pPr>
        <w:rPr>
          <w:b/>
          <w:bCs/>
        </w:rPr>
      </w:pPr>
      <w:r w:rsidRPr="00C124A8">
        <w:rPr>
          <w:b/>
          <w:bCs/>
        </w:rPr>
        <w:t xml:space="preserve">Walter and Waterhouse (1999) </w:t>
      </w:r>
    </w:p>
    <w:p w14:paraId="3FDBC395" w14:textId="4436B70E" w:rsidR="002F28AF" w:rsidRDefault="00D44857">
      <w:r>
        <w:t>In contrast</w:t>
      </w:r>
      <w:r w:rsidR="00CD3D44">
        <w:t>,</w:t>
      </w:r>
      <w:r>
        <w:t xml:space="preserve"> Walter and Waterhouse do not test a hypothesis</w:t>
      </w:r>
      <w:r w:rsidR="00524687">
        <w:t xml:space="preserve">. </w:t>
      </w:r>
      <w:r>
        <w:t xml:space="preserve"> </w:t>
      </w:r>
      <w:r w:rsidR="00524687">
        <w:t>T</w:t>
      </w:r>
      <w:r w:rsidR="00F47F40">
        <w:t>heir</w:t>
      </w:r>
      <w:r w:rsidR="008F4342">
        <w:t xml:space="preserve"> qualitative </w:t>
      </w:r>
      <w:r w:rsidR="00F47F40">
        <w:t>study explores</w:t>
      </w:r>
      <w:r w:rsidR="008F4342">
        <w:t xml:space="preserve"> how</w:t>
      </w:r>
      <w:r w:rsidR="00F47F40">
        <w:t xml:space="preserve"> individuals</w:t>
      </w:r>
      <w:r w:rsidR="008F4342">
        <w:t xml:space="preserve"> </w:t>
      </w:r>
      <w:r>
        <w:t xml:space="preserve">who seriously </w:t>
      </w:r>
      <w:r w:rsidRPr="00D44857">
        <w:t>entertain the idea</w:t>
      </w:r>
      <w:r w:rsidR="00CD3D44">
        <w:t xml:space="preserve"> of </w:t>
      </w:r>
      <w:r w:rsidR="00232DC2">
        <w:t xml:space="preserve">reincarnation </w:t>
      </w:r>
      <w:r w:rsidR="00F47F40">
        <w:t xml:space="preserve">explain their understanding of </w:t>
      </w:r>
      <w:r w:rsidR="00CD3D44">
        <w:t>it</w:t>
      </w:r>
      <w:r w:rsidR="00B90986">
        <w:t>.</w:t>
      </w:r>
      <w:r w:rsidR="00704598">
        <w:rPr>
          <w:rStyle w:val="FootnoteReference"/>
        </w:rPr>
        <w:footnoteReference w:id="4"/>
      </w:r>
      <w:r w:rsidRPr="00D44857">
        <w:t xml:space="preserve"> </w:t>
      </w:r>
      <w:r>
        <w:t xml:space="preserve">Participants were recorded while being encouraged to talk about reincarnation in their own </w:t>
      </w:r>
      <w:r w:rsidR="00C124A8">
        <w:lastRenderedPageBreak/>
        <w:t>words</w:t>
      </w:r>
      <w:r w:rsidR="00F47F40">
        <w:t>. After analyzing the taped narratives</w:t>
      </w:r>
      <w:r>
        <w:t xml:space="preserve"> Walter and Waterhouse concluded that </w:t>
      </w:r>
      <w:r w:rsidR="00C124A8">
        <w:t xml:space="preserve">belief in reincarnation </w:t>
      </w:r>
      <w:r w:rsidR="00F47F40">
        <w:t xml:space="preserve">can comfortably coexist with participants that </w:t>
      </w:r>
      <w:r w:rsidR="00CD3D44">
        <w:t xml:space="preserve">attend church regularly </w:t>
      </w:r>
      <w:r w:rsidR="00F47F40">
        <w:t>and that such beliefs</w:t>
      </w:r>
      <w:r w:rsidR="00C124A8">
        <w:t xml:space="preserve"> had very little impact on their daily life.  </w:t>
      </w:r>
      <w:r w:rsidR="00C124A8" w:rsidRPr="00C124A8">
        <w:t xml:space="preserve">They </w:t>
      </w:r>
      <w:r w:rsidR="00F47F40">
        <w:t xml:space="preserve">argue </w:t>
      </w:r>
      <w:r w:rsidR="00C124A8" w:rsidRPr="00C124A8">
        <w:t xml:space="preserve">that belief in reincarnation does not signal any revolutionary shift in religious views, </w:t>
      </w:r>
      <w:r w:rsidR="00524687" w:rsidRPr="00C124A8">
        <w:t>but</w:t>
      </w:r>
      <w:r w:rsidR="00C124A8" w:rsidRPr="00C124A8">
        <w:t xml:space="preserve"> </w:t>
      </w:r>
      <w:r w:rsidR="00CD3D44">
        <w:t xml:space="preserve">instead represents a </w:t>
      </w:r>
      <w:r w:rsidR="00C124A8" w:rsidRPr="00C124A8">
        <w:t xml:space="preserve">detached and private </w:t>
      </w:r>
      <w:r w:rsidR="00CD3D44">
        <w:t>form of belief</w:t>
      </w:r>
      <w:r w:rsidR="00B90986">
        <w:t>.</w:t>
      </w:r>
      <w:r w:rsidR="00AC1119">
        <w:rPr>
          <w:rStyle w:val="FootnoteReference"/>
        </w:rPr>
        <w:footnoteReference w:id="5"/>
      </w:r>
      <w:r w:rsidR="00CD3D44">
        <w:t xml:space="preserve"> </w:t>
      </w:r>
      <w:r w:rsidR="00C124A8" w:rsidRPr="00C124A8">
        <w:t xml:space="preserve">   </w:t>
      </w:r>
    </w:p>
    <w:p w14:paraId="0A6589B0" w14:textId="15524717" w:rsidR="00395AC1" w:rsidRDefault="00395AC1" w:rsidP="00395AC1">
      <w:pPr>
        <w:rPr>
          <w:b/>
          <w:bCs/>
          <w:u w:val="single"/>
        </w:rPr>
      </w:pPr>
      <w:r w:rsidRPr="00395AC1">
        <w:rPr>
          <w:b/>
          <w:bCs/>
          <w:u w:val="single"/>
        </w:rPr>
        <w:t>Background of the Authors</w:t>
      </w:r>
      <w:r w:rsidR="004C21C0">
        <w:rPr>
          <w:b/>
          <w:bCs/>
          <w:u w:val="single"/>
        </w:rPr>
        <w:t xml:space="preserve"> relevant to the papers.</w:t>
      </w:r>
    </w:p>
    <w:p w14:paraId="11EBBA75" w14:textId="0A850DF6" w:rsidR="00552A85" w:rsidRPr="00552A85" w:rsidRDefault="00552A85" w:rsidP="00395AC1">
      <w:r w:rsidRPr="00552A85">
        <w:t>When comparing the authors</w:t>
      </w:r>
      <w:r>
        <w:t xml:space="preserve"> of the two papers, it is important to consider both</w:t>
      </w:r>
      <w:r w:rsidR="003D57BD">
        <w:t>,</w:t>
      </w:r>
      <w:r>
        <w:t xml:space="preserve"> their disciplinary backgrounds and the </w:t>
      </w:r>
      <w:r w:rsidR="00B530DA">
        <w:t>stage</w:t>
      </w:r>
      <w:r>
        <w:t xml:space="preserve"> each had reached in their academic careers at the time of publication.  T.L Brink completed his Ph.D. at the </w:t>
      </w:r>
      <w:r w:rsidR="00B530DA">
        <w:t>U</w:t>
      </w:r>
      <w:r>
        <w:t xml:space="preserve">niversity of Chicago in the early to </w:t>
      </w:r>
      <w:r w:rsidR="00AC1119">
        <w:t>m</w:t>
      </w:r>
      <w:r>
        <w:t>id-</w:t>
      </w:r>
      <w:r w:rsidR="003A443A">
        <w:t>19</w:t>
      </w:r>
      <w:r>
        <w:t>70s and conducted his research for the 1978 paper only a few</w:t>
      </w:r>
      <w:r w:rsidR="00232DC2">
        <w:t xml:space="preserve"> years</w:t>
      </w:r>
      <w:r>
        <w:t xml:space="preserve"> later</w:t>
      </w:r>
      <w:r w:rsidR="00234711">
        <w:t xml:space="preserve">, representing early career work shaped by a quantitative psychological orientation.  </w:t>
      </w:r>
    </w:p>
    <w:p w14:paraId="226700BF" w14:textId="783FC88A" w:rsidR="002566C7" w:rsidRDefault="00186409" w:rsidP="002566C7">
      <w:r>
        <w:t>By</w:t>
      </w:r>
      <w:r w:rsidR="00617E33">
        <w:t xml:space="preserve"> contrast</w:t>
      </w:r>
      <w:r w:rsidR="003D57BD">
        <w:t>,</w:t>
      </w:r>
      <w:r w:rsidR="00617E33">
        <w:t xml:space="preserve"> Tony Walter earned his </w:t>
      </w:r>
      <w:r w:rsidR="00232DC2">
        <w:t>Ph.D.</w:t>
      </w:r>
      <w:r w:rsidR="00617E33">
        <w:t xml:space="preserve"> </w:t>
      </w:r>
      <w:r w:rsidR="00E5559E">
        <w:t xml:space="preserve">around </w:t>
      </w:r>
      <w:r w:rsidR="00234711">
        <w:t>the same time period</w:t>
      </w:r>
      <w:r w:rsidR="00171E3D">
        <w:rPr>
          <w:rStyle w:val="FootnoteReference"/>
        </w:rPr>
        <w:footnoteReference w:id="6"/>
      </w:r>
      <w:r w:rsidR="00234711">
        <w:t xml:space="preserve"> but </w:t>
      </w:r>
      <w:r w:rsidR="00617E33">
        <w:t xml:space="preserve">was a </w:t>
      </w:r>
      <w:r w:rsidR="00E5559E">
        <w:t>well-</w:t>
      </w:r>
      <w:r w:rsidR="00835C90">
        <w:t>established mid</w:t>
      </w:r>
      <w:r w:rsidR="00E5559E">
        <w:t>-</w:t>
      </w:r>
      <w:r w:rsidR="00617E33">
        <w:t>car</w:t>
      </w:r>
      <w:r w:rsidR="0033267C">
        <w:t>eer</w:t>
      </w:r>
      <w:r w:rsidR="00617E33">
        <w:t xml:space="preserve"> </w:t>
      </w:r>
      <w:r w:rsidR="00234711">
        <w:t>scholar</w:t>
      </w:r>
      <w:r w:rsidR="00617E33">
        <w:t xml:space="preserve"> by the time </w:t>
      </w:r>
      <w:r w:rsidR="00234711">
        <w:t>the 1999</w:t>
      </w:r>
      <w:r w:rsidR="00617E33">
        <w:t xml:space="preserve"> </w:t>
      </w:r>
      <w:r w:rsidR="00234711">
        <w:t>study</w:t>
      </w:r>
      <w:r w:rsidR="00617E33">
        <w:t xml:space="preserve"> </w:t>
      </w:r>
      <w:r>
        <w:t xml:space="preserve">appeared.  </w:t>
      </w:r>
      <w:r w:rsidR="00234711">
        <w:t>He</w:t>
      </w:r>
      <w:r>
        <w:t xml:space="preserve"> </w:t>
      </w:r>
      <w:r w:rsidR="00041EEC" w:rsidRPr="00041EEC">
        <w:t xml:space="preserve">is a British </w:t>
      </w:r>
      <w:r>
        <w:t>s</w:t>
      </w:r>
      <w:r w:rsidR="00041EEC" w:rsidRPr="00041EEC">
        <w:t xml:space="preserve">ociologist </w:t>
      </w:r>
      <w:r>
        <w:t xml:space="preserve">and one of the UK’s most influential figures in death studies.  </w:t>
      </w:r>
      <w:r w:rsidR="00234711">
        <w:t>Walter’s</w:t>
      </w:r>
      <w:r w:rsidR="002566C7">
        <w:t xml:space="preserve"> work is rooted in the sociology of death, dying</w:t>
      </w:r>
      <w:r w:rsidR="00424AEA">
        <w:t xml:space="preserve">, </w:t>
      </w:r>
      <w:r w:rsidR="002566C7">
        <w:t xml:space="preserve">bereavement </w:t>
      </w:r>
      <w:r w:rsidR="00424AEA">
        <w:t>and</w:t>
      </w:r>
      <w:r w:rsidR="002566C7">
        <w:t xml:space="preserve"> contemporary belief. </w:t>
      </w:r>
      <w:r w:rsidR="00424AEA">
        <w:t xml:space="preserve"> His co-author </w:t>
      </w:r>
      <w:r w:rsidR="002566C7">
        <w:t xml:space="preserve">Helen </w:t>
      </w:r>
      <w:r w:rsidR="00835C90">
        <w:t>Waterhouse</w:t>
      </w:r>
      <w:r w:rsidR="002566C7">
        <w:t xml:space="preserve"> is a </w:t>
      </w:r>
      <w:r w:rsidR="00424AEA">
        <w:t>s</w:t>
      </w:r>
      <w:r w:rsidR="002566C7">
        <w:t xml:space="preserve">cholar of contemporary religion, </w:t>
      </w:r>
      <w:r w:rsidR="00424AEA">
        <w:t>whose research</w:t>
      </w:r>
      <w:r w:rsidR="002566C7">
        <w:t xml:space="preserve"> on Buddhism in Britain and on modern belief systems, including reincarnation</w:t>
      </w:r>
      <w:r w:rsidR="0033267C">
        <w:t>,</w:t>
      </w:r>
      <w:r w:rsidR="00424AEA">
        <w:t xml:space="preserve"> brings a compl</w:t>
      </w:r>
      <w:r w:rsidR="0033267C">
        <w:t>e</w:t>
      </w:r>
      <w:r w:rsidR="00424AEA">
        <w:t xml:space="preserve">mentary expertise in lived religion </w:t>
      </w:r>
      <w:r w:rsidR="0033267C">
        <w:t xml:space="preserve">and spiritual practice. </w:t>
      </w:r>
      <w:r w:rsidR="00424AEA">
        <w:t xml:space="preserve"> </w:t>
      </w:r>
      <w:r w:rsidR="002566C7">
        <w:t xml:space="preserve"> </w:t>
      </w:r>
    </w:p>
    <w:p w14:paraId="5E6501C0" w14:textId="7330DA59" w:rsidR="002566C7" w:rsidRDefault="002566C7" w:rsidP="002566C7">
      <w:r>
        <w:t>Taken together,</w:t>
      </w:r>
      <w:r w:rsidR="00922519">
        <w:t xml:space="preserve"> the authors</w:t>
      </w:r>
      <w:r w:rsidR="00835C90">
        <w:t xml:space="preserve"> of the two publications</w:t>
      </w:r>
      <w:r w:rsidR="00922519">
        <w:t xml:space="preserve"> inhabit </w:t>
      </w:r>
      <w:r w:rsidR="0031740A">
        <w:t>different epistemological paradigms</w:t>
      </w:r>
      <w:r w:rsidR="00A66FDB">
        <w:t>,</w:t>
      </w:r>
      <w:r w:rsidR="0031740A">
        <w:t xml:space="preserve"> </w:t>
      </w:r>
      <w:r w:rsidR="00F35BEE">
        <w:t xml:space="preserve">work in different historical moments and write from different stages of their careers. These contextual differences shape the assumptions they bring to their research </w:t>
      </w:r>
      <w:r w:rsidR="00A66FDB">
        <w:t>methodology and the kinds of questions they consider meaningful</w:t>
      </w:r>
      <w:r w:rsidR="00285C62">
        <w:t>.</w:t>
      </w:r>
      <w:r w:rsidR="00A66FDB">
        <w:t xml:space="preserve"> </w:t>
      </w:r>
    </w:p>
    <w:p w14:paraId="77E80D5E" w14:textId="682E97AD" w:rsidR="008209C6" w:rsidRPr="008B746D" w:rsidRDefault="008209C6">
      <w:pPr>
        <w:rPr>
          <w:b/>
          <w:bCs/>
          <w:u w:val="single"/>
        </w:rPr>
      </w:pPr>
      <w:r w:rsidRPr="008B746D">
        <w:rPr>
          <w:b/>
          <w:bCs/>
          <w:u w:val="single"/>
        </w:rPr>
        <w:t>Ethical Considerations</w:t>
      </w:r>
      <w:r w:rsidR="00805279" w:rsidRPr="008B746D">
        <w:rPr>
          <w:b/>
          <w:bCs/>
          <w:u w:val="single"/>
        </w:rPr>
        <w:t>:</w:t>
      </w:r>
    </w:p>
    <w:p w14:paraId="31F36E2F" w14:textId="49ADD5D0" w:rsidR="00311DB0" w:rsidRDefault="00D20DDD">
      <w:r>
        <w:t xml:space="preserve">The ethical considerations surrounding Brink (1978) and Walter and Waterhouse (1999) require attention both to the historical norms under which the study was conducted and the contemporary standards that now govern research involving human participants and in particular venerable categories such as minors. </w:t>
      </w:r>
    </w:p>
    <w:p w14:paraId="62B1CD94" w14:textId="3CF6D57B" w:rsidR="00805279" w:rsidRPr="008B746D" w:rsidRDefault="00805279">
      <w:pPr>
        <w:rPr>
          <w:b/>
          <w:bCs/>
        </w:rPr>
      </w:pPr>
      <w:r w:rsidRPr="008B746D">
        <w:rPr>
          <w:b/>
          <w:bCs/>
        </w:rPr>
        <w:t xml:space="preserve">Historical </w:t>
      </w:r>
      <w:r w:rsidR="00D20DDD" w:rsidRPr="008B746D">
        <w:rPr>
          <w:b/>
          <w:bCs/>
        </w:rPr>
        <w:t>Ethical Context</w:t>
      </w:r>
      <w:r w:rsidR="008B746D">
        <w:rPr>
          <w:b/>
          <w:bCs/>
        </w:rPr>
        <w:t>:</w:t>
      </w:r>
    </w:p>
    <w:p w14:paraId="23C80432" w14:textId="1001757B" w:rsidR="00311DB0" w:rsidRDefault="00311DB0">
      <w:r>
        <w:lastRenderedPageBreak/>
        <w:t xml:space="preserve">Based on the </w:t>
      </w:r>
      <w:r w:rsidR="0006331E">
        <w:t>available</w:t>
      </w:r>
      <w:r>
        <w:t xml:space="preserve"> sources</w:t>
      </w:r>
      <w:r w:rsidR="003D57BD">
        <w:t>,</w:t>
      </w:r>
      <w:r>
        <w:t xml:space="preserve"> neither publication includes a formal discussion of consent forms, data security or privacy protocols, even though both studies involved minors</w:t>
      </w:r>
      <w:r w:rsidR="00DE1C5E">
        <w:t>.   Brink</w:t>
      </w:r>
      <w:r w:rsidR="0006331E">
        <w:t>’</w:t>
      </w:r>
      <w:r w:rsidR="00DE1C5E">
        <w:t xml:space="preserve">s </w:t>
      </w:r>
      <w:r w:rsidR="0006331E">
        <w:t>research</w:t>
      </w:r>
      <w:r w:rsidR="00DE1C5E">
        <w:t xml:space="preserve"> w</w:t>
      </w:r>
      <w:r w:rsidR="0006331E">
        <w:t xml:space="preserve">as </w:t>
      </w:r>
      <w:r w:rsidR="00DE1C5E">
        <w:t xml:space="preserve">undertaken in June of 1976, which is approximately two years after </w:t>
      </w:r>
      <w:r w:rsidR="00285C62">
        <w:t>a U.S.</w:t>
      </w:r>
      <w:r w:rsidR="0006331E">
        <w:t xml:space="preserve"> </w:t>
      </w:r>
      <w:r w:rsidR="00DE1C5E">
        <w:t>federal mandate requiring all federally funded projects to be subject to an Institutional Review Board (IRB)</w:t>
      </w:r>
      <w:r w:rsidR="003D57BD">
        <w:t>.</w:t>
      </w:r>
      <w:r w:rsidR="00DE1C5E">
        <w:t xml:space="preserve"> </w:t>
      </w:r>
      <w:r w:rsidR="003D57BD">
        <w:t xml:space="preserve"> I</w:t>
      </w:r>
      <w:r w:rsidR="00DE1C5E">
        <w:t xml:space="preserve">t was not until </w:t>
      </w:r>
      <w:r w:rsidR="00B90986">
        <w:t>the publication of the</w:t>
      </w:r>
      <w:r w:rsidR="00DE1C5E">
        <w:t xml:space="preserve"> Belmont report</w:t>
      </w:r>
      <w:r w:rsidR="00B90986">
        <w:t xml:space="preserve"> (written in 1978 and published in 1979)</w:t>
      </w:r>
      <w:r w:rsidR="003D57BD">
        <w:t>,</w:t>
      </w:r>
      <w:r w:rsidR="002A5954">
        <w:t xml:space="preserve"> </w:t>
      </w:r>
      <w:r w:rsidR="00B90986">
        <w:t xml:space="preserve">which </w:t>
      </w:r>
      <w:r w:rsidR="0006331E">
        <w:t xml:space="preserve">articulated the principles of </w:t>
      </w:r>
      <w:r w:rsidR="00DE1C5E">
        <w:t>informed consent</w:t>
      </w:r>
      <w:r w:rsidR="00B90986">
        <w:t>.</w:t>
      </w:r>
      <w:r w:rsidR="00B90986">
        <w:rPr>
          <w:rStyle w:val="FootnoteReference"/>
        </w:rPr>
        <w:footnoteReference w:id="7"/>
      </w:r>
      <w:r w:rsidR="00B90986">
        <w:t xml:space="preserve"> </w:t>
      </w:r>
      <w:r w:rsidR="006101BB">
        <w:t xml:space="preserve">Consequently Brink’s 1978 publication sits </w:t>
      </w:r>
      <w:r w:rsidR="0006331E">
        <w:t>within a</w:t>
      </w:r>
      <w:r w:rsidR="0061557C">
        <w:t xml:space="preserve"> transition</w:t>
      </w:r>
      <w:r w:rsidR="0006331E">
        <w:t xml:space="preserve">al period </w:t>
      </w:r>
      <w:r w:rsidR="0061557C">
        <w:t>between</w:t>
      </w:r>
      <w:r w:rsidR="006101BB">
        <w:t xml:space="preserve"> </w:t>
      </w:r>
      <w:r w:rsidR="0006331E">
        <w:t>p</w:t>
      </w:r>
      <w:r w:rsidR="006101BB">
        <w:t>ost-I</w:t>
      </w:r>
      <w:r w:rsidR="0061557C">
        <w:t>RB</w:t>
      </w:r>
      <w:r w:rsidR="006101BB">
        <w:t xml:space="preserve"> mandate </w:t>
      </w:r>
      <w:r w:rsidR="0006331E">
        <w:t>but</w:t>
      </w:r>
      <w:r w:rsidR="006101BB">
        <w:t xml:space="preserve"> pre-widespread </w:t>
      </w:r>
      <w:r w:rsidR="006C1C3E">
        <w:t>implementation of ethical review of social-science research</w:t>
      </w:r>
      <w:r w:rsidR="006101BB">
        <w:t xml:space="preserve">.   </w:t>
      </w:r>
      <w:r w:rsidR="006C1C3E">
        <w:t>Similarly,</w:t>
      </w:r>
      <w:r w:rsidR="006101BB">
        <w:t xml:space="preserve"> Walter and Waterhouse, also makes no </w:t>
      </w:r>
      <w:r w:rsidR="006C1C3E">
        <w:t>reference</w:t>
      </w:r>
      <w:r w:rsidR="006101BB">
        <w:t xml:space="preserve"> </w:t>
      </w:r>
      <w:r w:rsidR="006C1C3E">
        <w:t xml:space="preserve">to </w:t>
      </w:r>
      <w:r w:rsidR="006101BB">
        <w:t xml:space="preserve">ethics, privacy or consent </w:t>
      </w:r>
      <w:r w:rsidR="006C1C3E">
        <w:t>procedures</w:t>
      </w:r>
      <w:r w:rsidR="00FA7E44">
        <w:t xml:space="preserve"> despite </w:t>
      </w:r>
      <w:r w:rsidR="006C1C3E">
        <w:t>the existence of the British Sociological Association’s 1992 statement of ethical practice</w:t>
      </w:r>
      <w:r w:rsidR="003D57BD">
        <w:t>,</w:t>
      </w:r>
      <w:r w:rsidR="006C1C3E">
        <w:t xml:space="preserve"> which offered guidance but was no yet universally required by journals</w:t>
      </w:r>
      <w:r w:rsidR="003D57BD">
        <w:t>.</w:t>
      </w:r>
      <w:r w:rsidR="00717C09">
        <w:rPr>
          <w:rStyle w:val="FootnoteReference"/>
        </w:rPr>
        <w:footnoteReference w:id="8"/>
      </w:r>
      <w:r w:rsidR="006101BB">
        <w:t xml:space="preserve"> </w:t>
      </w:r>
    </w:p>
    <w:p w14:paraId="30BDED1B" w14:textId="5B3D7093" w:rsidR="00805279" w:rsidRPr="008B746D" w:rsidRDefault="00805279">
      <w:pPr>
        <w:rPr>
          <w:b/>
          <w:bCs/>
        </w:rPr>
      </w:pPr>
      <w:r w:rsidRPr="008B746D">
        <w:rPr>
          <w:b/>
          <w:bCs/>
        </w:rPr>
        <w:t xml:space="preserve">Contemporary </w:t>
      </w:r>
      <w:r w:rsidR="00D20DDD" w:rsidRPr="008B746D">
        <w:rPr>
          <w:b/>
          <w:bCs/>
        </w:rPr>
        <w:t xml:space="preserve">Ethical Standards: </w:t>
      </w:r>
    </w:p>
    <w:p w14:paraId="0E4A5342" w14:textId="23B9C123" w:rsidR="00DB7B16" w:rsidRDefault="008C2F50">
      <w:r>
        <w:t xml:space="preserve">Although neither Brink (1978) nor </w:t>
      </w:r>
      <w:bookmarkStart w:id="6" w:name="_Hlk222220218"/>
      <w:r>
        <w:t xml:space="preserve">Walter and Waterhouse (1999) were obligated </w:t>
      </w:r>
      <w:bookmarkEnd w:id="6"/>
      <w:r>
        <w:t>to publish an ethic</w:t>
      </w:r>
      <w:r w:rsidR="003D57BD">
        <w:t>s</w:t>
      </w:r>
      <w:r>
        <w:t xml:space="preserve"> statement</w:t>
      </w:r>
      <w:r w:rsidR="005F0230">
        <w:t xml:space="preserve"> or obtain parental consent, participant assent</w:t>
      </w:r>
      <w:r w:rsidR="00D50286">
        <w:t>,</w:t>
      </w:r>
      <w:r w:rsidR="005F0230">
        <w:t xml:space="preserve"> or formal ethical approval at the time of their publications, contemporary standards highlight how different the ethical landscape would be if these studies were undertaken today.  Both studies were published when journals did not routinely require ethics statements and when institutional oversight for social sciences was unevenly implemented and rarely enforced.   Acknowledging th</w:t>
      </w:r>
      <w:r w:rsidR="006C1C3E">
        <w:t>is</w:t>
      </w:r>
      <w:r w:rsidR="005F0230">
        <w:t xml:space="preserve"> historical context avoids judging the authors</w:t>
      </w:r>
      <w:r w:rsidR="00367BED">
        <w:t xml:space="preserve"> retroactively</w:t>
      </w:r>
      <w:r w:rsidR="005F0230">
        <w:t xml:space="preserve"> by standards that were not yet </w:t>
      </w:r>
      <w:r w:rsidR="00B20090">
        <w:t xml:space="preserve">fully </w:t>
      </w:r>
      <w:r w:rsidR="00B02C46">
        <w:t>established</w:t>
      </w:r>
      <w:r w:rsidR="003D57BD">
        <w:t>. H</w:t>
      </w:r>
      <w:r w:rsidR="005F0230">
        <w:t>owever</w:t>
      </w:r>
      <w:r w:rsidR="00B02C46">
        <w:t>,</w:t>
      </w:r>
      <w:r w:rsidR="005F0230">
        <w:t xml:space="preserve"> it does underscore </w:t>
      </w:r>
      <w:r w:rsidR="00367BED">
        <w:t xml:space="preserve">how current expectations would significantly alter the design and reporting of the research.  </w:t>
      </w:r>
      <w:r w:rsidR="00D50286">
        <w:t xml:space="preserve"> </w:t>
      </w:r>
    </w:p>
    <w:p w14:paraId="45FDAE19" w14:textId="0D146C51" w:rsidR="00311DB0" w:rsidRDefault="00D50286">
      <w:r>
        <w:t xml:space="preserve">This ethical shift is </w:t>
      </w:r>
      <w:r w:rsidR="00D20DDD">
        <w:t xml:space="preserve">especially </w:t>
      </w:r>
      <w:r>
        <w:t xml:space="preserve">evident </w:t>
      </w:r>
      <w:r w:rsidR="00D20DDD">
        <w:t xml:space="preserve">between Walter and Waterhouse’s </w:t>
      </w:r>
      <w:r w:rsidR="00DB7B16">
        <w:t xml:space="preserve">voluntary interviews with </w:t>
      </w:r>
      <w:r w:rsidR="00D20DDD">
        <w:t>adult</w:t>
      </w:r>
      <w:r w:rsidR="00DB7B16">
        <w:t>s</w:t>
      </w:r>
      <w:r w:rsidR="00D20DDD">
        <w:t xml:space="preserve"> </w:t>
      </w:r>
      <w:r w:rsidR="00DB7B16">
        <w:t xml:space="preserve">and school children </w:t>
      </w:r>
      <w:r w:rsidR="00D20DDD">
        <w:t>who participated freely without institutional</w:t>
      </w:r>
      <w:r w:rsidR="00DB7B16">
        <w:t xml:space="preserve"> </w:t>
      </w:r>
      <w:r w:rsidR="00D20DDD">
        <w:t>pressure</w:t>
      </w:r>
      <w:r w:rsidR="00BB5512">
        <w:t>, and Brink</w:t>
      </w:r>
      <w:r w:rsidR="00717C09">
        <w:t>’</w:t>
      </w:r>
      <w:r w:rsidR="00BB5512">
        <w:t xml:space="preserve">s compulsory involvement of minors in a religious school setting, where refusal may have carried real or perceived consequences. Taken together these contrasts illustrate how contemporary ethical frameworks place a far greater emphasis on autonomy, voluntariness and the protection of vulnerable participants, such as </w:t>
      </w:r>
      <w:r w:rsidR="008B746D">
        <w:t>minors, making</w:t>
      </w:r>
      <w:r w:rsidR="00BB5512">
        <w:t xml:space="preserve"> Brink</w:t>
      </w:r>
      <w:r w:rsidR="00717C09">
        <w:t>’</w:t>
      </w:r>
      <w:r w:rsidR="00BB5512">
        <w:t xml:space="preserve">s approach ethically untenable today even though it reflected common practice at the time.   </w:t>
      </w:r>
    </w:p>
    <w:p w14:paraId="3DE2DCC1" w14:textId="2F595195" w:rsidR="008209C6" w:rsidRPr="001605DE" w:rsidRDefault="00F22FC9">
      <w:pPr>
        <w:rPr>
          <w:b/>
          <w:bCs/>
          <w:u w:val="single"/>
        </w:rPr>
      </w:pPr>
      <w:r w:rsidRPr="001605DE">
        <w:rPr>
          <w:b/>
          <w:bCs/>
          <w:u w:val="single"/>
        </w:rPr>
        <w:t xml:space="preserve">Methodology: </w:t>
      </w:r>
    </w:p>
    <w:p w14:paraId="2B0F87ED" w14:textId="09050C4B" w:rsidR="00510836" w:rsidRPr="004F598B" w:rsidRDefault="00510836">
      <w:pPr>
        <w:rPr>
          <w:b/>
          <w:bCs/>
        </w:rPr>
      </w:pPr>
      <w:r w:rsidRPr="004F598B">
        <w:rPr>
          <w:b/>
          <w:bCs/>
        </w:rPr>
        <w:t>Participant Selection</w:t>
      </w:r>
      <w:r w:rsidR="00675AA1" w:rsidRPr="004F598B">
        <w:rPr>
          <w:b/>
          <w:bCs/>
        </w:rPr>
        <w:t xml:space="preserve"> and Demographics:</w:t>
      </w:r>
    </w:p>
    <w:p w14:paraId="1F33AA22" w14:textId="28330EAB" w:rsidR="00E4078D" w:rsidRDefault="00510836">
      <w:r>
        <w:lastRenderedPageBreak/>
        <w:t xml:space="preserve">The two </w:t>
      </w:r>
      <w:r w:rsidR="00144DBA">
        <w:t>studies</w:t>
      </w:r>
      <w:r>
        <w:t xml:space="preserve"> had different </w:t>
      </w:r>
      <w:r w:rsidR="00BC6209">
        <w:t xml:space="preserve">research </w:t>
      </w:r>
      <w:r w:rsidR="00144DBA">
        <w:t>aims and these aims shaped both</w:t>
      </w:r>
      <w:r>
        <w:t xml:space="preserve"> the </w:t>
      </w:r>
      <w:r w:rsidR="00BC6209">
        <w:t>number and types of participants selected</w:t>
      </w:r>
      <w:r w:rsidR="00791FF4">
        <w:t xml:space="preserve"> for their respective studies</w:t>
      </w:r>
      <w:r w:rsidR="00BC6209">
        <w:t xml:space="preserve">. </w:t>
      </w:r>
      <w:r w:rsidR="001B3D7C">
        <w:t xml:space="preserve">  </w:t>
      </w:r>
      <w:r w:rsidR="005762E0">
        <w:t>Brink (</w:t>
      </w:r>
      <w:r w:rsidR="00D2624D">
        <w:t>1978)</w:t>
      </w:r>
      <w:r w:rsidR="00CC6C87">
        <w:t xml:space="preserve"> </w:t>
      </w:r>
      <w:r w:rsidR="00144DBA">
        <w:t>employed</w:t>
      </w:r>
      <w:r w:rsidR="00CC6C87">
        <w:t xml:space="preserve"> a tightly bounded </w:t>
      </w:r>
      <w:r w:rsidR="00144DBA">
        <w:t>homogeneous sample</w:t>
      </w:r>
      <w:r w:rsidR="00CC6C87">
        <w:t xml:space="preserve"> of 227 </w:t>
      </w:r>
      <w:r w:rsidR="00675AA1">
        <w:t>adolescent girls</w:t>
      </w:r>
      <w:r w:rsidR="00CC6C87">
        <w:t xml:space="preserve">, </w:t>
      </w:r>
      <w:r w:rsidR="00675AA1">
        <w:t>that attended</w:t>
      </w:r>
      <w:r w:rsidR="00CC6C87">
        <w:t xml:space="preserve"> the same Catholic school, on Chicago’s northwest side.  </w:t>
      </w:r>
      <w:r w:rsidR="00144DBA">
        <w:t>The group was</w:t>
      </w:r>
      <w:r w:rsidR="00CC6C87">
        <w:t xml:space="preserve"> predominantly working class and </w:t>
      </w:r>
      <w:r w:rsidR="00144DBA">
        <w:t xml:space="preserve">largely </w:t>
      </w:r>
      <w:r w:rsidR="00CC6C87">
        <w:t xml:space="preserve">of </w:t>
      </w:r>
      <w:r w:rsidR="00144DBA">
        <w:t>P</w:t>
      </w:r>
      <w:r w:rsidR="00CC6C87">
        <w:t>olish and Italian extraction.</w:t>
      </w:r>
      <w:r w:rsidR="00D066A7">
        <w:rPr>
          <w:rStyle w:val="FootnoteReference"/>
        </w:rPr>
        <w:footnoteReference w:id="9"/>
      </w:r>
      <w:r w:rsidR="00CC6C87">
        <w:t xml:space="preserve"> </w:t>
      </w:r>
      <w:r w:rsidR="00D066A7">
        <w:t xml:space="preserve"> </w:t>
      </w:r>
      <w:r w:rsidR="00144DBA">
        <w:t>All participants</w:t>
      </w:r>
      <w:r w:rsidR="00B16310">
        <w:t xml:space="preserve"> completed the questionnaire</w:t>
      </w:r>
      <w:r w:rsidR="00CC6C87">
        <w:t xml:space="preserve"> in a required religious education class </w:t>
      </w:r>
      <w:r w:rsidR="001B33C4">
        <w:t xml:space="preserve">in June of 1976, participation was therefore non-voluntary, determined entirely by classroom attendance on the day the questionnaire was administered. </w:t>
      </w:r>
      <w:r w:rsidR="00CC6C87">
        <w:t xml:space="preserve"> </w:t>
      </w:r>
      <w:r w:rsidR="007C715A">
        <w:t>Brink’s large sample size reflects the expectations of a quantitative, hypothesis-testing research, where statistical analysis requires suffi</w:t>
      </w:r>
      <w:r w:rsidR="00D2624D">
        <w:t>cient</w:t>
      </w:r>
      <w:r w:rsidR="007C715A">
        <w:t xml:space="preserve"> numbers for compar</w:t>
      </w:r>
      <w:r w:rsidR="00D2624D">
        <w:t>ison</w:t>
      </w:r>
      <w:r w:rsidR="007C715A">
        <w:t xml:space="preserve"> and significance testing. </w:t>
      </w:r>
    </w:p>
    <w:p w14:paraId="3AE58D73" w14:textId="4BE2D0F7" w:rsidR="00626DE6" w:rsidRDefault="00CC6C87">
      <w:r>
        <w:t xml:space="preserve"> In contrast Walter and </w:t>
      </w:r>
      <w:r w:rsidR="00D2624D">
        <w:t xml:space="preserve">Waterhouse (1999) recruited </w:t>
      </w:r>
      <w:r w:rsidR="00586FE2">
        <w:t>volunteer</w:t>
      </w:r>
      <w:r w:rsidR="00D2624D">
        <w:t xml:space="preserve"> participants, primarily adults within the age range of 40-80</w:t>
      </w:r>
      <w:r w:rsidR="00D066A7">
        <w:t xml:space="preserve"> years old</w:t>
      </w:r>
      <w:r w:rsidR="00D2624D">
        <w:t xml:space="preserve">, </w:t>
      </w:r>
      <w:r w:rsidR="00586FE2">
        <w:t>from the south</w:t>
      </w:r>
      <w:r w:rsidR="00D2624D">
        <w:t>west</w:t>
      </w:r>
      <w:r w:rsidR="00586FE2">
        <w:t xml:space="preserve"> of England</w:t>
      </w:r>
      <w:r w:rsidR="00D2624D">
        <w:t xml:space="preserve">, with an overall higher social class profile.  </w:t>
      </w:r>
      <w:r w:rsidR="00B16310">
        <w:t xml:space="preserve"> </w:t>
      </w:r>
      <w:r w:rsidR="00D2624D">
        <w:t xml:space="preserve">Although their total pool included 30 adults and 21 children, the published analysis focuses exclusively on the adults. </w:t>
      </w:r>
      <w:r w:rsidR="00897D11">
        <w:t xml:space="preserve">  </w:t>
      </w:r>
      <w:r w:rsidR="00675AA1">
        <w:t xml:space="preserve"> </w:t>
      </w:r>
      <w:r w:rsidR="00D2624D">
        <w:t>The authors</w:t>
      </w:r>
      <w:r w:rsidR="00675AA1">
        <w:t xml:space="preserve"> noted that their </w:t>
      </w:r>
      <w:r w:rsidR="00D2624D">
        <w:t>interviewees</w:t>
      </w:r>
      <w:r w:rsidR="00675AA1">
        <w:t xml:space="preserve"> </w:t>
      </w:r>
      <w:r w:rsidR="00D2624D">
        <w:t>were broadly</w:t>
      </w:r>
      <w:r w:rsidR="00675AA1">
        <w:t xml:space="preserve"> </w:t>
      </w:r>
      <w:r w:rsidR="00555710">
        <w:t>similar</w:t>
      </w:r>
      <w:r w:rsidR="00675AA1">
        <w:t xml:space="preserve"> </w:t>
      </w:r>
      <w:r w:rsidR="005762E0">
        <w:t>to reincarnationists</w:t>
      </w:r>
      <w:r w:rsidR="008E6759">
        <w:t xml:space="preserve"> identified</w:t>
      </w:r>
      <w:r w:rsidR="00675AA1">
        <w:t xml:space="preserve"> by the </w:t>
      </w:r>
      <w:r w:rsidR="00555710">
        <w:t xml:space="preserve">European Values Survey </w:t>
      </w:r>
      <w:r w:rsidR="00675AA1">
        <w:t xml:space="preserve">in terms of gender </w:t>
      </w:r>
      <w:r w:rsidR="00555710">
        <w:t>distribution</w:t>
      </w:r>
      <w:r w:rsidR="00155CF0">
        <w:t xml:space="preserve">, </w:t>
      </w:r>
      <w:r w:rsidR="00675AA1">
        <w:t>two-thirds female</w:t>
      </w:r>
      <w:r w:rsidR="00155CF0">
        <w:t>,</w:t>
      </w:r>
      <w:r w:rsidR="00675AA1">
        <w:t xml:space="preserve"> and conventional religiosity</w:t>
      </w:r>
      <w:r w:rsidR="00155CF0">
        <w:t>,</w:t>
      </w:r>
      <w:r w:rsidR="00675AA1">
        <w:t xml:space="preserve"> one third involved in a church</w:t>
      </w:r>
      <w:r w:rsidR="003D57BD">
        <w:t>.</w:t>
      </w:r>
      <w:r w:rsidR="00155CF0">
        <w:rPr>
          <w:rStyle w:val="FootnoteReference"/>
        </w:rPr>
        <w:footnoteReference w:id="10"/>
      </w:r>
      <w:r w:rsidR="00675AA1">
        <w:t xml:space="preserve"> </w:t>
      </w:r>
      <w:r w:rsidR="008E6759">
        <w:t xml:space="preserve">  </w:t>
      </w:r>
      <w:r w:rsidR="00555710">
        <w:t xml:space="preserve">Crucially; </w:t>
      </w:r>
      <w:r w:rsidR="008E6759">
        <w:t xml:space="preserve">Walter and Waterhouse </w:t>
      </w:r>
      <w:r w:rsidR="00555710">
        <w:t>applied explicit exclusion criteria, omitting</w:t>
      </w:r>
      <w:r w:rsidR="008E6759">
        <w:t xml:space="preserve"> </w:t>
      </w:r>
      <w:r w:rsidR="00555710">
        <w:t>individuals</w:t>
      </w:r>
      <w:r w:rsidR="008E6759">
        <w:t xml:space="preserve"> that believed in reincarnation because the</w:t>
      </w:r>
      <w:r w:rsidR="003D57BD">
        <w:t>ir</w:t>
      </w:r>
      <w:r w:rsidR="008E6759">
        <w:t xml:space="preserve"> religion mandated it</w:t>
      </w:r>
      <w:r w:rsidR="00626DE6">
        <w:t xml:space="preserve"> (e.g. Hindus, Sikhs, Buddhists and self-identified New Agents adherents). </w:t>
      </w:r>
      <w:r w:rsidR="00973C2D" w:rsidRPr="00973C2D">
        <w:t>Walter and Waterhouse state in their paper that they were not looking for a representative sample of participants but for those that seriously entertained the idea of reincarnation</w:t>
      </w:r>
      <w:r w:rsidR="00973C2D">
        <w:t xml:space="preserve">. </w:t>
      </w:r>
      <w:r w:rsidR="00626DE6">
        <w:t xml:space="preserve"> The smaller sample size is appropriate for qualitative, interpretivist research, where the depth of the narrative is prioritized over numerical breadth.  </w:t>
      </w:r>
    </w:p>
    <w:p w14:paraId="6F48F24F" w14:textId="6F77C32F" w:rsidR="00CC6C87" w:rsidRDefault="00626DE6">
      <w:r>
        <w:t xml:space="preserve">Although the two studies differ sharply in method, scale and participant autonomy, they share one important </w:t>
      </w:r>
      <w:r w:rsidR="00960C50">
        <w:t>methodological feature:  neither study sought a representative cross-section of society.  Instead, both used a tightly controlled, deliberately bounded populations tailored to their specific research</w:t>
      </w:r>
      <w:r w:rsidR="004F598B">
        <w:t xml:space="preserve"> </w:t>
      </w:r>
      <w:r w:rsidR="005762E0">
        <w:t>objectives; Brink</w:t>
      </w:r>
      <w:r w:rsidR="00960C50">
        <w:t xml:space="preserve"> </w:t>
      </w:r>
      <w:r w:rsidR="009D2E36">
        <w:t>to</w:t>
      </w:r>
      <w:r w:rsidR="00960C50">
        <w:t xml:space="preserve"> a quantitative hypothesis about belief inconsistency </w:t>
      </w:r>
      <w:r w:rsidR="009D2E36">
        <w:t xml:space="preserve">among Catholic adolescent girls, and Walter and Waterhouse to discover a range of meanings given to the idea of reincarnation. </w:t>
      </w:r>
    </w:p>
    <w:p w14:paraId="3E326B52" w14:textId="72988069" w:rsidR="004F598B" w:rsidRPr="001605DE" w:rsidRDefault="001605DE">
      <w:pPr>
        <w:rPr>
          <w:b/>
          <w:bCs/>
        </w:rPr>
      </w:pPr>
      <w:r w:rsidRPr="001605DE">
        <w:rPr>
          <w:b/>
          <w:bCs/>
        </w:rPr>
        <w:t>Comparative Overview of the Authors’ Use of Literature:</w:t>
      </w:r>
    </w:p>
    <w:p w14:paraId="1B898484" w14:textId="19821A7D" w:rsidR="001605DE" w:rsidRDefault="004F598B">
      <w:r>
        <w:t>Walter and Waterhouse (1999</w:t>
      </w:r>
      <w:r w:rsidR="005762E0">
        <w:t>) draw</w:t>
      </w:r>
      <w:r>
        <w:t xml:space="preserve"> from sociological literature</w:t>
      </w:r>
      <w:r w:rsidR="001605DE">
        <w:t xml:space="preserve"> concerned</w:t>
      </w:r>
      <w:r>
        <w:t xml:space="preserve"> </w:t>
      </w:r>
      <w:r w:rsidR="00262F04">
        <w:t xml:space="preserve">with </w:t>
      </w:r>
      <w:r>
        <w:t xml:space="preserve">religiosity in </w:t>
      </w:r>
      <w:r w:rsidR="00AB246C">
        <w:t xml:space="preserve">contemporary </w:t>
      </w:r>
      <w:r w:rsidR="001605DE">
        <w:t>W</w:t>
      </w:r>
      <w:r w:rsidR="00AB246C">
        <w:t>estern culture</w:t>
      </w:r>
      <w:r w:rsidR="001605DE">
        <w:t>. They</w:t>
      </w:r>
      <w:r w:rsidR="00AB246C">
        <w:t xml:space="preserve"> cit</w:t>
      </w:r>
      <w:r w:rsidR="001605DE">
        <w:t xml:space="preserve">e </w:t>
      </w:r>
      <w:r w:rsidR="00AB246C">
        <w:t xml:space="preserve">Berger’s </w:t>
      </w:r>
      <w:r w:rsidR="001605DE">
        <w:t>notion</w:t>
      </w:r>
      <w:r w:rsidR="00AB246C">
        <w:t xml:space="preserve"> of a </w:t>
      </w:r>
      <w:r w:rsidR="001605DE">
        <w:t>“</w:t>
      </w:r>
      <w:r w:rsidR="00AB246C">
        <w:t>religious supermarket</w:t>
      </w:r>
      <w:r w:rsidR="001605DE">
        <w:t>,”</w:t>
      </w:r>
      <w:r w:rsidR="00AB246C">
        <w:t xml:space="preserve"> </w:t>
      </w:r>
      <w:r w:rsidR="001605DE">
        <w:t xml:space="preserve">in which </w:t>
      </w:r>
      <w:r w:rsidR="00AB246C">
        <w:t xml:space="preserve">religious belief </w:t>
      </w:r>
      <w:r w:rsidR="00262F04">
        <w:t>h</w:t>
      </w:r>
      <w:r w:rsidR="00AB246C">
        <w:t>as become a matter of personal choice</w:t>
      </w:r>
      <w:r w:rsidR="00841A45">
        <w:t>.</w:t>
      </w:r>
      <w:r w:rsidR="00452C56">
        <w:rPr>
          <w:rStyle w:val="FootnoteReference"/>
        </w:rPr>
        <w:footnoteReference w:id="11"/>
      </w:r>
      <w:r w:rsidR="001605DE">
        <w:t xml:space="preserve"> </w:t>
      </w:r>
      <w:r w:rsidR="00841A45">
        <w:t xml:space="preserve"> </w:t>
      </w:r>
      <w:r w:rsidR="00262F04">
        <w:t>Additionally they cite</w:t>
      </w:r>
      <w:r w:rsidR="00AB246C">
        <w:t xml:space="preserve"> Davie</w:t>
      </w:r>
      <w:r w:rsidR="00E52CB1">
        <w:t>’</w:t>
      </w:r>
      <w:r w:rsidR="00AB246C">
        <w:t>s concept of “believing without belonging</w:t>
      </w:r>
      <w:r w:rsidR="00262F04">
        <w:t>”,</w:t>
      </w:r>
      <w:r w:rsidR="001605DE">
        <w:t xml:space="preserve"> where</w:t>
      </w:r>
      <w:r w:rsidR="00AB246C">
        <w:t xml:space="preserve"> individuals </w:t>
      </w:r>
      <w:r w:rsidR="001605DE">
        <w:t>maintain</w:t>
      </w:r>
      <w:r w:rsidR="00AB246C">
        <w:t xml:space="preserve"> private beliefs even</w:t>
      </w:r>
      <w:r w:rsidR="001605DE">
        <w:t xml:space="preserve"> when</w:t>
      </w:r>
      <w:r w:rsidR="00AB246C">
        <w:t xml:space="preserve"> they no </w:t>
      </w:r>
      <w:r w:rsidR="00AB246C">
        <w:lastRenderedPageBreak/>
        <w:t xml:space="preserve">longer </w:t>
      </w:r>
      <w:r w:rsidR="001605DE">
        <w:t>participate in instructional or ritual forms of Christianity</w:t>
      </w:r>
      <w:r w:rsidR="00E52CB1">
        <w:rPr>
          <w:rStyle w:val="FootnoteReference"/>
        </w:rPr>
        <w:footnoteReference w:id="12"/>
      </w:r>
      <w:r w:rsidR="001605DE">
        <w:t>.</w:t>
      </w:r>
      <w:r w:rsidR="00AB246C">
        <w:t xml:space="preserve"> This framework </w:t>
      </w:r>
      <w:r w:rsidR="001605DE">
        <w:t>enables</w:t>
      </w:r>
      <w:r w:rsidR="00AB246C">
        <w:t xml:space="preserve"> Walter and Waterhouse to explain how people can hold a series of Christian </w:t>
      </w:r>
      <w:r w:rsidR="001605DE">
        <w:t>ideas</w:t>
      </w:r>
      <w:r w:rsidR="00AB246C">
        <w:t xml:space="preserve"> </w:t>
      </w:r>
      <w:r w:rsidR="001605DE">
        <w:t>while simultaneously entertaining</w:t>
      </w:r>
      <w:r w:rsidR="003A17DA">
        <w:t xml:space="preserve"> beliefs that are inconsistent</w:t>
      </w:r>
      <w:r w:rsidR="001605DE">
        <w:t xml:space="preserve"> with Christian doctrine such</w:t>
      </w:r>
      <w:r w:rsidR="003A17DA">
        <w:t xml:space="preserve"> as “</w:t>
      </w:r>
      <w:r w:rsidR="002970DB">
        <w:t>reincarnation</w:t>
      </w:r>
      <w:r w:rsidR="007D1D2F">
        <w:t>.</w:t>
      </w:r>
      <w:r w:rsidR="002970DB">
        <w:t xml:space="preserve">”  </w:t>
      </w:r>
    </w:p>
    <w:p w14:paraId="0008958E" w14:textId="6A9B9573" w:rsidR="00057BC4" w:rsidRDefault="001605DE">
      <w:r>
        <w:t xml:space="preserve">In </w:t>
      </w:r>
      <w:r w:rsidR="00C3432F">
        <w:t>contrast, the</w:t>
      </w:r>
      <w:r w:rsidR="005762E0">
        <w:t xml:space="preserve"> theoretical basis for the Brink</w:t>
      </w:r>
      <w:r w:rsidR="007D1D2F">
        <w:t>’</w:t>
      </w:r>
      <w:r w:rsidR="005762E0">
        <w:t>s</w:t>
      </w:r>
      <w:r>
        <w:t xml:space="preserve"> (1978) study</w:t>
      </w:r>
      <w:r w:rsidR="005762E0">
        <w:t xml:space="preserve"> is primarily derived from </w:t>
      </w:r>
      <w:r w:rsidR="005E318F">
        <w:t xml:space="preserve">social psychological theories </w:t>
      </w:r>
      <w:r>
        <w:t xml:space="preserve">of attitude structure, </w:t>
      </w:r>
      <w:r w:rsidR="00262F04">
        <w:t>for example</w:t>
      </w:r>
      <w:r w:rsidR="00A32979">
        <w:t>,</w:t>
      </w:r>
      <w:r w:rsidR="005E318F">
        <w:t xml:space="preserve"> Festinger (1957)</w:t>
      </w:r>
      <w:r>
        <w:t xml:space="preserve"> theory of </w:t>
      </w:r>
      <w:r w:rsidR="00C3432F">
        <w:t>cognitive dissonance</w:t>
      </w:r>
      <w:r w:rsidR="00741F99">
        <w:t>.</w:t>
      </w:r>
      <w:r w:rsidR="00741F99">
        <w:rPr>
          <w:rStyle w:val="FootnoteReference"/>
        </w:rPr>
        <w:footnoteReference w:id="13"/>
      </w:r>
      <w:r w:rsidR="005E318F">
        <w:t xml:space="preserve"> </w:t>
      </w:r>
      <w:r w:rsidR="002970DB">
        <w:t>Festinge</w:t>
      </w:r>
      <w:r w:rsidR="00C3432F">
        <w:t xml:space="preserve">r reframes the </w:t>
      </w:r>
      <w:r w:rsidR="00232DC2">
        <w:t>word “</w:t>
      </w:r>
      <w:r w:rsidR="00C3432F">
        <w:t>inconsistency” with</w:t>
      </w:r>
      <w:r w:rsidR="007521C1">
        <w:t xml:space="preserve"> the word </w:t>
      </w:r>
      <w:r w:rsidR="00C3432F">
        <w:t>“</w:t>
      </w:r>
      <w:r w:rsidR="007521C1">
        <w:t>dissonance</w:t>
      </w:r>
      <w:r w:rsidR="00C3432F">
        <w:t>”</w:t>
      </w:r>
      <w:r w:rsidR="007521C1">
        <w:t xml:space="preserve"> </w:t>
      </w:r>
      <w:r w:rsidR="00C3432F">
        <w:t>to avoid the</w:t>
      </w:r>
      <w:r w:rsidR="007521C1">
        <w:t xml:space="preserve"> logical connotation</w:t>
      </w:r>
      <w:r w:rsidR="00C3432F">
        <w:t xml:space="preserve"> of the former</w:t>
      </w:r>
      <w:r w:rsidR="00741F99">
        <w:t>.</w:t>
      </w:r>
      <w:r w:rsidR="00741F99">
        <w:rPr>
          <w:rStyle w:val="FootnoteReference"/>
        </w:rPr>
        <w:footnoteReference w:id="14"/>
      </w:r>
      <w:r w:rsidR="00741F99">
        <w:t xml:space="preserve"> </w:t>
      </w:r>
      <w:r w:rsidR="007521C1">
        <w:t xml:space="preserve"> </w:t>
      </w:r>
      <w:r w:rsidR="00741F99">
        <w:t xml:space="preserve">He argues </w:t>
      </w:r>
      <w:r w:rsidR="00C3432F">
        <w:t xml:space="preserve">that </w:t>
      </w:r>
      <w:r w:rsidR="007521C1">
        <w:t xml:space="preserve">dissonance </w:t>
      </w:r>
      <w:r w:rsidR="00C3432F">
        <w:t>produces</w:t>
      </w:r>
      <w:r w:rsidR="007521C1">
        <w:t xml:space="preserve"> psychological </w:t>
      </w:r>
      <w:r w:rsidR="00C3432F">
        <w:t>discomfort that motivates</w:t>
      </w:r>
      <w:r w:rsidR="007521C1">
        <w:t xml:space="preserve"> </w:t>
      </w:r>
      <w:r w:rsidR="00C3432F">
        <w:t>individuals</w:t>
      </w:r>
      <w:r w:rsidR="007521C1">
        <w:t xml:space="preserve"> </w:t>
      </w:r>
      <w:r w:rsidR="00942C19">
        <w:t xml:space="preserve">to not only reduce dissonance </w:t>
      </w:r>
      <w:r w:rsidR="007D1D2F">
        <w:t xml:space="preserve">but </w:t>
      </w:r>
      <w:r w:rsidR="00262F04">
        <w:t>to</w:t>
      </w:r>
      <w:r w:rsidR="007D1D2F">
        <w:t xml:space="preserve"> </w:t>
      </w:r>
      <w:r w:rsidR="00942C19">
        <w:t>actively avoid situations and information that would likely increase dissonance</w:t>
      </w:r>
      <w:r w:rsidR="00741F99">
        <w:t>.</w:t>
      </w:r>
      <w:r w:rsidR="00741F99">
        <w:rPr>
          <w:rStyle w:val="FootnoteReference"/>
        </w:rPr>
        <w:footnoteReference w:id="15"/>
      </w:r>
      <w:r w:rsidR="00942C19">
        <w:t xml:space="preserve">   Brink</w:t>
      </w:r>
      <w:r w:rsidR="00C3432F">
        <w:t>, however reintroduces positivism</w:t>
      </w:r>
      <w:r w:rsidR="00942C19">
        <w:t xml:space="preserve"> logic </w:t>
      </w:r>
      <w:r w:rsidR="00C3432F">
        <w:t>by returning to the language of “</w:t>
      </w:r>
      <w:r w:rsidR="00232DC2">
        <w:t>inconsistency” and</w:t>
      </w:r>
      <w:r w:rsidR="00C3432F">
        <w:t xml:space="preserve"> proposing that</w:t>
      </w:r>
      <w:r w:rsidR="00232DC2">
        <w:t xml:space="preserve"> </w:t>
      </w:r>
      <w:r w:rsidR="007F6173">
        <w:t xml:space="preserve">from </w:t>
      </w:r>
      <w:r w:rsidR="00D3234C">
        <w:t>a purely logical framework</w:t>
      </w:r>
      <w:r w:rsidR="000B3C05">
        <w:t>,</w:t>
      </w:r>
      <w:r w:rsidR="00C3432F">
        <w:t xml:space="preserve"> incompatible </w:t>
      </w:r>
      <w:r w:rsidR="00232DC2">
        <w:t xml:space="preserve">beliefs </w:t>
      </w:r>
      <w:r w:rsidR="00C3432F">
        <w:t xml:space="preserve">should not exist.  </w:t>
      </w:r>
    </w:p>
    <w:p w14:paraId="02C597D0" w14:textId="29A77F8A" w:rsidR="005762E0" w:rsidRDefault="00C3432F">
      <w:r>
        <w:t>Although</w:t>
      </w:r>
      <w:r w:rsidR="0018019C">
        <w:t xml:space="preserve"> both </w:t>
      </w:r>
      <w:r w:rsidR="00D358C4">
        <w:t>Brink</w:t>
      </w:r>
      <w:r w:rsidR="007D1D2F">
        <w:t xml:space="preserve"> </w:t>
      </w:r>
      <w:r w:rsidR="00D358C4">
        <w:t>(1978) and Walter and Waterhouse</w:t>
      </w:r>
      <w:r w:rsidR="007D1D2F">
        <w:t xml:space="preserve"> </w:t>
      </w:r>
      <w:r w:rsidR="00D358C4">
        <w:t xml:space="preserve">(1999) examine the </w:t>
      </w:r>
      <w:r w:rsidR="007D1D2F">
        <w:t>compatibility</w:t>
      </w:r>
      <w:r w:rsidR="00D358C4">
        <w:t xml:space="preserve"> of </w:t>
      </w:r>
      <w:r>
        <w:t xml:space="preserve">seemingly </w:t>
      </w:r>
      <w:r w:rsidR="00D358C4">
        <w:t>inconsistent beliefs</w:t>
      </w:r>
      <w:r w:rsidR="0045216A">
        <w:t xml:space="preserve">, they do so from distinct </w:t>
      </w:r>
      <w:r w:rsidR="00D358C4">
        <w:t xml:space="preserve">epistemological paradigms, </w:t>
      </w:r>
      <w:r w:rsidR="0045216A">
        <w:t xml:space="preserve">and arrive at similar conclusions for different reasons. </w:t>
      </w:r>
      <w:r w:rsidR="007D1D2F">
        <w:t xml:space="preserve"> Brink </w:t>
      </w:r>
      <w:r w:rsidR="0045216A">
        <w:t>interprets inconsistency amongst adolescent Catholic girls stems from uncertainty and confusion</w:t>
      </w:r>
      <w:r w:rsidR="00262F04">
        <w:t>.</w:t>
      </w:r>
      <w:r w:rsidR="00811977">
        <w:rPr>
          <w:rStyle w:val="FootnoteReference"/>
        </w:rPr>
        <w:footnoteReference w:id="16"/>
      </w:r>
      <w:r w:rsidR="00DD76FC">
        <w:t xml:space="preserve">  </w:t>
      </w:r>
      <w:r w:rsidR="00262F04">
        <w:t>W</w:t>
      </w:r>
      <w:r w:rsidR="00DD76FC">
        <w:t xml:space="preserve">hereas Walter and Waterhouse interpret </w:t>
      </w:r>
      <w:r w:rsidR="0045216A">
        <w:t>similar patterns amongst adults as expressions of private, low-impact</w:t>
      </w:r>
      <w:r w:rsidR="00DD76FC">
        <w:t xml:space="preserve"> </w:t>
      </w:r>
      <w:r w:rsidR="0045216A">
        <w:t>belief that coexist comfortably with church attendance</w:t>
      </w:r>
      <w:r w:rsidR="00262F04">
        <w:t>.</w:t>
      </w:r>
      <w:r w:rsidR="00811977">
        <w:rPr>
          <w:rStyle w:val="FootnoteReference"/>
        </w:rPr>
        <w:footnoteReference w:id="17"/>
      </w:r>
      <w:r w:rsidR="0045216A">
        <w:t xml:space="preserve">  </w:t>
      </w:r>
    </w:p>
    <w:p w14:paraId="7878EED4" w14:textId="76C11CBF" w:rsidR="001B0323" w:rsidRDefault="0045216A">
      <w:r>
        <w:t>It is noteworthy</w:t>
      </w:r>
      <w:r w:rsidR="00DD76FC">
        <w:t xml:space="preserve"> that </w:t>
      </w:r>
      <w:r w:rsidR="005762E0">
        <w:t>Walter and Waterhouse</w:t>
      </w:r>
      <w:r w:rsidR="007D1D2F">
        <w:t xml:space="preserve"> </w:t>
      </w:r>
      <w:r w:rsidR="005762E0">
        <w:t>(1999</w:t>
      </w:r>
      <w:r w:rsidR="007D1D2F">
        <w:t>)</w:t>
      </w:r>
      <w:r w:rsidR="005762E0">
        <w:t xml:space="preserve"> did not reference </w:t>
      </w:r>
      <w:r>
        <w:t xml:space="preserve">Brink’s </w:t>
      </w:r>
      <w:r w:rsidR="005762E0">
        <w:t>study</w:t>
      </w:r>
      <w:r>
        <w:t>,</w:t>
      </w:r>
      <w:r w:rsidR="005762E0">
        <w:t xml:space="preserve"> </w:t>
      </w:r>
      <w:r w:rsidR="00DD76FC">
        <w:t xml:space="preserve">which would </w:t>
      </w:r>
      <w:r>
        <w:t xml:space="preserve">have </w:t>
      </w:r>
      <w:r w:rsidR="00DD76FC">
        <w:t>seem</w:t>
      </w:r>
      <w:r w:rsidR="00A96D24">
        <w:t>ed</w:t>
      </w:r>
      <w:r w:rsidR="00DD76FC">
        <w:t xml:space="preserve"> </w:t>
      </w:r>
      <w:r w:rsidR="002405AD">
        <w:t>pertinent</w:t>
      </w:r>
      <w:r>
        <w:t xml:space="preserve"> given the</w:t>
      </w:r>
      <w:r w:rsidR="00C43DBC">
        <w:t xml:space="preserve">ir convergent themes. </w:t>
      </w:r>
      <w:r w:rsidR="002405AD">
        <w:t xml:space="preserve">  </w:t>
      </w:r>
      <w:r w:rsidR="00A96D24">
        <w:t xml:space="preserve">This omission may have been due to the different disciplinary framework of the two studies. Brink’s </w:t>
      </w:r>
      <w:r w:rsidR="00811977">
        <w:t>reliance</w:t>
      </w:r>
      <w:r w:rsidR="002405AD">
        <w:t xml:space="preserve"> on a </w:t>
      </w:r>
      <w:r w:rsidR="00A96D24">
        <w:t>binary</w:t>
      </w:r>
      <w:r w:rsidR="002405AD">
        <w:t xml:space="preserve"> yes/no questionnaire, </w:t>
      </w:r>
      <w:r w:rsidR="00811977">
        <w:t>produces what Geertz would call a “thin description” offering</w:t>
      </w:r>
      <w:r w:rsidR="00A96D24">
        <w:t xml:space="preserve"> </w:t>
      </w:r>
      <w:r w:rsidR="00811977">
        <w:t>little interpretative</w:t>
      </w:r>
      <w:r w:rsidR="00A96D24">
        <w:t xml:space="preserve"> </w:t>
      </w:r>
      <w:r w:rsidR="00811977">
        <w:t>nuance, whereas</w:t>
      </w:r>
      <w:r w:rsidR="002405AD">
        <w:t xml:space="preserve"> Walter and Waterhouse</w:t>
      </w:r>
      <w:r w:rsidR="00A96D24">
        <w:t xml:space="preserve">’s </w:t>
      </w:r>
      <w:r w:rsidR="00811977">
        <w:t>open-ended</w:t>
      </w:r>
      <w:r w:rsidR="00A96D24">
        <w:t xml:space="preserve"> narrative </w:t>
      </w:r>
      <w:r w:rsidR="00811977">
        <w:t>approach enables a</w:t>
      </w:r>
      <w:r w:rsidR="00D3234C">
        <w:t xml:space="preserve"> </w:t>
      </w:r>
      <w:r w:rsidR="00811977">
        <w:t xml:space="preserve"> </w:t>
      </w:r>
      <w:r w:rsidR="00D3234C">
        <w:t>“</w:t>
      </w:r>
      <w:r w:rsidR="00811977">
        <w:t>thick description” grounded in participants own meaning-making</w:t>
      </w:r>
      <w:r w:rsidR="00D3234C">
        <w:t>.</w:t>
      </w:r>
      <w:r w:rsidR="00811977">
        <w:rPr>
          <w:rStyle w:val="FootnoteReference"/>
        </w:rPr>
        <w:footnoteReference w:id="18"/>
      </w:r>
      <w:r w:rsidR="00811977">
        <w:t xml:space="preserve">  </w:t>
      </w:r>
      <w:r w:rsidR="00A96D24">
        <w:t xml:space="preserve"> Additionally, although they interviewed</w:t>
      </w:r>
      <w:r w:rsidR="002405AD">
        <w:t xml:space="preserve"> 21 children, </w:t>
      </w:r>
      <w:r w:rsidR="00A96D24">
        <w:t>Walter and Waterhouse</w:t>
      </w:r>
      <w:r w:rsidR="002405AD">
        <w:t xml:space="preserve"> did not present their findings on these specific interviews, and thus citing the Brink</w:t>
      </w:r>
      <w:r w:rsidR="00A96D24">
        <w:t>’s adolescent-focused study</w:t>
      </w:r>
      <w:r w:rsidR="002405AD">
        <w:t xml:space="preserve"> may have </w:t>
      </w:r>
      <w:r w:rsidR="00A96D24">
        <w:t xml:space="preserve">introduced an additional level of comparison that was outside of their focus.  </w:t>
      </w:r>
    </w:p>
    <w:p w14:paraId="039FD3B2" w14:textId="24E8B98C" w:rsidR="004150A3" w:rsidRPr="0006331E" w:rsidRDefault="004150A3">
      <w:pPr>
        <w:rPr>
          <w:b/>
          <w:bCs/>
          <w:u w:val="single"/>
        </w:rPr>
      </w:pPr>
      <w:r w:rsidRPr="0006331E">
        <w:rPr>
          <w:b/>
          <w:bCs/>
          <w:u w:val="single"/>
        </w:rPr>
        <w:t xml:space="preserve">Reflexivity of the Authors: </w:t>
      </w:r>
    </w:p>
    <w:p w14:paraId="62D2D7B5" w14:textId="789EE0B8" w:rsidR="00B14913" w:rsidRDefault="004150A3">
      <w:r>
        <w:lastRenderedPageBreak/>
        <w:t xml:space="preserve">Reflexivity in research refers to the </w:t>
      </w:r>
      <w:r w:rsidR="0065664A">
        <w:t>researcher</w:t>
      </w:r>
      <w:r w:rsidR="00D3234C">
        <w:t>s’</w:t>
      </w:r>
      <w:r>
        <w:t xml:space="preserve"> </w:t>
      </w:r>
      <w:r w:rsidR="00646C18">
        <w:t>awareness of</w:t>
      </w:r>
      <w:r>
        <w:t xml:space="preserve"> how their own presence backgrounds, methodological choices and belief systems </w:t>
      </w:r>
      <w:r w:rsidR="00E378B3">
        <w:t xml:space="preserve">shape </w:t>
      </w:r>
      <w:r w:rsidR="0065664A">
        <w:t>both the production</w:t>
      </w:r>
      <w:r w:rsidR="00E378B3">
        <w:t xml:space="preserve"> and interpretation of the data</w:t>
      </w:r>
      <w:r>
        <w:t xml:space="preserve">.  </w:t>
      </w:r>
      <w:r w:rsidR="00E378B3">
        <w:t xml:space="preserve">In </w:t>
      </w:r>
      <w:r w:rsidR="00646C18">
        <w:t>positivist</w:t>
      </w:r>
      <w:r w:rsidR="00E378B3">
        <w:t xml:space="preserve"> traditions, reflexivity is not </w:t>
      </w:r>
      <w:r w:rsidR="0065664A">
        <w:t>merely</w:t>
      </w:r>
      <w:r w:rsidR="00E378B3">
        <w:t xml:space="preserve"> ignored but </w:t>
      </w:r>
      <w:r w:rsidR="0065664A">
        <w:t xml:space="preserve">is </w:t>
      </w:r>
      <w:r w:rsidR="00E378B3">
        <w:t xml:space="preserve">largely designed out of the </w:t>
      </w:r>
      <w:r w:rsidR="0065664A">
        <w:t>research process,</w:t>
      </w:r>
      <w:r w:rsidR="007C7DFC">
        <w:t xml:space="preserve"> since</w:t>
      </w:r>
      <w:r w:rsidR="00E378B3">
        <w:t xml:space="preserve"> positivism assumes that</w:t>
      </w:r>
      <w:r w:rsidR="0065664A">
        <w:t xml:space="preserve"> valid</w:t>
      </w:r>
      <w:r w:rsidR="00E378B3">
        <w:t xml:space="preserve"> knowledge can and should be generated </w:t>
      </w:r>
      <w:r w:rsidR="004F598B">
        <w:t>through objective</w:t>
      </w:r>
      <w:r w:rsidR="0065664A">
        <w:t xml:space="preserve"> </w:t>
      </w:r>
      <w:r w:rsidR="00E378B3">
        <w:t xml:space="preserve">observer-independent methods.  </w:t>
      </w:r>
      <w:r w:rsidR="0065664A">
        <w:t>By contrast</w:t>
      </w:r>
      <w:r w:rsidR="007C7DFC">
        <w:t xml:space="preserve"> reflexivity is an</w:t>
      </w:r>
      <w:r w:rsidR="00246B9F">
        <w:t xml:space="preserve"> essential</w:t>
      </w:r>
      <w:r w:rsidR="00AF4B7A">
        <w:t xml:space="preserve"> </w:t>
      </w:r>
      <w:r w:rsidR="00246B9F">
        <w:t xml:space="preserve">component </w:t>
      </w:r>
      <w:r w:rsidR="0065664A">
        <w:t>of</w:t>
      </w:r>
      <w:r w:rsidR="00246B9F">
        <w:t xml:space="preserve"> </w:t>
      </w:r>
      <w:r w:rsidR="00AF4B7A">
        <w:t>interpretivists</w:t>
      </w:r>
      <w:r w:rsidR="0065664A">
        <w:t xml:space="preserve"> approaches, which recognize that meanings are </w:t>
      </w:r>
      <w:r w:rsidR="00D3234C">
        <w:t xml:space="preserve">often </w:t>
      </w:r>
      <w:r w:rsidR="0065664A">
        <w:t>co</w:t>
      </w:r>
      <w:r w:rsidR="00D3234C">
        <w:t>-</w:t>
      </w:r>
      <w:r w:rsidR="0065664A">
        <w:t xml:space="preserve">constructed between researcher and participant. </w:t>
      </w:r>
      <w:r w:rsidR="007C7DFC">
        <w:t xml:space="preserve"> </w:t>
      </w:r>
      <w:r w:rsidR="00246B9F">
        <w:t>This contrast is sharply evident in the two publications being compared in this essay.  Walter and Waterhouse</w:t>
      </w:r>
      <w:r w:rsidR="00205E0F">
        <w:t xml:space="preserve"> </w:t>
      </w:r>
      <w:r w:rsidR="00B14913">
        <w:t>demonstrate</w:t>
      </w:r>
      <w:r w:rsidR="00205E0F">
        <w:t xml:space="preserve"> proactive and methodological reflexivity</w:t>
      </w:r>
      <w:r w:rsidR="00B14913">
        <w:t>:</w:t>
      </w:r>
      <w:r w:rsidR="00205E0F">
        <w:t xml:space="preserve"> explicitly </w:t>
      </w:r>
      <w:r w:rsidR="00FD0F9D">
        <w:t>acknowledging their</w:t>
      </w:r>
      <w:r w:rsidR="00B14913">
        <w:t xml:space="preserve"> </w:t>
      </w:r>
      <w:r w:rsidR="00596B19">
        <w:t>disciplinary lens</w:t>
      </w:r>
      <w:r w:rsidR="00B14913">
        <w:t>es</w:t>
      </w:r>
      <w:r w:rsidR="00D3234C">
        <w:t>.</w:t>
      </w:r>
      <w:r w:rsidR="007C7DFC">
        <w:t xml:space="preserve"> </w:t>
      </w:r>
      <w:r w:rsidR="00D3234C">
        <w:t>T</w:t>
      </w:r>
      <w:r w:rsidR="007C7DFC">
        <w:t>hey</w:t>
      </w:r>
      <w:r w:rsidR="00596B19">
        <w:t xml:space="preserve"> </w:t>
      </w:r>
      <w:r w:rsidR="00B14913">
        <w:t xml:space="preserve">strove for open </w:t>
      </w:r>
      <w:r w:rsidR="00FD0F9D">
        <w:t>ended questions</w:t>
      </w:r>
      <w:r w:rsidR="00596B19">
        <w:t xml:space="preserve"> and allowed interviewees to speak in their own </w:t>
      </w:r>
      <w:r w:rsidR="00FD0F9D">
        <w:t>terms</w:t>
      </w:r>
      <w:r w:rsidR="000B3C05">
        <w:t>.</w:t>
      </w:r>
      <w:r w:rsidR="000B3C05">
        <w:rPr>
          <w:rStyle w:val="FootnoteReference"/>
        </w:rPr>
        <w:footnoteReference w:id="19"/>
      </w:r>
      <w:r w:rsidR="000B3C05">
        <w:t xml:space="preserve"> </w:t>
      </w:r>
      <w:r w:rsidR="00B14913">
        <w:t>They also strengthen</w:t>
      </w:r>
      <w:r w:rsidR="00D3234C">
        <w:t xml:space="preserve"> their</w:t>
      </w:r>
      <w:r w:rsidR="00B14913">
        <w:t xml:space="preserve"> interpretive reliability by jointly listening to the taped interviewers</w:t>
      </w:r>
      <w:r w:rsidR="00D3234C">
        <w:t>, e</w:t>
      </w:r>
      <w:r w:rsidR="00B14913">
        <w:t xml:space="preserve">nsuring that no single disciplinary perspective dominates the analysis. </w:t>
      </w:r>
    </w:p>
    <w:p w14:paraId="4C607EE8" w14:textId="248573D0" w:rsidR="004150A3" w:rsidRDefault="00B14913">
      <w:r>
        <w:t>Brink by contrast</w:t>
      </w:r>
      <w:r w:rsidR="004B2F1E">
        <w:t xml:space="preserve">, exhibits no </w:t>
      </w:r>
      <w:r w:rsidR="007C7DFC">
        <w:t xml:space="preserve">proactive </w:t>
      </w:r>
      <w:r w:rsidR="00596B19">
        <w:t xml:space="preserve">reflexivity in </w:t>
      </w:r>
      <w:r w:rsidR="004B2F1E">
        <w:t>his research</w:t>
      </w:r>
      <w:r w:rsidR="007C7DFC">
        <w:t xml:space="preserve"> design</w:t>
      </w:r>
      <w:r w:rsidR="004B2F1E">
        <w:t xml:space="preserve">. His study relies on a compulsory yes/no questionnaire administered to all students present in the class that day, thereby eliminating </w:t>
      </w:r>
      <w:r w:rsidR="00596B19">
        <w:t xml:space="preserve">any ambiguity of volunteer </w:t>
      </w:r>
      <w:r w:rsidR="004B2F1E">
        <w:t xml:space="preserve">bias, but also eliminating any opportunity for participants to articulate their own understanding. </w:t>
      </w:r>
      <w:r w:rsidR="00CD587F">
        <w:t xml:space="preserve"> His analysis reduces the responses to a single table and a chi-squared comparison. </w:t>
      </w:r>
      <w:r w:rsidR="00CD587F" w:rsidRPr="00CD587F">
        <w:t xml:space="preserve">Brink does, however, </w:t>
      </w:r>
      <w:r w:rsidR="00CD587F">
        <w:t>display a degree of</w:t>
      </w:r>
      <w:r w:rsidR="00CD587F" w:rsidRPr="00CD587F">
        <w:t xml:space="preserve"> reactive reflexivity </w:t>
      </w:r>
      <w:r w:rsidR="00CD587F">
        <w:t>when confronted with</w:t>
      </w:r>
      <w:r w:rsidR="00CD587F" w:rsidRPr="00CD587F">
        <w:t xml:space="preserve"> unexpected </w:t>
      </w:r>
      <w:r w:rsidR="00CD587F">
        <w:t xml:space="preserve">findings. </w:t>
      </w:r>
      <w:r w:rsidR="00CD587F" w:rsidRPr="00CD587F">
        <w:t xml:space="preserve"> He admits that his study</w:t>
      </w:r>
      <w:r w:rsidR="002A491D">
        <w:t>,</w:t>
      </w:r>
      <w:r w:rsidR="00CD587F" w:rsidRPr="00CD587F">
        <w:t xml:space="preserve"> as applied</w:t>
      </w:r>
      <w:r w:rsidR="004F598B">
        <w:t>,</w:t>
      </w:r>
      <w:r w:rsidR="00CD587F" w:rsidRPr="00CD587F">
        <w:t xml:space="preserve"> raises more questions than it answers and he acknowledges he cannot explain </w:t>
      </w:r>
      <w:r w:rsidR="00CD587F">
        <w:t xml:space="preserve">inconsistencies in student beliefs. </w:t>
      </w:r>
      <w:r w:rsidR="00E82F89">
        <w:t xml:space="preserve"> Walter and </w:t>
      </w:r>
      <w:r w:rsidR="00C059AE">
        <w:t>Waterhouse</w:t>
      </w:r>
      <w:r w:rsidR="00CD587F">
        <w:t xml:space="preserve"> in contrast, explicitly</w:t>
      </w:r>
      <w:r w:rsidR="00BF534C">
        <w:t xml:space="preserve"> critique the short comings of simple questionnaires on reincarnation</w:t>
      </w:r>
      <w:r w:rsidR="00FD1AAD">
        <w:t xml:space="preserve"> </w:t>
      </w:r>
      <w:r w:rsidR="00BF534C">
        <w:t xml:space="preserve">noting </w:t>
      </w:r>
      <w:r w:rsidR="00FD0F9D">
        <w:t>that such</w:t>
      </w:r>
      <w:r w:rsidR="00BF534C">
        <w:t xml:space="preserve"> as yes/don’t-know/no, </w:t>
      </w:r>
      <w:r w:rsidR="00901401">
        <w:t xml:space="preserve">bear little </w:t>
      </w:r>
      <w:r w:rsidR="00BF534C">
        <w:t>resemblance</w:t>
      </w:r>
      <w:r w:rsidR="00901401">
        <w:t xml:space="preserve"> to how people</w:t>
      </w:r>
      <w:r w:rsidR="00AD1C90">
        <w:t xml:space="preserve"> think and talk about the subject</w:t>
      </w:r>
      <w:r w:rsidR="00BF534C">
        <w:t>.</w:t>
      </w:r>
      <w:r w:rsidR="00901401">
        <w:t xml:space="preserve">  </w:t>
      </w:r>
      <w:r w:rsidR="00BF534C">
        <w:t>They therefore clarify</w:t>
      </w:r>
      <w:r w:rsidR="00901401">
        <w:t xml:space="preserve"> that their respondents were not a sample of those who actually believe in reincarnation but a </w:t>
      </w:r>
      <w:bookmarkStart w:id="8" w:name="_Hlk222400025"/>
      <w:r w:rsidR="00901401">
        <w:t>sample of those who seriously entertain the idea</w:t>
      </w:r>
      <w:r w:rsidR="00FD1AAD">
        <w:rPr>
          <w:rStyle w:val="FootnoteReference"/>
        </w:rPr>
        <w:footnoteReference w:id="20"/>
      </w:r>
      <w:r w:rsidR="00901401">
        <w:t xml:space="preserve">. </w:t>
      </w:r>
      <w:bookmarkEnd w:id="8"/>
    </w:p>
    <w:p w14:paraId="182A9278" w14:textId="5EE94077" w:rsidR="00356667" w:rsidRDefault="00AD1C90">
      <w:r>
        <w:t xml:space="preserve">Ultimately the contrast </w:t>
      </w:r>
      <w:r w:rsidR="00B005DC">
        <w:t>between Brinks’s study and that of</w:t>
      </w:r>
      <w:r>
        <w:t xml:space="preserve"> and Walter and Waterhouse</w:t>
      </w:r>
      <w:r w:rsidR="00B005DC">
        <w:t xml:space="preserve"> </w:t>
      </w:r>
      <w:r w:rsidR="00200505">
        <w:t>demonstrate</w:t>
      </w:r>
      <w:r w:rsidR="00B005DC">
        <w:t xml:space="preserve"> that reflexivity is not merely a matter of a </w:t>
      </w:r>
      <w:r w:rsidR="00FD0F9D">
        <w:t>researcher’s</w:t>
      </w:r>
      <w:r w:rsidR="00B005DC">
        <w:t xml:space="preserve"> self-awareness but a determinant of what can be known.   Brink’s non-reflexive design produces </w:t>
      </w:r>
      <w:r w:rsidR="00200505">
        <w:t>“</w:t>
      </w:r>
      <w:r w:rsidR="00B005DC">
        <w:t>thin descriptions</w:t>
      </w:r>
      <w:r w:rsidR="002A491D">
        <w:t>”</w:t>
      </w:r>
      <w:r w:rsidR="00B005DC">
        <w:t xml:space="preserve">, surface level data that can be tabulated but are limited in interpretive depth, whereas Walter and Waterhouse reflexive stance produces </w:t>
      </w:r>
      <w:r w:rsidR="002A491D">
        <w:t xml:space="preserve">a </w:t>
      </w:r>
      <w:r w:rsidR="00200505">
        <w:t>“</w:t>
      </w:r>
      <w:r w:rsidR="00B005DC">
        <w:t>thick</w:t>
      </w:r>
      <w:r w:rsidR="002A491D">
        <w:t xml:space="preserve"> description</w:t>
      </w:r>
      <w:r w:rsidR="00200505">
        <w:t>”</w:t>
      </w:r>
      <w:r w:rsidR="002A491D">
        <w:t xml:space="preserve"> of</w:t>
      </w:r>
      <w:r w:rsidR="00B005DC">
        <w:t xml:space="preserve"> meaningful </w:t>
      </w:r>
      <w:r w:rsidR="00200505">
        <w:t>insights</w:t>
      </w:r>
      <w:r w:rsidR="004F598B">
        <w:t>, from which</w:t>
      </w:r>
      <w:r w:rsidR="00B005DC">
        <w:t xml:space="preserve"> meaning emerges when researches attend to </w:t>
      </w:r>
      <w:r w:rsidR="00200505">
        <w:t xml:space="preserve">context and nuance and interpretive complexity. The comparison underscores that that the degree of reflexivity fundamentally shapes the depth and validity of the findings. </w:t>
      </w:r>
    </w:p>
    <w:p w14:paraId="0EAA4DDB" w14:textId="77777777" w:rsidR="00356667" w:rsidRPr="00FD1AAD" w:rsidRDefault="00356667" w:rsidP="00356667">
      <w:pPr>
        <w:rPr>
          <w:b/>
          <w:bCs/>
          <w:u w:val="single"/>
        </w:rPr>
      </w:pPr>
      <w:r w:rsidRPr="00FD1AAD">
        <w:rPr>
          <w:b/>
          <w:bCs/>
          <w:u w:val="single"/>
        </w:rPr>
        <w:t xml:space="preserve">Conclusions: </w:t>
      </w:r>
    </w:p>
    <w:p w14:paraId="36798EE5" w14:textId="10535030" w:rsidR="00356667" w:rsidRDefault="00356667" w:rsidP="00356667">
      <w:r w:rsidRPr="009A5228">
        <w:lastRenderedPageBreak/>
        <w:t xml:space="preserve">These two papers could not be more different in paradigm, method, epistemology, reflexivity, sampling, or analytic </w:t>
      </w:r>
      <w:r>
        <w:t xml:space="preserve">logic. </w:t>
      </w:r>
      <w:r w:rsidRPr="00D368FE">
        <w:t xml:space="preserve"> Brink’s </w:t>
      </w:r>
      <w:r>
        <w:t>positivist, quantitative</w:t>
      </w:r>
      <w:r w:rsidR="002A491D">
        <w:t>,</w:t>
      </w:r>
      <w:r>
        <w:t xml:space="preserve"> </w:t>
      </w:r>
      <w:r w:rsidR="00FD0F9D">
        <w:t xml:space="preserve">non-reflexive </w:t>
      </w:r>
      <w:r>
        <w:t>design</w:t>
      </w:r>
      <w:r w:rsidRPr="00D368FE">
        <w:t xml:space="preserve"> produces</w:t>
      </w:r>
      <w:r w:rsidR="00FD0F9D">
        <w:t xml:space="preserve"> what Geertz </w:t>
      </w:r>
      <w:r w:rsidR="00FD1AAD">
        <w:t xml:space="preserve">refers to as </w:t>
      </w:r>
      <w:r w:rsidR="00FD0F9D">
        <w:t>a</w:t>
      </w:r>
      <w:r>
        <w:t xml:space="preserve"> </w:t>
      </w:r>
      <w:r w:rsidR="00FD0F9D">
        <w:t>“</w:t>
      </w:r>
      <w:r w:rsidRPr="00D368FE">
        <w:t>thin</w:t>
      </w:r>
      <w:r w:rsidR="00140936">
        <w:t>-</w:t>
      </w:r>
      <w:r w:rsidR="00FD0F9D">
        <w:t>description</w:t>
      </w:r>
      <w:r w:rsidR="00166D64">
        <w:t>”</w:t>
      </w:r>
      <w:r w:rsidR="00140936">
        <w:t xml:space="preserve"> </w:t>
      </w:r>
      <w:r w:rsidR="00FD0F9D">
        <w:t>surface-level patterns expressed as tabulated</w:t>
      </w:r>
      <w:r w:rsidRPr="00D368FE">
        <w:t xml:space="preserve"> </w:t>
      </w:r>
      <w:r>
        <w:t>percentages</w:t>
      </w:r>
      <w:r w:rsidR="00FD0F9D">
        <w:t>.</w:t>
      </w:r>
      <w:r>
        <w:t xml:space="preserve"> </w:t>
      </w:r>
      <w:r w:rsidR="00FD0F9D">
        <w:t>In contrast</w:t>
      </w:r>
      <w:r w:rsidR="00AD1129">
        <w:t>,</w:t>
      </w:r>
      <w:r w:rsidRPr="00D368FE">
        <w:t xml:space="preserve"> Walter and Waterhouse’s</w:t>
      </w:r>
      <w:r>
        <w:t xml:space="preserve"> interpretivist</w:t>
      </w:r>
      <w:r w:rsidRPr="00D368FE">
        <w:t xml:space="preserve"> </w:t>
      </w:r>
      <w:r w:rsidR="00FD0F9D">
        <w:t xml:space="preserve">and reflexive </w:t>
      </w:r>
      <w:r w:rsidRPr="00D368FE">
        <w:t xml:space="preserve">approach </w:t>
      </w:r>
      <w:r w:rsidR="00FD0F9D">
        <w:t>yields a “</w:t>
      </w:r>
      <w:r w:rsidRPr="00D368FE">
        <w:t>thick</w:t>
      </w:r>
      <w:r w:rsidR="00140936">
        <w:t>-description” allowing participants to articulate their own meanings in narrative form.</w:t>
      </w:r>
      <w:r>
        <w:t xml:space="preserve">  Yet, when these publications are read in tandem as opposed to isolation, </w:t>
      </w:r>
      <w:r w:rsidR="00AD1129">
        <w:t>they</w:t>
      </w:r>
      <w:r>
        <w:t xml:space="preserve"> demonstrate that </w:t>
      </w:r>
      <w:r w:rsidR="009F2900">
        <w:t xml:space="preserve">a </w:t>
      </w:r>
      <w:r>
        <w:t xml:space="preserve">methodologic divergence does not prevent </w:t>
      </w:r>
      <w:r w:rsidR="009F2900">
        <w:t xml:space="preserve">an </w:t>
      </w:r>
      <w:r>
        <w:t xml:space="preserve">empirical convergence. </w:t>
      </w:r>
    </w:p>
    <w:p w14:paraId="6EDF3856" w14:textId="11359C0F" w:rsidR="00356667" w:rsidRDefault="00356667" w:rsidP="00356667">
      <w:r>
        <w:t xml:space="preserve">Reflexivity is central to this </w:t>
      </w:r>
      <w:r w:rsidR="00140936">
        <w:t>contrast</w:t>
      </w:r>
      <w:r>
        <w:t>.  Brinks non-reflexive design assumes that belief can be measured objectively through fixed categories and his analysis reflects the limits of his assumption, producing more questions than answers.  Walter and Waterhouse by contrast adopt a reflexive stance that acknowledge</w:t>
      </w:r>
      <w:r w:rsidR="002A491D">
        <w:t>s</w:t>
      </w:r>
      <w:r w:rsidR="00140936">
        <w:t xml:space="preserve"> </w:t>
      </w:r>
      <w:r>
        <w:t xml:space="preserve">their own disciplinary lenses and also allows participants to articulate their beliefs with their own voice.  The contrast underscores that reflexivity is not </w:t>
      </w:r>
      <w:r w:rsidR="00140936">
        <w:t>a stylistic preference</w:t>
      </w:r>
      <w:r>
        <w:t xml:space="preserve"> but a determent factor in what can be known</w:t>
      </w:r>
      <w:r w:rsidR="00140936">
        <w:t xml:space="preserve">. </w:t>
      </w:r>
    </w:p>
    <w:p w14:paraId="0481378D" w14:textId="559C65C2" w:rsidR="00356667" w:rsidRDefault="007B1076" w:rsidP="00356667">
      <w:r>
        <w:t>Viewed</w:t>
      </w:r>
      <w:r w:rsidR="00356667">
        <w:t xml:space="preserve"> through a contemporary </w:t>
      </w:r>
      <w:r>
        <w:t xml:space="preserve">ethical </w:t>
      </w:r>
      <w:r w:rsidR="00356667">
        <w:t xml:space="preserve">lens, both studies fall short </w:t>
      </w:r>
      <w:r w:rsidR="00D94888">
        <w:t>of</w:t>
      </w:r>
      <w:r w:rsidR="00356667">
        <w:t xml:space="preserve"> today’s ethical standards, particularly regarding</w:t>
      </w:r>
      <w:r>
        <w:t xml:space="preserve"> participant autonomy and the involvement of minors</w:t>
      </w:r>
      <w:r w:rsidR="00356667">
        <w:t>.   Neither paper mentions parental consent, privacy and data protections</w:t>
      </w:r>
      <w:r>
        <w:t xml:space="preserve">, </w:t>
      </w:r>
      <w:r w:rsidR="00370A4D">
        <w:t xml:space="preserve">and in </w:t>
      </w:r>
      <w:r w:rsidR="00356667">
        <w:t>Brink</w:t>
      </w:r>
      <w:r w:rsidR="00370A4D">
        <w:t>’</w:t>
      </w:r>
      <w:r w:rsidR="00356667">
        <w:t xml:space="preserve">s case, the </w:t>
      </w:r>
      <w:r w:rsidR="00370A4D">
        <w:t>adolescents were</w:t>
      </w:r>
      <w:r w:rsidR="00356667">
        <w:t xml:space="preserve"> not volunteers and likely </w:t>
      </w:r>
      <w:r w:rsidR="00370A4D">
        <w:t>had no</w:t>
      </w:r>
      <w:r w:rsidR="00356667">
        <w:t xml:space="preserve"> opportunity </w:t>
      </w:r>
      <w:r w:rsidR="00370A4D">
        <w:t>to opt out</w:t>
      </w:r>
      <w:r w:rsidR="00356667">
        <w:t>.  Recognizing the historical context</w:t>
      </w:r>
      <w:r w:rsidR="00D94888">
        <w:t xml:space="preserve"> </w:t>
      </w:r>
      <w:r w:rsidR="00AC6A43">
        <w:t xml:space="preserve">avoids retroactive judgement, </w:t>
      </w:r>
      <w:r w:rsidR="00370A4D">
        <w:t xml:space="preserve">but it also highlights how ethical landscape has evolved. </w:t>
      </w:r>
    </w:p>
    <w:p w14:paraId="6C3CDCE2" w14:textId="63438510" w:rsidR="00356667" w:rsidRDefault="00356667" w:rsidP="00356667">
      <w:r>
        <w:t xml:space="preserve">Taken together, </w:t>
      </w:r>
      <w:r w:rsidR="00370A4D">
        <w:t>these</w:t>
      </w:r>
      <w:r>
        <w:t xml:space="preserve"> studies </w:t>
      </w:r>
      <w:r w:rsidR="00AC6A43">
        <w:t xml:space="preserve">show that the way belief is studied shapes what </w:t>
      </w:r>
      <w:r w:rsidR="00370A4D">
        <w:t xml:space="preserve">belief </w:t>
      </w:r>
      <w:r w:rsidR="00AC6A43">
        <w:t xml:space="preserve">appears to </w:t>
      </w:r>
      <w:r w:rsidR="00D94888">
        <w:t>be</w:t>
      </w:r>
      <w:r w:rsidR="00166D64">
        <w:t xml:space="preserve">: </w:t>
      </w:r>
      <w:r w:rsidR="00D94888">
        <w:t xml:space="preserve"> </w:t>
      </w:r>
      <w:r w:rsidR="00166D64">
        <w:t>whether</w:t>
      </w:r>
      <w:r w:rsidR="00D94888">
        <w:t xml:space="preserve"> inconsistencies </w:t>
      </w:r>
      <w:r w:rsidR="00166D64">
        <w:t xml:space="preserve">are interpreted as </w:t>
      </w:r>
      <w:r w:rsidR="00AC6A43">
        <w:t>manif</w:t>
      </w:r>
      <w:r w:rsidR="00166D64">
        <w:t xml:space="preserve">estations of </w:t>
      </w:r>
      <w:r w:rsidR="00D94888">
        <w:t xml:space="preserve">adolescent </w:t>
      </w:r>
      <w:r w:rsidR="00AC6A43">
        <w:t>confusion</w:t>
      </w:r>
      <w:r w:rsidR="00166D64">
        <w:t xml:space="preserve">, as </w:t>
      </w:r>
      <w:r w:rsidR="0033725F">
        <w:t>in</w:t>
      </w:r>
      <w:r w:rsidR="00166D64">
        <w:t xml:space="preserve"> Brink, or as </w:t>
      </w:r>
      <w:r w:rsidR="00AC6A43">
        <w:t xml:space="preserve">private </w:t>
      </w:r>
      <w:r w:rsidR="00166D64">
        <w:t xml:space="preserve">meaningful </w:t>
      </w:r>
      <w:r w:rsidR="00AC6A43">
        <w:t>belief system</w:t>
      </w:r>
      <w:r w:rsidR="00166D64">
        <w:t>s</w:t>
      </w:r>
      <w:r w:rsidR="00AC6A43">
        <w:t xml:space="preserve"> that exist </w:t>
      </w:r>
      <w:r w:rsidR="00166D64">
        <w:t>outside</w:t>
      </w:r>
      <w:r w:rsidR="00AC6A43">
        <w:t xml:space="preserve"> </w:t>
      </w:r>
      <w:r w:rsidR="00166D64">
        <w:t xml:space="preserve">formal religious structures as </w:t>
      </w:r>
      <w:r w:rsidR="0033725F">
        <w:t>in</w:t>
      </w:r>
      <w:r w:rsidR="00166D64">
        <w:t xml:space="preserve"> Walter and Waterhouse. </w:t>
      </w:r>
      <w:r w:rsidR="00AC6A43">
        <w:t xml:space="preserve"> </w:t>
      </w:r>
      <w:r w:rsidR="00370A4D">
        <w:t xml:space="preserve">Despite </w:t>
      </w:r>
      <w:r w:rsidR="00D94888">
        <w:t xml:space="preserve">these differing </w:t>
      </w:r>
      <w:r w:rsidR="00166D64">
        <w:t>perspectives</w:t>
      </w:r>
      <w:r w:rsidR="00370A4D">
        <w:t xml:space="preserve">, both </w:t>
      </w:r>
      <w:r w:rsidR="00A946D4">
        <w:t xml:space="preserve">studies </w:t>
      </w:r>
      <w:r w:rsidR="0033725F">
        <w:t>suggest</w:t>
      </w:r>
      <w:r w:rsidR="00AC6A43">
        <w:t xml:space="preserve"> </w:t>
      </w:r>
      <w:r>
        <w:t>that plural</w:t>
      </w:r>
      <w:r w:rsidR="00370A4D">
        <w:t>,</w:t>
      </w:r>
      <w:r>
        <w:t xml:space="preserve"> </w:t>
      </w:r>
      <w:r w:rsidR="00370A4D">
        <w:t xml:space="preserve">layered, </w:t>
      </w:r>
      <w:r>
        <w:t xml:space="preserve">belief is not an anomaly but </w:t>
      </w:r>
      <w:r w:rsidR="00AC6A43">
        <w:t>is</w:t>
      </w:r>
      <w:r>
        <w:t xml:space="preserve"> a stable feature of contemporary religiosity.  </w:t>
      </w:r>
    </w:p>
    <w:bookmarkEnd w:id="4"/>
    <w:p w14:paraId="58405AE4" w14:textId="77777777" w:rsidR="00356667" w:rsidRDefault="00356667"/>
    <w:p w14:paraId="741F2288" w14:textId="5B7C0B68" w:rsidR="008E19FC" w:rsidRPr="007428A6" w:rsidRDefault="00455CAB">
      <w:pPr>
        <w:rPr>
          <w:b/>
          <w:bCs/>
        </w:rPr>
      </w:pPr>
      <w:r w:rsidRPr="007428A6">
        <w:rPr>
          <w:b/>
          <w:bCs/>
        </w:rPr>
        <w:t xml:space="preserve">Bibliography: </w:t>
      </w:r>
    </w:p>
    <w:p w14:paraId="4ECB3480" w14:textId="77777777" w:rsidR="006B1224" w:rsidRDefault="006B1224" w:rsidP="006B1224">
      <w:pPr>
        <w:pStyle w:val="NormalWeb"/>
      </w:pPr>
      <w:r>
        <w:t>Academia.edu, ‘Tony Walter – Curriculum Vitae’, n.d. https://independent.academia.edu/WalterTony/CurriculumVitae [accessed 2 March 2026].</w:t>
      </w:r>
    </w:p>
    <w:p w14:paraId="64A9F6FA" w14:textId="77777777" w:rsidR="006B1224" w:rsidRDefault="006B1224" w:rsidP="006B1224">
      <w:pPr>
        <w:pStyle w:val="NormalWeb"/>
      </w:pPr>
      <w:r>
        <w:t xml:space="preserve">Berger, Peter L., </w:t>
      </w:r>
      <w:r>
        <w:rPr>
          <w:rStyle w:val="Emphasis"/>
          <w:rFonts w:eastAsiaTheme="majorEastAsia"/>
        </w:rPr>
        <w:t>The Social Reality of Religion</w:t>
      </w:r>
      <w:r>
        <w:t xml:space="preserve"> (London: Faber &amp; Faber, 1969).</w:t>
      </w:r>
    </w:p>
    <w:p w14:paraId="6774C4E9" w14:textId="77777777" w:rsidR="006B1224" w:rsidRDefault="006B1224" w:rsidP="006B1224">
      <w:pPr>
        <w:pStyle w:val="NormalWeb"/>
      </w:pPr>
      <w:r>
        <w:t xml:space="preserve">British Sociological Association, ‘Statement of Ethical Practice’, </w:t>
      </w:r>
      <w:r>
        <w:rPr>
          <w:rStyle w:val="Emphasis"/>
          <w:rFonts w:eastAsiaTheme="majorEastAsia"/>
        </w:rPr>
        <w:t>Sociology</w:t>
      </w:r>
      <w:r>
        <w:t>, 26.4 (1992), 703–707 https://doi.org/10.1177/0038038592026004011.</w:t>
      </w:r>
    </w:p>
    <w:p w14:paraId="05B314A9" w14:textId="77777777" w:rsidR="006B1224" w:rsidRDefault="006B1224" w:rsidP="006B1224">
      <w:pPr>
        <w:pStyle w:val="NormalWeb"/>
      </w:pPr>
      <w:r>
        <w:t xml:space="preserve">Brink, T. L., ‘Inconsistency of Belief among Roman Catholic Girls: Concerning Religion, Astrology and Reincarnation’, </w:t>
      </w:r>
      <w:r>
        <w:rPr>
          <w:rStyle w:val="Emphasis"/>
          <w:rFonts w:eastAsiaTheme="majorEastAsia"/>
        </w:rPr>
        <w:t>Review of Religious Research</w:t>
      </w:r>
      <w:r>
        <w:t>, 20.1 (1978), 82–85.</w:t>
      </w:r>
    </w:p>
    <w:p w14:paraId="422C4E18" w14:textId="77777777" w:rsidR="006B1224" w:rsidRDefault="006B1224" w:rsidP="006B1224">
      <w:pPr>
        <w:pStyle w:val="NormalWeb"/>
      </w:pPr>
      <w:r>
        <w:lastRenderedPageBreak/>
        <w:t xml:space="preserve">Davie, Grace, ‘Believing without Belonging: Is This the Future of Religion in Britain?’, </w:t>
      </w:r>
      <w:r>
        <w:rPr>
          <w:rStyle w:val="Emphasis"/>
          <w:rFonts w:eastAsiaTheme="majorEastAsia"/>
        </w:rPr>
        <w:t>Social Compass</w:t>
      </w:r>
      <w:r>
        <w:t>, 37 (1990), 455–469.</w:t>
      </w:r>
    </w:p>
    <w:p w14:paraId="38BCB920" w14:textId="77777777" w:rsidR="006B1224" w:rsidRDefault="006B1224" w:rsidP="006B1224">
      <w:pPr>
        <w:pStyle w:val="NormalWeb"/>
      </w:pPr>
      <w:r>
        <w:t>European Values Study, ‘Survey 1990’, n.d. https://europeanvaluesstudy.eu/methodology-data-documentation/previous-surveys-1981-2008/survey-1990/ [accessed 2 March 2026].</w:t>
      </w:r>
    </w:p>
    <w:p w14:paraId="3B16C243" w14:textId="77777777" w:rsidR="006B1224" w:rsidRDefault="006B1224" w:rsidP="006B1224">
      <w:pPr>
        <w:pStyle w:val="NormalWeb"/>
      </w:pPr>
      <w:r>
        <w:t xml:space="preserve">Festinger, Leon, </w:t>
      </w:r>
      <w:r>
        <w:rPr>
          <w:rStyle w:val="Emphasis"/>
          <w:rFonts w:eastAsiaTheme="majorEastAsia"/>
        </w:rPr>
        <w:t>A Theory of Cognitive Dissonance</w:t>
      </w:r>
      <w:r>
        <w:t xml:space="preserve"> (Stanford, CA: Stanford University Press, 1957).</w:t>
      </w:r>
    </w:p>
    <w:p w14:paraId="732762AC" w14:textId="77777777" w:rsidR="006B1224" w:rsidRDefault="006B1224" w:rsidP="006B1224">
      <w:pPr>
        <w:pStyle w:val="NormalWeb"/>
      </w:pPr>
      <w:r>
        <w:t xml:space="preserve">Geertz, Clifford, ‘Thick Description: Toward an Interpretive Theory of Culture’, in </w:t>
      </w:r>
      <w:r>
        <w:rPr>
          <w:rStyle w:val="Emphasis"/>
          <w:rFonts w:eastAsiaTheme="majorEastAsia"/>
        </w:rPr>
        <w:t>The Interpretation of Cultures</w:t>
      </w:r>
      <w:r>
        <w:t xml:space="preserve"> (New York: Basic Books, 1973), pp. 3–30.</w:t>
      </w:r>
    </w:p>
    <w:p w14:paraId="4901549F" w14:textId="77777777" w:rsidR="006B1224" w:rsidRDefault="006B1224" w:rsidP="006B1224">
      <w:pPr>
        <w:pStyle w:val="NormalWeb"/>
      </w:pPr>
      <w:r>
        <w:t xml:space="preserve">U.S. Department of Health and Human Services, ‘The Belmont Report’, </w:t>
      </w:r>
      <w:r>
        <w:rPr>
          <w:rStyle w:val="Emphasis"/>
          <w:rFonts w:eastAsiaTheme="majorEastAsia"/>
        </w:rPr>
        <w:t>Office for Human Research Protections</w:t>
      </w:r>
      <w:r>
        <w:t>, n.d. https://www.hhs.gov/ohrp/regulations-and-policy/belmont-report/read-the-belmont-report/index.html [accessed 2 March 2026].</w:t>
      </w:r>
    </w:p>
    <w:p w14:paraId="53184694" w14:textId="77777777" w:rsidR="006B1224" w:rsidRDefault="006B1224" w:rsidP="006B1224">
      <w:pPr>
        <w:pStyle w:val="NormalWeb"/>
      </w:pPr>
      <w:r>
        <w:t xml:space="preserve">Walter, Tony, and Helen Waterhouse, ‘A Very Private Belief: Reincarnation in Contemporary England’, </w:t>
      </w:r>
      <w:r>
        <w:rPr>
          <w:rStyle w:val="Emphasis"/>
          <w:rFonts w:eastAsiaTheme="majorEastAsia"/>
        </w:rPr>
        <w:t>Sociology of Religion</w:t>
      </w:r>
      <w:r>
        <w:t>, 60.2 (1999), 187–197.</w:t>
      </w:r>
    </w:p>
    <w:p w14:paraId="4A8D9A66" w14:textId="77777777" w:rsidR="00455CAB" w:rsidRDefault="00455CAB"/>
    <w:p w14:paraId="3D3C0C8C" w14:textId="68CA9FF1" w:rsidR="00BF179F" w:rsidRDefault="00F25DCF">
      <w:r>
        <w:t xml:space="preserve"> </w:t>
      </w:r>
    </w:p>
    <w:sectPr w:rsidR="00BF179F" w:rsidSect="002D4766">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C89297" w14:textId="77777777" w:rsidR="00D64820" w:rsidRDefault="00D64820" w:rsidP="00395AC1">
      <w:pPr>
        <w:spacing w:after="0" w:line="240" w:lineRule="auto"/>
      </w:pPr>
      <w:r>
        <w:separator/>
      </w:r>
    </w:p>
  </w:endnote>
  <w:endnote w:type="continuationSeparator" w:id="0">
    <w:p w14:paraId="1F6C02B4" w14:textId="77777777" w:rsidR="00D64820" w:rsidRDefault="00D64820" w:rsidP="00395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0080876"/>
      <w:docPartObj>
        <w:docPartGallery w:val="Page Numbers (Bottom of Page)"/>
        <w:docPartUnique/>
      </w:docPartObj>
    </w:sdtPr>
    <w:sdtEndPr>
      <w:rPr>
        <w:noProof/>
      </w:rPr>
    </w:sdtEndPr>
    <w:sdtContent>
      <w:p w14:paraId="0CC96BE1" w14:textId="45AB3BD6" w:rsidR="00913AF9" w:rsidRDefault="00913A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5BFE7F" w14:textId="77777777" w:rsidR="00913AF9" w:rsidRDefault="00913A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3E9AA3" w14:textId="77777777" w:rsidR="00D64820" w:rsidRDefault="00D64820" w:rsidP="00395AC1">
      <w:pPr>
        <w:spacing w:after="0" w:line="240" w:lineRule="auto"/>
      </w:pPr>
      <w:r>
        <w:separator/>
      </w:r>
    </w:p>
  </w:footnote>
  <w:footnote w:type="continuationSeparator" w:id="0">
    <w:p w14:paraId="34A383C5" w14:textId="77777777" w:rsidR="00D64820" w:rsidRDefault="00D64820" w:rsidP="00395AC1">
      <w:pPr>
        <w:spacing w:after="0" w:line="240" w:lineRule="auto"/>
      </w:pPr>
      <w:r>
        <w:continuationSeparator/>
      </w:r>
    </w:p>
  </w:footnote>
  <w:footnote w:id="1">
    <w:p w14:paraId="7531EE2E" w14:textId="3900446A" w:rsidR="00543AC9" w:rsidRDefault="00543AC9">
      <w:pPr>
        <w:pStyle w:val="FootnoteText"/>
      </w:pPr>
      <w:r>
        <w:rPr>
          <w:rStyle w:val="FootnoteReference"/>
        </w:rPr>
        <w:footnoteRef/>
      </w:r>
      <w:r>
        <w:t xml:space="preserve"> </w:t>
      </w:r>
      <w:r w:rsidRPr="00543AC9">
        <w:t xml:space="preserve">T. L. Brink, ‘Inconsistency of Belief among Roman Catholic Girls: Concerning Religion, Astrology and Reincarnation’, </w:t>
      </w:r>
      <w:r w:rsidRPr="00455CAB">
        <w:rPr>
          <w:i/>
          <w:iCs/>
        </w:rPr>
        <w:t>Review of Religious Research</w:t>
      </w:r>
      <w:r w:rsidRPr="00543AC9">
        <w:t xml:space="preserve">, 20.1 (1978), 82–85; Tony Walter and Helen Waterhouse, ‘A Very Private Belief: Reincarnation in Contemporary England’, </w:t>
      </w:r>
      <w:r w:rsidRPr="00455CAB">
        <w:rPr>
          <w:i/>
          <w:iCs/>
        </w:rPr>
        <w:t>Sociology of Religion</w:t>
      </w:r>
      <w:r w:rsidRPr="00543AC9">
        <w:t>, 60.2 (1999), 187–197.</w:t>
      </w:r>
    </w:p>
  </w:footnote>
  <w:footnote w:id="2">
    <w:p w14:paraId="4E04CD81" w14:textId="53455DCE" w:rsidR="008A7F2C" w:rsidRDefault="008A7F2C">
      <w:pPr>
        <w:pStyle w:val="FootnoteText"/>
      </w:pPr>
      <w:r>
        <w:rPr>
          <w:rStyle w:val="FootnoteReference"/>
        </w:rPr>
        <w:footnoteRef/>
      </w:r>
      <w:r>
        <w:t xml:space="preserve"> </w:t>
      </w:r>
      <w:r w:rsidRPr="008A7F2C">
        <w:t xml:space="preserve">Brink, ‘Inconsistency of Belief’, p. </w:t>
      </w:r>
      <w:r>
        <w:t>82</w:t>
      </w:r>
      <w:r w:rsidRPr="008A7F2C">
        <w:t>.</w:t>
      </w:r>
    </w:p>
  </w:footnote>
  <w:footnote w:id="3">
    <w:p w14:paraId="49D7087D" w14:textId="2C9A5E0B" w:rsidR="008A7F2C" w:rsidRDefault="008A7F2C">
      <w:pPr>
        <w:pStyle w:val="FootnoteText"/>
      </w:pPr>
      <w:r>
        <w:rPr>
          <w:rStyle w:val="FootnoteReference"/>
        </w:rPr>
        <w:footnoteRef/>
      </w:r>
      <w:r>
        <w:t xml:space="preserve"> </w:t>
      </w:r>
      <w:bookmarkStart w:id="5" w:name="_Hlk223360285"/>
      <w:r w:rsidRPr="008A7F2C">
        <w:t>Brink, ‘Inconsistency of Belief’, p</w:t>
      </w:r>
      <w:r>
        <w:t>p.84-85</w:t>
      </w:r>
      <w:bookmarkEnd w:id="5"/>
      <w:r>
        <w:t>.</w:t>
      </w:r>
    </w:p>
  </w:footnote>
  <w:footnote w:id="4">
    <w:p w14:paraId="760B9127" w14:textId="6E2F73D7" w:rsidR="00704598" w:rsidRDefault="00704598">
      <w:pPr>
        <w:pStyle w:val="FootnoteText"/>
      </w:pPr>
      <w:r>
        <w:rPr>
          <w:rStyle w:val="FootnoteReference"/>
        </w:rPr>
        <w:footnoteRef/>
      </w:r>
      <w:r>
        <w:t xml:space="preserve"> </w:t>
      </w:r>
      <w:r w:rsidRPr="00704598">
        <w:t xml:space="preserve">Walter and Waterhouse, ‘A Very Private Belief’, p. </w:t>
      </w:r>
      <w:r>
        <w:t>192</w:t>
      </w:r>
      <w:r w:rsidRPr="00704598">
        <w:t>.</w:t>
      </w:r>
    </w:p>
  </w:footnote>
  <w:footnote w:id="5">
    <w:p w14:paraId="71D54AD9" w14:textId="76F05AD5" w:rsidR="00AC1119" w:rsidRDefault="00AC1119">
      <w:pPr>
        <w:pStyle w:val="FootnoteText"/>
      </w:pPr>
      <w:r>
        <w:rPr>
          <w:rStyle w:val="FootnoteReference"/>
        </w:rPr>
        <w:footnoteRef/>
      </w:r>
      <w:r>
        <w:t xml:space="preserve"> </w:t>
      </w:r>
      <w:r w:rsidRPr="00AC1119">
        <w:t xml:space="preserve">Walter and Waterhouse, ‘A Very Private Belief’, p. </w:t>
      </w:r>
      <w:r>
        <w:t>196</w:t>
      </w:r>
      <w:r w:rsidRPr="00AC1119">
        <w:t>.</w:t>
      </w:r>
    </w:p>
  </w:footnote>
  <w:footnote w:id="6">
    <w:p w14:paraId="4253FC60" w14:textId="77777777" w:rsidR="00171E3D" w:rsidRPr="00171E3D" w:rsidRDefault="00171E3D" w:rsidP="00171E3D">
      <w:pPr>
        <w:rPr>
          <w:sz w:val="20"/>
          <w:szCs w:val="20"/>
        </w:rPr>
      </w:pPr>
      <w:r>
        <w:rPr>
          <w:rStyle w:val="FootnoteReference"/>
        </w:rPr>
        <w:footnoteRef/>
      </w:r>
      <w:r>
        <w:t xml:space="preserve"> </w:t>
      </w:r>
      <w:r w:rsidRPr="00171E3D">
        <w:rPr>
          <w:sz w:val="20"/>
          <w:szCs w:val="20"/>
        </w:rPr>
        <w:t>Tony Walter, ‘Curriculum Vitae’, n.d. &lt;https://independent.academia.edu/WalterTony/CurriculumVitae&gt; [accessed 2 March 2026].</w:t>
      </w:r>
    </w:p>
    <w:p w14:paraId="41FD5BCE" w14:textId="2B05D275" w:rsidR="00171E3D" w:rsidRDefault="00171E3D">
      <w:pPr>
        <w:pStyle w:val="FootnoteText"/>
      </w:pPr>
    </w:p>
  </w:footnote>
  <w:footnote w:id="7">
    <w:p w14:paraId="328E7FEA" w14:textId="6AFE3095" w:rsidR="00B90986" w:rsidRDefault="00B90986">
      <w:pPr>
        <w:pStyle w:val="FootnoteText"/>
      </w:pPr>
      <w:r>
        <w:rPr>
          <w:rStyle w:val="FootnoteReference"/>
        </w:rPr>
        <w:footnoteRef/>
      </w:r>
      <w:r>
        <w:t xml:space="preserve"> </w:t>
      </w:r>
      <w:r w:rsidRPr="00B90986">
        <w:t xml:space="preserve">U.S. Department of Health and Human Services, ‘The Belmont Report’, </w:t>
      </w:r>
      <w:r w:rsidRPr="00B90986">
        <w:rPr>
          <w:i/>
          <w:iCs/>
        </w:rPr>
        <w:t>Office for Human Research Protections</w:t>
      </w:r>
      <w:r w:rsidRPr="00B90986">
        <w:t>, n.d. https://www.hhs.gov/ohrp/regulations-and-policy/belmont-report/read-the-belmont-report/index.html [accessed 2 March 2026].</w:t>
      </w:r>
    </w:p>
  </w:footnote>
  <w:footnote w:id="8">
    <w:p w14:paraId="636958DF" w14:textId="422CB013" w:rsidR="00717C09" w:rsidRDefault="00717C09">
      <w:pPr>
        <w:pStyle w:val="FootnoteText"/>
      </w:pPr>
      <w:r>
        <w:rPr>
          <w:rStyle w:val="FootnoteReference"/>
        </w:rPr>
        <w:footnoteRef/>
      </w:r>
      <w:r>
        <w:t xml:space="preserve"> </w:t>
      </w:r>
      <w:r w:rsidRPr="00717C09">
        <w:t xml:space="preserve">British Sociological Association, ‘Statement of Ethical Practice’, </w:t>
      </w:r>
      <w:r w:rsidRPr="00717C09">
        <w:rPr>
          <w:i/>
          <w:iCs/>
        </w:rPr>
        <w:t>Sociology</w:t>
      </w:r>
      <w:r w:rsidRPr="00717C09">
        <w:t>, 26.4 (1992), 703–707 https://doi.org/10.1177/0038038592026004011.</w:t>
      </w:r>
    </w:p>
  </w:footnote>
  <w:footnote w:id="9">
    <w:p w14:paraId="193B7082" w14:textId="7848AEE0" w:rsidR="00D066A7" w:rsidRDefault="00D066A7">
      <w:pPr>
        <w:pStyle w:val="FootnoteText"/>
      </w:pPr>
      <w:r>
        <w:rPr>
          <w:rStyle w:val="FootnoteReference"/>
        </w:rPr>
        <w:footnoteRef/>
      </w:r>
      <w:r>
        <w:t xml:space="preserve"> </w:t>
      </w:r>
      <w:bookmarkStart w:id="7" w:name="_Hlk223375760"/>
      <w:r w:rsidRPr="00D066A7">
        <w:t>Brink, ‘Inconsistency of Belief’, p.83</w:t>
      </w:r>
      <w:bookmarkEnd w:id="7"/>
      <w:r w:rsidRPr="00D066A7">
        <w:t>.</w:t>
      </w:r>
    </w:p>
  </w:footnote>
  <w:footnote w:id="10">
    <w:p w14:paraId="324BF70C" w14:textId="44AABBF1" w:rsidR="00155CF0" w:rsidRDefault="00155CF0">
      <w:pPr>
        <w:pStyle w:val="FootnoteText"/>
      </w:pPr>
      <w:r>
        <w:rPr>
          <w:rStyle w:val="FootnoteReference"/>
        </w:rPr>
        <w:footnoteRef/>
      </w:r>
      <w:r>
        <w:t xml:space="preserve"> </w:t>
      </w:r>
      <w:r w:rsidRPr="00155CF0">
        <w:t>European Values Study, ‘Survey 1990’, n.d. https://europeanvaluesstudy.eu/methodology-data-documentation/previous-surveys-1981-2008/survey-1990/ [accessed 2 March 2026].</w:t>
      </w:r>
    </w:p>
  </w:footnote>
  <w:footnote w:id="11">
    <w:p w14:paraId="648366AA" w14:textId="41021607" w:rsidR="00452C56" w:rsidRDefault="00452C56">
      <w:pPr>
        <w:pStyle w:val="FootnoteText"/>
      </w:pPr>
      <w:r>
        <w:rPr>
          <w:rStyle w:val="FootnoteReference"/>
        </w:rPr>
        <w:footnoteRef/>
      </w:r>
      <w:r>
        <w:t xml:space="preserve"> </w:t>
      </w:r>
      <w:r w:rsidRPr="00452C56">
        <w:t>Peter L. Berger, The Social Reality of Religion (London: Faber &amp; Faber, 1969).</w:t>
      </w:r>
    </w:p>
  </w:footnote>
  <w:footnote w:id="12">
    <w:p w14:paraId="28DB18E1" w14:textId="574903F8" w:rsidR="00E52CB1" w:rsidRDefault="00E52CB1">
      <w:pPr>
        <w:pStyle w:val="FootnoteText"/>
      </w:pPr>
      <w:r>
        <w:rPr>
          <w:rStyle w:val="FootnoteReference"/>
        </w:rPr>
        <w:footnoteRef/>
      </w:r>
      <w:r>
        <w:t xml:space="preserve"> </w:t>
      </w:r>
      <w:r w:rsidRPr="00E52CB1">
        <w:t xml:space="preserve">Grace Davie, ‘Believing without Belonging: Is This the Future of Religion in Britain?’, </w:t>
      </w:r>
      <w:r w:rsidRPr="00E52CB1">
        <w:rPr>
          <w:i/>
          <w:iCs/>
        </w:rPr>
        <w:t>Social Compass</w:t>
      </w:r>
      <w:r w:rsidRPr="00E52CB1">
        <w:t>, 37 (1990), 455–469.</w:t>
      </w:r>
    </w:p>
  </w:footnote>
  <w:footnote w:id="13">
    <w:p w14:paraId="1E21DA8E" w14:textId="20B1C63C" w:rsidR="00741F99" w:rsidRDefault="00741F99">
      <w:pPr>
        <w:pStyle w:val="FootnoteText"/>
      </w:pPr>
      <w:r>
        <w:rPr>
          <w:rStyle w:val="FootnoteReference"/>
        </w:rPr>
        <w:footnoteRef/>
      </w:r>
      <w:r>
        <w:t xml:space="preserve"> </w:t>
      </w:r>
      <w:r w:rsidRPr="00741F99">
        <w:t xml:space="preserve">Leon Festinger, </w:t>
      </w:r>
      <w:r w:rsidRPr="00741F99">
        <w:rPr>
          <w:i/>
          <w:iCs/>
        </w:rPr>
        <w:t>A Theory of Cognitive Dissonance</w:t>
      </w:r>
      <w:r w:rsidRPr="00741F99">
        <w:t xml:space="preserve"> (Stanford, CA: Stanford University Press, 1957).</w:t>
      </w:r>
    </w:p>
  </w:footnote>
  <w:footnote w:id="14">
    <w:p w14:paraId="17A29B60" w14:textId="73492A53" w:rsidR="00741F99" w:rsidRDefault="00741F99">
      <w:pPr>
        <w:pStyle w:val="FootnoteText"/>
      </w:pPr>
      <w:r>
        <w:rPr>
          <w:rStyle w:val="FootnoteReference"/>
        </w:rPr>
        <w:footnoteRef/>
      </w:r>
      <w:r>
        <w:t xml:space="preserve"> </w:t>
      </w:r>
      <w:r w:rsidRPr="00741F99">
        <w:t xml:space="preserve">Festinger, </w:t>
      </w:r>
      <w:r w:rsidRPr="00741F99">
        <w:rPr>
          <w:i/>
          <w:iCs/>
        </w:rPr>
        <w:t>A Theory of Cognitive Dissonance</w:t>
      </w:r>
      <w:r w:rsidRPr="00741F99">
        <w:t>, p. 2.</w:t>
      </w:r>
    </w:p>
  </w:footnote>
  <w:footnote w:id="15">
    <w:p w14:paraId="325DB780" w14:textId="6968C42B" w:rsidR="00741F99" w:rsidRDefault="00741F99">
      <w:pPr>
        <w:pStyle w:val="FootnoteText"/>
      </w:pPr>
      <w:r>
        <w:rPr>
          <w:rStyle w:val="FootnoteReference"/>
        </w:rPr>
        <w:footnoteRef/>
      </w:r>
      <w:r>
        <w:t xml:space="preserve"> </w:t>
      </w:r>
      <w:r w:rsidRPr="00741F99">
        <w:t xml:space="preserve">Festinger, </w:t>
      </w:r>
      <w:r w:rsidRPr="00741F99">
        <w:rPr>
          <w:i/>
          <w:iCs/>
        </w:rPr>
        <w:t>A Theory of Cognitive Dissonance</w:t>
      </w:r>
      <w:r w:rsidRPr="00741F99">
        <w:t>, p. 3.</w:t>
      </w:r>
    </w:p>
  </w:footnote>
  <w:footnote w:id="16">
    <w:p w14:paraId="5845D84A" w14:textId="5E903838" w:rsidR="00811977" w:rsidRDefault="00811977">
      <w:pPr>
        <w:pStyle w:val="FootnoteText"/>
      </w:pPr>
      <w:r>
        <w:rPr>
          <w:rStyle w:val="FootnoteReference"/>
        </w:rPr>
        <w:footnoteRef/>
      </w:r>
      <w:r>
        <w:t xml:space="preserve"> </w:t>
      </w:r>
      <w:r w:rsidRPr="00811977">
        <w:t>Brink, ‘Inconsistency of Belief’, p.8</w:t>
      </w:r>
      <w:r>
        <w:t>5</w:t>
      </w:r>
    </w:p>
  </w:footnote>
  <w:footnote w:id="17">
    <w:p w14:paraId="64EE0D85" w14:textId="5AAB950A" w:rsidR="00811977" w:rsidRDefault="00811977">
      <w:pPr>
        <w:pStyle w:val="FootnoteText"/>
      </w:pPr>
      <w:r>
        <w:rPr>
          <w:rStyle w:val="FootnoteReference"/>
        </w:rPr>
        <w:footnoteRef/>
      </w:r>
      <w:r>
        <w:t xml:space="preserve"> </w:t>
      </w:r>
      <w:r w:rsidRPr="00811977">
        <w:t>Walter and Waterhouse, ‘A Very Private Belief’, p. 196.</w:t>
      </w:r>
    </w:p>
  </w:footnote>
  <w:footnote w:id="18">
    <w:p w14:paraId="2421E479" w14:textId="5D0B1336" w:rsidR="00811977" w:rsidRDefault="00811977">
      <w:pPr>
        <w:pStyle w:val="FootnoteText"/>
      </w:pPr>
      <w:r>
        <w:rPr>
          <w:rStyle w:val="FootnoteReference"/>
        </w:rPr>
        <w:footnoteRef/>
      </w:r>
      <w:r>
        <w:t xml:space="preserve"> </w:t>
      </w:r>
      <w:r w:rsidRPr="00811977">
        <w:t xml:space="preserve">Clifford Geertz, ‘Thick Description: Toward an Interpretive Theory of Culture’, in </w:t>
      </w:r>
      <w:r w:rsidRPr="00811977">
        <w:rPr>
          <w:i/>
          <w:iCs/>
        </w:rPr>
        <w:t>The Interpretation of Cultures</w:t>
      </w:r>
      <w:r w:rsidRPr="00811977">
        <w:t xml:space="preserve"> (New York: Basic Books, 1973), pp. 3–30.</w:t>
      </w:r>
    </w:p>
  </w:footnote>
  <w:footnote w:id="19">
    <w:p w14:paraId="593050FC" w14:textId="0F3F4FFC" w:rsidR="000B3C05" w:rsidRDefault="000B3C05">
      <w:pPr>
        <w:pStyle w:val="FootnoteText"/>
      </w:pPr>
      <w:r>
        <w:rPr>
          <w:rStyle w:val="FootnoteReference"/>
        </w:rPr>
        <w:footnoteRef/>
      </w:r>
      <w:r>
        <w:t xml:space="preserve"> </w:t>
      </w:r>
      <w:r w:rsidRPr="000B3C05">
        <w:t>Walter and Waterhouse, ‘A Very Private Belief’, p. 1</w:t>
      </w:r>
      <w:r>
        <w:t>89</w:t>
      </w:r>
    </w:p>
  </w:footnote>
  <w:footnote w:id="20">
    <w:p w14:paraId="4FE7C80F" w14:textId="6B43EFB5" w:rsidR="00FD1AAD" w:rsidRDefault="00FD1AAD">
      <w:pPr>
        <w:pStyle w:val="FootnoteText"/>
      </w:pPr>
      <w:r>
        <w:rPr>
          <w:rStyle w:val="FootnoteReference"/>
        </w:rPr>
        <w:footnoteRef/>
      </w:r>
      <w:r>
        <w:t xml:space="preserve"> </w:t>
      </w:r>
      <w:r w:rsidRPr="00FD1AAD">
        <w:t>Walter and Waterhouse, ‘A Very Private Belief’, p. 19</w:t>
      </w:r>
      <w:r>
        <w:t>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3B1B9" w14:textId="06CB5C4E" w:rsidR="000113E6" w:rsidRDefault="000113E6">
    <w:pPr>
      <w:pStyle w:val="Header"/>
    </w:pPr>
    <w:r>
      <w:t xml:space="preserve">Silvio (Sid) Marchese Ragona. Student Number: 2518636.  HPCA7016. Essay # 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C914A0"/>
    <w:multiLevelType w:val="hybridMultilevel"/>
    <w:tmpl w:val="7DC2D768"/>
    <w:lvl w:ilvl="0" w:tplc="6E901D90">
      <w:start w:val="4"/>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4149758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6F1"/>
    <w:rsid w:val="00003D99"/>
    <w:rsid w:val="000111E3"/>
    <w:rsid w:val="000113E6"/>
    <w:rsid w:val="000256FB"/>
    <w:rsid w:val="00041EEC"/>
    <w:rsid w:val="00043E35"/>
    <w:rsid w:val="000459C6"/>
    <w:rsid w:val="00057BC4"/>
    <w:rsid w:val="0006331E"/>
    <w:rsid w:val="00096174"/>
    <w:rsid w:val="000B3C05"/>
    <w:rsid w:val="000E2F49"/>
    <w:rsid w:val="00140936"/>
    <w:rsid w:val="00142F73"/>
    <w:rsid w:val="00144DBA"/>
    <w:rsid w:val="00147D0F"/>
    <w:rsid w:val="00150C4B"/>
    <w:rsid w:val="00155CF0"/>
    <w:rsid w:val="00156CF9"/>
    <w:rsid w:val="001605DE"/>
    <w:rsid w:val="00164C7F"/>
    <w:rsid w:val="00165445"/>
    <w:rsid w:val="00166D64"/>
    <w:rsid w:val="00166E55"/>
    <w:rsid w:val="00171E3D"/>
    <w:rsid w:val="00172F11"/>
    <w:rsid w:val="0018019C"/>
    <w:rsid w:val="00186409"/>
    <w:rsid w:val="001A0F1C"/>
    <w:rsid w:val="001A610F"/>
    <w:rsid w:val="001B0323"/>
    <w:rsid w:val="001B33C4"/>
    <w:rsid w:val="001B3D7C"/>
    <w:rsid w:val="001C6CA8"/>
    <w:rsid w:val="001F0727"/>
    <w:rsid w:val="00200505"/>
    <w:rsid w:val="00200C74"/>
    <w:rsid w:val="00205E0F"/>
    <w:rsid w:val="00211789"/>
    <w:rsid w:val="00211D2B"/>
    <w:rsid w:val="002249AE"/>
    <w:rsid w:val="00232DC2"/>
    <w:rsid w:val="00234711"/>
    <w:rsid w:val="002405AD"/>
    <w:rsid w:val="00246B9F"/>
    <w:rsid w:val="00253AF1"/>
    <w:rsid w:val="002566C7"/>
    <w:rsid w:val="002612A5"/>
    <w:rsid w:val="00262F04"/>
    <w:rsid w:val="00275C4F"/>
    <w:rsid w:val="00285C62"/>
    <w:rsid w:val="002970DB"/>
    <w:rsid w:val="002A491D"/>
    <w:rsid w:val="002A5954"/>
    <w:rsid w:val="002B688E"/>
    <w:rsid w:val="002C49F9"/>
    <w:rsid w:val="002C562D"/>
    <w:rsid w:val="002D4766"/>
    <w:rsid w:val="002F28AF"/>
    <w:rsid w:val="0030328C"/>
    <w:rsid w:val="00311219"/>
    <w:rsid w:val="00311DB0"/>
    <w:rsid w:val="0031740A"/>
    <w:rsid w:val="00320D3F"/>
    <w:rsid w:val="00324450"/>
    <w:rsid w:val="0033267C"/>
    <w:rsid w:val="0033725F"/>
    <w:rsid w:val="00337CAC"/>
    <w:rsid w:val="00356667"/>
    <w:rsid w:val="00367BED"/>
    <w:rsid w:val="00370180"/>
    <w:rsid w:val="00370A4D"/>
    <w:rsid w:val="0037700E"/>
    <w:rsid w:val="003860E5"/>
    <w:rsid w:val="00395AC1"/>
    <w:rsid w:val="003A17DA"/>
    <w:rsid w:val="003A443A"/>
    <w:rsid w:val="003A5D08"/>
    <w:rsid w:val="003B29B4"/>
    <w:rsid w:val="003D57BD"/>
    <w:rsid w:val="003E011A"/>
    <w:rsid w:val="0041009E"/>
    <w:rsid w:val="004150A3"/>
    <w:rsid w:val="00420409"/>
    <w:rsid w:val="00424AEA"/>
    <w:rsid w:val="00426555"/>
    <w:rsid w:val="0045216A"/>
    <w:rsid w:val="00452C56"/>
    <w:rsid w:val="00455CAB"/>
    <w:rsid w:val="00484B54"/>
    <w:rsid w:val="00484ECE"/>
    <w:rsid w:val="004B21B0"/>
    <w:rsid w:val="004B2F1E"/>
    <w:rsid w:val="004C21C0"/>
    <w:rsid w:val="004D34DA"/>
    <w:rsid w:val="004E4060"/>
    <w:rsid w:val="004F598B"/>
    <w:rsid w:val="005013ED"/>
    <w:rsid w:val="00510836"/>
    <w:rsid w:val="00524687"/>
    <w:rsid w:val="00543AC9"/>
    <w:rsid w:val="00552A85"/>
    <w:rsid w:val="00553685"/>
    <w:rsid w:val="00555710"/>
    <w:rsid w:val="005662D8"/>
    <w:rsid w:val="00571E4D"/>
    <w:rsid w:val="00572792"/>
    <w:rsid w:val="005762E0"/>
    <w:rsid w:val="00586FE2"/>
    <w:rsid w:val="00596B19"/>
    <w:rsid w:val="005B21A1"/>
    <w:rsid w:val="005B673F"/>
    <w:rsid w:val="005C538F"/>
    <w:rsid w:val="005C7301"/>
    <w:rsid w:val="005D1DB7"/>
    <w:rsid w:val="005D3EC9"/>
    <w:rsid w:val="005E318F"/>
    <w:rsid w:val="005E3F32"/>
    <w:rsid w:val="005F0230"/>
    <w:rsid w:val="005F2338"/>
    <w:rsid w:val="0060328C"/>
    <w:rsid w:val="006101BB"/>
    <w:rsid w:val="0061557C"/>
    <w:rsid w:val="00617E33"/>
    <w:rsid w:val="00626DE6"/>
    <w:rsid w:val="00634B2A"/>
    <w:rsid w:val="0063615B"/>
    <w:rsid w:val="00646C18"/>
    <w:rsid w:val="006546B6"/>
    <w:rsid w:val="00655CFB"/>
    <w:rsid w:val="0065664A"/>
    <w:rsid w:val="00675AA1"/>
    <w:rsid w:val="006900D4"/>
    <w:rsid w:val="00697651"/>
    <w:rsid w:val="006B1224"/>
    <w:rsid w:val="006C1C3E"/>
    <w:rsid w:val="006C1D54"/>
    <w:rsid w:val="006D5461"/>
    <w:rsid w:val="006E4D6D"/>
    <w:rsid w:val="006F4717"/>
    <w:rsid w:val="006F70D3"/>
    <w:rsid w:val="00701CEA"/>
    <w:rsid w:val="00704598"/>
    <w:rsid w:val="00716D85"/>
    <w:rsid w:val="00717C09"/>
    <w:rsid w:val="007229CD"/>
    <w:rsid w:val="00733C19"/>
    <w:rsid w:val="00741F99"/>
    <w:rsid w:val="007428A6"/>
    <w:rsid w:val="007521C1"/>
    <w:rsid w:val="007837ED"/>
    <w:rsid w:val="00787C02"/>
    <w:rsid w:val="00791FF4"/>
    <w:rsid w:val="007B1076"/>
    <w:rsid w:val="007C36E0"/>
    <w:rsid w:val="007C3F7B"/>
    <w:rsid w:val="007C715A"/>
    <w:rsid w:val="007C7DFC"/>
    <w:rsid w:val="007D0B09"/>
    <w:rsid w:val="007D0B89"/>
    <w:rsid w:val="007D1D2F"/>
    <w:rsid w:val="007D500A"/>
    <w:rsid w:val="007F6173"/>
    <w:rsid w:val="00801DBF"/>
    <w:rsid w:val="00805279"/>
    <w:rsid w:val="00811977"/>
    <w:rsid w:val="00813314"/>
    <w:rsid w:val="008209C6"/>
    <w:rsid w:val="00827299"/>
    <w:rsid w:val="00835C90"/>
    <w:rsid w:val="00840650"/>
    <w:rsid w:val="00841A45"/>
    <w:rsid w:val="00852EDB"/>
    <w:rsid w:val="00854478"/>
    <w:rsid w:val="0086173E"/>
    <w:rsid w:val="0086782C"/>
    <w:rsid w:val="00877EE5"/>
    <w:rsid w:val="00893AEE"/>
    <w:rsid w:val="00897D11"/>
    <w:rsid w:val="008A227A"/>
    <w:rsid w:val="008A7F2C"/>
    <w:rsid w:val="008B4951"/>
    <w:rsid w:val="008B746D"/>
    <w:rsid w:val="008C24DA"/>
    <w:rsid w:val="008C2F50"/>
    <w:rsid w:val="008D4E38"/>
    <w:rsid w:val="008D6009"/>
    <w:rsid w:val="008E19FC"/>
    <w:rsid w:val="008E6759"/>
    <w:rsid w:val="008F4068"/>
    <w:rsid w:val="008F4342"/>
    <w:rsid w:val="00901401"/>
    <w:rsid w:val="00913AF9"/>
    <w:rsid w:val="00922519"/>
    <w:rsid w:val="009318C7"/>
    <w:rsid w:val="0093733D"/>
    <w:rsid w:val="00942C19"/>
    <w:rsid w:val="009446B2"/>
    <w:rsid w:val="00960C50"/>
    <w:rsid w:val="00966A64"/>
    <w:rsid w:val="009701CF"/>
    <w:rsid w:val="00973C2D"/>
    <w:rsid w:val="009C43E9"/>
    <w:rsid w:val="009D2E36"/>
    <w:rsid w:val="009E2EFA"/>
    <w:rsid w:val="009F2900"/>
    <w:rsid w:val="00A14EBE"/>
    <w:rsid w:val="00A22D77"/>
    <w:rsid w:val="00A24D3D"/>
    <w:rsid w:val="00A32979"/>
    <w:rsid w:val="00A45858"/>
    <w:rsid w:val="00A46669"/>
    <w:rsid w:val="00A66FDB"/>
    <w:rsid w:val="00A946D4"/>
    <w:rsid w:val="00A96D24"/>
    <w:rsid w:val="00AA0E87"/>
    <w:rsid w:val="00AB246C"/>
    <w:rsid w:val="00AC1119"/>
    <w:rsid w:val="00AC6A43"/>
    <w:rsid w:val="00AD1129"/>
    <w:rsid w:val="00AD1C90"/>
    <w:rsid w:val="00AD4C8E"/>
    <w:rsid w:val="00AD7A40"/>
    <w:rsid w:val="00AE6EF1"/>
    <w:rsid w:val="00AF4B7A"/>
    <w:rsid w:val="00B00439"/>
    <w:rsid w:val="00B004E5"/>
    <w:rsid w:val="00B005DC"/>
    <w:rsid w:val="00B02C46"/>
    <w:rsid w:val="00B02FC4"/>
    <w:rsid w:val="00B14913"/>
    <w:rsid w:val="00B16310"/>
    <w:rsid w:val="00B20090"/>
    <w:rsid w:val="00B31CC3"/>
    <w:rsid w:val="00B530DA"/>
    <w:rsid w:val="00B5560F"/>
    <w:rsid w:val="00B656F1"/>
    <w:rsid w:val="00B90986"/>
    <w:rsid w:val="00BB205F"/>
    <w:rsid w:val="00BB5512"/>
    <w:rsid w:val="00BC6209"/>
    <w:rsid w:val="00BC7451"/>
    <w:rsid w:val="00BF179F"/>
    <w:rsid w:val="00BF534C"/>
    <w:rsid w:val="00C04D3E"/>
    <w:rsid w:val="00C059AE"/>
    <w:rsid w:val="00C10DBC"/>
    <w:rsid w:val="00C124A8"/>
    <w:rsid w:val="00C152C1"/>
    <w:rsid w:val="00C27E4E"/>
    <w:rsid w:val="00C3432F"/>
    <w:rsid w:val="00C43DBC"/>
    <w:rsid w:val="00C469C3"/>
    <w:rsid w:val="00C9077F"/>
    <w:rsid w:val="00CC6C87"/>
    <w:rsid w:val="00CD3D44"/>
    <w:rsid w:val="00CD587F"/>
    <w:rsid w:val="00CE72C8"/>
    <w:rsid w:val="00D066A7"/>
    <w:rsid w:val="00D20DDD"/>
    <w:rsid w:val="00D2624D"/>
    <w:rsid w:val="00D270E0"/>
    <w:rsid w:val="00D3234C"/>
    <w:rsid w:val="00D358C4"/>
    <w:rsid w:val="00D36E86"/>
    <w:rsid w:val="00D37327"/>
    <w:rsid w:val="00D44857"/>
    <w:rsid w:val="00D50286"/>
    <w:rsid w:val="00D53618"/>
    <w:rsid w:val="00D55568"/>
    <w:rsid w:val="00D60C13"/>
    <w:rsid w:val="00D64820"/>
    <w:rsid w:val="00D7568B"/>
    <w:rsid w:val="00D86545"/>
    <w:rsid w:val="00D868CA"/>
    <w:rsid w:val="00D94888"/>
    <w:rsid w:val="00D95E96"/>
    <w:rsid w:val="00DB7B16"/>
    <w:rsid w:val="00DD76FC"/>
    <w:rsid w:val="00DE1344"/>
    <w:rsid w:val="00DE1C5E"/>
    <w:rsid w:val="00E378B3"/>
    <w:rsid w:val="00E4078D"/>
    <w:rsid w:val="00E518AA"/>
    <w:rsid w:val="00E52CB1"/>
    <w:rsid w:val="00E53AF0"/>
    <w:rsid w:val="00E5559E"/>
    <w:rsid w:val="00E82F89"/>
    <w:rsid w:val="00E90A50"/>
    <w:rsid w:val="00E92CF1"/>
    <w:rsid w:val="00EA5341"/>
    <w:rsid w:val="00EC3B0F"/>
    <w:rsid w:val="00ED44F4"/>
    <w:rsid w:val="00ED4D94"/>
    <w:rsid w:val="00EE33ED"/>
    <w:rsid w:val="00F22FC9"/>
    <w:rsid w:val="00F25DCF"/>
    <w:rsid w:val="00F35BEE"/>
    <w:rsid w:val="00F43519"/>
    <w:rsid w:val="00F47F40"/>
    <w:rsid w:val="00F63600"/>
    <w:rsid w:val="00FA7E44"/>
    <w:rsid w:val="00FB7D23"/>
    <w:rsid w:val="00FD0F9D"/>
    <w:rsid w:val="00FD1AAD"/>
    <w:rsid w:val="00FD3511"/>
    <w:rsid w:val="00FE12DF"/>
    <w:rsid w:val="00FE2127"/>
    <w:rsid w:val="00FF6C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D80B38"/>
  <w15:chartTrackingRefBased/>
  <w15:docId w15:val="{4E6FD8B1-45E8-460A-87DA-7FC59C7AB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56F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656F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semiHidden/>
    <w:unhideWhenUsed/>
    <w:qFormat/>
    <w:rsid w:val="00B656F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656F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656F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656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56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56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56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56F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656F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semiHidden/>
    <w:rsid w:val="00B656F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656F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656F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656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56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56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56F1"/>
    <w:rPr>
      <w:rFonts w:eastAsiaTheme="majorEastAsia" w:cstheme="majorBidi"/>
      <w:color w:val="272727" w:themeColor="text1" w:themeTint="D8"/>
    </w:rPr>
  </w:style>
  <w:style w:type="paragraph" w:styleId="Title">
    <w:name w:val="Title"/>
    <w:basedOn w:val="Normal"/>
    <w:next w:val="Normal"/>
    <w:link w:val="TitleChar"/>
    <w:uiPriority w:val="10"/>
    <w:qFormat/>
    <w:rsid w:val="00B656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56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56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56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56F1"/>
    <w:pPr>
      <w:spacing w:before="160"/>
      <w:jc w:val="center"/>
    </w:pPr>
    <w:rPr>
      <w:i/>
      <w:iCs/>
      <w:color w:val="404040" w:themeColor="text1" w:themeTint="BF"/>
    </w:rPr>
  </w:style>
  <w:style w:type="character" w:customStyle="1" w:styleId="QuoteChar">
    <w:name w:val="Quote Char"/>
    <w:basedOn w:val="DefaultParagraphFont"/>
    <w:link w:val="Quote"/>
    <w:uiPriority w:val="29"/>
    <w:rsid w:val="00B656F1"/>
    <w:rPr>
      <w:i/>
      <w:iCs/>
      <w:color w:val="404040" w:themeColor="text1" w:themeTint="BF"/>
    </w:rPr>
  </w:style>
  <w:style w:type="paragraph" w:styleId="ListParagraph">
    <w:name w:val="List Paragraph"/>
    <w:basedOn w:val="Normal"/>
    <w:uiPriority w:val="34"/>
    <w:qFormat/>
    <w:rsid w:val="00B656F1"/>
    <w:pPr>
      <w:ind w:left="720"/>
      <w:contextualSpacing/>
    </w:pPr>
  </w:style>
  <w:style w:type="character" w:styleId="IntenseEmphasis">
    <w:name w:val="Intense Emphasis"/>
    <w:basedOn w:val="DefaultParagraphFont"/>
    <w:uiPriority w:val="21"/>
    <w:qFormat/>
    <w:rsid w:val="00B656F1"/>
    <w:rPr>
      <w:i/>
      <w:iCs/>
      <w:color w:val="2F5496" w:themeColor="accent1" w:themeShade="BF"/>
    </w:rPr>
  </w:style>
  <w:style w:type="paragraph" w:styleId="IntenseQuote">
    <w:name w:val="Intense Quote"/>
    <w:basedOn w:val="Normal"/>
    <w:next w:val="Normal"/>
    <w:link w:val="IntenseQuoteChar"/>
    <w:uiPriority w:val="30"/>
    <w:qFormat/>
    <w:rsid w:val="00B656F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656F1"/>
    <w:rPr>
      <w:i/>
      <w:iCs/>
      <w:color w:val="2F5496" w:themeColor="accent1" w:themeShade="BF"/>
    </w:rPr>
  </w:style>
  <w:style w:type="character" w:styleId="IntenseReference">
    <w:name w:val="Intense Reference"/>
    <w:basedOn w:val="DefaultParagraphFont"/>
    <w:uiPriority w:val="32"/>
    <w:qFormat/>
    <w:rsid w:val="00B656F1"/>
    <w:rPr>
      <w:b/>
      <w:bCs/>
      <w:smallCaps/>
      <w:color w:val="2F5496" w:themeColor="accent1" w:themeShade="BF"/>
      <w:spacing w:val="5"/>
    </w:rPr>
  </w:style>
  <w:style w:type="character" w:styleId="Hyperlink">
    <w:name w:val="Hyperlink"/>
    <w:basedOn w:val="DefaultParagraphFont"/>
    <w:uiPriority w:val="99"/>
    <w:unhideWhenUsed/>
    <w:rsid w:val="00EE33ED"/>
    <w:rPr>
      <w:color w:val="0563C1" w:themeColor="hyperlink"/>
      <w:u w:val="single"/>
    </w:rPr>
  </w:style>
  <w:style w:type="character" w:styleId="UnresolvedMention">
    <w:name w:val="Unresolved Mention"/>
    <w:basedOn w:val="DefaultParagraphFont"/>
    <w:uiPriority w:val="99"/>
    <w:semiHidden/>
    <w:unhideWhenUsed/>
    <w:rsid w:val="00EE33ED"/>
    <w:rPr>
      <w:color w:val="605E5C"/>
      <w:shd w:val="clear" w:color="auto" w:fill="E1DFDD"/>
    </w:rPr>
  </w:style>
  <w:style w:type="character" w:styleId="CommentReference">
    <w:name w:val="annotation reference"/>
    <w:basedOn w:val="DefaultParagraphFont"/>
    <w:uiPriority w:val="99"/>
    <w:semiHidden/>
    <w:unhideWhenUsed/>
    <w:rsid w:val="004B2F1E"/>
    <w:rPr>
      <w:sz w:val="16"/>
      <w:szCs w:val="16"/>
    </w:rPr>
  </w:style>
  <w:style w:type="paragraph" w:styleId="CommentText">
    <w:name w:val="annotation text"/>
    <w:basedOn w:val="Normal"/>
    <w:link w:val="CommentTextChar"/>
    <w:uiPriority w:val="99"/>
    <w:semiHidden/>
    <w:unhideWhenUsed/>
    <w:rsid w:val="004B2F1E"/>
    <w:pPr>
      <w:spacing w:line="240" w:lineRule="auto"/>
    </w:pPr>
    <w:rPr>
      <w:sz w:val="20"/>
      <w:szCs w:val="20"/>
    </w:rPr>
  </w:style>
  <w:style w:type="character" w:customStyle="1" w:styleId="CommentTextChar">
    <w:name w:val="Comment Text Char"/>
    <w:basedOn w:val="DefaultParagraphFont"/>
    <w:link w:val="CommentText"/>
    <w:uiPriority w:val="99"/>
    <w:semiHidden/>
    <w:rsid w:val="004B2F1E"/>
    <w:rPr>
      <w:sz w:val="20"/>
      <w:szCs w:val="20"/>
    </w:rPr>
  </w:style>
  <w:style w:type="paragraph" w:styleId="CommentSubject">
    <w:name w:val="annotation subject"/>
    <w:basedOn w:val="CommentText"/>
    <w:next w:val="CommentText"/>
    <w:link w:val="CommentSubjectChar"/>
    <w:uiPriority w:val="99"/>
    <w:semiHidden/>
    <w:unhideWhenUsed/>
    <w:rsid w:val="004B2F1E"/>
    <w:rPr>
      <w:b/>
      <w:bCs/>
    </w:rPr>
  </w:style>
  <w:style w:type="character" w:customStyle="1" w:styleId="CommentSubjectChar">
    <w:name w:val="Comment Subject Char"/>
    <w:basedOn w:val="CommentTextChar"/>
    <w:link w:val="CommentSubject"/>
    <w:uiPriority w:val="99"/>
    <w:semiHidden/>
    <w:rsid w:val="004B2F1E"/>
    <w:rPr>
      <w:b/>
      <w:bCs/>
      <w:sz w:val="20"/>
      <w:szCs w:val="20"/>
    </w:rPr>
  </w:style>
  <w:style w:type="paragraph" w:styleId="FootnoteText">
    <w:name w:val="footnote text"/>
    <w:basedOn w:val="Normal"/>
    <w:link w:val="FootnoteTextChar"/>
    <w:uiPriority w:val="99"/>
    <w:semiHidden/>
    <w:unhideWhenUsed/>
    <w:rsid w:val="00395AC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95AC1"/>
    <w:rPr>
      <w:sz w:val="20"/>
      <w:szCs w:val="20"/>
    </w:rPr>
  </w:style>
  <w:style w:type="character" w:styleId="FootnoteReference">
    <w:name w:val="footnote reference"/>
    <w:basedOn w:val="DefaultParagraphFont"/>
    <w:uiPriority w:val="99"/>
    <w:semiHidden/>
    <w:unhideWhenUsed/>
    <w:rsid w:val="00395AC1"/>
    <w:rPr>
      <w:vertAlign w:val="superscript"/>
    </w:rPr>
  </w:style>
  <w:style w:type="character" w:styleId="Strong">
    <w:name w:val="Strong"/>
    <w:basedOn w:val="DefaultParagraphFont"/>
    <w:uiPriority w:val="22"/>
    <w:qFormat/>
    <w:rsid w:val="00455CAB"/>
    <w:rPr>
      <w:b/>
      <w:bCs/>
    </w:rPr>
  </w:style>
  <w:style w:type="paragraph" w:styleId="NormalWeb">
    <w:name w:val="Normal (Web)"/>
    <w:basedOn w:val="Normal"/>
    <w:uiPriority w:val="99"/>
    <w:semiHidden/>
    <w:unhideWhenUsed/>
    <w:rsid w:val="00455CAB"/>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455CAB"/>
    <w:rPr>
      <w:i/>
      <w:iCs/>
    </w:rPr>
  </w:style>
  <w:style w:type="paragraph" w:styleId="Header">
    <w:name w:val="header"/>
    <w:basedOn w:val="Normal"/>
    <w:link w:val="HeaderChar"/>
    <w:uiPriority w:val="99"/>
    <w:unhideWhenUsed/>
    <w:rsid w:val="000113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13E6"/>
  </w:style>
  <w:style w:type="paragraph" w:styleId="Footer">
    <w:name w:val="footer"/>
    <w:basedOn w:val="Normal"/>
    <w:link w:val="FooterChar"/>
    <w:uiPriority w:val="99"/>
    <w:unhideWhenUsed/>
    <w:rsid w:val="000113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13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BACB2D-20D3-4FB3-B9AC-E2E9AFEE5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11</Pages>
  <Words>3100</Words>
  <Characters>17675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sydragona@yahoo.com</dc:creator>
  <cp:keywords/>
  <dc:description/>
  <cp:lastModifiedBy>sydragona@yahoo.com</cp:lastModifiedBy>
  <cp:revision>6</cp:revision>
  <cp:lastPrinted>2026-03-04T12:59:00Z</cp:lastPrinted>
  <dcterms:created xsi:type="dcterms:W3CDTF">2026-03-11T15:34:00Z</dcterms:created>
  <dcterms:modified xsi:type="dcterms:W3CDTF">2026-03-11T21:07:00Z</dcterms:modified>
</cp:coreProperties>
</file>