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AA69C2" w14:textId="1BDCABFB" w:rsidR="009D004E" w:rsidRPr="00C651BC" w:rsidRDefault="00C067BC" w:rsidP="005F4984">
      <w:pPr>
        <w:jc w:val="center"/>
      </w:pPr>
      <w:r>
        <w:rPr>
          <w:noProof/>
        </w:rPr>
        <w:drawing>
          <wp:inline distT="0" distB="0" distL="0" distR="0" wp14:anchorId="4198FCF8" wp14:editId="373F8BA3">
            <wp:extent cx="5438140" cy="1329055"/>
            <wp:effectExtent l="0" t="0" r="0" b="0"/>
            <wp:docPr id="191776519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38140" cy="1329055"/>
                    </a:xfrm>
                    <a:prstGeom prst="rect">
                      <a:avLst/>
                    </a:prstGeom>
                    <a:noFill/>
                  </pic:spPr>
                </pic:pic>
              </a:graphicData>
            </a:graphic>
          </wp:inline>
        </w:drawing>
      </w:r>
    </w:p>
    <w:p w14:paraId="1BD9EF24" w14:textId="527213A9" w:rsidR="00172725" w:rsidRPr="004511C8" w:rsidRDefault="00172725" w:rsidP="005F4984">
      <w:pPr>
        <w:jc w:val="center"/>
        <w:rPr>
          <w:rFonts w:ascii="Arial" w:hAnsi="Arial" w:cs="Arial"/>
          <w:b/>
          <w:bCs/>
          <w:sz w:val="22"/>
          <w:szCs w:val="22"/>
        </w:rPr>
      </w:pPr>
      <w:r w:rsidRPr="004511C8">
        <w:rPr>
          <w:rFonts w:ascii="Arial" w:hAnsi="Arial" w:cs="Arial"/>
          <w:b/>
          <w:bCs/>
          <w:sz w:val="22"/>
          <w:szCs w:val="22"/>
        </w:rPr>
        <w:t>MSc Public Health and Social Care in Practice</w:t>
      </w:r>
    </w:p>
    <w:p w14:paraId="3645D7A4" w14:textId="77777777" w:rsidR="00172725" w:rsidRPr="004511C8" w:rsidRDefault="00172725" w:rsidP="005F4984">
      <w:pPr>
        <w:jc w:val="center"/>
        <w:rPr>
          <w:rFonts w:ascii="Arial" w:hAnsi="Arial" w:cs="Arial"/>
          <w:b/>
          <w:bCs/>
          <w:sz w:val="22"/>
          <w:szCs w:val="22"/>
        </w:rPr>
      </w:pPr>
      <w:r w:rsidRPr="004511C8">
        <w:rPr>
          <w:rFonts w:ascii="Arial" w:hAnsi="Arial" w:cs="Arial"/>
          <w:b/>
          <w:bCs/>
          <w:sz w:val="22"/>
          <w:szCs w:val="22"/>
        </w:rPr>
        <w:t>Antimicrobial Resistance in Gonorrhoea in the United Kingdom: Implications for Young Adults</w:t>
      </w:r>
    </w:p>
    <w:p w14:paraId="306E7C51" w14:textId="77777777" w:rsidR="00172725" w:rsidRPr="004511C8" w:rsidRDefault="00172725" w:rsidP="005F4984">
      <w:pPr>
        <w:jc w:val="center"/>
        <w:rPr>
          <w:rFonts w:ascii="Arial" w:hAnsi="Arial" w:cs="Arial"/>
          <w:sz w:val="22"/>
          <w:szCs w:val="22"/>
        </w:rPr>
      </w:pPr>
    </w:p>
    <w:p w14:paraId="022FD2A7" w14:textId="77777777" w:rsidR="00AA0B18" w:rsidRPr="004511C8" w:rsidRDefault="00AA0B18" w:rsidP="005F4984">
      <w:pPr>
        <w:jc w:val="center"/>
        <w:rPr>
          <w:rFonts w:ascii="Arial" w:hAnsi="Arial" w:cs="Arial"/>
          <w:sz w:val="22"/>
          <w:szCs w:val="22"/>
        </w:rPr>
      </w:pPr>
    </w:p>
    <w:p w14:paraId="19A40765" w14:textId="4A19B9CC" w:rsidR="00172725" w:rsidRPr="004511C8" w:rsidRDefault="00172725" w:rsidP="005F4984">
      <w:pPr>
        <w:jc w:val="center"/>
        <w:rPr>
          <w:rFonts w:ascii="Arial" w:hAnsi="Arial" w:cs="Arial"/>
          <w:sz w:val="22"/>
          <w:szCs w:val="22"/>
        </w:rPr>
      </w:pPr>
      <w:r w:rsidRPr="004511C8">
        <w:rPr>
          <w:rFonts w:ascii="Arial" w:hAnsi="Arial" w:cs="Arial"/>
          <w:b/>
          <w:bCs/>
          <w:sz w:val="22"/>
          <w:szCs w:val="22"/>
        </w:rPr>
        <w:t>Full Name:</w:t>
      </w:r>
      <w:r w:rsidR="00CB4C83" w:rsidRPr="004511C8">
        <w:rPr>
          <w:rFonts w:ascii="Arial" w:hAnsi="Arial" w:cs="Arial"/>
          <w:sz w:val="22"/>
          <w:szCs w:val="22"/>
        </w:rPr>
        <w:t xml:space="preserve"> Adji Makangila </w:t>
      </w:r>
    </w:p>
    <w:p w14:paraId="10E29473" w14:textId="77777777" w:rsidR="00F6483D" w:rsidRPr="004511C8" w:rsidRDefault="00172725" w:rsidP="005F4984">
      <w:pPr>
        <w:jc w:val="center"/>
        <w:rPr>
          <w:rFonts w:ascii="Arial" w:hAnsi="Arial" w:cs="Arial"/>
          <w:sz w:val="22"/>
          <w:szCs w:val="22"/>
        </w:rPr>
      </w:pPr>
      <w:r w:rsidRPr="004511C8">
        <w:rPr>
          <w:rFonts w:ascii="Arial" w:hAnsi="Arial" w:cs="Arial"/>
          <w:b/>
          <w:bCs/>
          <w:sz w:val="22"/>
          <w:szCs w:val="22"/>
        </w:rPr>
        <w:t>Student Number:</w:t>
      </w:r>
      <w:r w:rsidR="00CB4C83" w:rsidRPr="004511C8">
        <w:rPr>
          <w:rFonts w:ascii="Arial" w:hAnsi="Arial" w:cs="Arial"/>
          <w:sz w:val="22"/>
          <w:szCs w:val="22"/>
        </w:rPr>
        <w:t xml:space="preserve"> 2126238</w:t>
      </w:r>
    </w:p>
    <w:p w14:paraId="7E36B4DB" w14:textId="5C38AF2C" w:rsidR="00172725" w:rsidRPr="004511C8" w:rsidRDefault="00172725" w:rsidP="005F4984">
      <w:pPr>
        <w:jc w:val="center"/>
        <w:rPr>
          <w:rFonts w:ascii="Arial" w:hAnsi="Arial" w:cs="Arial"/>
          <w:sz w:val="22"/>
          <w:szCs w:val="22"/>
        </w:rPr>
      </w:pPr>
      <w:r w:rsidRPr="004511C8">
        <w:rPr>
          <w:rFonts w:ascii="Arial" w:hAnsi="Arial" w:cs="Arial"/>
          <w:b/>
          <w:bCs/>
          <w:sz w:val="22"/>
          <w:szCs w:val="22"/>
        </w:rPr>
        <w:t>Supervisor:</w:t>
      </w:r>
      <w:r w:rsidR="00CB4C83" w:rsidRPr="004511C8">
        <w:rPr>
          <w:rFonts w:ascii="Arial" w:hAnsi="Arial" w:cs="Arial"/>
          <w:b/>
          <w:bCs/>
          <w:sz w:val="22"/>
          <w:szCs w:val="22"/>
        </w:rPr>
        <w:t xml:space="preserve"> </w:t>
      </w:r>
      <w:r w:rsidR="00CB4C83" w:rsidRPr="004511C8">
        <w:rPr>
          <w:rFonts w:ascii="Arial" w:hAnsi="Arial" w:cs="Arial"/>
          <w:sz w:val="22"/>
          <w:szCs w:val="22"/>
        </w:rPr>
        <w:t>Junaid Sh</w:t>
      </w:r>
      <w:r w:rsidR="00F6483D" w:rsidRPr="004511C8">
        <w:rPr>
          <w:rFonts w:ascii="Arial" w:hAnsi="Arial" w:cs="Arial"/>
          <w:sz w:val="22"/>
          <w:szCs w:val="22"/>
        </w:rPr>
        <w:t>a</w:t>
      </w:r>
      <w:r w:rsidR="00CB4C83" w:rsidRPr="004511C8">
        <w:rPr>
          <w:rFonts w:ascii="Arial" w:hAnsi="Arial" w:cs="Arial"/>
          <w:sz w:val="22"/>
          <w:szCs w:val="22"/>
        </w:rPr>
        <w:t>ikh</w:t>
      </w:r>
    </w:p>
    <w:p w14:paraId="13C532FE" w14:textId="77777777" w:rsidR="00172725" w:rsidRPr="004511C8" w:rsidRDefault="00172725" w:rsidP="005F4984">
      <w:pPr>
        <w:jc w:val="center"/>
        <w:rPr>
          <w:rFonts w:ascii="Arial" w:hAnsi="Arial" w:cs="Arial"/>
          <w:sz w:val="22"/>
          <w:szCs w:val="22"/>
        </w:rPr>
      </w:pPr>
    </w:p>
    <w:p w14:paraId="63503B69" w14:textId="4AD3326B" w:rsidR="00172725" w:rsidRPr="004511C8" w:rsidRDefault="00172725" w:rsidP="005F4984">
      <w:pPr>
        <w:jc w:val="left"/>
        <w:rPr>
          <w:rFonts w:ascii="Arial" w:hAnsi="Arial" w:cs="Arial"/>
          <w:sz w:val="22"/>
          <w:szCs w:val="22"/>
        </w:rPr>
      </w:pPr>
      <w:r w:rsidRPr="004511C8">
        <w:rPr>
          <w:rFonts w:ascii="Arial" w:hAnsi="Arial" w:cs="Arial"/>
          <w:sz w:val="22"/>
          <w:szCs w:val="22"/>
        </w:rPr>
        <w:br w:type="page"/>
      </w:r>
    </w:p>
    <w:sdt>
      <w:sdtPr>
        <w:rPr>
          <w:rFonts w:ascii="Arial" w:eastAsiaTheme="minorHAnsi" w:hAnsi="Arial" w:cs="Arial"/>
          <w:b/>
          <w:bCs/>
          <w:color w:val="auto"/>
          <w:kern w:val="2"/>
          <w:sz w:val="22"/>
          <w:szCs w:val="22"/>
          <w:lang w:val="en-GB"/>
          <w14:ligatures w14:val="standardContextual"/>
        </w:rPr>
        <w:id w:val="-189374969"/>
        <w:docPartObj>
          <w:docPartGallery w:val="Table of Contents"/>
          <w:docPartUnique/>
        </w:docPartObj>
      </w:sdtPr>
      <w:sdtContent>
        <w:p w14:paraId="73697750" w14:textId="52C136DC" w:rsidR="00172725" w:rsidRPr="004511C8" w:rsidRDefault="00172725" w:rsidP="005F4984">
          <w:pPr>
            <w:pStyle w:val="TOCHeading"/>
            <w:spacing w:line="360" w:lineRule="auto"/>
            <w:jc w:val="center"/>
            <w:rPr>
              <w:rFonts w:ascii="Arial" w:hAnsi="Arial" w:cs="Arial"/>
              <w:b/>
              <w:bCs/>
              <w:color w:val="auto"/>
              <w:sz w:val="22"/>
              <w:szCs w:val="22"/>
              <w:lang w:val="en-GB"/>
            </w:rPr>
          </w:pPr>
          <w:r w:rsidRPr="004511C8">
            <w:rPr>
              <w:rFonts w:ascii="Arial" w:hAnsi="Arial" w:cs="Arial"/>
              <w:b/>
              <w:bCs/>
              <w:color w:val="auto"/>
              <w:sz w:val="22"/>
              <w:szCs w:val="22"/>
              <w:lang w:val="en-GB"/>
            </w:rPr>
            <w:t>Table of Contents</w:t>
          </w:r>
        </w:p>
        <w:p w14:paraId="55E63E67" w14:textId="77777777" w:rsidR="00172725" w:rsidRPr="004511C8" w:rsidRDefault="00172725" w:rsidP="005F4984">
          <w:pPr>
            <w:jc w:val="center"/>
            <w:rPr>
              <w:rFonts w:ascii="Arial" w:hAnsi="Arial" w:cs="Arial"/>
              <w:b/>
              <w:bCs/>
              <w:sz w:val="22"/>
              <w:szCs w:val="22"/>
            </w:rPr>
          </w:pPr>
        </w:p>
        <w:p w14:paraId="722C4031" w14:textId="76FFAC3B" w:rsidR="00F921ED" w:rsidRPr="004511C8" w:rsidRDefault="00172725">
          <w:pPr>
            <w:pStyle w:val="TOC1"/>
            <w:tabs>
              <w:tab w:val="right" w:leader="dot" w:pos="9016"/>
            </w:tabs>
            <w:rPr>
              <w:rFonts w:ascii="Arial" w:eastAsiaTheme="minorEastAsia" w:hAnsi="Arial" w:cs="Arial"/>
              <w:noProof/>
              <w:sz w:val="22"/>
              <w:szCs w:val="22"/>
              <w:lang/>
            </w:rPr>
          </w:pPr>
          <w:r w:rsidRPr="004511C8">
            <w:rPr>
              <w:rFonts w:ascii="Arial" w:hAnsi="Arial" w:cs="Arial"/>
              <w:sz w:val="22"/>
              <w:szCs w:val="22"/>
            </w:rPr>
            <w:fldChar w:fldCharType="begin"/>
          </w:r>
          <w:r w:rsidRPr="004511C8">
            <w:rPr>
              <w:rFonts w:ascii="Arial" w:hAnsi="Arial" w:cs="Arial"/>
              <w:sz w:val="22"/>
              <w:szCs w:val="22"/>
            </w:rPr>
            <w:instrText xml:space="preserve"> TOC \o "1-3" \h \z \u </w:instrText>
          </w:r>
          <w:r w:rsidRPr="004511C8">
            <w:rPr>
              <w:rFonts w:ascii="Arial" w:hAnsi="Arial" w:cs="Arial"/>
              <w:sz w:val="22"/>
              <w:szCs w:val="22"/>
            </w:rPr>
            <w:fldChar w:fldCharType="separate"/>
          </w:r>
          <w:hyperlink w:anchor="_Toc229082757" w:history="1">
            <w:r w:rsidR="00F921ED" w:rsidRPr="004511C8">
              <w:rPr>
                <w:rStyle w:val="Hyperlink"/>
                <w:rFonts w:ascii="Arial" w:hAnsi="Arial" w:cs="Arial"/>
                <w:noProof/>
                <w:sz w:val="22"/>
                <w:szCs w:val="22"/>
              </w:rPr>
              <w:t>CHAPTER 1: INTRODUCTION AND BACKGROUND</w:t>
            </w:r>
            <w:r w:rsidR="00F921ED" w:rsidRPr="004511C8">
              <w:rPr>
                <w:rFonts w:ascii="Arial" w:hAnsi="Arial" w:cs="Arial"/>
                <w:noProof/>
                <w:webHidden/>
                <w:sz w:val="22"/>
                <w:szCs w:val="22"/>
              </w:rPr>
              <w:tab/>
            </w:r>
            <w:r w:rsidR="00F921ED" w:rsidRPr="004511C8">
              <w:rPr>
                <w:rFonts w:ascii="Arial" w:hAnsi="Arial" w:cs="Arial"/>
                <w:noProof/>
                <w:webHidden/>
                <w:sz w:val="22"/>
                <w:szCs w:val="22"/>
              </w:rPr>
              <w:fldChar w:fldCharType="begin"/>
            </w:r>
            <w:r w:rsidR="00F921ED" w:rsidRPr="004511C8">
              <w:rPr>
                <w:rFonts w:ascii="Arial" w:hAnsi="Arial" w:cs="Arial"/>
                <w:noProof/>
                <w:webHidden/>
                <w:sz w:val="22"/>
                <w:szCs w:val="22"/>
              </w:rPr>
              <w:instrText xml:space="preserve"> PAGEREF _Toc229082757 \h </w:instrText>
            </w:r>
            <w:r w:rsidR="00F921ED" w:rsidRPr="004511C8">
              <w:rPr>
                <w:rFonts w:ascii="Arial" w:hAnsi="Arial" w:cs="Arial"/>
                <w:noProof/>
                <w:webHidden/>
                <w:sz w:val="22"/>
                <w:szCs w:val="22"/>
              </w:rPr>
            </w:r>
            <w:r w:rsidR="00F921ED" w:rsidRPr="004511C8">
              <w:rPr>
                <w:rFonts w:ascii="Arial" w:hAnsi="Arial" w:cs="Arial"/>
                <w:noProof/>
                <w:webHidden/>
                <w:sz w:val="22"/>
                <w:szCs w:val="22"/>
              </w:rPr>
              <w:fldChar w:fldCharType="separate"/>
            </w:r>
            <w:r w:rsidR="00F921ED" w:rsidRPr="004511C8">
              <w:rPr>
                <w:rFonts w:ascii="Arial" w:hAnsi="Arial" w:cs="Arial"/>
                <w:noProof/>
                <w:webHidden/>
                <w:sz w:val="22"/>
                <w:szCs w:val="22"/>
              </w:rPr>
              <w:t>5</w:t>
            </w:r>
            <w:r w:rsidR="00F921ED" w:rsidRPr="004511C8">
              <w:rPr>
                <w:rFonts w:ascii="Arial" w:hAnsi="Arial" w:cs="Arial"/>
                <w:noProof/>
                <w:webHidden/>
                <w:sz w:val="22"/>
                <w:szCs w:val="22"/>
              </w:rPr>
              <w:fldChar w:fldCharType="end"/>
            </w:r>
          </w:hyperlink>
        </w:p>
        <w:p w14:paraId="26A793F6" w14:textId="32CFBBF3" w:rsidR="00F921ED" w:rsidRPr="004511C8" w:rsidRDefault="00F921ED">
          <w:pPr>
            <w:pStyle w:val="TOC2"/>
            <w:tabs>
              <w:tab w:val="right" w:leader="dot" w:pos="9016"/>
            </w:tabs>
            <w:rPr>
              <w:rFonts w:ascii="Arial" w:eastAsiaTheme="minorEastAsia" w:hAnsi="Arial" w:cs="Arial"/>
              <w:noProof/>
              <w:sz w:val="22"/>
              <w:szCs w:val="22"/>
              <w:lang/>
            </w:rPr>
          </w:pPr>
          <w:hyperlink w:anchor="_Toc229082758" w:history="1">
            <w:r w:rsidRPr="004511C8">
              <w:rPr>
                <w:rStyle w:val="Hyperlink"/>
                <w:rFonts w:ascii="Arial" w:hAnsi="Arial" w:cs="Arial"/>
                <w:noProof/>
                <w:sz w:val="22"/>
                <w:szCs w:val="22"/>
              </w:rPr>
              <w:t>1.1 Introduction to the topic</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_Toc229082758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5</w:t>
            </w:r>
            <w:r w:rsidRPr="004511C8">
              <w:rPr>
                <w:rFonts w:ascii="Arial" w:hAnsi="Arial" w:cs="Arial"/>
                <w:noProof/>
                <w:webHidden/>
                <w:sz w:val="22"/>
                <w:szCs w:val="22"/>
              </w:rPr>
              <w:fldChar w:fldCharType="end"/>
            </w:r>
          </w:hyperlink>
        </w:p>
        <w:p w14:paraId="05E402A3" w14:textId="0FF35D35" w:rsidR="00F921ED" w:rsidRPr="004511C8" w:rsidRDefault="00F921ED">
          <w:pPr>
            <w:pStyle w:val="TOC2"/>
            <w:tabs>
              <w:tab w:val="right" w:leader="dot" w:pos="9016"/>
            </w:tabs>
            <w:rPr>
              <w:rFonts w:ascii="Arial" w:eastAsiaTheme="minorEastAsia" w:hAnsi="Arial" w:cs="Arial"/>
              <w:noProof/>
              <w:sz w:val="22"/>
              <w:szCs w:val="22"/>
              <w:lang/>
            </w:rPr>
          </w:pPr>
          <w:hyperlink w:anchor="_Toc229082759" w:history="1">
            <w:r w:rsidRPr="004511C8">
              <w:rPr>
                <w:rStyle w:val="Hyperlink"/>
                <w:rFonts w:ascii="Arial" w:hAnsi="Arial" w:cs="Arial"/>
                <w:noProof/>
                <w:sz w:val="22"/>
                <w:szCs w:val="22"/>
              </w:rPr>
              <w:t>1.2 Background and Current Context</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_Toc229082759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5</w:t>
            </w:r>
            <w:r w:rsidRPr="004511C8">
              <w:rPr>
                <w:rFonts w:ascii="Arial" w:hAnsi="Arial" w:cs="Arial"/>
                <w:noProof/>
                <w:webHidden/>
                <w:sz w:val="22"/>
                <w:szCs w:val="22"/>
              </w:rPr>
              <w:fldChar w:fldCharType="end"/>
            </w:r>
          </w:hyperlink>
        </w:p>
        <w:p w14:paraId="1745D885" w14:textId="182A802F" w:rsidR="00F921ED" w:rsidRPr="004511C8" w:rsidRDefault="00F921ED">
          <w:pPr>
            <w:pStyle w:val="TOC2"/>
            <w:tabs>
              <w:tab w:val="right" w:leader="dot" w:pos="9016"/>
            </w:tabs>
            <w:rPr>
              <w:rFonts w:ascii="Arial" w:eastAsiaTheme="minorEastAsia" w:hAnsi="Arial" w:cs="Arial"/>
              <w:noProof/>
              <w:sz w:val="22"/>
              <w:szCs w:val="22"/>
              <w:lang/>
            </w:rPr>
          </w:pPr>
          <w:hyperlink w:anchor="_Toc229082760" w:history="1">
            <w:r w:rsidRPr="004511C8">
              <w:rPr>
                <w:rStyle w:val="Hyperlink"/>
                <w:rFonts w:ascii="Arial" w:hAnsi="Arial" w:cs="Arial"/>
                <w:noProof/>
                <w:sz w:val="22"/>
                <w:szCs w:val="22"/>
              </w:rPr>
              <w:t>1.3 Rationale for Research or Problem Statement</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_Toc229082760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9</w:t>
            </w:r>
            <w:r w:rsidRPr="004511C8">
              <w:rPr>
                <w:rFonts w:ascii="Arial" w:hAnsi="Arial" w:cs="Arial"/>
                <w:noProof/>
                <w:webHidden/>
                <w:sz w:val="22"/>
                <w:szCs w:val="22"/>
              </w:rPr>
              <w:fldChar w:fldCharType="end"/>
            </w:r>
          </w:hyperlink>
        </w:p>
        <w:p w14:paraId="6D902DB8" w14:textId="3B5D4201" w:rsidR="00F921ED" w:rsidRPr="004511C8" w:rsidRDefault="00F921ED">
          <w:pPr>
            <w:pStyle w:val="TOC2"/>
            <w:tabs>
              <w:tab w:val="right" w:leader="dot" w:pos="9016"/>
            </w:tabs>
            <w:rPr>
              <w:rFonts w:ascii="Arial" w:eastAsiaTheme="minorEastAsia" w:hAnsi="Arial" w:cs="Arial"/>
              <w:noProof/>
              <w:sz w:val="22"/>
              <w:szCs w:val="22"/>
              <w:lang/>
            </w:rPr>
          </w:pPr>
          <w:hyperlink w:anchor="_Toc229082761" w:history="1">
            <w:r w:rsidRPr="004511C8">
              <w:rPr>
                <w:rStyle w:val="Hyperlink"/>
                <w:rFonts w:ascii="Arial" w:hAnsi="Arial" w:cs="Arial"/>
                <w:noProof/>
                <w:sz w:val="22"/>
                <w:szCs w:val="22"/>
              </w:rPr>
              <w:t>1.4 Research Question</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_Toc229082761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10</w:t>
            </w:r>
            <w:r w:rsidRPr="004511C8">
              <w:rPr>
                <w:rFonts w:ascii="Arial" w:hAnsi="Arial" w:cs="Arial"/>
                <w:noProof/>
                <w:webHidden/>
                <w:sz w:val="22"/>
                <w:szCs w:val="22"/>
              </w:rPr>
              <w:fldChar w:fldCharType="end"/>
            </w:r>
          </w:hyperlink>
        </w:p>
        <w:p w14:paraId="4F36F004" w14:textId="109B103F" w:rsidR="00F921ED" w:rsidRPr="004511C8" w:rsidRDefault="00F921ED">
          <w:pPr>
            <w:pStyle w:val="TOC2"/>
            <w:tabs>
              <w:tab w:val="right" w:leader="dot" w:pos="9016"/>
            </w:tabs>
            <w:rPr>
              <w:rFonts w:ascii="Arial" w:eastAsiaTheme="minorEastAsia" w:hAnsi="Arial" w:cs="Arial"/>
              <w:noProof/>
              <w:sz w:val="22"/>
              <w:szCs w:val="22"/>
              <w:lang/>
            </w:rPr>
          </w:pPr>
          <w:hyperlink w:anchor="_Toc229082762" w:history="1">
            <w:r w:rsidRPr="004511C8">
              <w:rPr>
                <w:rStyle w:val="Hyperlink"/>
                <w:rFonts w:ascii="Arial" w:hAnsi="Arial" w:cs="Arial"/>
                <w:noProof/>
                <w:sz w:val="22"/>
                <w:szCs w:val="22"/>
              </w:rPr>
              <w:t>1.5 Research Aim</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_Toc229082762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10</w:t>
            </w:r>
            <w:r w:rsidRPr="004511C8">
              <w:rPr>
                <w:rFonts w:ascii="Arial" w:hAnsi="Arial" w:cs="Arial"/>
                <w:noProof/>
                <w:webHidden/>
                <w:sz w:val="22"/>
                <w:szCs w:val="22"/>
              </w:rPr>
              <w:fldChar w:fldCharType="end"/>
            </w:r>
          </w:hyperlink>
        </w:p>
        <w:p w14:paraId="09A2B32E" w14:textId="3243ABFB" w:rsidR="00F921ED" w:rsidRPr="004511C8" w:rsidRDefault="00F921ED">
          <w:pPr>
            <w:pStyle w:val="TOC2"/>
            <w:tabs>
              <w:tab w:val="right" w:leader="dot" w:pos="9016"/>
            </w:tabs>
            <w:rPr>
              <w:rFonts w:ascii="Arial" w:eastAsiaTheme="minorEastAsia" w:hAnsi="Arial" w:cs="Arial"/>
              <w:noProof/>
              <w:sz w:val="22"/>
              <w:szCs w:val="22"/>
              <w:lang/>
            </w:rPr>
          </w:pPr>
          <w:hyperlink w:anchor="_Toc229082763" w:history="1">
            <w:r w:rsidRPr="004511C8">
              <w:rPr>
                <w:rStyle w:val="Hyperlink"/>
                <w:rFonts w:ascii="Arial" w:hAnsi="Arial" w:cs="Arial"/>
                <w:noProof/>
                <w:sz w:val="22"/>
                <w:szCs w:val="22"/>
              </w:rPr>
              <w:t>1.6 Research Objectives</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_Toc229082763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10</w:t>
            </w:r>
            <w:r w:rsidRPr="004511C8">
              <w:rPr>
                <w:rFonts w:ascii="Arial" w:hAnsi="Arial" w:cs="Arial"/>
                <w:noProof/>
                <w:webHidden/>
                <w:sz w:val="22"/>
                <w:szCs w:val="22"/>
              </w:rPr>
              <w:fldChar w:fldCharType="end"/>
            </w:r>
          </w:hyperlink>
        </w:p>
        <w:p w14:paraId="41C0AA80" w14:textId="7A6D615C" w:rsidR="00F921ED" w:rsidRPr="004511C8" w:rsidRDefault="00F921ED">
          <w:pPr>
            <w:pStyle w:val="TOC2"/>
            <w:tabs>
              <w:tab w:val="right" w:leader="dot" w:pos="9016"/>
            </w:tabs>
            <w:rPr>
              <w:rFonts w:ascii="Arial" w:eastAsiaTheme="minorEastAsia" w:hAnsi="Arial" w:cs="Arial"/>
              <w:noProof/>
              <w:sz w:val="22"/>
              <w:szCs w:val="22"/>
              <w:lang/>
            </w:rPr>
          </w:pPr>
          <w:hyperlink w:anchor="_Toc229082764" w:history="1">
            <w:r w:rsidRPr="004511C8">
              <w:rPr>
                <w:rStyle w:val="Hyperlink"/>
                <w:rFonts w:ascii="Arial" w:hAnsi="Arial" w:cs="Arial"/>
                <w:noProof/>
                <w:sz w:val="22"/>
                <w:szCs w:val="22"/>
              </w:rPr>
              <w:t>1.7 Chapter Summary</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_Toc229082764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11</w:t>
            </w:r>
            <w:r w:rsidRPr="004511C8">
              <w:rPr>
                <w:rFonts w:ascii="Arial" w:hAnsi="Arial" w:cs="Arial"/>
                <w:noProof/>
                <w:webHidden/>
                <w:sz w:val="22"/>
                <w:szCs w:val="22"/>
              </w:rPr>
              <w:fldChar w:fldCharType="end"/>
            </w:r>
          </w:hyperlink>
        </w:p>
        <w:p w14:paraId="1759D295" w14:textId="2A9BF7AC" w:rsidR="00F921ED" w:rsidRPr="004511C8" w:rsidRDefault="00F921ED">
          <w:pPr>
            <w:pStyle w:val="TOC1"/>
            <w:tabs>
              <w:tab w:val="right" w:leader="dot" w:pos="9016"/>
            </w:tabs>
            <w:rPr>
              <w:rFonts w:ascii="Arial" w:eastAsiaTheme="minorEastAsia" w:hAnsi="Arial" w:cs="Arial"/>
              <w:noProof/>
              <w:sz w:val="22"/>
              <w:szCs w:val="22"/>
              <w:lang/>
            </w:rPr>
          </w:pPr>
          <w:hyperlink w:anchor="_Toc229082765" w:history="1">
            <w:r w:rsidRPr="004511C8">
              <w:rPr>
                <w:rStyle w:val="Hyperlink"/>
                <w:rFonts w:ascii="Arial" w:hAnsi="Arial" w:cs="Arial"/>
                <w:noProof/>
                <w:sz w:val="22"/>
                <w:szCs w:val="22"/>
              </w:rPr>
              <w:t>CHAPTER 2: LITERATURE REVIEW</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_Toc229082765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12</w:t>
            </w:r>
            <w:r w:rsidRPr="004511C8">
              <w:rPr>
                <w:rFonts w:ascii="Arial" w:hAnsi="Arial" w:cs="Arial"/>
                <w:noProof/>
                <w:webHidden/>
                <w:sz w:val="22"/>
                <w:szCs w:val="22"/>
              </w:rPr>
              <w:fldChar w:fldCharType="end"/>
            </w:r>
          </w:hyperlink>
        </w:p>
        <w:p w14:paraId="6BF06F0D" w14:textId="158EFDE4" w:rsidR="00F921ED" w:rsidRPr="004511C8" w:rsidRDefault="00F921ED">
          <w:pPr>
            <w:pStyle w:val="TOC2"/>
            <w:tabs>
              <w:tab w:val="right" w:leader="dot" w:pos="9016"/>
            </w:tabs>
            <w:rPr>
              <w:rFonts w:ascii="Arial" w:eastAsiaTheme="minorEastAsia" w:hAnsi="Arial" w:cs="Arial"/>
              <w:noProof/>
              <w:sz w:val="22"/>
              <w:szCs w:val="22"/>
              <w:lang/>
            </w:rPr>
          </w:pPr>
          <w:hyperlink w:anchor="_Toc229082766" w:history="1">
            <w:r w:rsidRPr="004511C8">
              <w:rPr>
                <w:rStyle w:val="Hyperlink"/>
                <w:rFonts w:ascii="Arial" w:hAnsi="Arial" w:cs="Arial"/>
                <w:noProof/>
                <w:sz w:val="22"/>
                <w:szCs w:val="22"/>
              </w:rPr>
              <w:t>2.1 Introduction to Literature Review Chapter</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_Toc229082766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12</w:t>
            </w:r>
            <w:r w:rsidRPr="004511C8">
              <w:rPr>
                <w:rFonts w:ascii="Arial" w:hAnsi="Arial" w:cs="Arial"/>
                <w:noProof/>
                <w:webHidden/>
                <w:sz w:val="22"/>
                <w:szCs w:val="22"/>
              </w:rPr>
              <w:fldChar w:fldCharType="end"/>
            </w:r>
          </w:hyperlink>
        </w:p>
        <w:p w14:paraId="01E12629" w14:textId="303237BE" w:rsidR="00F921ED" w:rsidRPr="004511C8" w:rsidRDefault="00F921ED">
          <w:pPr>
            <w:pStyle w:val="TOC2"/>
            <w:tabs>
              <w:tab w:val="right" w:leader="dot" w:pos="9016"/>
            </w:tabs>
            <w:rPr>
              <w:rFonts w:ascii="Arial" w:eastAsiaTheme="minorEastAsia" w:hAnsi="Arial" w:cs="Arial"/>
              <w:noProof/>
              <w:sz w:val="22"/>
              <w:szCs w:val="22"/>
              <w:lang/>
            </w:rPr>
          </w:pPr>
          <w:hyperlink w:anchor="_Toc229082767" w:history="1">
            <w:r w:rsidRPr="004511C8">
              <w:rPr>
                <w:rStyle w:val="Hyperlink"/>
                <w:rFonts w:ascii="Arial" w:hAnsi="Arial" w:cs="Arial"/>
                <w:noProof/>
                <w:sz w:val="22"/>
                <w:szCs w:val="22"/>
              </w:rPr>
              <w:t>2.2 Literature Review</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_Toc229082767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12</w:t>
            </w:r>
            <w:r w:rsidRPr="004511C8">
              <w:rPr>
                <w:rFonts w:ascii="Arial" w:hAnsi="Arial" w:cs="Arial"/>
                <w:noProof/>
                <w:webHidden/>
                <w:sz w:val="22"/>
                <w:szCs w:val="22"/>
              </w:rPr>
              <w:fldChar w:fldCharType="end"/>
            </w:r>
          </w:hyperlink>
        </w:p>
        <w:p w14:paraId="35819DAE" w14:textId="0DD80F4C" w:rsidR="00F921ED" w:rsidRPr="004511C8" w:rsidRDefault="00F921ED">
          <w:pPr>
            <w:pStyle w:val="TOC2"/>
            <w:tabs>
              <w:tab w:val="right" w:leader="dot" w:pos="9016"/>
            </w:tabs>
            <w:rPr>
              <w:rFonts w:ascii="Arial" w:eastAsiaTheme="minorEastAsia" w:hAnsi="Arial" w:cs="Arial"/>
              <w:noProof/>
              <w:sz w:val="22"/>
              <w:szCs w:val="22"/>
              <w:lang/>
            </w:rPr>
          </w:pPr>
          <w:hyperlink w:anchor="_Toc229082768" w:history="1">
            <w:r w:rsidRPr="004511C8">
              <w:rPr>
                <w:rStyle w:val="Hyperlink"/>
                <w:rFonts w:ascii="Arial" w:hAnsi="Arial" w:cs="Arial"/>
                <w:noProof/>
                <w:sz w:val="22"/>
                <w:szCs w:val="22"/>
              </w:rPr>
              <w:t>2.3 Chapter Summary</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_Toc229082768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17</w:t>
            </w:r>
            <w:r w:rsidRPr="004511C8">
              <w:rPr>
                <w:rFonts w:ascii="Arial" w:hAnsi="Arial" w:cs="Arial"/>
                <w:noProof/>
                <w:webHidden/>
                <w:sz w:val="22"/>
                <w:szCs w:val="22"/>
              </w:rPr>
              <w:fldChar w:fldCharType="end"/>
            </w:r>
          </w:hyperlink>
        </w:p>
        <w:p w14:paraId="488AEB30" w14:textId="1A640EFC" w:rsidR="00F921ED" w:rsidRPr="004511C8" w:rsidRDefault="00F921ED">
          <w:pPr>
            <w:pStyle w:val="TOC1"/>
            <w:tabs>
              <w:tab w:val="right" w:leader="dot" w:pos="9016"/>
            </w:tabs>
            <w:rPr>
              <w:rFonts w:ascii="Arial" w:eastAsiaTheme="minorEastAsia" w:hAnsi="Arial" w:cs="Arial"/>
              <w:noProof/>
              <w:sz w:val="22"/>
              <w:szCs w:val="22"/>
              <w:lang/>
            </w:rPr>
          </w:pPr>
          <w:hyperlink w:anchor="_Toc229082769" w:history="1">
            <w:r w:rsidRPr="004511C8">
              <w:rPr>
                <w:rStyle w:val="Hyperlink"/>
                <w:rFonts w:ascii="Arial" w:hAnsi="Arial" w:cs="Arial"/>
                <w:noProof/>
                <w:sz w:val="22"/>
                <w:szCs w:val="22"/>
              </w:rPr>
              <w:t>CHAPTER 3: METHODOLOGY</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_Toc229082769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18</w:t>
            </w:r>
            <w:r w:rsidRPr="004511C8">
              <w:rPr>
                <w:rFonts w:ascii="Arial" w:hAnsi="Arial" w:cs="Arial"/>
                <w:noProof/>
                <w:webHidden/>
                <w:sz w:val="22"/>
                <w:szCs w:val="22"/>
              </w:rPr>
              <w:fldChar w:fldCharType="end"/>
            </w:r>
          </w:hyperlink>
        </w:p>
        <w:p w14:paraId="146D6C27" w14:textId="03B28831" w:rsidR="00F921ED" w:rsidRPr="004511C8" w:rsidRDefault="00F921ED">
          <w:pPr>
            <w:pStyle w:val="TOC2"/>
            <w:tabs>
              <w:tab w:val="right" w:leader="dot" w:pos="9016"/>
            </w:tabs>
            <w:rPr>
              <w:rFonts w:ascii="Arial" w:eastAsiaTheme="minorEastAsia" w:hAnsi="Arial" w:cs="Arial"/>
              <w:noProof/>
              <w:sz w:val="22"/>
              <w:szCs w:val="22"/>
              <w:lang/>
            </w:rPr>
          </w:pPr>
          <w:hyperlink w:anchor="_Toc229082770" w:history="1">
            <w:r w:rsidRPr="004511C8">
              <w:rPr>
                <w:rStyle w:val="Hyperlink"/>
                <w:rFonts w:ascii="Arial" w:hAnsi="Arial" w:cs="Arial"/>
                <w:noProof/>
                <w:sz w:val="22"/>
                <w:szCs w:val="22"/>
              </w:rPr>
              <w:t>3.1 Introduction to Chapter</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_Toc229082770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18</w:t>
            </w:r>
            <w:r w:rsidRPr="004511C8">
              <w:rPr>
                <w:rFonts w:ascii="Arial" w:hAnsi="Arial" w:cs="Arial"/>
                <w:noProof/>
                <w:webHidden/>
                <w:sz w:val="22"/>
                <w:szCs w:val="22"/>
              </w:rPr>
              <w:fldChar w:fldCharType="end"/>
            </w:r>
          </w:hyperlink>
        </w:p>
        <w:p w14:paraId="44DAD43B" w14:textId="1762AA4E" w:rsidR="00F921ED" w:rsidRPr="004511C8" w:rsidRDefault="00F921ED">
          <w:pPr>
            <w:pStyle w:val="TOC2"/>
            <w:tabs>
              <w:tab w:val="right" w:leader="dot" w:pos="9016"/>
            </w:tabs>
            <w:rPr>
              <w:rFonts w:ascii="Arial" w:eastAsiaTheme="minorEastAsia" w:hAnsi="Arial" w:cs="Arial"/>
              <w:noProof/>
              <w:sz w:val="22"/>
              <w:szCs w:val="22"/>
              <w:lang/>
            </w:rPr>
          </w:pPr>
          <w:hyperlink w:anchor="_Toc229082771" w:history="1">
            <w:r w:rsidRPr="004511C8">
              <w:rPr>
                <w:rStyle w:val="Hyperlink"/>
                <w:rFonts w:ascii="Arial" w:hAnsi="Arial" w:cs="Arial"/>
                <w:noProof/>
                <w:sz w:val="22"/>
                <w:szCs w:val="22"/>
              </w:rPr>
              <w:t>3.2 Systematic Literature Review (SLR)</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_Toc229082771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18</w:t>
            </w:r>
            <w:r w:rsidRPr="004511C8">
              <w:rPr>
                <w:rFonts w:ascii="Arial" w:hAnsi="Arial" w:cs="Arial"/>
                <w:noProof/>
                <w:webHidden/>
                <w:sz w:val="22"/>
                <w:szCs w:val="22"/>
              </w:rPr>
              <w:fldChar w:fldCharType="end"/>
            </w:r>
          </w:hyperlink>
        </w:p>
        <w:p w14:paraId="1A0CC0E4" w14:textId="1E7C4E2A" w:rsidR="00F921ED" w:rsidRPr="004511C8" w:rsidRDefault="00F921ED">
          <w:pPr>
            <w:pStyle w:val="TOC2"/>
            <w:tabs>
              <w:tab w:val="right" w:leader="dot" w:pos="9016"/>
            </w:tabs>
            <w:rPr>
              <w:rFonts w:ascii="Arial" w:eastAsiaTheme="minorEastAsia" w:hAnsi="Arial" w:cs="Arial"/>
              <w:noProof/>
              <w:sz w:val="22"/>
              <w:szCs w:val="22"/>
              <w:lang/>
            </w:rPr>
          </w:pPr>
          <w:hyperlink w:anchor="_Toc229082772" w:history="1">
            <w:r w:rsidRPr="004511C8">
              <w:rPr>
                <w:rStyle w:val="Hyperlink"/>
                <w:rFonts w:ascii="Arial" w:hAnsi="Arial" w:cs="Arial"/>
                <w:noProof/>
                <w:sz w:val="22"/>
                <w:szCs w:val="22"/>
              </w:rPr>
              <w:t>3.3 Search Strategy</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_Toc229082772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19</w:t>
            </w:r>
            <w:r w:rsidRPr="004511C8">
              <w:rPr>
                <w:rFonts w:ascii="Arial" w:hAnsi="Arial" w:cs="Arial"/>
                <w:noProof/>
                <w:webHidden/>
                <w:sz w:val="22"/>
                <w:szCs w:val="22"/>
              </w:rPr>
              <w:fldChar w:fldCharType="end"/>
            </w:r>
          </w:hyperlink>
        </w:p>
        <w:p w14:paraId="76509C0E" w14:textId="2BF22AF3" w:rsidR="00F921ED" w:rsidRPr="004511C8" w:rsidRDefault="00F921ED">
          <w:pPr>
            <w:pStyle w:val="TOC2"/>
            <w:tabs>
              <w:tab w:val="right" w:leader="dot" w:pos="9016"/>
            </w:tabs>
            <w:rPr>
              <w:rFonts w:ascii="Arial" w:eastAsiaTheme="minorEastAsia" w:hAnsi="Arial" w:cs="Arial"/>
              <w:noProof/>
              <w:sz w:val="22"/>
              <w:szCs w:val="22"/>
              <w:lang/>
            </w:rPr>
          </w:pPr>
          <w:hyperlink w:anchor="_Toc229082773" w:history="1">
            <w:r w:rsidRPr="004511C8">
              <w:rPr>
                <w:rStyle w:val="Hyperlink"/>
                <w:rFonts w:ascii="Arial" w:hAnsi="Arial" w:cs="Arial"/>
                <w:noProof/>
                <w:sz w:val="22"/>
                <w:szCs w:val="22"/>
              </w:rPr>
              <w:t>3.4 Search Terms</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_Toc229082773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20</w:t>
            </w:r>
            <w:r w:rsidRPr="004511C8">
              <w:rPr>
                <w:rFonts w:ascii="Arial" w:hAnsi="Arial" w:cs="Arial"/>
                <w:noProof/>
                <w:webHidden/>
                <w:sz w:val="22"/>
                <w:szCs w:val="22"/>
              </w:rPr>
              <w:fldChar w:fldCharType="end"/>
            </w:r>
          </w:hyperlink>
        </w:p>
        <w:p w14:paraId="0D7FABE4" w14:textId="6B70875D" w:rsidR="00F921ED" w:rsidRPr="004511C8" w:rsidRDefault="00F921ED">
          <w:pPr>
            <w:pStyle w:val="TOC2"/>
            <w:tabs>
              <w:tab w:val="right" w:leader="dot" w:pos="9016"/>
            </w:tabs>
            <w:rPr>
              <w:rFonts w:ascii="Arial" w:eastAsiaTheme="minorEastAsia" w:hAnsi="Arial" w:cs="Arial"/>
              <w:noProof/>
              <w:sz w:val="22"/>
              <w:szCs w:val="22"/>
              <w:lang/>
            </w:rPr>
          </w:pPr>
          <w:hyperlink w:anchor="_Toc229082774" w:history="1">
            <w:r w:rsidRPr="004511C8">
              <w:rPr>
                <w:rStyle w:val="Hyperlink"/>
                <w:rFonts w:ascii="Arial" w:hAnsi="Arial" w:cs="Arial"/>
                <w:noProof/>
                <w:sz w:val="22"/>
                <w:szCs w:val="22"/>
              </w:rPr>
              <w:t>3.5 Key Words</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_Toc229082774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21</w:t>
            </w:r>
            <w:r w:rsidRPr="004511C8">
              <w:rPr>
                <w:rFonts w:ascii="Arial" w:hAnsi="Arial" w:cs="Arial"/>
                <w:noProof/>
                <w:webHidden/>
                <w:sz w:val="22"/>
                <w:szCs w:val="22"/>
              </w:rPr>
              <w:fldChar w:fldCharType="end"/>
            </w:r>
          </w:hyperlink>
        </w:p>
        <w:p w14:paraId="75F20565" w14:textId="1769FC7A" w:rsidR="00F921ED" w:rsidRPr="004511C8" w:rsidRDefault="00F921ED">
          <w:pPr>
            <w:pStyle w:val="TOC2"/>
            <w:tabs>
              <w:tab w:val="right" w:leader="dot" w:pos="9016"/>
            </w:tabs>
            <w:rPr>
              <w:rFonts w:ascii="Arial" w:eastAsiaTheme="minorEastAsia" w:hAnsi="Arial" w:cs="Arial"/>
              <w:noProof/>
              <w:sz w:val="22"/>
              <w:szCs w:val="22"/>
              <w:lang/>
            </w:rPr>
          </w:pPr>
          <w:hyperlink w:anchor="_Toc229082775" w:history="1">
            <w:r w:rsidRPr="004511C8">
              <w:rPr>
                <w:rStyle w:val="Hyperlink"/>
                <w:rFonts w:ascii="Arial" w:hAnsi="Arial" w:cs="Arial"/>
                <w:noProof/>
                <w:sz w:val="22"/>
                <w:szCs w:val="22"/>
              </w:rPr>
              <w:t>3.6 Databases</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_Toc229082775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21</w:t>
            </w:r>
            <w:r w:rsidRPr="004511C8">
              <w:rPr>
                <w:rFonts w:ascii="Arial" w:hAnsi="Arial" w:cs="Arial"/>
                <w:noProof/>
                <w:webHidden/>
                <w:sz w:val="22"/>
                <w:szCs w:val="22"/>
              </w:rPr>
              <w:fldChar w:fldCharType="end"/>
            </w:r>
          </w:hyperlink>
        </w:p>
        <w:p w14:paraId="60C5DD0A" w14:textId="3444CB08" w:rsidR="00F921ED" w:rsidRPr="004511C8" w:rsidRDefault="00F921ED">
          <w:pPr>
            <w:pStyle w:val="TOC2"/>
            <w:tabs>
              <w:tab w:val="right" w:leader="dot" w:pos="9016"/>
            </w:tabs>
            <w:rPr>
              <w:rFonts w:ascii="Arial" w:eastAsiaTheme="minorEastAsia" w:hAnsi="Arial" w:cs="Arial"/>
              <w:noProof/>
              <w:sz w:val="22"/>
              <w:szCs w:val="22"/>
              <w:lang/>
            </w:rPr>
          </w:pPr>
          <w:hyperlink w:anchor="_Toc229082776" w:history="1">
            <w:r w:rsidRPr="004511C8">
              <w:rPr>
                <w:rStyle w:val="Hyperlink"/>
                <w:rFonts w:ascii="Arial" w:hAnsi="Arial" w:cs="Arial"/>
                <w:noProof/>
                <w:sz w:val="22"/>
                <w:szCs w:val="22"/>
              </w:rPr>
              <w:t>3.7 Inclusion/Exclusion Criteria</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_Toc229082776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22</w:t>
            </w:r>
            <w:r w:rsidRPr="004511C8">
              <w:rPr>
                <w:rFonts w:ascii="Arial" w:hAnsi="Arial" w:cs="Arial"/>
                <w:noProof/>
                <w:webHidden/>
                <w:sz w:val="22"/>
                <w:szCs w:val="22"/>
              </w:rPr>
              <w:fldChar w:fldCharType="end"/>
            </w:r>
          </w:hyperlink>
        </w:p>
        <w:p w14:paraId="21BDB176" w14:textId="4D335877" w:rsidR="00F921ED" w:rsidRPr="004511C8" w:rsidRDefault="00F921ED">
          <w:pPr>
            <w:pStyle w:val="TOC3"/>
            <w:tabs>
              <w:tab w:val="right" w:leader="dot" w:pos="9016"/>
            </w:tabs>
            <w:rPr>
              <w:rFonts w:ascii="Arial" w:eastAsiaTheme="minorEastAsia" w:hAnsi="Arial" w:cs="Arial"/>
              <w:noProof/>
              <w:sz w:val="22"/>
              <w:szCs w:val="22"/>
              <w:lang/>
            </w:rPr>
          </w:pPr>
          <w:hyperlink w:anchor="_Toc229082777" w:history="1">
            <w:r w:rsidRPr="004511C8">
              <w:rPr>
                <w:rStyle w:val="Hyperlink"/>
                <w:rFonts w:ascii="Arial" w:hAnsi="Arial" w:cs="Arial"/>
                <w:noProof/>
                <w:sz w:val="22"/>
                <w:szCs w:val="22"/>
              </w:rPr>
              <w:t>Inclusion Criteria</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_Toc229082777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22</w:t>
            </w:r>
            <w:r w:rsidRPr="004511C8">
              <w:rPr>
                <w:rFonts w:ascii="Arial" w:hAnsi="Arial" w:cs="Arial"/>
                <w:noProof/>
                <w:webHidden/>
                <w:sz w:val="22"/>
                <w:szCs w:val="22"/>
              </w:rPr>
              <w:fldChar w:fldCharType="end"/>
            </w:r>
          </w:hyperlink>
        </w:p>
        <w:p w14:paraId="054DB3C5" w14:textId="304C1127" w:rsidR="00F921ED" w:rsidRPr="004511C8" w:rsidRDefault="00F921ED">
          <w:pPr>
            <w:pStyle w:val="TOC3"/>
            <w:tabs>
              <w:tab w:val="right" w:leader="dot" w:pos="9016"/>
            </w:tabs>
            <w:rPr>
              <w:rFonts w:ascii="Arial" w:eastAsiaTheme="minorEastAsia" w:hAnsi="Arial" w:cs="Arial"/>
              <w:noProof/>
              <w:sz w:val="22"/>
              <w:szCs w:val="22"/>
              <w:lang/>
            </w:rPr>
          </w:pPr>
          <w:hyperlink w:anchor="_Toc229082778" w:history="1">
            <w:r w:rsidRPr="004511C8">
              <w:rPr>
                <w:rStyle w:val="Hyperlink"/>
                <w:rFonts w:ascii="Arial" w:hAnsi="Arial" w:cs="Arial"/>
                <w:noProof/>
                <w:sz w:val="22"/>
                <w:szCs w:val="22"/>
              </w:rPr>
              <w:t>Exclusion Criteria</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_Toc229082778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23</w:t>
            </w:r>
            <w:r w:rsidRPr="004511C8">
              <w:rPr>
                <w:rFonts w:ascii="Arial" w:hAnsi="Arial" w:cs="Arial"/>
                <w:noProof/>
                <w:webHidden/>
                <w:sz w:val="22"/>
                <w:szCs w:val="22"/>
              </w:rPr>
              <w:fldChar w:fldCharType="end"/>
            </w:r>
          </w:hyperlink>
        </w:p>
        <w:p w14:paraId="10F62D03" w14:textId="783CDBE8" w:rsidR="00F921ED" w:rsidRPr="004511C8" w:rsidRDefault="00F921ED">
          <w:pPr>
            <w:pStyle w:val="TOC2"/>
            <w:tabs>
              <w:tab w:val="right" w:leader="dot" w:pos="9016"/>
            </w:tabs>
            <w:rPr>
              <w:rFonts w:ascii="Arial" w:eastAsiaTheme="minorEastAsia" w:hAnsi="Arial" w:cs="Arial"/>
              <w:noProof/>
              <w:sz w:val="22"/>
              <w:szCs w:val="22"/>
              <w:lang/>
            </w:rPr>
          </w:pPr>
          <w:hyperlink w:anchor="_Toc229082779" w:history="1">
            <w:r w:rsidRPr="004511C8">
              <w:rPr>
                <w:rStyle w:val="Hyperlink"/>
                <w:rFonts w:ascii="Arial" w:hAnsi="Arial" w:cs="Arial"/>
                <w:noProof/>
                <w:sz w:val="22"/>
                <w:szCs w:val="22"/>
              </w:rPr>
              <w:t>3.8 Search Results</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_Toc229082779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23</w:t>
            </w:r>
            <w:r w:rsidRPr="004511C8">
              <w:rPr>
                <w:rFonts w:ascii="Arial" w:hAnsi="Arial" w:cs="Arial"/>
                <w:noProof/>
                <w:webHidden/>
                <w:sz w:val="22"/>
                <w:szCs w:val="22"/>
              </w:rPr>
              <w:fldChar w:fldCharType="end"/>
            </w:r>
          </w:hyperlink>
        </w:p>
        <w:p w14:paraId="4F299884" w14:textId="4D19CD04" w:rsidR="00F921ED" w:rsidRPr="004511C8" w:rsidRDefault="00F921ED">
          <w:pPr>
            <w:pStyle w:val="TOC2"/>
            <w:tabs>
              <w:tab w:val="right" w:leader="dot" w:pos="9016"/>
            </w:tabs>
            <w:rPr>
              <w:rFonts w:ascii="Arial" w:eastAsiaTheme="minorEastAsia" w:hAnsi="Arial" w:cs="Arial"/>
              <w:noProof/>
              <w:sz w:val="22"/>
              <w:szCs w:val="22"/>
              <w:lang/>
            </w:rPr>
          </w:pPr>
          <w:hyperlink w:anchor="_Toc229082780" w:history="1">
            <w:r w:rsidRPr="004511C8">
              <w:rPr>
                <w:rStyle w:val="Hyperlink"/>
                <w:rFonts w:ascii="Arial" w:hAnsi="Arial" w:cs="Arial"/>
                <w:noProof/>
                <w:sz w:val="22"/>
                <w:szCs w:val="22"/>
              </w:rPr>
              <w:t>3.9 Ethical Considerations</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_Toc229082780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24</w:t>
            </w:r>
            <w:r w:rsidRPr="004511C8">
              <w:rPr>
                <w:rFonts w:ascii="Arial" w:hAnsi="Arial" w:cs="Arial"/>
                <w:noProof/>
                <w:webHidden/>
                <w:sz w:val="22"/>
                <w:szCs w:val="22"/>
              </w:rPr>
              <w:fldChar w:fldCharType="end"/>
            </w:r>
          </w:hyperlink>
        </w:p>
        <w:p w14:paraId="09CCE449" w14:textId="79AD0820" w:rsidR="00F921ED" w:rsidRPr="004511C8" w:rsidRDefault="00F921ED">
          <w:pPr>
            <w:pStyle w:val="TOC2"/>
            <w:tabs>
              <w:tab w:val="right" w:leader="dot" w:pos="9016"/>
            </w:tabs>
            <w:rPr>
              <w:rFonts w:ascii="Arial" w:eastAsiaTheme="minorEastAsia" w:hAnsi="Arial" w:cs="Arial"/>
              <w:noProof/>
              <w:sz w:val="22"/>
              <w:szCs w:val="22"/>
              <w:lang/>
            </w:rPr>
          </w:pPr>
          <w:hyperlink w:anchor="_Toc229082781" w:history="1">
            <w:r w:rsidRPr="004511C8">
              <w:rPr>
                <w:rStyle w:val="Hyperlink"/>
                <w:rFonts w:ascii="Arial" w:hAnsi="Arial" w:cs="Arial"/>
                <w:noProof/>
                <w:sz w:val="22"/>
                <w:szCs w:val="22"/>
              </w:rPr>
              <w:t>3.10 Chapter Summary</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_Toc229082781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25</w:t>
            </w:r>
            <w:r w:rsidRPr="004511C8">
              <w:rPr>
                <w:rFonts w:ascii="Arial" w:hAnsi="Arial" w:cs="Arial"/>
                <w:noProof/>
                <w:webHidden/>
                <w:sz w:val="22"/>
                <w:szCs w:val="22"/>
              </w:rPr>
              <w:fldChar w:fldCharType="end"/>
            </w:r>
          </w:hyperlink>
        </w:p>
        <w:p w14:paraId="145E8051" w14:textId="5512978E" w:rsidR="00F921ED" w:rsidRPr="004511C8" w:rsidRDefault="00F921ED">
          <w:pPr>
            <w:pStyle w:val="TOC1"/>
            <w:tabs>
              <w:tab w:val="right" w:leader="dot" w:pos="9016"/>
            </w:tabs>
            <w:rPr>
              <w:rFonts w:ascii="Arial" w:eastAsiaTheme="minorEastAsia" w:hAnsi="Arial" w:cs="Arial"/>
              <w:noProof/>
              <w:sz w:val="22"/>
              <w:szCs w:val="22"/>
              <w:lang/>
            </w:rPr>
          </w:pPr>
          <w:hyperlink w:anchor="_Toc229082782" w:history="1">
            <w:r w:rsidRPr="004511C8">
              <w:rPr>
                <w:rStyle w:val="Hyperlink"/>
                <w:rFonts w:ascii="Arial" w:hAnsi="Arial" w:cs="Arial"/>
                <w:noProof/>
                <w:sz w:val="22"/>
                <w:szCs w:val="22"/>
              </w:rPr>
              <w:t>CHAPTER 4: DATA EXTRACTION AND EVALUATION</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_Toc229082782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26</w:t>
            </w:r>
            <w:r w:rsidRPr="004511C8">
              <w:rPr>
                <w:rFonts w:ascii="Arial" w:hAnsi="Arial" w:cs="Arial"/>
                <w:noProof/>
                <w:webHidden/>
                <w:sz w:val="22"/>
                <w:szCs w:val="22"/>
              </w:rPr>
              <w:fldChar w:fldCharType="end"/>
            </w:r>
          </w:hyperlink>
        </w:p>
        <w:p w14:paraId="086D54F5" w14:textId="3593B23C" w:rsidR="00F921ED" w:rsidRPr="004511C8" w:rsidRDefault="00F921ED">
          <w:pPr>
            <w:pStyle w:val="TOC2"/>
            <w:tabs>
              <w:tab w:val="right" w:leader="dot" w:pos="9016"/>
            </w:tabs>
            <w:rPr>
              <w:rFonts w:ascii="Arial" w:eastAsiaTheme="minorEastAsia" w:hAnsi="Arial" w:cs="Arial"/>
              <w:noProof/>
              <w:sz w:val="22"/>
              <w:szCs w:val="22"/>
              <w:lang/>
            </w:rPr>
          </w:pPr>
          <w:hyperlink w:anchor="_Toc229082783" w:history="1">
            <w:r w:rsidRPr="004511C8">
              <w:rPr>
                <w:rStyle w:val="Hyperlink"/>
                <w:rFonts w:ascii="Arial" w:hAnsi="Arial" w:cs="Arial"/>
                <w:noProof/>
                <w:sz w:val="22"/>
                <w:szCs w:val="22"/>
              </w:rPr>
              <w:t>4.1 Introduction to Chapter</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_Toc229082783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26</w:t>
            </w:r>
            <w:r w:rsidRPr="004511C8">
              <w:rPr>
                <w:rFonts w:ascii="Arial" w:hAnsi="Arial" w:cs="Arial"/>
                <w:noProof/>
                <w:webHidden/>
                <w:sz w:val="22"/>
                <w:szCs w:val="22"/>
              </w:rPr>
              <w:fldChar w:fldCharType="end"/>
            </w:r>
          </w:hyperlink>
        </w:p>
        <w:p w14:paraId="6560F0F3" w14:textId="1A1CD35B" w:rsidR="00F921ED" w:rsidRPr="004511C8" w:rsidRDefault="00F921ED">
          <w:pPr>
            <w:pStyle w:val="TOC2"/>
            <w:tabs>
              <w:tab w:val="right" w:leader="dot" w:pos="9016"/>
            </w:tabs>
            <w:rPr>
              <w:rFonts w:ascii="Arial" w:eastAsiaTheme="minorEastAsia" w:hAnsi="Arial" w:cs="Arial"/>
              <w:noProof/>
              <w:sz w:val="22"/>
              <w:szCs w:val="22"/>
              <w:lang/>
            </w:rPr>
          </w:pPr>
          <w:hyperlink w:anchor="_Toc229082784" w:history="1">
            <w:r w:rsidRPr="004511C8">
              <w:rPr>
                <w:rStyle w:val="Hyperlink"/>
                <w:rFonts w:ascii="Arial" w:hAnsi="Arial" w:cs="Arial"/>
                <w:noProof/>
                <w:sz w:val="22"/>
                <w:szCs w:val="22"/>
              </w:rPr>
              <w:t>4.2 Data Extraction</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_Toc229082784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26</w:t>
            </w:r>
            <w:r w:rsidRPr="004511C8">
              <w:rPr>
                <w:rFonts w:ascii="Arial" w:hAnsi="Arial" w:cs="Arial"/>
                <w:noProof/>
                <w:webHidden/>
                <w:sz w:val="22"/>
                <w:szCs w:val="22"/>
              </w:rPr>
              <w:fldChar w:fldCharType="end"/>
            </w:r>
          </w:hyperlink>
        </w:p>
        <w:p w14:paraId="53089216" w14:textId="1149C92B" w:rsidR="00F921ED" w:rsidRPr="004511C8" w:rsidRDefault="00F921ED">
          <w:pPr>
            <w:pStyle w:val="TOC2"/>
            <w:tabs>
              <w:tab w:val="right" w:leader="dot" w:pos="9016"/>
            </w:tabs>
            <w:rPr>
              <w:rFonts w:ascii="Arial" w:eastAsiaTheme="minorEastAsia" w:hAnsi="Arial" w:cs="Arial"/>
              <w:noProof/>
              <w:sz w:val="22"/>
              <w:szCs w:val="22"/>
              <w:lang/>
            </w:rPr>
          </w:pPr>
          <w:hyperlink w:anchor="_Toc229082785" w:history="1">
            <w:r w:rsidRPr="004511C8">
              <w:rPr>
                <w:rStyle w:val="Hyperlink"/>
                <w:rFonts w:ascii="Arial" w:hAnsi="Arial" w:cs="Arial"/>
                <w:noProof/>
                <w:sz w:val="22"/>
                <w:szCs w:val="22"/>
              </w:rPr>
              <w:t>4.3 Brief Introduction to Critical Appraisal and Paper Quality Assessment</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_Toc229082785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26</w:t>
            </w:r>
            <w:r w:rsidRPr="004511C8">
              <w:rPr>
                <w:rFonts w:ascii="Arial" w:hAnsi="Arial" w:cs="Arial"/>
                <w:noProof/>
                <w:webHidden/>
                <w:sz w:val="22"/>
                <w:szCs w:val="22"/>
              </w:rPr>
              <w:fldChar w:fldCharType="end"/>
            </w:r>
          </w:hyperlink>
        </w:p>
        <w:p w14:paraId="0AD940D8" w14:textId="4F23ECBB" w:rsidR="00F921ED" w:rsidRPr="004511C8" w:rsidRDefault="00F921ED">
          <w:pPr>
            <w:pStyle w:val="TOC2"/>
            <w:tabs>
              <w:tab w:val="right" w:leader="dot" w:pos="9016"/>
            </w:tabs>
            <w:rPr>
              <w:rFonts w:ascii="Arial" w:eastAsiaTheme="minorEastAsia" w:hAnsi="Arial" w:cs="Arial"/>
              <w:noProof/>
              <w:sz w:val="22"/>
              <w:szCs w:val="22"/>
              <w:lang/>
            </w:rPr>
          </w:pPr>
          <w:hyperlink w:anchor="_Toc229082786" w:history="1">
            <w:r w:rsidRPr="004511C8">
              <w:rPr>
                <w:rStyle w:val="Hyperlink"/>
                <w:rFonts w:ascii="Arial" w:hAnsi="Arial" w:cs="Arial"/>
                <w:noProof/>
                <w:sz w:val="22"/>
                <w:szCs w:val="22"/>
              </w:rPr>
              <w:t>4.4 Critical Appraisal Tools</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_Toc229082786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27</w:t>
            </w:r>
            <w:r w:rsidRPr="004511C8">
              <w:rPr>
                <w:rFonts w:ascii="Arial" w:hAnsi="Arial" w:cs="Arial"/>
                <w:noProof/>
                <w:webHidden/>
                <w:sz w:val="22"/>
                <w:szCs w:val="22"/>
              </w:rPr>
              <w:fldChar w:fldCharType="end"/>
            </w:r>
          </w:hyperlink>
        </w:p>
        <w:p w14:paraId="4B9952B2" w14:textId="48E3B1B4" w:rsidR="00F921ED" w:rsidRPr="004511C8" w:rsidRDefault="00F921ED">
          <w:pPr>
            <w:pStyle w:val="TOC2"/>
            <w:tabs>
              <w:tab w:val="right" w:leader="dot" w:pos="9016"/>
            </w:tabs>
            <w:rPr>
              <w:rFonts w:ascii="Arial" w:eastAsiaTheme="minorEastAsia" w:hAnsi="Arial" w:cs="Arial"/>
              <w:noProof/>
              <w:sz w:val="22"/>
              <w:szCs w:val="22"/>
              <w:lang/>
            </w:rPr>
          </w:pPr>
          <w:hyperlink w:anchor="_Toc229082787" w:history="1">
            <w:r w:rsidRPr="004511C8">
              <w:rPr>
                <w:rStyle w:val="Hyperlink"/>
                <w:rFonts w:ascii="Arial" w:hAnsi="Arial" w:cs="Arial"/>
                <w:noProof/>
                <w:sz w:val="22"/>
                <w:szCs w:val="22"/>
              </w:rPr>
              <w:t>4.5 Evaluation of Qualitative Studies</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_Toc229082787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28</w:t>
            </w:r>
            <w:r w:rsidRPr="004511C8">
              <w:rPr>
                <w:rFonts w:ascii="Arial" w:hAnsi="Arial" w:cs="Arial"/>
                <w:noProof/>
                <w:webHidden/>
                <w:sz w:val="22"/>
                <w:szCs w:val="22"/>
              </w:rPr>
              <w:fldChar w:fldCharType="end"/>
            </w:r>
          </w:hyperlink>
        </w:p>
        <w:p w14:paraId="5406414B" w14:textId="434720A5" w:rsidR="00F921ED" w:rsidRPr="004511C8" w:rsidRDefault="00F921ED">
          <w:pPr>
            <w:pStyle w:val="TOC2"/>
            <w:tabs>
              <w:tab w:val="right" w:leader="dot" w:pos="9016"/>
            </w:tabs>
            <w:rPr>
              <w:rFonts w:ascii="Arial" w:eastAsiaTheme="minorEastAsia" w:hAnsi="Arial" w:cs="Arial"/>
              <w:noProof/>
              <w:sz w:val="22"/>
              <w:szCs w:val="22"/>
              <w:lang/>
            </w:rPr>
          </w:pPr>
          <w:hyperlink w:anchor="_Toc229082788" w:history="1">
            <w:r w:rsidRPr="004511C8">
              <w:rPr>
                <w:rStyle w:val="Hyperlink"/>
                <w:rFonts w:ascii="Arial" w:hAnsi="Arial" w:cs="Arial"/>
                <w:noProof/>
                <w:sz w:val="22"/>
                <w:szCs w:val="22"/>
              </w:rPr>
              <w:t>4.6 Evaluation of Quantitative Studies</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_Toc229082788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29</w:t>
            </w:r>
            <w:r w:rsidRPr="004511C8">
              <w:rPr>
                <w:rFonts w:ascii="Arial" w:hAnsi="Arial" w:cs="Arial"/>
                <w:noProof/>
                <w:webHidden/>
                <w:sz w:val="22"/>
                <w:szCs w:val="22"/>
              </w:rPr>
              <w:fldChar w:fldCharType="end"/>
            </w:r>
          </w:hyperlink>
        </w:p>
        <w:p w14:paraId="0F03B0CB" w14:textId="3E74EFD9" w:rsidR="00F921ED" w:rsidRPr="004511C8" w:rsidRDefault="00F921ED">
          <w:pPr>
            <w:pStyle w:val="TOC2"/>
            <w:tabs>
              <w:tab w:val="right" w:leader="dot" w:pos="9016"/>
            </w:tabs>
            <w:rPr>
              <w:rFonts w:ascii="Arial" w:eastAsiaTheme="minorEastAsia" w:hAnsi="Arial" w:cs="Arial"/>
              <w:noProof/>
              <w:sz w:val="22"/>
              <w:szCs w:val="22"/>
              <w:lang/>
            </w:rPr>
          </w:pPr>
          <w:hyperlink w:anchor="_Toc229082789" w:history="1">
            <w:r w:rsidRPr="004511C8">
              <w:rPr>
                <w:rStyle w:val="Hyperlink"/>
                <w:rFonts w:ascii="Arial" w:hAnsi="Arial" w:cs="Arial"/>
                <w:noProof/>
                <w:sz w:val="22"/>
                <w:szCs w:val="22"/>
              </w:rPr>
              <w:t>4.7 Evaluation of Mixed Methods Studies</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_Toc229082789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33</w:t>
            </w:r>
            <w:r w:rsidRPr="004511C8">
              <w:rPr>
                <w:rFonts w:ascii="Arial" w:hAnsi="Arial" w:cs="Arial"/>
                <w:noProof/>
                <w:webHidden/>
                <w:sz w:val="22"/>
                <w:szCs w:val="22"/>
              </w:rPr>
              <w:fldChar w:fldCharType="end"/>
            </w:r>
          </w:hyperlink>
        </w:p>
        <w:p w14:paraId="1BA2075B" w14:textId="67CC8EA7" w:rsidR="00F921ED" w:rsidRPr="004511C8" w:rsidRDefault="00F921ED">
          <w:pPr>
            <w:pStyle w:val="TOC2"/>
            <w:tabs>
              <w:tab w:val="right" w:leader="dot" w:pos="9016"/>
            </w:tabs>
            <w:rPr>
              <w:rFonts w:ascii="Arial" w:eastAsiaTheme="minorEastAsia" w:hAnsi="Arial" w:cs="Arial"/>
              <w:noProof/>
              <w:sz w:val="22"/>
              <w:szCs w:val="22"/>
              <w:lang/>
            </w:rPr>
          </w:pPr>
          <w:hyperlink w:anchor="_Toc229082790" w:history="1">
            <w:r w:rsidRPr="004511C8">
              <w:rPr>
                <w:rStyle w:val="Hyperlink"/>
                <w:rFonts w:ascii="Arial" w:hAnsi="Arial" w:cs="Arial"/>
                <w:noProof/>
                <w:sz w:val="22"/>
                <w:szCs w:val="22"/>
              </w:rPr>
              <w:t>4.8 Chapter Summary</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_Toc229082790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34</w:t>
            </w:r>
            <w:r w:rsidRPr="004511C8">
              <w:rPr>
                <w:rFonts w:ascii="Arial" w:hAnsi="Arial" w:cs="Arial"/>
                <w:noProof/>
                <w:webHidden/>
                <w:sz w:val="22"/>
                <w:szCs w:val="22"/>
              </w:rPr>
              <w:fldChar w:fldCharType="end"/>
            </w:r>
          </w:hyperlink>
        </w:p>
        <w:p w14:paraId="3200FCF6" w14:textId="0F49173F" w:rsidR="00F921ED" w:rsidRPr="004511C8" w:rsidRDefault="00F921ED">
          <w:pPr>
            <w:pStyle w:val="TOC1"/>
            <w:tabs>
              <w:tab w:val="right" w:leader="dot" w:pos="9016"/>
            </w:tabs>
            <w:rPr>
              <w:rFonts w:ascii="Arial" w:eastAsiaTheme="minorEastAsia" w:hAnsi="Arial" w:cs="Arial"/>
              <w:noProof/>
              <w:sz w:val="22"/>
              <w:szCs w:val="22"/>
              <w:lang/>
            </w:rPr>
          </w:pPr>
          <w:hyperlink w:anchor="_Toc229082791" w:history="1">
            <w:r w:rsidRPr="004511C8">
              <w:rPr>
                <w:rStyle w:val="Hyperlink"/>
                <w:rFonts w:ascii="Arial" w:hAnsi="Arial" w:cs="Arial"/>
                <w:noProof/>
                <w:sz w:val="22"/>
                <w:szCs w:val="22"/>
              </w:rPr>
              <w:t>CHAPTER 5: DATA ANALYSIS AND SYNTHESIS</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_Toc229082791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35</w:t>
            </w:r>
            <w:r w:rsidRPr="004511C8">
              <w:rPr>
                <w:rFonts w:ascii="Arial" w:hAnsi="Arial" w:cs="Arial"/>
                <w:noProof/>
                <w:webHidden/>
                <w:sz w:val="22"/>
                <w:szCs w:val="22"/>
              </w:rPr>
              <w:fldChar w:fldCharType="end"/>
            </w:r>
          </w:hyperlink>
        </w:p>
        <w:p w14:paraId="6AF5271B" w14:textId="58E7BAF5" w:rsidR="00F921ED" w:rsidRPr="004511C8" w:rsidRDefault="00F921ED">
          <w:pPr>
            <w:pStyle w:val="TOC2"/>
            <w:tabs>
              <w:tab w:val="right" w:leader="dot" w:pos="9016"/>
            </w:tabs>
            <w:rPr>
              <w:rFonts w:ascii="Arial" w:eastAsiaTheme="minorEastAsia" w:hAnsi="Arial" w:cs="Arial"/>
              <w:noProof/>
              <w:sz w:val="22"/>
              <w:szCs w:val="22"/>
              <w:lang/>
            </w:rPr>
          </w:pPr>
          <w:hyperlink w:anchor="_Toc229082792" w:history="1">
            <w:r w:rsidRPr="004511C8">
              <w:rPr>
                <w:rStyle w:val="Hyperlink"/>
                <w:rFonts w:ascii="Arial" w:hAnsi="Arial" w:cs="Arial"/>
                <w:noProof/>
                <w:sz w:val="22"/>
                <w:szCs w:val="22"/>
              </w:rPr>
              <w:t>5.1 Introduction to Chapter</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_Toc229082792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35</w:t>
            </w:r>
            <w:r w:rsidRPr="004511C8">
              <w:rPr>
                <w:rFonts w:ascii="Arial" w:hAnsi="Arial" w:cs="Arial"/>
                <w:noProof/>
                <w:webHidden/>
                <w:sz w:val="22"/>
                <w:szCs w:val="22"/>
              </w:rPr>
              <w:fldChar w:fldCharType="end"/>
            </w:r>
          </w:hyperlink>
        </w:p>
        <w:p w14:paraId="59EA2A6C" w14:textId="03B9F424" w:rsidR="00F921ED" w:rsidRPr="004511C8" w:rsidRDefault="00F921ED">
          <w:pPr>
            <w:pStyle w:val="TOC2"/>
            <w:tabs>
              <w:tab w:val="right" w:leader="dot" w:pos="9016"/>
            </w:tabs>
            <w:rPr>
              <w:rFonts w:ascii="Arial" w:eastAsiaTheme="minorEastAsia" w:hAnsi="Arial" w:cs="Arial"/>
              <w:noProof/>
              <w:sz w:val="22"/>
              <w:szCs w:val="22"/>
              <w:lang/>
            </w:rPr>
          </w:pPr>
          <w:hyperlink w:anchor="_Toc229082793" w:history="1">
            <w:r w:rsidRPr="004511C8">
              <w:rPr>
                <w:rStyle w:val="Hyperlink"/>
                <w:rFonts w:ascii="Arial" w:hAnsi="Arial" w:cs="Arial"/>
                <w:noProof/>
                <w:sz w:val="22"/>
                <w:szCs w:val="22"/>
              </w:rPr>
              <w:t>5.2 Thematic Analysis</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_Toc229082793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35</w:t>
            </w:r>
            <w:r w:rsidRPr="004511C8">
              <w:rPr>
                <w:rFonts w:ascii="Arial" w:hAnsi="Arial" w:cs="Arial"/>
                <w:noProof/>
                <w:webHidden/>
                <w:sz w:val="22"/>
                <w:szCs w:val="22"/>
              </w:rPr>
              <w:fldChar w:fldCharType="end"/>
            </w:r>
          </w:hyperlink>
        </w:p>
        <w:p w14:paraId="076A5591" w14:textId="6488ACD0" w:rsidR="00F921ED" w:rsidRPr="004511C8" w:rsidRDefault="00F921ED">
          <w:pPr>
            <w:pStyle w:val="TOC2"/>
            <w:tabs>
              <w:tab w:val="right" w:leader="dot" w:pos="9016"/>
            </w:tabs>
            <w:rPr>
              <w:rFonts w:ascii="Arial" w:eastAsiaTheme="minorEastAsia" w:hAnsi="Arial" w:cs="Arial"/>
              <w:noProof/>
              <w:sz w:val="22"/>
              <w:szCs w:val="22"/>
              <w:lang/>
            </w:rPr>
          </w:pPr>
          <w:hyperlink w:anchor="_Toc229082794" w:history="1">
            <w:r w:rsidRPr="004511C8">
              <w:rPr>
                <w:rStyle w:val="Hyperlink"/>
                <w:rFonts w:ascii="Arial" w:hAnsi="Arial" w:cs="Arial"/>
                <w:noProof/>
                <w:sz w:val="22"/>
                <w:szCs w:val="22"/>
              </w:rPr>
              <w:t>5.3 Data Analysis Tool</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_Toc229082794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35</w:t>
            </w:r>
            <w:r w:rsidRPr="004511C8">
              <w:rPr>
                <w:rFonts w:ascii="Arial" w:hAnsi="Arial" w:cs="Arial"/>
                <w:noProof/>
                <w:webHidden/>
                <w:sz w:val="22"/>
                <w:szCs w:val="22"/>
              </w:rPr>
              <w:fldChar w:fldCharType="end"/>
            </w:r>
          </w:hyperlink>
        </w:p>
        <w:p w14:paraId="15615779" w14:textId="311410B3" w:rsidR="00F921ED" w:rsidRPr="004511C8" w:rsidRDefault="00F921ED">
          <w:pPr>
            <w:pStyle w:val="TOC2"/>
            <w:tabs>
              <w:tab w:val="right" w:leader="dot" w:pos="9016"/>
            </w:tabs>
            <w:rPr>
              <w:rFonts w:ascii="Arial" w:eastAsiaTheme="minorEastAsia" w:hAnsi="Arial" w:cs="Arial"/>
              <w:noProof/>
              <w:sz w:val="22"/>
              <w:szCs w:val="22"/>
              <w:lang/>
            </w:rPr>
          </w:pPr>
          <w:hyperlink w:anchor="_Toc229082795" w:history="1">
            <w:r w:rsidRPr="004511C8">
              <w:rPr>
                <w:rStyle w:val="Hyperlink"/>
                <w:rFonts w:ascii="Arial" w:hAnsi="Arial" w:cs="Arial"/>
                <w:noProof/>
                <w:sz w:val="22"/>
                <w:szCs w:val="22"/>
              </w:rPr>
              <w:t>5.4 Characteristics of the Identified Studies</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_Toc229082795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36</w:t>
            </w:r>
            <w:r w:rsidRPr="004511C8">
              <w:rPr>
                <w:rFonts w:ascii="Arial" w:hAnsi="Arial" w:cs="Arial"/>
                <w:noProof/>
                <w:webHidden/>
                <w:sz w:val="22"/>
                <w:szCs w:val="22"/>
              </w:rPr>
              <w:fldChar w:fldCharType="end"/>
            </w:r>
          </w:hyperlink>
        </w:p>
        <w:p w14:paraId="52656E7C" w14:textId="209131C9" w:rsidR="00F921ED" w:rsidRPr="004511C8" w:rsidRDefault="00F921ED">
          <w:pPr>
            <w:pStyle w:val="TOC2"/>
            <w:tabs>
              <w:tab w:val="right" w:leader="dot" w:pos="9016"/>
            </w:tabs>
            <w:rPr>
              <w:rFonts w:ascii="Arial" w:eastAsiaTheme="minorEastAsia" w:hAnsi="Arial" w:cs="Arial"/>
              <w:noProof/>
              <w:sz w:val="22"/>
              <w:szCs w:val="22"/>
              <w:lang/>
            </w:rPr>
          </w:pPr>
          <w:hyperlink w:anchor="_Toc229082796" w:history="1">
            <w:r w:rsidRPr="004511C8">
              <w:rPr>
                <w:rStyle w:val="Hyperlink"/>
                <w:rFonts w:ascii="Arial" w:hAnsi="Arial" w:cs="Arial"/>
                <w:noProof/>
                <w:sz w:val="22"/>
                <w:szCs w:val="22"/>
              </w:rPr>
              <w:t>5.5 Emerging Themes from Included Studies</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_Toc229082796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36</w:t>
            </w:r>
            <w:r w:rsidRPr="004511C8">
              <w:rPr>
                <w:rFonts w:ascii="Arial" w:hAnsi="Arial" w:cs="Arial"/>
                <w:noProof/>
                <w:webHidden/>
                <w:sz w:val="22"/>
                <w:szCs w:val="22"/>
              </w:rPr>
              <w:fldChar w:fldCharType="end"/>
            </w:r>
          </w:hyperlink>
        </w:p>
        <w:p w14:paraId="184C675C" w14:textId="29652186" w:rsidR="00F921ED" w:rsidRPr="004511C8" w:rsidRDefault="00F921ED">
          <w:pPr>
            <w:pStyle w:val="TOC3"/>
            <w:tabs>
              <w:tab w:val="right" w:leader="dot" w:pos="9016"/>
            </w:tabs>
            <w:rPr>
              <w:rFonts w:ascii="Arial" w:eastAsiaTheme="minorEastAsia" w:hAnsi="Arial" w:cs="Arial"/>
              <w:noProof/>
              <w:sz w:val="22"/>
              <w:szCs w:val="22"/>
              <w:lang/>
            </w:rPr>
          </w:pPr>
          <w:hyperlink w:anchor="_Toc229082797" w:history="1">
            <w:r w:rsidRPr="004511C8">
              <w:rPr>
                <w:rStyle w:val="Hyperlink"/>
                <w:rFonts w:ascii="Arial" w:hAnsi="Arial" w:cs="Arial"/>
                <w:noProof/>
                <w:sz w:val="22"/>
                <w:szCs w:val="22"/>
              </w:rPr>
              <w:t>Theme 1: Evolution Of Antimicrobial Resistance In Gonorrhoea</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_Toc229082797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37</w:t>
            </w:r>
            <w:r w:rsidRPr="004511C8">
              <w:rPr>
                <w:rFonts w:ascii="Arial" w:hAnsi="Arial" w:cs="Arial"/>
                <w:noProof/>
                <w:webHidden/>
                <w:sz w:val="22"/>
                <w:szCs w:val="22"/>
              </w:rPr>
              <w:fldChar w:fldCharType="end"/>
            </w:r>
          </w:hyperlink>
        </w:p>
        <w:p w14:paraId="462605DE" w14:textId="1E4C8BBD" w:rsidR="00F921ED" w:rsidRPr="004511C8" w:rsidRDefault="00F921ED">
          <w:pPr>
            <w:pStyle w:val="TOC3"/>
            <w:tabs>
              <w:tab w:val="right" w:leader="dot" w:pos="9016"/>
            </w:tabs>
            <w:rPr>
              <w:rFonts w:ascii="Arial" w:eastAsiaTheme="minorEastAsia" w:hAnsi="Arial" w:cs="Arial"/>
              <w:noProof/>
              <w:sz w:val="22"/>
              <w:szCs w:val="22"/>
              <w:lang/>
            </w:rPr>
          </w:pPr>
          <w:hyperlink w:anchor="_Toc229082798" w:history="1">
            <w:r w:rsidRPr="004511C8">
              <w:rPr>
                <w:rStyle w:val="Hyperlink"/>
                <w:rFonts w:ascii="Arial" w:hAnsi="Arial" w:cs="Arial"/>
                <w:noProof/>
                <w:sz w:val="22"/>
                <w:szCs w:val="22"/>
              </w:rPr>
              <w:t>Theme 2: Surveillance And Detection Of Gonococcal Resistance In The UK</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_Toc229082798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38</w:t>
            </w:r>
            <w:r w:rsidRPr="004511C8">
              <w:rPr>
                <w:rFonts w:ascii="Arial" w:hAnsi="Arial" w:cs="Arial"/>
                <w:noProof/>
                <w:webHidden/>
                <w:sz w:val="22"/>
                <w:szCs w:val="22"/>
              </w:rPr>
              <w:fldChar w:fldCharType="end"/>
            </w:r>
          </w:hyperlink>
        </w:p>
        <w:p w14:paraId="3BBC007F" w14:textId="127B570B" w:rsidR="00F921ED" w:rsidRPr="004511C8" w:rsidRDefault="00F921ED">
          <w:pPr>
            <w:pStyle w:val="TOC3"/>
            <w:tabs>
              <w:tab w:val="right" w:leader="dot" w:pos="9016"/>
            </w:tabs>
            <w:rPr>
              <w:rFonts w:ascii="Arial" w:eastAsiaTheme="minorEastAsia" w:hAnsi="Arial" w:cs="Arial"/>
              <w:noProof/>
              <w:sz w:val="22"/>
              <w:szCs w:val="22"/>
              <w:lang/>
            </w:rPr>
          </w:pPr>
          <w:hyperlink w:anchor="_Toc229082799" w:history="1">
            <w:r w:rsidRPr="004511C8">
              <w:rPr>
                <w:rStyle w:val="Hyperlink"/>
                <w:rFonts w:ascii="Arial" w:hAnsi="Arial" w:cs="Arial"/>
                <w:noProof/>
                <w:sz w:val="22"/>
                <w:szCs w:val="22"/>
              </w:rPr>
              <w:t>Theme 3: Emergence Of Multidrug-Resistant Strains</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_Toc229082799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40</w:t>
            </w:r>
            <w:r w:rsidRPr="004511C8">
              <w:rPr>
                <w:rFonts w:ascii="Arial" w:hAnsi="Arial" w:cs="Arial"/>
                <w:noProof/>
                <w:webHidden/>
                <w:sz w:val="22"/>
                <w:szCs w:val="22"/>
              </w:rPr>
              <w:fldChar w:fldCharType="end"/>
            </w:r>
          </w:hyperlink>
        </w:p>
        <w:p w14:paraId="366BE2BA" w14:textId="0DE7FD40" w:rsidR="00F921ED" w:rsidRPr="004511C8" w:rsidRDefault="00F921ED">
          <w:pPr>
            <w:pStyle w:val="TOC3"/>
            <w:tabs>
              <w:tab w:val="right" w:leader="dot" w:pos="9016"/>
            </w:tabs>
            <w:rPr>
              <w:rFonts w:ascii="Arial" w:eastAsiaTheme="minorEastAsia" w:hAnsi="Arial" w:cs="Arial"/>
              <w:noProof/>
              <w:sz w:val="22"/>
              <w:szCs w:val="22"/>
              <w:lang/>
            </w:rPr>
          </w:pPr>
          <w:hyperlink w:anchor="_Toc229082800" w:history="1">
            <w:r w:rsidRPr="004511C8">
              <w:rPr>
                <w:rStyle w:val="Hyperlink"/>
                <w:rFonts w:ascii="Arial" w:hAnsi="Arial" w:cs="Arial"/>
                <w:noProof/>
                <w:sz w:val="22"/>
                <w:szCs w:val="22"/>
              </w:rPr>
              <w:t>Theme 4: Treatment Failure And Reduced Effectiveness Of Antibiotics</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_Toc229082800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41</w:t>
            </w:r>
            <w:r w:rsidRPr="004511C8">
              <w:rPr>
                <w:rFonts w:ascii="Arial" w:hAnsi="Arial" w:cs="Arial"/>
                <w:noProof/>
                <w:webHidden/>
                <w:sz w:val="22"/>
                <w:szCs w:val="22"/>
              </w:rPr>
              <w:fldChar w:fldCharType="end"/>
            </w:r>
          </w:hyperlink>
        </w:p>
        <w:p w14:paraId="63E5C432" w14:textId="35997354" w:rsidR="00F921ED" w:rsidRPr="004511C8" w:rsidRDefault="00F921ED">
          <w:pPr>
            <w:pStyle w:val="TOC3"/>
            <w:tabs>
              <w:tab w:val="right" w:leader="dot" w:pos="9016"/>
            </w:tabs>
            <w:rPr>
              <w:rFonts w:ascii="Arial" w:eastAsiaTheme="minorEastAsia" w:hAnsi="Arial" w:cs="Arial"/>
              <w:noProof/>
              <w:sz w:val="22"/>
              <w:szCs w:val="22"/>
              <w:lang/>
            </w:rPr>
          </w:pPr>
          <w:hyperlink w:anchor="_Toc229082801" w:history="1">
            <w:r w:rsidRPr="004511C8">
              <w:rPr>
                <w:rStyle w:val="Hyperlink"/>
                <w:rFonts w:ascii="Arial" w:hAnsi="Arial" w:cs="Arial"/>
                <w:noProof/>
                <w:sz w:val="22"/>
                <w:szCs w:val="22"/>
              </w:rPr>
              <w:t>Theme 5: Outbreak Persistence And Transmission Networks</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_Toc229082801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42</w:t>
            </w:r>
            <w:r w:rsidRPr="004511C8">
              <w:rPr>
                <w:rFonts w:ascii="Arial" w:hAnsi="Arial" w:cs="Arial"/>
                <w:noProof/>
                <w:webHidden/>
                <w:sz w:val="22"/>
                <w:szCs w:val="22"/>
              </w:rPr>
              <w:fldChar w:fldCharType="end"/>
            </w:r>
          </w:hyperlink>
        </w:p>
        <w:p w14:paraId="00A4AF13" w14:textId="65D075F0" w:rsidR="00F921ED" w:rsidRPr="004511C8" w:rsidRDefault="00F921ED">
          <w:pPr>
            <w:pStyle w:val="TOC3"/>
            <w:tabs>
              <w:tab w:val="right" w:leader="dot" w:pos="9016"/>
            </w:tabs>
            <w:rPr>
              <w:rFonts w:ascii="Arial" w:eastAsiaTheme="minorEastAsia" w:hAnsi="Arial" w:cs="Arial"/>
              <w:noProof/>
              <w:sz w:val="22"/>
              <w:szCs w:val="22"/>
              <w:lang/>
            </w:rPr>
          </w:pPr>
          <w:hyperlink w:anchor="_Toc229082802" w:history="1">
            <w:r w:rsidRPr="004511C8">
              <w:rPr>
                <w:rStyle w:val="Hyperlink"/>
                <w:rFonts w:ascii="Arial" w:hAnsi="Arial" w:cs="Arial"/>
                <w:noProof/>
                <w:sz w:val="22"/>
                <w:szCs w:val="22"/>
              </w:rPr>
              <w:t>Theme 6: Implications For Young Adults And Sexual Health Services</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_Toc229082802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43</w:t>
            </w:r>
            <w:r w:rsidRPr="004511C8">
              <w:rPr>
                <w:rFonts w:ascii="Arial" w:hAnsi="Arial" w:cs="Arial"/>
                <w:noProof/>
                <w:webHidden/>
                <w:sz w:val="22"/>
                <w:szCs w:val="22"/>
              </w:rPr>
              <w:fldChar w:fldCharType="end"/>
            </w:r>
          </w:hyperlink>
        </w:p>
        <w:p w14:paraId="48DD1783" w14:textId="5DB15EA5" w:rsidR="00F921ED" w:rsidRPr="004511C8" w:rsidRDefault="00F921ED">
          <w:pPr>
            <w:pStyle w:val="TOC2"/>
            <w:tabs>
              <w:tab w:val="right" w:leader="dot" w:pos="9016"/>
            </w:tabs>
            <w:rPr>
              <w:rFonts w:ascii="Arial" w:eastAsiaTheme="minorEastAsia" w:hAnsi="Arial" w:cs="Arial"/>
              <w:noProof/>
              <w:sz w:val="22"/>
              <w:szCs w:val="22"/>
              <w:lang/>
            </w:rPr>
          </w:pPr>
          <w:hyperlink w:anchor="_Toc229082803" w:history="1">
            <w:r w:rsidRPr="004511C8">
              <w:rPr>
                <w:rStyle w:val="Hyperlink"/>
                <w:rFonts w:ascii="Arial" w:hAnsi="Arial" w:cs="Arial"/>
                <w:noProof/>
                <w:sz w:val="22"/>
                <w:szCs w:val="22"/>
              </w:rPr>
              <w:t>5.6 Chapter Summary</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_Toc229082803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44</w:t>
            </w:r>
            <w:r w:rsidRPr="004511C8">
              <w:rPr>
                <w:rFonts w:ascii="Arial" w:hAnsi="Arial" w:cs="Arial"/>
                <w:noProof/>
                <w:webHidden/>
                <w:sz w:val="22"/>
                <w:szCs w:val="22"/>
              </w:rPr>
              <w:fldChar w:fldCharType="end"/>
            </w:r>
          </w:hyperlink>
        </w:p>
        <w:p w14:paraId="64DBCB7D" w14:textId="30857CBE" w:rsidR="00F921ED" w:rsidRPr="004511C8" w:rsidRDefault="00F921ED">
          <w:pPr>
            <w:pStyle w:val="TOC1"/>
            <w:tabs>
              <w:tab w:val="right" w:leader="dot" w:pos="9016"/>
            </w:tabs>
            <w:rPr>
              <w:rFonts w:ascii="Arial" w:eastAsiaTheme="minorEastAsia" w:hAnsi="Arial" w:cs="Arial"/>
              <w:noProof/>
              <w:sz w:val="22"/>
              <w:szCs w:val="22"/>
              <w:lang/>
            </w:rPr>
          </w:pPr>
          <w:hyperlink w:anchor="_Toc229082804" w:history="1">
            <w:r w:rsidRPr="004511C8">
              <w:rPr>
                <w:rStyle w:val="Hyperlink"/>
                <w:rFonts w:ascii="Arial" w:hAnsi="Arial" w:cs="Arial"/>
                <w:noProof/>
                <w:sz w:val="22"/>
                <w:szCs w:val="22"/>
              </w:rPr>
              <w:t>CHAPTER 6: DISCUSSION</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_Toc229082804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45</w:t>
            </w:r>
            <w:r w:rsidRPr="004511C8">
              <w:rPr>
                <w:rFonts w:ascii="Arial" w:hAnsi="Arial" w:cs="Arial"/>
                <w:noProof/>
                <w:webHidden/>
                <w:sz w:val="22"/>
                <w:szCs w:val="22"/>
              </w:rPr>
              <w:fldChar w:fldCharType="end"/>
            </w:r>
          </w:hyperlink>
        </w:p>
        <w:p w14:paraId="5F1A69FA" w14:textId="43D1204E" w:rsidR="00F921ED" w:rsidRPr="004511C8" w:rsidRDefault="00F921ED">
          <w:pPr>
            <w:pStyle w:val="TOC2"/>
            <w:tabs>
              <w:tab w:val="right" w:leader="dot" w:pos="9016"/>
            </w:tabs>
            <w:rPr>
              <w:rFonts w:ascii="Arial" w:eastAsiaTheme="minorEastAsia" w:hAnsi="Arial" w:cs="Arial"/>
              <w:noProof/>
              <w:sz w:val="22"/>
              <w:szCs w:val="22"/>
              <w:lang/>
            </w:rPr>
          </w:pPr>
          <w:hyperlink w:anchor="_Toc229082805" w:history="1">
            <w:r w:rsidRPr="004511C8">
              <w:rPr>
                <w:rStyle w:val="Hyperlink"/>
                <w:rFonts w:ascii="Arial" w:hAnsi="Arial" w:cs="Arial"/>
                <w:noProof/>
                <w:sz w:val="22"/>
                <w:szCs w:val="22"/>
              </w:rPr>
              <w:t>6.1 Introduction to Chapter</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_Toc229082805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45</w:t>
            </w:r>
            <w:r w:rsidRPr="004511C8">
              <w:rPr>
                <w:rFonts w:ascii="Arial" w:hAnsi="Arial" w:cs="Arial"/>
                <w:noProof/>
                <w:webHidden/>
                <w:sz w:val="22"/>
                <w:szCs w:val="22"/>
              </w:rPr>
              <w:fldChar w:fldCharType="end"/>
            </w:r>
          </w:hyperlink>
        </w:p>
        <w:p w14:paraId="1360876C" w14:textId="18E4ADB3" w:rsidR="00F921ED" w:rsidRPr="004511C8" w:rsidRDefault="00F921ED">
          <w:pPr>
            <w:pStyle w:val="TOC2"/>
            <w:tabs>
              <w:tab w:val="right" w:leader="dot" w:pos="9016"/>
            </w:tabs>
            <w:rPr>
              <w:rFonts w:ascii="Arial" w:eastAsiaTheme="minorEastAsia" w:hAnsi="Arial" w:cs="Arial"/>
              <w:noProof/>
              <w:sz w:val="22"/>
              <w:szCs w:val="22"/>
              <w:lang/>
            </w:rPr>
          </w:pPr>
          <w:hyperlink w:anchor="_Toc229082806" w:history="1">
            <w:r w:rsidRPr="004511C8">
              <w:rPr>
                <w:rStyle w:val="Hyperlink"/>
                <w:rFonts w:ascii="Arial" w:hAnsi="Arial" w:cs="Arial"/>
                <w:noProof/>
                <w:sz w:val="22"/>
                <w:szCs w:val="22"/>
              </w:rPr>
              <w:t>6.2 Discussion of Key Findings</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_Toc229082806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45</w:t>
            </w:r>
            <w:r w:rsidRPr="004511C8">
              <w:rPr>
                <w:rFonts w:ascii="Arial" w:hAnsi="Arial" w:cs="Arial"/>
                <w:noProof/>
                <w:webHidden/>
                <w:sz w:val="22"/>
                <w:szCs w:val="22"/>
              </w:rPr>
              <w:fldChar w:fldCharType="end"/>
            </w:r>
          </w:hyperlink>
        </w:p>
        <w:p w14:paraId="7937E76A" w14:textId="48822B16" w:rsidR="00F921ED" w:rsidRPr="004511C8" w:rsidRDefault="00F921ED">
          <w:pPr>
            <w:pStyle w:val="TOC2"/>
            <w:tabs>
              <w:tab w:val="right" w:leader="dot" w:pos="9016"/>
            </w:tabs>
            <w:rPr>
              <w:rFonts w:ascii="Arial" w:eastAsiaTheme="minorEastAsia" w:hAnsi="Arial" w:cs="Arial"/>
              <w:noProof/>
              <w:sz w:val="22"/>
              <w:szCs w:val="22"/>
              <w:lang/>
            </w:rPr>
          </w:pPr>
          <w:hyperlink w:anchor="_Toc229082807" w:history="1">
            <w:r w:rsidRPr="004511C8">
              <w:rPr>
                <w:rStyle w:val="Hyperlink"/>
                <w:rFonts w:ascii="Arial" w:hAnsi="Arial" w:cs="Arial"/>
                <w:noProof/>
                <w:sz w:val="22"/>
                <w:szCs w:val="22"/>
              </w:rPr>
              <w:t>6.3 Strengths and Limitations</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_Toc229082807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49</w:t>
            </w:r>
            <w:r w:rsidRPr="004511C8">
              <w:rPr>
                <w:rFonts w:ascii="Arial" w:hAnsi="Arial" w:cs="Arial"/>
                <w:noProof/>
                <w:webHidden/>
                <w:sz w:val="22"/>
                <w:szCs w:val="22"/>
              </w:rPr>
              <w:fldChar w:fldCharType="end"/>
            </w:r>
          </w:hyperlink>
        </w:p>
        <w:p w14:paraId="70B5BBA6" w14:textId="74131EAF" w:rsidR="00F921ED" w:rsidRPr="004511C8" w:rsidRDefault="00F921ED">
          <w:pPr>
            <w:pStyle w:val="TOC2"/>
            <w:tabs>
              <w:tab w:val="right" w:leader="dot" w:pos="9016"/>
            </w:tabs>
            <w:rPr>
              <w:rFonts w:ascii="Arial" w:eastAsiaTheme="minorEastAsia" w:hAnsi="Arial" w:cs="Arial"/>
              <w:noProof/>
              <w:sz w:val="22"/>
              <w:szCs w:val="22"/>
              <w:lang/>
            </w:rPr>
          </w:pPr>
          <w:hyperlink w:anchor="_Toc229082808" w:history="1">
            <w:r w:rsidRPr="004511C8">
              <w:rPr>
                <w:rStyle w:val="Hyperlink"/>
                <w:rFonts w:ascii="Arial" w:hAnsi="Arial" w:cs="Arial"/>
                <w:noProof/>
                <w:sz w:val="22"/>
                <w:szCs w:val="22"/>
              </w:rPr>
              <w:t>6.4 Chapter Summary</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_Toc229082808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50</w:t>
            </w:r>
            <w:r w:rsidRPr="004511C8">
              <w:rPr>
                <w:rFonts w:ascii="Arial" w:hAnsi="Arial" w:cs="Arial"/>
                <w:noProof/>
                <w:webHidden/>
                <w:sz w:val="22"/>
                <w:szCs w:val="22"/>
              </w:rPr>
              <w:fldChar w:fldCharType="end"/>
            </w:r>
          </w:hyperlink>
        </w:p>
        <w:p w14:paraId="06ECD01C" w14:textId="6B81F8A0" w:rsidR="00F921ED" w:rsidRPr="004511C8" w:rsidRDefault="00F921ED">
          <w:pPr>
            <w:pStyle w:val="TOC1"/>
            <w:tabs>
              <w:tab w:val="right" w:leader="dot" w:pos="9016"/>
            </w:tabs>
            <w:rPr>
              <w:rFonts w:ascii="Arial" w:eastAsiaTheme="minorEastAsia" w:hAnsi="Arial" w:cs="Arial"/>
              <w:noProof/>
              <w:sz w:val="22"/>
              <w:szCs w:val="22"/>
              <w:lang/>
            </w:rPr>
          </w:pPr>
          <w:hyperlink w:anchor="_Toc229082809" w:history="1">
            <w:r w:rsidRPr="004511C8">
              <w:rPr>
                <w:rStyle w:val="Hyperlink"/>
                <w:rFonts w:ascii="Arial" w:hAnsi="Arial" w:cs="Arial"/>
                <w:noProof/>
                <w:sz w:val="22"/>
                <w:szCs w:val="22"/>
              </w:rPr>
              <w:t>CHAPTER 7: RECOMMENDATIONS AND CONCLUSION</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_Toc229082809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51</w:t>
            </w:r>
            <w:r w:rsidRPr="004511C8">
              <w:rPr>
                <w:rFonts w:ascii="Arial" w:hAnsi="Arial" w:cs="Arial"/>
                <w:noProof/>
                <w:webHidden/>
                <w:sz w:val="22"/>
                <w:szCs w:val="22"/>
              </w:rPr>
              <w:fldChar w:fldCharType="end"/>
            </w:r>
          </w:hyperlink>
        </w:p>
        <w:p w14:paraId="45F87EF0" w14:textId="588320F3" w:rsidR="00F921ED" w:rsidRPr="004511C8" w:rsidRDefault="00F921ED">
          <w:pPr>
            <w:pStyle w:val="TOC2"/>
            <w:tabs>
              <w:tab w:val="right" w:leader="dot" w:pos="9016"/>
            </w:tabs>
            <w:rPr>
              <w:rFonts w:ascii="Arial" w:eastAsiaTheme="minorEastAsia" w:hAnsi="Arial" w:cs="Arial"/>
              <w:noProof/>
              <w:sz w:val="22"/>
              <w:szCs w:val="22"/>
              <w:lang/>
            </w:rPr>
          </w:pPr>
          <w:hyperlink w:anchor="_Toc229082810" w:history="1">
            <w:r w:rsidRPr="004511C8">
              <w:rPr>
                <w:rStyle w:val="Hyperlink"/>
                <w:rFonts w:ascii="Arial" w:hAnsi="Arial" w:cs="Arial"/>
                <w:noProof/>
                <w:sz w:val="22"/>
                <w:szCs w:val="22"/>
              </w:rPr>
              <w:t>7.1 Introduction to Chapter</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_Toc229082810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51</w:t>
            </w:r>
            <w:r w:rsidRPr="004511C8">
              <w:rPr>
                <w:rFonts w:ascii="Arial" w:hAnsi="Arial" w:cs="Arial"/>
                <w:noProof/>
                <w:webHidden/>
                <w:sz w:val="22"/>
                <w:szCs w:val="22"/>
              </w:rPr>
              <w:fldChar w:fldCharType="end"/>
            </w:r>
          </w:hyperlink>
        </w:p>
        <w:p w14:paraId="692AA2F0" w14:textId="7C7783FA" w:rsidR="00F921ED" w:rsidRPr="004511C8" w:rsidRDefault="00F921ED">
          <w:pPr>
            <w:pStyle w:val="TOC2"/>
            <w:tabs>
              <w:tab w:val="right" w:leader="dot" w:pos="9016"/>
            </w:tabs>
            <w:rPr>
              <w:rFonts w:ascii="Arial" w:eastAsiaTheme="minorEastAsia" w:hAnsi="Arial" w:cs="Arial"/>
              <w:noProof/>
              <w:sz w:val="22"/>
              <w:szCs w:val="22"/>
              <w:lang/>
            </w:rPr>
          </w:pPr>
          <w:hyperlink w:anchor="_Toc229082811" w:history="1">
            <w:r w:rsidRPr="004511C8">
              <w:rPr>
                <w:rStyle w:val="Hyperlink"/>
                <w:rFonts w:ascii="Arial" w:hAnsi="Arial" w:cs="Arial"/>
                <w:noProof/>
                <w:sz w:val="22"/>
                <w:szCs w:val="22"/>
              </w:rPr>
              <w:t>7.2 Implications of Findings</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_Toc229082811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51</w:t>
            </w:r>
            <w:r w:rsidRPr="004511C8">
              <w:rPr>
                <w:rFonts w:ascii="Arial" w:hAnsi="Arial" w:cs="Arial"/>
                <w:noProof/>
                <w:webHidden/>
                <w:sz w:val="22"/>
                <w:szCs w:val="22"/>
              </w:rPr>
              <w:fldChar w:fldCharType="end"/>
            </w:r>
          </w:hyperlink>
        </w:p>
        <w:p w14:paraId="23B9C4A7" w14:textId="2C21135C" w:rsidR="00F921ED" w:rsidRPr="004511C8" w:rsidRDefault="00F921ED">
          <w:pPr>
            <w:pStyle w:val="TOC2"/>
            <w:tabs>
              <w:tab w:val="right" w:leader="dot" w:pos="9016"/>
            </w:tabs>
            <w:rPr>
              <w:rFonts w:ascii="Arial" w:eastAsiaTheme="minorEastAsia" w:hAnsi="Arial" w:cs="Arial"/>
              <w:noProof/>
              <w:sz w:val="22"/>
              <w:szCs w:val="22"/>
              <w:lang/>
            </w:rPr>
          </w:pPr>
          <w:hyperlink w:anchor="_Toc229082812" w:history="1">
            <w:r w:rsidRPr="004511C8">
              <w:rPr>
                <w:rStyle w:val="Hyperlink"/>
                <w:rFonts w:ascii="Arial" w:hAnsi="Arial" w:cs="Arial"/>
                <w:noProof/>
                <w:sz w:val="22"/>
                <w:szCs w:val="22"/>
              </w:rPr>
              <w:t>7.3 Recommendations for Practice</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_Toc229082812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52</w:t>
            </w:r>
            <w:r w:rsidRPr="004511C8">
              <w:rPr>
                <w:rFonts w:ascii="Arial" w:hAnsi="Arial" w:cs="Arial"/>
                <w:noProof/>
                <w:webHidden/>
                <w:sz w:val="22"/>
                <w:szCs w:val="22"/>
              </w:rPr>
              <w:fldChar w:fldCharType="end"/>
            </w:r>
          </w:hyperlink>
        </w:p>
        <w:p w14:paraId="28BA10FD" w14:textId="24207318" w:rsidR="00F921ED" w:rsidRPr="004511C8" w:rsidRDefault="00F921ED">
          <w:pPr>
            <w:pStyle w:val="TOC2"/>
            <w:tabs>
              <w:tab w:val="right" w:leader="dot" w:pos="9016"/>
            </w:tabs>
            <w:rPr>
              <w:rFonts w:ascii="Arial" w:eastAsiaTheme="minorEastAsia" w:hAnsi="Arial" w:cs="Arial"/>
              <w:noProof/>
              <w:sz w:val="22"/>
              <w:szCs w:val="22"/>
              <w:lang/>
            </w:rPr>
          </w:pPr>
          <w:hyperlink w:anchor="_Toc229082813" w:history="1">
            <w:r w:rsidRPr="004511C8">
              <w:rPr>
                <w:rStyle w:val="Hyperlink"/>
                <w:rFonts w:ascii="Arial" w:hAnsi="Arial" w:cs="Arial"/>
                <w:noProof/>
                <w:sz w:val="22"/>
                <w:szCs w:val="22"/>
              </w:rPr>
              <w:t>7.4 Recommendations for Future Research</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_Toc229082813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52</w:t>
            </w:r>
            <w:r w:rsidRPr="004511C8">
              <w:rPr>
                <w:rFonts w:ascii="Arial" w:hAnsi="Arial" w:cs="Arial"/>
                <w:noProof/>
                <w:webHidden/>
                <w:sz w:val="22"/>
                <w:szCs w:val="22"/>
              </w:rPr>
              <w:fldChar w:fldCharType="end"/>
            </w:r>
          </w:hyperlink>
        </w:p>
        <w:p w14:paraId="052A76FB" w14:textId="7D8635DB" w:rsidR="00F921ED" w:rsidRPr="004511C8" w:rsidRDefault="00F921ED">
          <w:pPr>
            <w:pStyle w:val="TOC2"/>
            <w:tabs>
              <w:tab w:val="right" w:leader="dot" w:pos="9016"/>
            </w:tabs>
            <w:rPr>
              <w:rFonts w:ascii="Arial" w:eastAsiaTheme="minorEastAsia" w:hAnsi="Arial" w:cs="Arial"/>
              <w:noProof/>
              <w:sz w:val="22"/>
              <w:szCs w:val="22"/>
              <w:lang/>
            </w:rPr>
          </w:pPr>
          <w:hyperlink w:anchor="_Toc229082814" w:history="1">
            <w:r w:rsidRPr="004511C8">
              <w:rPr>
                <w:rStyle w:val="Hyperlink"/>
                <w:rFonts w:ascii="Arial" w:hAnsi="Arial" w:cs="Arial"/>
                <w:noProof/>
                <w:sz w:val="22"/>
                <w:szCs w:val="22"/>
              </w:rPr>
              <w:t>7.5 Conclusion</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_Toc229082814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53</w:t>
            </w:r>
            <w:r w:rsidRPr="004511C8">
              <w:rPr>
                <w:rFonts w:ascii="Arial" w:hAnsi="Arial" w:cs="Arial"/>
                <w:noProof/>
                <w:webHidden/>
                <w:sz w:val="22"/>
                <w:szCs w:val="22"/>
              </w:rPr>
              <w:fldChar w:fldCharType="end"/>
            </w:r>
          </w:hyperlink>
        </w:p>
        <w:p w14:paraId="49233015" w14:textId="74028F47" w:rsidR="00F921ED" w:rsidRPr="004511C8" w:rsidRDefault="00F921ED">
          <w:pPr>
            <w:pStyle w:val="TOC1"/>
            <w:tabs>
              <w:tab w:val="right" w:leader="dot" w:pos="9016"/>
            </w:tabs>
            <w:rPr>
              <w:rFonts w:ascii="Arial" w:eastAsiaTheme="minorEastAsia" w:hAnsi="Arial" w:cs="Arial"/>
              <w:noProof/>
              <w:sz w:val="22"/>
              <w:szCs w:val="22"/>
              <w:lang/>
            </w:rPr>
          </w:pPr>
          <w:hyperlink w:anchor="_Toc229082815" w:history="1">
            <w:r w:rsidRPr="004511C8">
              <w:rPr>
                <w:rStyle w:val="Hyperlink"/>
                <w:rFonts w:ascii="Arial" w:hAnsi="Arial" w:cs="Arial"/>
                <w:noProof/>
                <w:sz w:val="22"/>
                <w:szCs w:val="22"/>
              </w:rPr>
              <w:t>REFERENCES</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_Toc229082815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55</w:t>
            </w:r>
            <w:r w:rsidRPr="004511C8">
              <w:rPr>
                <w:rFonts w:ascii="Arial" w:hAnsi="Arial" w:cs="Arial"/>
                <w:noProof/>
                <w:webHidden/>
                <w:sz w:val="22"/>
                <w:szCs w:val="22"/>
              </w:rPr>
              <w:fldChar w:fldCharType="end"/>
            </w:r>
          </w:hyperlink>
        </w:p>
        <w:p w14:paraId="65F8789B" w14:textId="20DB1797" w:rsidR="00F921ED" w:rsidRPr="004511C8" w:rsidRDefault="00F921ED">
          <w:pPr>
            <w:pStyle w:val="TOC1"/>
            <w:tabs>
              <w:tab w:val="right" w:leader="dot" w:pos="9016"/>
            </w:tabs>
            <w:rPr>
              <w:rFonts w:ascii="Arial" w:eastAsiaTheme="minorEastAsia" w:hAnsi="Arial" w:cs="Arial"/>
              <w:noProof/>
              <w:sz w:val="22"/>
              <w:szCs w:val="22"/>
              <w:lang/>
            </w:rPr>
          </w:pPr>
          <w:hyperlink w:anchor="_Toc229082816" w:history="1">
            <w:r w:rsidRPr="004511C8">
              <w:rPr>
                <w:rStyle w:val="Hyperlink"/>
                <w:rFonts w:ascii="Arial" w:hAnsi="Arial" w:cs="Arial"/>
                <w:noProof/>
                <w:sz w:val="22"/>
                <w:szCs w:val="22"/>
              </w:rPr>
              <w:t>APPENDICES</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_Toc229082816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67</w:t>
            </w:r>
            <w:r w:rsidRPr="004511C8">
              <w:rPr>
                <w:rFonts w:ascii="Arial" w:hAnsi="Arial" w:cs="Arial"/>
                <w:noProof/>
                <w:webHidden/>
                <w:sz w:val="22"/>
                <w:szCs w:val="22"/>
              </w:rPr>
              <w:fldChar w:fldCharType="end"/>
            </w:r>
          </w:hyperlink>
        </w:p>
        <w:p w14:paraId="0837D07E" w14:textId="6A6441AE" w:rsidR="00F921ED" w:rsidRPr="004511C8" w:rsidRDefault="00F921ED">
          <w:pPr>
            <w:pStyle w:val="TOC2"/>
            <w:tabs>
              <w:tab w:val="right" w:leader="dot" w:pos="9016"/>
            </w:tabs>
            <w:rPr>
              <w:rFonts w:ascii="Arial" w:eastAsiaTheme="minorEastAsia" w:hAnsi="Arial" w:cs="Arial"/>
              <w:noProof/>
              <w:sz w:val="22"/>
              <w:szCs w:val="22"/>
              <w:lang/>
            </w:rPr>
          </w:pPr>
          <w:hyperlink w:anchor="_Toc229082817" w:history="1">
            <w:r w:rsidRPr="004511C8">
              <w:rPr>
                <w:rStyle w:val="Hyperlink"/>
                <w:rFonts w:ascii="Arial" w:hAnsi="Arial" w:cs="Arial"/>
                <w:noProof/>
                <w:sz w:val="22"/>
                <w:szCs w:val="22"/>
              </w:rPr>
              <w:t>Study Characteristics Table of Included Studies</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_Toc229082817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67</w:t>
            </w:r>
            <w:r w:rsidRPr="004511C8">
              <w:rPr>
                <w:rFonts w:ascii="Arial" w:hAnsi="Arial" w:cs="Arial"/>
                <w:noProof/>
                <w:webHidden/>
                <w:sz w:val="22"/>
                <w:szCs w:val="22"/>
              </w:rPr>
              <w:fldChar w:fldCharType="end"/>
            </w:r>
          </w:hyperlink>
        </w:p>
        <w:p w14:paraId="604620C0" w14:textId="4BA1C00F" w:rsidR="00F921ED" w:rsidRPr="004511C8" w:rsidRDefault="00F921ED">
          <w:pPr>
            <w:pStyle w:val="TOC2"/>
            <w:tabs>
              <w:tab w:val="right" w:leader="dot" w:pos="9016"/>
            </w:tabs>
            <w:rPr>
              <w:rFonts w:ascii="Arial" w:eastAsiaTheme="minorEastAsia" w:hAnsi="Arial" w:cs="Arial"/>
              <w:noProof/>
              <w:sz w:val="22"/>
              <w:szCs w:val="22"/>
              <w:lang/>
            </w:rPr>
          </w:pPr>
          <w:hyperlink w:anchor="_Toc229082818" w:history="1">
            <w:r w:rsidRPr="004511C8">
              <w:rPr>
                <w:rStyle w:val="Hyperlink"/>
                <w:rFonts w:ascii="Arial" w:hAnsi="Arial" w:cs="Arial"/>
                <w:noProof/>
                <w:sz w:val="22"/>
                <w:szCs w:val="22"/>
                <w:lang w:val="en-US"/>
              </w:rPr>
              <w:t>Critical Appraisal Table Using MMAT (2018)</w:t>
            </w:r>
            <w:r w:rsidRPr="004511C8">
              <w:rPr>
                <w:rFonts w:ascii="Arial" w:hAnsi="Arial" w:cs="Arial"/>
                <w:noProof/>
                <w:webHidden/>
                <w:sz w:val="22"/>
                <w:szCs w:val="22"/>
              </w:rPr>
              <w:tab/>
            </w:r>
            <w:r w:rsidRPr="004511C8">
              <w:rPr>
                <w:rFonts w:ascii="Arial" w:hAnsi="Arial" w:cs="Arial"/>
                <w:noProof/>
                <w:webHidden/>
                <w:sz w:val="22"/>
                <w:szCs w:val="22"/>
              </w:rPr>
              <w:fldChar w:fldCharType="begin"/>
            </w:r>
            <w:r w:rsidRPr="004511C8">
              <w:rPr>
                <w:rFonts w:ascii="Arial" w:hAnsi="Arial" w:cs="Arial"/>
                <w:noProof/>
                <w:webHidden/>
                <w:sz w:val="22"/>
                <w:szCs w:val="22"/>
              </w:rPr>
              <w:instrText xml:space="preserve"> PAGEREF _Toc229082818 \h </w:instrText>
            </w:r>
            <w:r w:rsidRPr="004511C8">
              <w:rPr>
                <w:rFonts w:ascii="Arial" w:hAnsi="Arial" w:cs="Arial"/>
                <w:noProof/>
                <w:webHidden/>
                <w:sz w:val="22"/>
                <w:szCs w:val="22"/>
              </w:rPr>
            </w:r>
            <w:r w:rsidRPr="004511C8">
              <w:rPr>
                <w:rFonts w:ascii="Arial" w:hAnsi="Arial" w:cs="Arial"/>
                <w:noProof/>
                <w:webHidden/>
                <w:sz w:val="22"/>
                <w:szCs w:val="22"/>
              </w:rPr>
              <w:fldChar w:fldCharType="separate"/>
            </w:r>
            <w:r w:rsidRPr="004511C8">
              <w:rPr>
                <w:rFonts w:ascii="Arial" w:hAnsi="Arial" w:cs="Arial"/>
                <w:noProof/>
                <w:webHidden/>
                <w:sz w:val="22"/>
                <w:szCs w:val="22"/>
              </w:rPr>
              <w:t>71</w:t>
            </w:r>
            <w:r w:rsidRPr="004511C8">
              <w:rPr>
                <w:rFonts w:ascii="Arial" w:hAnsi="Arial" w:cs="Arial"/>
                <w:noProof/>
                <w:webHidden/>
                <w:sz w:val="22"/>
                <w:szCs w:val="22"/>
              </w:rPr>
              <w:fldChar w:fldCharType="end"/>
            </w:r>
          </w:hyperlink>
        </w:p>
        <w:p w14:paraId="30133A24" w14:textId="7D6361AE" w:rsidR="00172725" w:rsidRPr="004511C8" w:rsidRDefault="00172725" w:rsidP="005F4984">
          <w:pPr>
            <w:rPr>
              <w:rFonts w:ascii="Arial" w:hAnsi="Arial" w:cs="Arial"/>
              <w:sz w:val="22"/>
              <w:szCs w:val="22"/>
            </w:rPr>
          </w:pPr>
          <w:r w:rsidRPr="004511C8">
            <w:rPr>
              <w:rFonts w:ascii="Arial" w:hAnsi="Arial" w:cs="Arial"/>
              <w:b/>
              <w:bCs/>
              <w:sz w:val="22"/>
              <w:szCs w:val="22"/>
            </w:rPr>
            <w:fldChar w:fldCharType="end"/>
          </w:r>
        </w:p>
      </w:sdtContent>
    </w:sdt>
    <w:p w14:paraId="5209AA1F" w14:textId="6654EE8B" w:rsidR="00172725" w:rsidRPr="004511C8" w:rsidRDefault="00172725" w:rsidP="005F4984">
      <w:pPr>
        <w:jc w:val="left"/>
        <w:rPr>
          <w:rFonts w:ascii="Arial" w:hAnsi="Arial" w:cs="Arial"/>
          <w:b/>
          <w:bCs/>
          <w:sz w:val="22"/>
          <w:szCs w:val="22"/>
        </w:rPr>
      </w:pPr>
      <w:r w:rsidRPr="004511C8">
        <w:rPr>
          <w:rFonts w:ascii="Arial" w:hAnsi="Arial" w:cs="Arial"/>
          <w:sz w:val="22"/>
          <w:szCs w:val="22"/>
        </w:rPr>
        <w:br w:type="page"/>
      </w:r>
    </w:p>
    <w:p w14:paraId="43A5CCAC" w14:textId="5EA09890" w:rsidR="000A0F50" w:rsidRPr="004511C8" w:rsidRDefault="000A0F50" w:rsidP="005F4984">
      <w:pPr>
        <w:pStyle w:val="Heading1"/>
        <w:rPr>
          <w:rFonts w:ascii="Arial" w:hAnsi="Arial" w:cs="Arial"/>
          <w:sz w:val="22"/>
          <w:szCs w:val="22"/>
        </w:rPr>
      </w:pPr>
      <w:bookmarkStart w:id="0" w:name="_Toc229082757"/>
      <w:r w:rsidRPr="004511C8">
        <w:rPr>
          <w:rFonts w:ascii="Arial" w:hAnsi="Arial" w:cs="Arial"/>
          <w:sz w:val="22"/>
          <w:szCs w:val="22"/>
        </w:rPr>
        <w:lastRenderedPageBreak/>
        <w:t>CHAPTER 1: INTRODUCTION AND BACKGROUND</w:t>
      </w:r>
      <w:bookmarkEnd w:id="0"/>
    </w:p>
    <w:p w14:paraId="4B084105" w14:textId="77777777" w:rsidR="000A0F50" w:rsidRPr="004511C8" w:rsidRDefault="000A0F50" w:rsidP="005F4984">
      <w:pPr>
        <w:rPr>
          <w:rFonts w:ascii="Arial" w:hAnsi="Arial" w:cs="Arial"/>
          <w:sz w:val="22"/>
          <w:szCs w:val="22"/>
        </w:rPr>
      </w:pPr>
    </w:p>
    <w:p w14:paraId="15DBE808" w14:textId="0E2F637C" w:rsidR="000A0F50" w:rsidRPr="004511C8" w:rsidRDefault="000A0F50" w:rsidP="005F4984">
      <w:pPr>
        <w:pStyle w:val="Heading2"/>
        <w:rPr>
          <w:rFonts w:ascii="Arial" w:hAnsi="Arial" w:cs="Arial"/>
          <w:sz w:val="22"/>
          <w:szCs w:val="22"/>
        </w:rPr>
      </w:pPr>
      <w:bookmarkStart w:id="1" w:name="_Toc229082758"/>
      <w:r w:rsidRPr="004511C8">
        <w:rPr>
          <w:rFonts w:ascii="Arial" w:hAnsi="Arial" w:cs="Arial"/>
          <w:sz w:val="22"/>
          <w:szCs w:val="22"/>
        </w:rPr>
        <w:t>1.1 Introduction to the topic</w:t>
      </w:r>
      <w:bookmarkEnd w:id="1"/>
    </w:p>
    <w:p w14:paraId="2A13B1AC" w14:textId="19D458C3" w:rsidR="000A0F50" w:rsidRPr="004511C8" w:rsidRDefault="000A0F50" w:rsidP="005F4984">
      <w:pPr>
        <w:rPr>
          <w:rFonts w:ascii="Arial" w:hAnsi="Arial" w:cs="Arial"/>
          <w:sz w:val="22"/>
          <w:szCs w:val="22"/>
        </w:rPr>
      </w:pPr>
      <w:r w:rsidRPr="004511C8">
        <w:rPr>
          <w:rFonts w:ascii="Arial" w:hAnsi="Arial" w:cs="Arial"/>
          <w:sz w:val="22"/>
          <w:szCs w:val="22"/>
        </w:rPr>
        <w:t xml:space="preserve">Gonorrhoea is an infection which is common and is caused by the </w:t>
      </w:r>
      <w:r w:rsidR="00250E65" w:rsidRPr="004511C8">
        <w:rPr>
          <w:rFonts w:ascii="Arial" w:hAnsi="Arial" w:cs="Arial"/>
          <w:sz w:val="22"/>
          <w:szCs w:val="22"/>
        </w:rPr>
        <w:t>bacterium</w:t>
      </w:r>
      <w:r w:rsidRPr="004511C8">
        <w:rPr>
          <w:rFonts w:ascii="Arial" w:hAnsi="Arial" w:cs="Arial"/>
          <w:sz w:val="22"/>
          <w:szCs w:val="22"/>
        </w:rPr>
        <w:t xml:space="preserve"> Neisseria gonorrhoeae</w:t>
      </w:r>
      <w:r w:rsidR="004A7744" w:rsidRPr="004511C8">
        <w:rPr>
          <w:rFonts w:ascii="Arial" w:hAnsi="Arial" w:cs="Arial"/>
          <w:sz w:val="22"/>
          <w:szCs w:val="22"/>
        </w:rPr>
        <w:t xml:space="preserve"> (</w:t>
      </w:r>
      <w:proofErr w:type="spellStart"/>
      <w:r w:rsidR="004A7744" w:rsidRPr="004511C8">
        <w:rPr>
          <w:rFonts w:ascii="Arial" w:hAnsi="Arial" w:cs="Arial"/>
          <w:sz w:val="22"/>
          <w:szCs w:val="22"/>
        </w:rPr>
        <w:t>Mahapure</w:t>
      </w:r>
      <w:proofErr w:type="spellEnd"/>
      <w:r w:rsidR="004A7744" w:rsidRPr="004511C8">
        <w:rPr>
          <w:rFonts w:ascii="Arial" w:hAnsi="Arial" w:cs="Arial"/>
          <w:sz w:val="22"/>
          <w:szCs w:val="22"/>
        </w:rPr>
        <w:t xml:space="preserve"> et al.</w:t>
      </w:r>
      <w:r w:rsidR="002D0E5A" w:rsidRPr="004511C8">
        <w:rPr>
          <w:rFonts w:ascii="Arial" w:hAnsi="Arial" w:cs="Arial"/>
          <w:sz w:val="22"/>
          <w:szCs w:val="22"/>
        </w:rPr>
        <w:t xml:space="preserve"> </w:t>
      </w:r>
      <w:r w:rsidR="004A7744" w:rsidRPr="004511C8">
        <w:rPr>
          <w:rFonts w:ascii="Arial" w:hAnsi="Arial" w:cs="Arial"/>
          <w:sz w:val="22"/>
          <w:szCs w:val="22"/>
        </w:rPr>
        <w:t>2023)</w:t>
      </w:r>
      <w:r w:rsidRPr="004511C8">
        <w:rPr>
          <w:rFonts w:ascii="Arial" w:hAnsi="Arial" w:cs="Arial"/>
          <w:sz w:val="22"/>
          <w:szCs w:val="22"/>
        </w:rPr>
        <w:t xml:space="preserve">. It is also a significant public health concern as it can spread quickly, is mostly asymptomatic, and may cause severe complications in </w:t>
      </w:r>
      <w:r w:rsidR="00250E65" w:rsidRPr="004511C8">
        <w:rPr>
          <w:rFonts w:ascii="Arial" w:hAnsi="Arial" w:cs="Arial"/>
          <w:sz w:val="22"/>
          <w:szCs w:val="22"/>
        </w:rPr>
        <w:t xml:space="preserve">the </w:t>
      </w:r>
      <w:r w:rsidRPr="004511C8">
        <w:rPr>
          <w:rFonts w:ascii="Arial" w:hAnsi="Arial" w:cs="Arial"/>
          <w:sz w:val="22"/>
          <w:szCs w:val="22"/>
        </w:rPr>
        <w:t>case of no timely diagnosis and treatment. These complications are pelvic inflammatory disease, infertility, ectopic pregnancy and high risks of contracting HIV. One of the greatest worries of the past few decades has been the gradual development of the organism as a source of resistance to antimicrobial agents previously used to treat it (</w:t>
      </w:r>
      <w:proofErr w:type="spellStart"/>
      <w:r w:rsidRPr="004511C8">
        <w:rPr>
          <w:rFonts w:ascii="Arial" w:hAnsi="Arial" w:cs="Arial"/>
          <w:sz w:val="22"/>
          <w:szCs w:val="22"/>
        </w:rPr>
        <w:t>Unemo</w:t>
      </w:r>
      <w:proofErr w:type="spellEnd"/>
      <w:r w:rsidRPr="004511C8">
        <w:rPr>
          <w:rFonts w:ascii="Arial" w:hAnsi="Arial" w:cs="Arial"/>
          <w:sz w:val="22"/>
          <w:szCs w:val="22"/>
        </w:rPr>
        <w:t xml:space="preserve"> and Shafer, 2014; </w:t>
      </w:r>
      <w:proofErr w:type="spellStart"/>
      <w:r w:rsidRPr="004511C8">
        <w:rPr>
          <w:rFonts w:ascii="Arial" w:hAnsi="Arial" w:cs="Arial"/>
          <w:sz w:val="22"/>
          <w:szCs w:val="22"/>
        </w:rPr>
        <w:t>Aitolo</w:t>
      </w:r>
      <w:proofErr w:type="spellEnd"/>
      <w:r w:rsidRPr="004511C8">
        <w:rPr>
          <w:rFonts w:ascii="Arial" w:hAnsi="Arial" w:cs="Arial"/>
          <w:sz w:val="22"/>
          <w:szCs w:val="22"/>
        </w:rPr>
        <w:t xml:space="preserve"> et al.</w:t>
      </w:r>
      <w:r w:rsidR="00250E65" w:rsidRPr="004511C8">
        <w:rPr>
          <w:rFonts w:ascii="Arial" w:hAnsi="Arial" w:cs="Arial"/>
          <w:sz w:val="22"/>
          <w:szCs w:val="22"/>
        </w:rPr>
        <w:t xml:space="preserve"> </w:t>
      </w:r>
      <w:r w:rsidRPr="004511C8">
        <w:rPr>
          <w:rFonts w:ascii="Arial" w:hAnsi="Arial" w:cs="Arial"/>
          <w:sz w:val="22"/>
          <w:szCs w:val="22"/>
        </w:rPr>
        <w:t>2021). Consequently, gonorrhoea has risen to be one of the most obvious manifestations of the broader global antimicrobial resistance crisis.</w:t>
      </w:r>
    </w:p>
    <w:p w14:paraId="5093D0A0" w14:textId="6F71FB36" w:rsidR="000A0F50" w:rsidRPr="004511C8" w:rsidRDefault="000A0F50" w:rsidP="005F4984">
      <w:pPr>
        <w:rPr>
          <w:rFonts w:ascii="Arial" w:hAnsi="Arial" w:cs="Arial"/>
          <w:sz w:val="22"/>
          <w:szCs w:val="22"/>
        </w:rPr>
      </w:pPr>
      <w:r w:rsidRPr="004511C8">
        <w:rPr>
          <w:rFonts w:ascii="Arial" w:hAnsi="Arial" w:cs="Arial"/>
          <w:sz w:val="22"/>
          <w:szCs w:val="22"/>
        </w:rPr>
        <w:t xml:space="preserve">This dissertation will concentrate on antimicrobial resistance in gonorrhoea in </w:t>
      </w:r>
      <w:r w:rsidR="00250E65" w:rsidRPr="004511C8">
        <w:rPr>
          <w:rFonts w:ascii="Arial" w:hAnsi="Arial" w:cs="Arial"/>
          <w:sz w:val="22"/>
          <w:szCs w:val="22"/>
        </w:rPr>
        <w:t xml:space="preserve">the </w:t>
      </w:r>
      <w:r w:rsidRPr="004511C8">
        <w:rPr>
          <w:rFonts w:ascii="Arial" w:hAnsi="Arial" w:cs="Arial"/>
          <w:sz w:val="22"/>
          <w:szCs w:val="22"/>
        </w:rPr>
        <w:t xml:space="preserve">UK and specifically the applicability of this problem among young adults. The review does not merely focus on the issues of resistance, but also the </w:t>
      </w:r>
      <w:r w:rsidR="00250E65" w:rsidRPr="004511C8">
        <w:rPr>
          <w:rFonts w:ascii="Arial" w:hAnsi="Arial" w:cs="Arial"/>
          <w:sz w:val="22"/>
          <w:szCs w:val="22"/>
        </w:rPr>
        <w:t>way</w:t>
      </w:r>
      <w:r w:rsidRPr="004511C8">
        <w:rPr>
          <w:rFonts w:ascii="Arial" w:hAnsi="Arial" w:cs="Arial"/>
          <w:sz w:val="22"/>
          <w:szCs w:val="22"/>
        </w:rPr>
        <w:t xml:space="preserve"> the trends of resistance, surveillance mechanisms, outbreaks, and treatment failures influence the control of gonorrhoea in the UK. The literature has reported decreased susceptibility to major antibiotics, the development of </w:t>
      </w:r>
      <w:r w:rsidR="002D0E5A" w:rsidRPr="004511C8">
        <w:rPr>
          <w:rFonts w:ascii="Arial" w:hAnsi="Arial" w:cs="Arial"/>
          <w:sz w:val="22"/>
          <w:szCs w:val="22"/>
        </w:rPr>
        <w:t>multidrug-resistant</w:t>
      </w:r>
      <w:r w:rsidRPr="004511C8">
        <w:rPr>
          <w:rFonts w:ascii="Arial" w:hAnsi="Arial" w:cs="Arial"/>
          <w:sz w:val="22"/>
          <w:szCs w:val="22"/>
        </w:rPr>
        <w:t xml:space="preserve"> strains and the ongoing threat of treatment failure (Chisholm et al. 2011; Eyre et al. 2018; Day et al. 2022). This paper thus aims to summarise the evidence available and analyse its role in the comprehension of gonococcal antimicrobial resistance as a modern-day </w:t>
      </w:r>
      <w:r w:rsidR="00F426C7" w:rsidRPr="004511C8">
        <w:rPr>
          <w:rFonts w:ascii="Arial" w:hAnsi="Arial" w:cs="Arial"/>
          <w:sz w:val="22"/>
          <w:szCs w:val="22"/>
        </w:rPr>
        <w:t xml:space="preserve">public </w:t>
      </w:r>
      <w:r w:rsidRPr="004511C8">
        <w:rPr>
          <w:rFonts w:ascii="Arial" w:hAnsi="Arial" w:cs="Arial"/>
          <w:sz w:val="22"/>
          <w:szCs w:val="22"/>
        </w:rPr>
        <w:t>health issue.</w:t>
      </w:r>
    </w:p>
    <w:p w14:paraId="2245BEAB" w14:textId="77777777" w:rsidR="000A0F50" w:rsidRPr="004511C8" w:rsidRDefault="000A0F50" w:rsidP="005F4984">
      <w:pPr>
        <w:rPr>
          <w:rFonts w:ascii="Arial" w:hAnsi="Arial" w:cs="Arial"/>
          <w:sz w:val="22"/>
          <w:szCs w:val="22"/>
        </w:rPr>
      </w:pPr>
    </w:p>
    <w:p w14:paraId="7019691E" w14:textId="77777777" w:rsidR="000A0F50" w:rsidRPr="004511C8" w:rsidRDefault="000A0F50" w:rsidP="005F4984">
      <w:pPr>
        <w:pStyle w:val="Heading2"/>
        <w:rPr>
          <w:rFonts w:ascii="Arial" w:hAnsi="Arial" w:cs="Arial"/>
          <w:sz w:val="22"/>
          <w:szCs w:val="22"/>
        </w:rPr>
      </w:pPr>
      <w:bookmarkStart w:id="2" w:name="_Toc229082759"/>
      <w:r w:rsidRPr="004511C8">
        <w:rPr>
          <w:rFonts w:ascii="Arial" w:hAnsi="Arial" w:cs="Arial"/>
          <w:sz w:val="22"/>
          <w:szCs w:val="22"/>
        </w:rPr>
        <w:t>1.2 Background and Current Context</w:t>
      </w:r>
      <w:bookmarkEnd w:id="2"/>
    </w:p>
    <w:p w14:paraId="08B898EB" w14:textId="247E855F" w:rsidR="00887155" w:rsidRPr="004511C8" w:rsidRDefault="005B35D3" w:rsidP="005F4984">
      <w:pPr>
        <w:rPr>
          <w:rFonts w:ascii="Arial" w:hAnsi="Arial" w:cs="Arial"/>
          <w:sz w:val="22"/>
          <w:szCs w:val="22"/>
        </w:rPr>
      </w:pPr>
      <w:r w:rsidRPr="004511C8">
        <w:rPr>
          <w:rFonts w:ascii="Arial" w:hAnsi="Arial" w:cs="Arial"/>
          <w:sz w:val="22"/>
          <w:szCs w:val="22"/>
        </w:rPr>
        <w:t>Gonorrhoea is a major sexually transmitted infection of continuing public health concern because of its high transmissibility, frequent asymptomatic presentation, and potential to cause serious reproductive and sexual health complications when diagnosis or treatment is delayed. These complications include pelvic inflammatory disease, infertility, ectopic pregnancy and an increased risk of HIV transmission (</w:t>
      </w:r>
      <w:proofErr w:type="spellStart"/>
      <w:r w:rsidRPr="004511C8">
        <w:rPr>
          <w:rFonts w:ascii="Arial" w:hAnsi="Arial" w:cs="Arial"/>
          <w:sz w:val="22"/>
          <w:szCs w:val="22"/>
        </w:rPr>
        <w:t>Unemo</w:t>
      </w:r>
      <w:proofErr w:type="spellEnd"/>
      <w:r w:rsidRPr="004511C8">
        <w:rPr>
          <w:rFonts w:ascii="Arial" w:hAnsi="Arial" w:cs="Arial"/>
          <w:sz w:val="22"/>
          <w:szCs w:val="22"/>
        </w:rPr>
        <w:t xml:space="preserve"> et al.</w:t>
      </w:r>
      <w:r w:rsidR="00250E65" w:rsidRPr="004511C8">
        <w:rPr>
          <w:rFonts w:ascii="Arial" w:hAnsi="Arial" w:cs="Arial"/>
          <w:sz w:val="22"/>
          <w:szCs w:val="22"/>
        </w:rPr>
        <w:t xml:space="preserve"> </w:t>
      </w:r>
      <w:r w:rsidRPr="004511C8">
        <w:rPr>
          <w:rFonts w:ascii="Arial" w:hAnsi="Arial" w:cs="Arial"/>
          <w:sz w:val="22"/>
          <w:szCs w:val="22"/>
        </w:rPr>
        <w:t xml:space="preserve">2020; </w:t>
      </w:r>
      <w:proofErr w:type="spellStart"/>
      <w:r w:rsidRPr="004511C8">
        <w:rPr>
          <w:rFonts w:ascii="Arial" w:hAnsi="Arial" w:cs="Arial"/>
          <w:sz w:val="22"/>
          <w:szCs w:val="22"/>
        </w:rPr>
        <w:t>Mahapure</w:t>
      </w:r>
      <w:proofErr w:type="spellEnd"/>
      <w:r w:rsidRPr="004511C8">
        <w:rPr>
          <w:rFonts w:ascii="Arial" w:hAnsi="Arial" w:cs="Arial"/>
          <w:sz w:val="22"/>
          <w:szCs w:val="22"/>
        </w:rPr>
        <w:t xml:space="preserve"> et al. 2023). Within the United Kingdom context, the burden of infection is especially important in younger populations. The most detailed routine surveillance data are reported for England by the UK Health Security Agency and show that 71,802 gonorrhoea diagnoses were recorded in 2024, compared with 85,370 in 2023 (UK Health Security Agency, 2025a; UK Health Security Agency, 2025b). Although this represented a decline from the previous year, STI diagnosis rates continued to be highest among young people aged 15 to 24 years (UK Health </w:t>
      </w:r>
      <w:r w:rsidRPr="004511C8">
        <w:rPr>
          <w:rFonts w:ascii="Arial" w:hAnsi="Arial" w:cs="Arial"/>
          <w:sz w:val="22"/>
          <w:szCs w:val="22"/>
        </w:rPr>
        <w:lastRenderedPageBreak/>
        <w:t xml:space="preserve">Security Agency, 2025b). UKHSA also reported that the largest reduction in gonorrhoea diagnoses between 2023 and 2024 occurred in this same age group, with a 36% fall, indicating that young adults remain a key epidemiological group even where short-term improvements are observed (UK Health Security Agency, 2025a). Earlier surveillance further showed that gonorrhoea diagnoses in England increased from 31,177 in 2013 to 82,592 in 2022, with cases among 15 to </w:t>
      </w:r>
      <w:r w:rsidR="009D1EA6" w:rsidRPr="004511C8">
        <w:rPr>
          <w:rFonts w:ascii="Arial" w:hAnsi="Arial" w:cs="Arial"/>
          <w:sz w:val="22"/>
          <w:szCs w:val="22"/>
        </w:rPr>
        <w:t>24-year-olds</w:t>
      </w:r>
      <w:r w:rsidRPr="004511C8">
        <w:rPr>
          <w:rFonts w:ascii="Arial" w:hAnsi="Arial" w:cs="Arial"/>
          <w:sz w:val="22"/>
          <w:szCs w:val="22"/>
        </w:rPr>
        <w:t xml:space="preserve"> nearly doubling over that period (UK Health Security Agency, 2025c). Taken together, these data show that gonorrhoea remains highly relevant to young adults and that this age group should be central to discussions of prevention, surveillance and antimicrobial resistance (UK Health Security Agency, 2025a; UK Health Security Agency, 2025b; UK Health Security Agency, 2025c).</w:t>
      </w:r>
    </w:p>
    <w:p w14:paraId="6EC618AF" w14:textId="0A4BCE95" w:rsidR="00887155" w:rsidRPr="004511C8" w:rsidRDefault="00887155" w:rsidP="00887155">
      <w:pPr>
        <w:jc w:val="center"/>
        <w:rPr>
          <w:rFonts w:ascii="Arial" w:hAnsi="Arial" w:cs="Arial"/>
          <w:sz w:val="22"/>
          <w:szCs w:val="22"/>
        </w:rPr>
      </w:pPr>
      <w:r w:rsidRPr="004511C8">
        <w:rPr>
          <w:rFonts w:ascii="Arial" w:hAnsi="Arial" w:cs="Arial"/>
          <w:noProof/>
          <w:sz w:val="22"/>
          <w:szCs w:val="22"/>
        </w:rPr>
        <w:drawing>
          <wp:inline distT="0" distB="0" distL="0" distR="0" wp14:anchorId="26C9622A" wp14:editId="07BE631E">
            <wp:extent cx="2514151" cy="2520000"/>
            <wp:effectExtent l="0" t="0" r="635" b="0"/>
            <wp:docPr id="786629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14151" cy="2520000"/>
                    </a:xfrm>
                    <a:prstGeom prst="rect">
                      <a:avLst/>
                    </a:prstGeom>
                    <a:noFill/>
                    <a:ln>
                      <a:noFill/>
                    </a:ln>
                  </pic:spPr>
                </pic:pic>
              </a:graphicData>
            </a:graphic>
          </wp:inline>
        </w:drawing>
      </w:r>
    </w:p>
    <w:p w14:paraId="6112177F" w14:textId="63EC9FE1" w:rsidR="00887155" w:rsidRPr="004511C8" w:rsidRDefault="00887155" w:rsidP="00887155">
      <w:pPr>
        <w:jc w:val="center"/>
        <w:rPr>
          <w:rFonts w:ascii="Arial" w:hAnsi="Arial" w:cs="Arial"/>
          <w:sz w:val="22"/>
          <w:szCs w:val="22"/>
        </w:rPr>
      </w:pPr>
      <w:r w:rsidRPr="004511C8">
        <w:rPr>
          <w:rFonts w:ascii="Arial" w:hAnsi="Arial" w:cs="Arial"/>
          <w:sz w:val="22"/>
          <w:szCs w:val="22"/>
        </w:rPr>
        <w:t>Figure 1: Illustration of Gonorrhoea (Neisseria gonorrhoeae)</w:t>
      </w:r>
    </w:p>
    <w:p w14:paraId="04C4BDEC" w14:textId="44D51E42" w:rsidR="000A0F50" w:rsidRPr="004511C8" w:rsidRDefault="000A0F50" w:rsidP="005F4984">
      <w:pPr>
        <w:rPr>
          <w:rFonts w:ascii="Arial" w:hAnsi="Arial" w:cs="Arial"/>
          <w:sz w:val="22"/>
          <w:szCs w:val="22"/>
        </w:rPr>
      </w:pPr>
      <w:r w:rsidRPr="004511C8">
        <w:rPr>
          <w:rFonts w:ascii="Arial" w:hAnsi="Arial" w:cs="Arial"/>
          <w:sz w:val="22"/>
          <w:szCs w:val="22"/>
        </w:rPr>
        <w:t>Gonorrhoea has always been known as a significant sexually transmitted disease, but due to the ability of Neisseria gonorrhoeae to survive pressure well to antibiotics, its importance has grown. The organism has</w:t>
      </w:r>
      <w:r w:rsidR="009D1EA6" w:rsidRPr="004511C8">
        <w:rPr>
          <w:rFonts w:ascii="Arial" w:hAnsi="Arial" w:cs="Arial"/>
          <w:sz w:val="22"/>
          <w:szCs w:val="22"/>
        </w:rPr>
        <w:t>,</w:t>
      </w:r>
      <w:r w:rsidRPr="004511C8">
        <w:rPr>
          <w:rFonts w:ascii="Arial" w:hAnsi="Arial" w:cs="Arial"/>
          <w:sz w:val="22"/>
          <w:szCs w:val="22"/>
        </w:rPr>
        <w:t xml:space="preserve"> over time</w:t>
      </w:r>
      <w:r w:rsidR="009D1EA6" w:rsidRPr="004511C8">
        <w:rPr>
          <w:rFonts w:ascii="Arial" w:hAnsi="Arial" w:cs="Arial"/>
          <w:sz w:val="22"/>
          <w:szCs w:val="22"/>
        </w:rPr>
        <w:t>,</w:t>
      </w:r>
      <w:r w:rsidRPr="004511C8">
        <w:rPr>
          <w:rFonts w:ascii="Arial" w:hAnsi="Arial" w:cs="Arial"/>
          <w:sz w:val="22"/>
          <w:szCs w:val="22"/>
        </w:rPr>
        <w:t xml:space="preserve"> developed resistance to </w:t>
      </w:r>
      <w:proofErr w:type="spellStart"/>
      <w:r w:rsidRPr="004511C8">
        <w:rPr>
          <w:rFonts w:ascii="Arial" w:hAnsi="Arial" w:cs="Arial"/>
          <w:sz w:val="22"/>
          <w:szCs w:val="22"/>
        </w:rPr>
        <w:t>sulfonamides</w:t>
      </w:r>
      <w:proofErr w:type="spellEnd"/>
      <w:r w:rsidRPr="004511C8">
        <w:rPr>
          <w:rFonts w:ascii="Arial" w:hAnsi="Arial" w:cs="Arial"/>
          <w:sz w:val="22"/>
          <w:szCs w:val="22"/>
        </w:rPr>
        <w:t xml:space="preserve">, </w:t>
      </w:r>
      <w:proofErr w:type="spellStart"/>
      <w:r w:rsidRPr="004511C8">
        <w:rPr>
          <w:rFonts w:ascii="Arial" w:hAnsi="Arial" w:cs="Arial"/>
          <w:sz w:val="22"/>
          <w:szCs w:val="22"/>
        </w:rPr>
        <w:t>penicillins</w:t>
      </w:r>
      <w:proofErr w:type="spellEnd"/>
      <w:r w:rsidRPr="004511C8">
        <w:rPr>
          <w:rFonts w:ascii="Arial" w:hAnsi="Arial" w:cs="Arial"/>
          <w:sz w:val="22"/>
          <w:szCs w:val="22"/>
        </w:rPr>
        <w:t>, tetracyclines and fluoroquinolones</w:t>
      </w:r>
      <w:r w:rsidR="00961E73" w:rsidRPr="004511C8">
        <w:rPr>
          <w:rFonts w:ascii="Arial" w:hAnsi="Arial" w:cs="Arial"/>
          <w:sz w:val="22"/>
          <w:szCs w:val="22"/>
        </w:rPr>
        <w:t xml:space="preserve"> (Fifer and Johnson, 2025)</w:t>
      </w:r>
      <w:r w:rsidRPr="004511C8">
        <w:rPr>
          <w:rFonts w:ascii="Arial" w:hAnsi="Arial" w:cs="Arial"/>
          <w:sz w:val="22"/>
          <w:szCs w:val="22"/>
        </w:rPr>
        <w:t>, and more recently, some concern has been attributed to decreased susceptibility to extended-spectrum cephalosporins and azithromycin</w:t>
      </w:r>
      <w:r w:rsidR="00944355">
        <w:rPr>
          <w:rFonts w:ascii="Arial" w:hAnsi="Arial" w:cs="Arial"/>
          <w:sz w:val="22"/>
          <w:szCs w:val="22"/>
        </w:rPr>
        <w:t>,</w:t>
      </w:r>
      <w:r w:rsidRPr="004511C8">
        <w:rPr>
          <w:rFonts w:ascii="Arial" w:hAnsi="Arial" w:cs="Arial"/>
          <w:sz w:val="22"/>
          <w:szCs w:val="22"/>
        </w:rPr>
        <w:t xml:space="preserve"> which have been predominant in treatment regimens in various settings (</w:t>
      </w:r>
      <w:proofErr w:type="spellStart"/>
      <w:r w:rsidRPr="004511C8">
        <w:rPr>
          <w:rFonts w:ascii="Arial" w:hAnsi="Arial" w:cs="Arial"/>
          <w:sz w:val="22"/>
          <w:szCs w:val="22"/>
        </w:rPr>
        <w:t>Unemo</w:t>
      </w:r>
      <w:proofErr w:type="spellEnd"/>
      <w:r w:rsidRPr="004511C8">
        <w:rPr>
          <w:rFonts w:ascii="Arial" w:hAnsi="Arial" w:cs="Arial"/>
          <w:sz w:val="22"/>
          <w:szCs w:val="22"/>
        </w:rPr>
        <w:t xml:space="preserve"> and Shafer, 2014</w:t>
      </w:r>
      <w:r w:rsidR="00FC790B" w:rsidRPr="004511C8">
        <w:rPr>
          <w:rFonts w:ascii="Arial" w:hAnsi="Arial" w:cs="Arial"/>
          <w:sz w:val="22"/>
          <w:szCs w:val="22"/>
        </w:rPr>
        <w:t xml:space="preserve">). </w:t>
      </w:r>
      <w:r w:rsidRPr="004511C8">
        <w:rPr>
          <w:rFonts w:ascii="Arial" w:hAnsi="Arial" w:cs="Arial"/>
          <w:sz w:val="22"/>
          <w:szCs w:val="22"/>
        </w:rPr>
        <w:t xml:space="preserve">This trend indicates that gonococcal resistance is not a new phenomenon but a dynamic process that is influenced </w:t>
      </w:r>
      <w:r w:rsidR="0028370F">
        <w:rPr>
          <w:rFonts w:ascii="Arial" w:hAnsi="Arial" w:cs="Arial"/>
          <w:sz w:val="22"/>
          <w:szCs w:val="22"/>
        </w:rPr>
        <w:t>by</w:t>
      </w:r>
      <w:r w:rsidRPr="004511C8">
        <w:rPr>
          <w:rFonts w:ascii="Arial" w:hAnsi="Arial" w:cs="Arial"/>
          <w:sz w:val="22"/>
          <w:szCs w:val="22"/>
        </w:rPr>
        <w:t xml:space="preserve"> antimicrobials, the dynamics of mutation and transmission. </w:t>
      </w:r>
      <w:proofErr w:type="spellStart"/>
      <w:r w:rsidRPr="004511C8">
        <w:rPr>
          <w:rFonts w:ascii="Arial" w:hAnsi="Arial" w:cs="Arial"/>
          <w:sz w:val="22"/>
          <w:szCs w:val="22"/>
        </w:rPr>
        <w:t>Aitolo</w:t>
      </w:r>
      <w:proofErr w:type="spellEnd"/>
      <w:r w:rsidRPr="004511C8">
        <w:rPr>
          <w:rFonts w:ascii="Arial" w:hAnsi="Arial" w:cs="Arial"/>
          <w:sz w:val="22"/>
          <w:szCs w:val="22"/>
        </w:rPr>
        <w:t xml:space="preserve"> et al. (2021) refer to such a development as a transition between treatable resistance to the scenario where treatment choices are becoming increasingly </w:t>
      </w:r>
      <w:r w:rsidR="007C1AE8" w:rsidRPr="004511C8">
        <w:rPr>
          <w:rFonts w:ascii="Arial" w:hAnsi="Arial" w:cs="Arial"/>
          <w:sz w:val="22"/>
          <w:szCs w:val="22"/>
        </w:rPr>
        <w:t>inadequate</w:t>
      </w:r>
      <w:r w:rsidRPr="004511C8">
        <w:rPr>
          <w:rFonts w:ascii="Arial" w:hAnsi="Arial" w:cs="Arial"/>
          <w:sz w:val="22"/>
          <w:szCs w:val="22"/>
        </w:rPr>
        <w:t>.</w:t>
      </w:r>
    </w:p>
    <w:p w14:paraId="515B7F66" w14:textId="37749106" w:rsidR="009E3D21" w:rsidRPr="004511C8" w:rsidRDefault="000A0F50" w:rsidP="005F4984">
      <w:pPr>
        <w:rPr>
          <w:rFonts w:ascii="Arial" w:hAnsi="Arial" w:cs="Arial"/>
          <w:sz w:val="22"/>
          <w:szCs w:val="22"/>
        </w:rPr>
      </w:pPr>
      <w:r w:rsidRPr="004511C8">
        <w:rPr>
          <w:rFonts w:ascii="Arial" w:hAnsi="Arial" w:cs="Arial"/>
          <w:sz w:val="22"/>
          <w:szCs w:val="22"/>
        </w:rPr>
        <w:t>Gonococcal antimicrobial resistance has a critical public health implication because effective treatment and control of infection have a close relationship</w:t>
      </w:r>
      <w:r w:rsidR="00771812" w:rsidRPr="004511C8">
        <w:rPr>
          <w:rFonts w:ascii="Arial" w:hAnsi="Arial" w:cs="Arial"/>
          <w:sz w:val="22"/>
          <w:szCs w:val="22"/>
        </w:rPr>
        <w:t xml:space="preserve"> (Merrick et al. 2022)</w:t>
      </w:r>
      <w:r w:rsidRPr="004511C8">
        <w:rPr>
          <w:rFonts w:ascii="Arial" w:hAnsi="Arial" w:cs="Arial"/>
          <w:sz w:val="22"/>
          <w:szCs w:val="22"/>
        </w:rPr>
        <w:t xml:space="preserve">. The treatment </w:t>
      </w:r>
      <w:r w:rsidRPr="004511C8">
        <w:rPr>
          <w:rFonts w:ascii="Arial" w:hAnsi="Arial" w:cs="Arial"/>
          <w:sz w:val="22"/>
          <w:szCs w:val="22"/>
        </w:rPr>
        <w:lastRenderedPageBreak/>
        <w:t>of gonorrhoea can be effective with only one regimen, and so it is necessary to diagnose and treat it quickly to prevent complications and decrease onward transmission</w:t>
      </w:r>
      <w:r w:rsidR="00C94479" w:rsidRPr="004511C8">
        <w:rPr>
          <w:rFonts w:ascii="Arial" w:hAnsi="Arial" w:cs="Arial"/>
          <w:sz w:val="22"/>
          <w:szCs w:val="22"/>
        </w:rPr>
        <w:t xml:space="preserve"> (</w:t>
      </w:r>
      <w:proofErr w:type="spellStart"/>
      <w:r w:rsidR="00C94479" w:rsidRPr="004511C8">
        <w:rPr>
          <w:rFonts w:ascii="Arial" w:hAnsi="Arial" w:cs="Arial"/>
          <w:sz w:val="22"/>
          <w:szCs w:val="22"/>
        </w:rPr>
        <w:t>Unemo</w:t>
      </w:r>
      <w:proofErr w:type="spellEnd"/>
      <w:r w:rsidR="00C94479" w:rsidRPr="004511C8">
        <w:rPr>
          <w:rFonts w:ascii="Arial" w:hAnsi="Arial" w:cs="Arial"/>
          <w:sz w:val="22"/>
          <w:szCs w:val="22"/>
        </w:rPr>
        <w:t xml:space="preserve"> et al. 2020)</w:t>
      </w:r>
      <w:r w:rsidRPr="004511C8">
        <w:rPr>
          <w:rFonts w:ascii="Arial" w:hAnsi="Arial" w:cs="Arial"/>
          <w:sz w:val="22"/>
          <w:szCs w:val="22"/>
        </w:rPr>
        <w:t>. Infected people will be able to be a longer-lasting carrier of the infection and can become a source of further contagion and bigger epidemics once treatment becomes less effective. Resistance thus has an impact not just on the individual patient but also on the entire sexual health system, such as testing services, partner notification and public health surveillance (Ison and Alexander, 2011; Merrick et al.</w:t>
      </w:r>
      <w:r w:rsidR="00BD0BE5" w:rsidRPr="004511C8">
        <w:rPr>
          <w:rFonts w:ascii="Arial" w:hAnsi="Arial" w:cs="Arial"/>
          <w:sz w:val="22"/>
          <w:szCs w:val="22"/>
        </w:rPr>
        <w:t xml:space="preserve"> </w:t>
      </w:r>
      <w:r w:rsidRPr="004511C8">
        <w:rPr>
          <w:rFonts w:ascii="Arial" w:hAnsi="Arial" w:cs="Arial"/>
          <w:sz w:val="22"/>
          <w:szCs w:val="22"/>
        </w:rPr>
        <w:t>2022). By doing so, gonococcal AMR is not only a microbiological issue but also a broader systems-wide concern.</w:t>
      </w:r>
    </w:p>
    <w:p w14:paraId="34DF50D3" w14:textId="3A3CAD19" w:rsidR="009E3D21" w:rsidRPr="004511C8" w:rsidRDefault="009E3D21" w:rsidP="009E3D21">
      <w:pPr>
        <w:jc w:val="center"/>
        <w:rPr>
          <w:rFonts w:ascii="Arial" w:hAnsi="Arial" w:cs="Arial"/>
          <w:sz w:val="22"/>
          <w:szCs w:val="22"/>
        </w:rPr>
      </w:pPr>
      <w:r w:rsidRPr="004511C8">
        <w:rPr>
          <w:rFonts w:ascii="Arial" w:hAnsi="Arial" w:cs="Arial"/>
          <w:noProof/>
          <w:sz w:val="22"/>
          <w:szCs w:val="22"/>
        </w:rPr>
        <w:drawing>
          <wp:inline distT="0" distB="0" distL="0" distR="0" wp14:anchorId="1E3972AC" wp14:editId="174B2255">
            <wp:extent cx="5731510" cy="3329940"/>
            <wp:effectExtent l="0" t="0" r="2540" b="3810"/>
            <wp:docPr id="6703243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329940"/>
                    </a:xfrm>
                    <a:prstGeom prst="rect">
                      <a:avLst/>
                    </a:prstGeom>
                    <a:noFill/>
                    <a:ln>
                      <a:noFill/>
                    </a:ln>
                  </pic:spPr>
                </pic:pic>
              </a:graphicData>
            </a:graphic>
          </wp:inline>
        </w:drawing>
      </w:r>
    </w:p>
    <w:p w14:paraId="5BBDC991" w14:textId="0AAC83DB" w:rsidR="009E3D21" w:rsidRPr="004511C8" w:rsidRDefault="009E3D21" w:rsidP="009E3D21">
      <w:pPr>
        <w:jc w:val="center"/>
        <w:rPr>
          <w:rFonts w:ascii="Arial" w:hAnsi="Arial" w:cs="Arial"/>
          <w:sz w:val="22"/>
          <w:szCs w:val="22"/>
        </w:rPr>
      </w:pPr>
      <w:r w:rsidRPr="004511C8">
        <w:rPr>
          <w:rFonts w:ascii="Arial" w:hAnsi="Arial" w:cs="Arial"/>
          <w:sz w:val="22"/>
          <w:szCs w:val="22"/>
        </w:rPr>
        <w:t>Figure 2: Timeline of Antimicrobial Resistance Evolution in Gonorrhoea</w:t>
      </w:r>
    </w:p>
    <w:p w14:paraId="1ED33E23" w14:textId="1B22E116" w:rsidR="000A0F50" w:rsidRPr="004511C8" w:rsidRDefault="000A0F50" w:rsidP="005F4984">
      <w:pPr>
        <w:rPr>
          <w:rFonts w:ascii="Arial" w:hAnsi="Arial" w:cs="Arial"/>
          <w:sz w:val="22"/>
          <w:szCs w:val="22"/>
        </w:rPr>
      </w:pPr>
      <w:r w:rsidRPr="004511C8">
        <w:rPr>
          <w:rFonts w:ascii="Arial" w:hAnsi="Arial" w:cs="Arial"/>
          <w:sz w:val="22"/>
          <w:szCs w:val="22"/>
        </w:rPr>
        <w:t xml:space="preserve">Gonorrhoea is a significant issue in sexual health services in the United Kingdom. Surveillance data studies on England and Wales have found that gonorrhoea is demographically, behaviourally and clinically patterned, and therefore, it is strongly associated with social and sexual networks (Delpech et al. 2009). Delpech et al. (2009) showed that the cases of gonorrhoea in England and Wales could not be treated as discrete clinical events, but rather they were components of broader epidemiological trends applicable to specific public health </w:t>
      </w:r>
      <w:r w:rsidR="000D346C" w:rsidRPr="004511C8">
        <w:rPr>
          <w:rFonts w:ascii="Arial" w:hAnsi="Arial" w:cs="Arial"/>
          <w:sz w:val="22"/>
          <w:szCs w:val="22"/>
        </w:rPr>
        <w:t>interventions</w:t>
      </w:r>
      <w:r w:rsidRPr="004511C8">
        <w:rPr>
          <w:rFonts w:ascii="Arial" w:hAnsi="Arial" w:cs="Arial"/>
          <w:sz w:val="22"/>
          <w:szCs w:val="22"/>
        </w:rPr>
        <w:t xml:space="preserve">. This is significant since it puts gonorrhoea in a wider context of </w:t>
      </w:r>
      <w:r w:rsidR="00F426C7" w:rsidRPr="004511C8">
        <w:rPr>
          <w:rFonts w:ascii="Arial" w:hAnsi="Arial" w:cs="Arial"/>
          <w:sz w:val="22"/>
          <w:szCs w:val="22"/>
        </w:rPr>
        <w:t xml:space="preserve">public </w:t>
      </w:r>
      <w:r w:rsidRPr="004511C8">
        <w:rPr>
          <w:rFonts w:ascii="Arial" w:hAnsi="Arial" w:cs="Arial"/>
          <w:sz w:val="22"/>
          <w:szCs w:val="22"/>
        </w:rPr>
        <w:t>health and not as a purely personal health concern.</w:t>
      </w:r>
    </w:p>
    <w:p w14:paraId="290385AE" w14:textId="228AB832" w:rsidR="000A0F50" w:rsidRPr="004511C8" w:rsidRDefault="000A0F50" w:rsidP="005F4984">
      <w:pPr>
        <w:rPr>
          <w:rFonts w:ascii="Arial" w:hAnsi="Arial" w:cs="Arial"/>
          <w:sz w:val="22"/>
          <w:szCs w:val="22"/>
        </w:rPr>
      </w:pPr>
      <w:r w:rsidRPr="004511C8">
        <w:rPr>
          <w:rFonts w:ascii="Arial" w:hAnsi="Arial" w:cs="Arial"/>
          <w:sz w:val="22"/>
          <w:szCs w:val="22"/>
        </w:rPr>
        <w:t xml:space="preserve">In the UK, surveillance has been at the centre of comprehending gonococcal AMR. Hughes, Nichols and Ison (2011) demonstrated the usefulness of estimating the prevalence of resistance using data on surveillance, whilst Ison and Alexander (2011) argued </w:t>
      </w:r>
      <w:r w:rsidR="000D346C" w:rsidRPr="004511C8">
        <w:rPr>
          <w:rFonts w:ascii="Arial" w:hAnsi="Arial" w:cs="Arial"/>
          <w:sz w:val="22"/>
          <w:szCs w:val="22"/>
        </w:rPr>
        <w:t xml:space="preserve">for </w:t>
      </w:r>
      <w:r w:rsidRPr="004511C8">
        <w:rPr>
          <w:rFonts w:ascii="Arial" w:hAnsi="Arial" w:cs="Arial"/>
          <w:sz w:val="22"/>
          <w:szCs w:val="22"/>
        </w:rPr>
        <w:t xml:space="preserve">the use of surveillance in tracking trends and shaping treatment policy. Similarly, Medland et al. (2022) </w:t>
      </w:r>
      <w:r w:rsidRPr="004511C8">
        <w:rPr>
          <w:rFonts w:ascii="Arial" w:hAnsi="Arial" w:cs="Arial"/>
          <w:sz w:val="22"/>
          <w:szCs w:val="22"/>
        </w:rPr>
        <w:lastRenderedPageBreak/>
        <w:t xml:space="preserve">note that surveillance systems are essential in tracking gonococcal resistance since the resistant strains might spread easily among individuals and even across countries. The UK is thus a part of a larger global surveillance </w:t>
      </w:r>
      <w:proofErr w:type="gramStart"/>
      <w:r w:rsidR="00944355" w:rsidRPr="004511C8">
        <w:rPr>
          <w:rFonts w:ascii="Arial" w:hAnsi="Arial" w:cs="Arial"/>
          <w:sz w:val="22"/>
          <w:szCs w:val="22"/>
        </w:rPr>
        <w:t>problem</w:t>
      </w:r>
      <w:r w:rsidR="00944355">
        <w:rPr>
          <w:rFonts w:ascii="Arial" w:hAnsi="Arial" w:cs="Arial"/>
          <w:sz w:val="22"/>
          <w:szCs w:val="22"/>
        </w:rPr>
        <w:t>,</w:t>
      </w:r>
      <w:r w:rsidR="00944355" w:rsidRPr="004511C8">
        <w:rPr>
          <w:rFonts w:ascii="Arial" w:hAnsi="Arial" w:cs="Arial"/>
          <w:sz w:val="22"/>
          <w:szCs w:val="22"/>
        </w:rPr>
        <w:t xml:space="preserve"> yet</w:t>
      </w:r>
      <w:proofErr w:type="gramEnd"/>
      <w:r w:rsidRPr="004511C8">
        <w:rPr>
          <w:rFonts w:ascii="Arial" w:hAnsi="Arial" w:cs="Arial"/>
          <w:sz w:val="22"/>
          <w:szCs w:val="22"/>
        </w:rPr>
        <w:t xml:space="preserve"> is also distinct due to its well-established monitoring frameworks.</w:t>
      </w:r>
    </w:p>
    <w:p w14:paraId="072C2A33" w14:textId="52E52A32" w:rsidR="000A0F50" w:rsidRPr="004511C8" w:rsidRDefault="000D346C" w:rsidP="005F4984">
      <w:pPr>
        <w:rPr>
          <w:rFonts w:ascii="Arial" w:hAnsi="Arial" w:cs="Arial"/>
          <w:sz w:val="22"/>
          <w:szCs w:val="22"/>
        </w:rPr>
      </w:pPr>
      <w:r w:rsidRPr="004511C8">
        <w:rPr>
          <w:rFonts w:ascii="Arial" w:hAnsi="Arial" w:cs="Arial"/>
          <w:sz w:val="22"/>
          <w:szCs w:val="22"/>
        </w:rPr>
        <w:t xml:space="preserve">The </w:t>
      </w:r>
      <w:r w:rsidR="000A0F50" w:rsidRPr="004511C8">
        <w:rPr>
          <w:rFonts w:ascii="Arial" w:hAnsi="Arial" w:cs="Arial"/>
          <w:sz w:val="22"/>
          <w:szCs w:val="22"/>
        </w:rPr>
        <w:t>Gonococcal Resistance to Antimicrobials Surveillance Programme has been one of the most significant surveillance measures in the UK</w:t>
      </w:r>
      <w:r w:rsidR="00766543" w:rsidRPr="004511C8">
        <w:rPr>
          <w:rFonts w:ascii="Arial" w:hAnsi="Arial" w:cs="Arial"/>
          <w:sz w:val="22"/>
          <w:szCs w:val="22"/>
        </w:rPr>
        <w:t xml:space="preserve"> (Merrick et al. 2022)</w:t>
      </w:r>
      <w:r w:rsidR="000A0F50" w:rsidRPr="004511C8">
        <w:rPr>
          <w:rFonts w:ascii="Arial" w:hAnsi="Arial" w:cs="Arial"/>
          <w:sz w:val="22"/>
          <w:szCs w:val="22"/>
        </w:rPr>
        <w:t>. The programme has yielded evidence of resistance trends, demographic trends and susceptibility patterns over time</w:t>
      </w:r>
      <w:r w:rsidRPr="004511C8">
        <w:rPr>
          <w:rFonts w:ascii="Arial" w:hAnsi="Arial" w:cs="Arial"/>
          <w:sz w:val="22"/>
          <w:szCs w:val="22"/>
        </w:rPr>
        <w:t>,</w:t>
      </w:r>
      <w:r w:rsidR="000A0F50" w:rsidRPr="004511C8">
        <w:rPr>
          <w:rFonts w:ascii="Arial" w:hAnsi="Arial" w:cs="Arial"/>
          <w:sz w:val="22"/>
          <w:szCs w:val="22"/>
        </w:rPr>
        <w:t xml:space="preserve"> which have assisted researchers and other public health authorities to understand the emerging threats and to revise their treatment guidance if it is required (Delpech et al. 2009; Hughes, Nichols and Ison, 2011). Whittles et al. (2018) also demonstrate that UK surveillance data were useful in establishing epidemiological patterns in antibiotic-resistant gonorrhoea and in gaining insight into the development of resistance on a national level. They find that resistance in the UK is not only associated with microbiological change but also with prescribing practice, testing trends and sexual network forms</w:t>
      </w:r>
      <w:r w:rsidR="00023E6B" w:rsidRPr="004511C8">
        <w:rPr>
          <w:rFonts w:ascii="Arial" w:hAnsi="Arial" w:cs="Arial"/>
          <w:sz w:val="22"/>
          <w:szCs w:val="22"/>
        </w:rPr>
        <w:t xml:space="preserve"> (Merrick et al. 2022)</w:t>
      </w:r>
      <w:r w:rsidR="000A0F50" w:rsidRPr="004511C8">
        <w:rPr>
          <w:rFonts w:ascii="Arial" w:hAnsi="Arial" w:cs="Arial"/>
          <w:sz w:val="22"/>
          <w:szCs w:val="22"/>
        </w:rPr>
        <w:t>.</w:t>
      </w:r>
    </w:p>
    <w:p w14:paraId="445B8CAA" w14:textId="040998A5" w:rsidR="000A0F50" w:rsidRPr="004511C8" w:rsidRDefault="000A0F50" w:rsidP="005F4984">
      <w:pPr>
        <w:rPr>
          <w:rFonts w:ascii="Arial" w:hAnsi="Arial" w:cs="Arial"/>
          <w:sz w:val="22"/>
          <w:szCs w:val="22"/>
        </w:rPr>
      </w:pPr>
      <w:r w:rsidRPr="004511C8">
        <w:rPr>
          <w:rFonts w:ascii="Arial" w:hAnsi="Arial" w:cs="Arial"/>
          <w:sz w:val="22"/>
          <w:szCs w:val="22"/>
        </w:rPr>
        <w:t xml:space="preserve">Palmer, Leeming and Turner (2001) reported an outbreak of ciprofloxacin-resistant Neisseria </w:t>
      </w:r>
      <w:r w:rsidR="000D346C" w:rsidRPr="004511C8">
        <w:rPr>
          <w:rFonts w:ascii="Arial" w:hAnsi="Arial" w:cs="Arial"/>
          <w:sz w:val="22"/>
          <w:szCs w:val="22"/>
        </w:rPr>
        <w:t>gonorrhoeae,</w:t>
      </w:r>
      <w:r w:rsidRPr="004511C8">
        <w:rPr>
          <w:rFonts w:ascii="Arial" w:hAnsi="Arial" w:cs="Arial"/>
          <w:sz w:val="22"/>
          <w:szCs w:val="22"/>
        </w:rPr>
        <w:t xml:space="preserve"> and this is </w:t>
      </w:r>
      <w:r w:rsidR="00944355">
        <w:rPr>
          <w:rFonts w:ascii="Arial" w:hAnsi="Arial" w:cs="Arial"/>
          <w:sz w:val="22"/>
          <w:szCs w:val="22"/>
        </w:rPr>
        <w:t xml:space="preserve">the </w:t>
      </w:r>
      <w:r w:rsidRPr="004511C8">
        <w:rPr>
          <w:rFonts w:ascii="Arial" w:hAnsi="Arial" w:cs="Arial"/>
          <w:sz w:val="22"/>
          <w:szCs w:val="22"/>
        </w:rPr>
        <w:t>initial evidence that resistant strains might be distributed in domestic transmission networks. Subsequently, Chisholm et al. (2011) reported the development of a clone that was less susceptible to cefixime in England and Wales. This was of great concern since cefixime had now become a valuable treatment option due to the earlier drugs becoming ineffective</w:t>
      </w:r>
      <w:r w:rsidR="001F3941" w:rsidRPr="004511C8">
        <w:rPr>
          <w:rFonts w:ascii="Arial" w:hAnsi="Arial" w:cs="Arial"/>
          <w:sz w:val="22"/>
          <w:szCs w:val="22"/>
        </w:rPr>
        <w:t xml:space="preserve"> (Ajmal et al. 2023)</w:t>
      </w:r>
      <w:r w:rsidRPr="004511C8">
        <w:rPr>
          <w:rFonts w:ascii="Arial" w:hAnsi="Arial" w:cs="Arial"/>
          <w:sz w:val="22"/>
          <w:szCs w:val="22"/>
        </w:rPr>
        <w:t xml:space="preserve">. These studies taken collectively demonstrate a change in attitude toward older agents being resisted </w:t>
      </w:r>
      <w:r w:rsidR="000D346C" w:rsidRPr="004511C8">
        <w:rPr>
          <w:rFonts w:ascii="Arial" w:hAnsi="Arial" w:cs="Arial"/>
          <w:sz w:val="22"/>
          <w:szCs w:val="22"/>
        </w:rPr>
        <w:t xml:space="preserve">due </w:t>
      </w:r>
      <w:r w:rsidRPr="004511C8">
        <w:rPr>
          <w:rFonts w:ascii="Arial" w:hAnsi="Arial" w:cs="Arial"/>
          <w:sz w:val="22"/>
          <w:szCs w:val="22"/>
        </w:rPr>
        <w:t>to fear of the last-line treatments being eroded.</w:t>
      </w:r>
    </w:p>
    <w:p w14:paraId="0730410F" w14:textId="00ECE3F7" w:rsidR="000A0F50" w:rsidRPr="004511C8" w:rsidRDefault="000A0F50" w:rsidP="005F4984">
      <w:pPr>
        <w:rPr>
          <w:rFonts w:ascii="Arial" w:hAnsi="Arial" w:cs="Arial"/>
          <w:sz w:val="22"/>
          <w:szCs w:val="22"/>
        </w:rPr>
      </w:pPr>
      <w:r w:rsidRPr="004511C8">
        <w:rPr>
          <w:rFonts w:ascii="Arial" w:hAnsi="Arial" w:cs="Arial"/>
          <w:sz w:val="22"/>
          <w:szCs w:val="22"/>
        </w:rPr>
        <w:t>The issue was escalated when cases of gonorrhoea that were resistant to multiple drugs started to emerge</w:t>
      </w:r>
      <w:r w:rsidR="000D346C" w:rsidRPr="004511C8">
        <w:rPr>
          <w:rFonts w:ascii="Arial" w:hAnsi="Arial" w:cs="Arial"/>
          <w:sz w:val="22"/>
          <w:szCs w:val="22"/>
        </w:rPr>
        <w:t>,</w:t>
      </w:r>
      <w:r w:rsidRPr="004511C8">
        <w:rPr>
          <w:rFonts w:ascii="Arial" w:hAnsi="Arial" w:cs="Arial"/>
          <w:sz w:val="22"/>
          <w:szCs w:val="22"/>
        </w:rPr>
        <w:t xml:space="preserve"> and cases of treatment failure were reported. The findings by Clifton et al. (2017)</w:t>
      </w:r>
      <w:r w:rsidR="000D346C" w:rsidRPr="004511C8">
        <w:rPr>
          <w:rFonts w:ascii="Arial" w:hAnsi="Arial" w:cs="Arial"/>
          <w:sz w:val="22"/>
          <w:szCs w:val="22"/>
        </w:rPr>
        <w:t>,</w:t>
      </w:r>
      <w:r w:rsidRPr="004511C8">
        <w:rPr>
          <w:rFonts w:ascii="Arial" w:hAnsi="Arial" w:cs="Arial"/>
          <w:sz w:val="22"/>
          <w:szCs w:val="22"/>
        </w:rPr>
        <w:t xml:space="preserve"> based on the data that was collected in England and Wales </w:t>
      </w:r>
      <w:r w:rsidR="000D346C" w:rsidRPr="004511C8">
        <w:rPr>
          <w:rFonts w:ascii="Arial" w:hAnsi="Arial" w:cs="Arial"/>
          <w:sz w:val="22"/>
          <w:szCs w:val="22"/>
        </w:rPr>
        <w:t>from</w:t>
      </w:r>
      <w:r w:rsidRPr="004511C8">
        <w:rPr>
          <w:rFonts w:ascii="Arial" w:hAnsi="Arial" w:cs="Arial"/>
          <w:sz w:val="22"/>
          <w:szCs w:val="22"/>
        </w:rPr>
        <w:t xml:space="preserve"> 2004</w:t>
      </w:r>
      <w:r w:rsidR="001C3BEB" w:rsidRPr="004511C8">
        <w:rPr>
          <w:rFonts w:ascii="Arial" w:hAnsi="Arial" w:cs="Arial"/>
          <w:sz w:val="22"/>
          <w:szCs w:val="22"/>
        </w:rPr>
        <w:t xml:space="preserve"> to </w:t>
      </w:r>
      <w:r w:rsidRPr="004511C8">
        <w:rPr>
          <w:rFonts w:ascii="Arial" w:hAnsi="Arial" w:cs="Arial"/>
          <w:sz w:val="22"/>
          <w:szCs w:val="22"/>
        </w:rPr>
        <w:t>2015</w:t>
      </w:r>
      <w:r w:rsidR="000D346C" w:rsidRPr="004511C8">
        <w:rPr>
          <w:rFonts w:ascii="Arial" w:hAnsi="Arial" w:cs="Arial"/>
          <w:sz w:val="22"/>
          <w:szCs w:val="22"/>
        </w:rPr>
        <w:t>,</w:t>
      </w:r>
      <w:r w:rsidRPr="004511C8">
        <w:rPr>
          <w:rFonts w:ascii="Arial" w:hAnsi="Arial" w:cs="Arial"/>
          <w:sz w:val="22"/>
          <w:szCs w:val="22"/>
        </w:rPr>
        <w:t xml:space="preserve"> revealed that the issue of multidrug-resistant N. gonorrhoeae was still a significant </w:t>
      </w:r>
      <w:r w:rsidR="00F426C7" w:rsidRPr="004511C8">
        <w:rPr>
          <w:rFonts w:ascii="Arial" w:hAnsi="Arial" w:cs="Arial"/>
          <w:sz w:val="22"/>
          <w:szCs w:val="22"/>
        </w:rPr>
        <w:t>public</w:t>
      </w:r>
      <w:r w:rsidR="00015F25" w:rsidRPr="004511C8">
        <w:rPr>
          <w:rFonts w:ascii="Arial" w:hAnsi="Arial" w:cs="Arial"/>
          <w:sz w:val="22"/>
          <w:szCs w:val="22"/>
        </w:rPr>
        <w:t xml:space="preserve"> </w:t>
      </w:r>
      <w:r w:rsidRPr="004511C8">
        <w:rPr>
          <w:rFonts w:ascii="Arial" w:hAnsi="Arial" w:cs="Arial"/>
          <w:sz w:val="22"/>
          <w:szCs w:val="22"/>
        </w:rPr>
        <w:t xml:space="preserve">issue. Their research revealed that resistance was not specific to any single drug or a short-lasting period but was a long-term issue that depended on demographic and behavioural variables. Similarly, Ison et al. (2011) found gonorrhoea treatment failures to cefixime and azithromycin in England, indicating that diminished susceptibility might be directly linked to treatment failure. </w:t>
      </w:r>
    </w:p>
    <w:p w14:paraId="613C941F" w14:textId="2DA7A4DC" w:rsidR="000A0F50" w:rsidRPr="004511C8" w:rsidRDefault="000A0F50" w:rsidP="005F4984">
      <w:pPr>
        <w:rPr>
          <w:rFonts w:ascii="Arial" w:hAnsi="Arial" w:cs="Arial"/>
          <w:sz w:val="22"/>
          <w:szCs w:val="22"/>
        </w:rPr>
      </w:pPr>
      <w:r w:rsidRPr="004511C8">
        <w:rPr>
          <w:rFonts w:ascii="Arial" w:hAnsi="Arial" w:cs="Arial"/>
          <w:sz w:val="22"/>
          <w:szCs w:val="22"/>
        </w:rPr>
        <w:t xml:space="preserve">Evidence of outbreaks has also indicated that resistant gonorrhoea may have a long-lasting nature. </w:t>
      </w:r>
      <w:proofErr w:type="spellStart"/>
      <w:r w:rsidRPr="004511C8">
        <w:rPr>
          <w:rFonts w:ascii="Arial" w:hAnsi="Arial" w:cs="Arial"/>
          <w:sz w:val="22"/>
          <w:szCs w:val="22"/>
        </w:rPr>
        <w:t>Smolarchuk</w:t>
      </w:r>
      <w:proofErr w:type="spellEnd"/>
      <w:r w:rsidRPr="004511C8">
        <w:rPr>
          <w:rFonts w:ascii="Arial" w:hAnsi="Arial" w:cs="Arial"/>
          <w:sz w:val="22"/>
          <w:szCs w:val="22"/>
        </w:rPr>
        <w:t xml:space="preserve"> et al. (2018) have reported the ongoing outbreak of gonorrhoea with high-level azithromycin resistance in England in 2014-2018, indicating that resistant strains may become ingrained in sex networks</w:t>
      </w:r>
      <w:r w:rsidR="00B701F7">
        <w:rPr>
          <w:rFonts w:ascii="Arial" w:hAnsi="Arial" w:cs="Arial"/>
          <w:sz w:val="22"/>
          <w:szCs w:val="22"/>
        </w:rPr>
        <w:t xml:space="preserve">, especially among </w:t>
      </w:r>
      <w:r w:rsidR="000B0A8D">
        <w:rPr>
          <w:rFonts w:ascii="Arial" w:hAnsi="Arial" w:cs="Arial"/>
          <w:sz w:val="22"/>
          <w:szCs w:val="22"/>
        </w:rPr>
        <w:t>men of the same sex</w:t>
      </w:r>
      <w:r w:rsidRPr="004511C8">
        <w:rPr>
          <w:rFonts w:ascii="Arial" w:hAnsi="Arial" w:cs="Arial"/>
          <w:sz w:val="22"/>
          <w:szCs w:val="22"/>
        </w:rPr>
        <w:t xml:space="preserve">. To this, Merrick et </w:t>
      </w:r>
      <w:r w:rsidRPr="004511C8">
        <w:rPr>
          <w:rFonts w:ascii="Arial" w:hAnsi="Arial" w:cs="Arial"/>
          <w:sz w:val="22"/>
          <w:szCs w:val="22"/>
        </w:rPr>
        <w:lastRenderedPageBreak/>
        <w:t>al. (2022) outline how resistant gonorrhoea has necessitated a concerted national public health effort in England, such as increased surveillance, interlaboratory and interagency communication, and outbreak investigation.</w:t>
      </w:r>
    </w:p>
    <w:p w14:paraId="06DDB0D6" w14:textId="70951E91" w:rsidR="000A0F50" w:rsidRPr="004511C8" w:rsidRDefault="000A0F50" w:rsidP="005F4984">
      <w:pPr>
        <w:rPr>
          <w:rFonts w:ascii="Arial" w:hAnsi="Arial" w:cs="Arial"/>
          <w:sz w:val="22"/>
          <w:szCs w:val="22"/>
        </w:rPr>
      </w:pPr>
      <w:r w:rsidRPr="004511C8">
        <w:rPr>
          <w:rFonts w:ascii="Arial" w:hAnsi="Arial" w:cs="Arial"/>
          <w:sz w:val="22"/>
          <w:szCs w:val="22"/>
        </w:rPr>
        <w:t xml:space="preserve">This resistance landscape has also been responding to clinical management. Fifer et al. (2019) </w:t>
      </w:r>
      <w:r w:rsidR="000D346C" w:rsidRPr="004511C8">
        <w:rPr>
          <w:rFonts w:ascii="Arial" w:hAnsi="Arial" w:cs="Arial"/>
          <w:sz w:val="22"/>
          <w:szCs w:val="22"/>
        </w:rPr>
        <w:t>summarise</w:t>
      </w:r>
      <w:r w:rsidRPr="004511C8">
        <w:rPr>
          <w:rFonts w:ascii="Arial" w:hAnsi="Arial" w:cs="Arial"/>
          <w:sz w:val="22"/>
          <w:szCs w:val="22"/>
        </w:rPr>
        <w:t xml:space="preserve"> the UK national guideline on the management of the infection with Neisseria gonorrhoeae that occurred in 2018, indicating that the current treatment recommendations should be based on the evidence of resistance. This underscores the fact that there is a close association between surveillance, research and clinical practice. </w:t>
      </w:r>
      <w:r w:rsidR="000D346C" w:rsidRPr="004511C8">
        <w:rPr>
          <w:rFonts w:ascii="Arial" w:hAnsi="Arial" w:cs="Arial"/>
          <w:sz w:val="22"/>
          <w:szCs w:val="22"/>
        </w:rPr>
        <w:t>Even though</w:t>
      </w:r>
      <w:r w:rsidRPr="004511C8">
        <w:rPr>
          <w:rFonts w:ascii="Arial" w:hAnsi="Arial" w:cs="Arial"/>
          <w:sz w:val="22"/>
          <w:szCs w:val="22"/>
        </w:rPr>
        <w:t xml:space="preserve"> much of the literature in the UK is dedicated to a wider population of clinics, </w:t>
      </w:r>
      <w:r w:rsidR="00944355">
        <w:rPr>
          <w:rFonts w:ascii="Arial" w:hAnsi="Arial" w:cs="Arial"/>
          <w:sz w:val="22"/>
          <w:szCs w:val="22"/>
        </w:rPr>
        <w:t>rather than</w:t>
      </w:r>
      <w:r w:rsidRPr="004511C8">
        <w:rPr>
          <w:rFonts w:ascii="Arial" w:hAnsi="Arial" w:cs="Arial"/>
          <w:sz w:val="22"/>
          <w:szCs w:val="22"/>
        </w:rPr>
        <w:t xml:space="preserve"> a small age group, among young adults. These studies </w:t>
      </w:r>
      <w:r w:rsidR="000D346C" w:rsidRPr="004511C8">
        <w:rPr>
          <w:rFonts w:ascii="Arial" w:hAnsi="Arial" w:cs="Arial"/>
          <w:sz w:val="22"/>
          <w:szCs w:val="22"/>
        </w:rPr>
        <w:t>can also</w:t>
      </w:r>
      <w:r w:rsidRPr="004511C8">
        <w:rPr>
          <w:rFonts w:ascii="Arial" w:hAnsi="Arial" w:cs="Arial"/>
          <w:sz w:val="22"/>
          <w:szCs w:val="22"/>
        </w:rPr>
        <w:t xml:space="preserve"> be generali</w:t>
      </w:r>
      <w:r w:rsidR="000D346C" w:rsidRPr="004511C8">
        <w:rPr>
          <w:rFonts w:ascii="Arial" w:hAnsi="Arial" w:cs="Arial"/>
          <w:sz w:val="22"/>
          <w:szCs w:val="22"/>
        </w:rPr>
        <w:t>s</w:t>
      </w:r>
      <w:r w:rsidRPr="004511C8">
        <w:rPr>
          <w:rFonts w:ascii="Arial" w:hAnsi="Arial" w:cs="Arial"/>
          <w:sz w:val="22"/>
          <w:szCs w:val="22"/>
        </w:rPr>
        <w:t xml:space="preserve">ed to the younger adults in the broader epidemiological setting of gonorrhoea in the UK (Delpech et al. 2009; Whittles et al. 2018). </w:t>
      </w:r>
    </w:p>
    <w:p w14:paraId="1A2218A5" w14:textId="77777777" w:rsidR="000A0F50" w:rsidRPr="004511C8" w:rsidRDefault="000A0F50" w:rsidP="005F4984">
      <w:pPr>
        <w:pStyle w:val="Heading2"/>
        <w:rPr>
          <w:rFonts w:ascii="Arial" w:hAnsi="Arial" w:cs="Arial"/>
          <w:sz w:val="22"/>
          <w:szCs w:val="22"/>
        </w:rPr>
      </w:pPr>
      <w:bookmarkStart w:id="3" w:name="_Toc229082760"/>
      <w:r w:rsidRPr="004511C8">
        <w:rPr>
          <w:rFonts w:ascii="Arial" w:hAnsi="Arial" w:cs="Arial"/>
          <w:sz w:val="22"/>
          <w:szCs w:val="22"/>
        </w:rPr>
        <w:t>1.3 Rationale for Research or Problem Statement</w:t>
      </w:r>
      <w:bookmarkEnd w:id="3"/>
    </w:p>
    <w:p w14:paraId="000026BA" w14:textId="6E2AA6D6" w:rsidR="000A0F50" w:rsidRPr="004511C8" w:rsidRDefault="000A0F50" w:rsidP="005F4984">
      <w:pPr>
        <w:rPr>
          <w:rFonts w:ascii="Arial" w:hAnsi="Arial" w:cs="Arial"/>
          <w:sz w:val="22"/>
          <w:szCs w:val="22"/>
        </w:rPr>
      </w:pPr>
      <w:r w:rsidRPr="004511C8">
        <w:rPr>
          <w:rFonts w:ascii="Arial" w:hAnsi="Arial" w:cs="Arial"/>
          <w:sz w:val="22"/>
          <w:szCs w:val="22"/>
        </w:rPr>
        <w:t xml:space="preserve">The topic has been selected </w:t>
      </w:r>
      <w:r w:rsidR="00092EE3" w:rsidRPr="004511C8">
        <w:rPr>
          <w:rFonts w:ascii="Arial" w:hAnsi="Arial" w:cs="Arial"/>
          <w:sz w:val="22"/>
          <w:szCs w:val="22"/>
        </w:rPr>
        <w:t>because</w:t>
      </w:r>
      <w:r w:rsidRPr="004511C8">
        <w:rPr>
          <w:rFonts w:ascii="Arial" w:hAnsi="Arial" w:cs="Arial"/>
          <w:sz w:val="22"/>
          <w:szCs w:val="22"/>
        </w:rPr>
        <w:t xml:space="preserve"> antimicrobial resistance in gonorrhoea is an ever-growing acute problem in sexual health and public health practice. Gonorrhoea is no </w:t>
      </w:r>
      <w:r w:rsidR="00B701F7">
        <w:rPr>
          <w:rFonts w:ascii="Arial" w:hAnsi="Arial" w:cs="Arial"/>
          <w:sz w:val="22"/>
          <w:szCs w:val="22"/>
        </w:rPr>
        <w:t>longer</w:t>
      </w:r>
      <w:r w:rsidRPr="004511C8">
        <w:rPr>
          <w:rFonts w:ascii="Arial" w:hAnsi="Arial" w:cs="Arial"/>
          <w:sz w:val="22"/>
          <w:szCs w:val="22"/>
        </w:rPr>
        <w:t xml:space="preserve"> a </w:t>
      </w:r>
      <w:r w:rsidR="009259C0" w:rsidRPr="004511C8">
        <w:rPr>
          <w:rFonts w:ascii="Arial" w:hAnsi="Arial" w:cs="Arial"/>
          <w:sz w:val="22"/>
          <w:szCs w:val="22"/>
        </w:rPr>
        <w:t xml:space="preserve">common </w:t>
      </w:r>
      <w:r w:rsidR="00507305" w:rsidRPr="004511C8">
        <w:rPr>
          <w:rFonts w:ascii="Arial" w:hAnsi="Arial" w:cs="Arial"/>
          <w:sz w:val="22"/>
          <w:szCs w:val="22"/>
        </w:rPr>
        <w:t xml:space="preserve">bacterial </w:t>
      </w:r>
      <w:r w:rsidRPr="004511C8">
        <w:rPr>
          <w:rFonts w:ascii="Arial" w:hAnsi="Arial" w:cs="Arial"/>
          <w:sz w:val="22"/>
          <w:szCs w:val="22"/>
        </w:rPr>
        <w:t>STD that can be treated through routine procedures; it has now become an infection with a growing complexity of multidrug resistance, decreased susceptibility, and resistance to treatment (</w:t>
      </w:r>
      <w:proofErr w:type="spellStart"/>
      <w:r w:rsidRPr="004511C8">
        <w:rPr>
          <w:rFonts w:ascii="Arial" w:hAnsi="Arial" w:cs="Arial"/>
          <w:sz w:val="22"/>
          <w:szCs w:val="22"/>
        </w:rPr>
        <w:t>Unemo</w:t>
      </w:r>
      <w:proofErr w:type="spellEnd"/>
      <w:r w:rsidRPr="004511C8">
        <w:rPr>
          <w:rFonts w:ascii="Arial" w:hAnsi="Arial" w:cs="Arial"/>
          <w:sz w:val="22"/>
          <w:szCs w:val="22"/>
        </w:rPr>
        <w:t xml:space="preserve"> and Shafer, 2014; </w:t>
      </w:r>
      <w:proofErr w:type="spellStart"/>
      <w:r w:rsidRPr="004511C8">
        <w:rPr>
          <w:rFonts w:ascii="Arial" w:hAnsi="Arial" w:cs="Arial"/>
          <w:sz w:val="22"/>
          <w:szCs w:val="22"/>
        </w:rPr>
        <w:t>Aitolo</w:t>
      </w:r>
      <w:proofErr w:type="spellEnd"/>
      <w:r w:rsidRPr="004511C8">
        <w:rPr>
          <w:rFonts w:ascii="Arial" w:hAnsi="Arial" w:cs="Arial"/>
          <w:sz w:val="22"/>
          <w:szCs w:val="22"/>
        </w:rPr>
        <w:t xml:space="preserve"> et al. 2021). The UK research has revealed the development of cefixime-reduced susceptibility, ongoing outbreaks of azithromycin resistance, multidrug-resistant strains and ceftriaxone-resistant cases, which means that the issue is well-established in the national setting (Chisholm et al.</w:t>
      </w:r>
      <w:r w:rsidR="00894A65" w:rsidRPr="004511C8">
        <w:rPr>
          <w:rFonts w:ascii="Arial" w:hAnsi="Arial" w:cs="Arial"/>
          <w:sz w:val="22"/>
          <w:szCs w:val="22"/>
        </w:rPr>
        <w:t xml:space="preserve"> </w:t>
      </w:r>
      <w:r w:rsidRPr="004511C8">
        <w:rPr>
          <w:rFonts w:ascii="Arial" w:hAnsi="Arial" w:cs="Arial"/>
          <w:sz w:val="22"/>
          <w:szCs w:val="22"/>
        </w:rPr>
        <w:t xml:space="preserve">2011; </w:t>
      </w:r>
      <w:proofErr w:type="spellStart"/>
      <w:r w:rsidRPr="004511C8">
        <w:rPr>
          <w:rFonts w:ascii="Arial" w:hAnsi="Arial" w:cs="Arial"/>
          <w:sz w:val="22"/>
          <w:szCs w:val="22"/>
        </w:rPr>
        <w:t>Smolarchuk</w:t>
      </w:r>
      <w:proofErr w:type="spellEnd"/>
      <w:r w:rsidRPr="004511C8">
        <w:rPr>
          <w:rFonts w:ascii="Arial" w:hAnsi="Arial" w:cs="Arial"/>
          <w:sz w:val="22"/>
          <w:szCs w:val="22"/>
        </w:rPr>
        <w:t xml:space="preserve"> et al. 2018</w:t>
      </w:r>
      <w:r w:rsidR="000D1499" w:rsidRPr="004511C8">
        <w:rPr>
          <w:rFonts w:ascii="Arial" w:hAnsi="Arial" w:cs="Arial"/>
          <w:sz w:val="22"/>
          <w:szCs w:val="22"/>
        </w:rPr>
        <w:t>).</w:t>
      </w:r>
    </w:p>
    <w:p w14:paraId="20DA4C12" w14:textId="3C4A733B" w:rsidR="000A0F50" w:rsidRPr="004511C8" w:rsidRDefault="000A0F50" w:rsidP="005F4984">
      <w:pPr>
        <w:rPr>
          <w:rFonts w:ascii="Arial" w:hAnsi="Arial" w:cs="Arial"/>
          <w:sz w:val="22"/>
          <w:szCs w:val="22"/>
        </w:rPr>
      </w:pPr>
      <w:r w:rsidRPr="004511C8">
        <w:rPr>
          <w:rFonts w:ascii="Arial" w:hAnsi="Arial" w:cs="Arial"/>
          <w:sz w:val="22"/>
          <w:szCs w:val="22"/>
        </w:rPr>
        <w:t xml:space="preserve">This study aims to generalise existing evidence in the UK and assess the insights into AMR in gonococcal infections and their </w:t>
      </w:r>
      <w:r w:rsidR="00BD3F3B">
        <w:rPr>
          <w:rFonts w:ascii="Arial" w:hAnsi="Arial" w:cs="Arial"/>
          <w:sz w:val="22"/>
          <w:szCs w:val="22"/>
        </w:rPr>
        <w:t>implications for</w:t>
      </w:r>
      <w:r w:rsidRPr="004511C8">
        <w:rPr>
          <w:rFonts w:ascii="Arial" w:hAnsi="Arial" w:cs="Arial"/>
          <w:sz w:val="22"/>
          <w:szCs w:val="22"/>
        </w:rPr>
        <w:t xml:space="preserve"> young adults. The study is limited to </w:t>
      </w:r>
      <w:r w:rsidR="00BD3F3B">
        <w:rPr>
          <w:rFonts w:ascii="Arial" w:hAnsi="Arial" w:cs="Arial"/>
          <w:sz w:val="22"/>
          <w:szCs w:val="22"/>
        </w:rPr>
        <w:t xml:space="preserve">a </w:t>
      </w:r>
      <w:r w:rsidRPr="004511C8">
        <w:rPr>
          <w:rFonts w:ascii="Arial" w:hAnsi="Arial" w:cs="Arial"/>
          <w:sz w:val="22"/>
          <w:szCs w:val="22"/>
        </w:rPr>
        <w:t xml:space="preserve">systematic literature review of evidence </w:t>
      </w:r>
      <w:r w:rsidR="00BD3F3B">
        <w:rPr>
          <w:rFonts w:ascii="Arial" w:hAnsi="Arial" w:cs="Arial"/>
          <w:sz w:val="22"/>
          <w:szCs w:val="22"/>
        </w:rPr>
        <w:t>from</w:t>
      </w:r>
      <w:r w:rsidRPr="004511C8">
        <w:rPr>
          <w:rFonts w:ascii="Arial" w:hAnsi="Arial" w:cs="Arial"/>
          <w:sz w:val="22"/>
          <w:szCs w:val="22"/>
        </w:rPr>
        <w:t xml:space="preserve"> </w:t>
      </w:r>
      <w:r w:rsidR="00BD3F3B">
        <w:rPr>
          <w:rFonts w:ascii="Arial" w:hAnsi="Arial" w:cs="Arial"/>
          <w:sz w:val="22"/>
          <w:szCs w:val="22"/>
        </w:rPr>
        <w:t xml:space="preserve">the </w:t>
      </w:r>
      <w:r w:rsidRPr="004511C8">
        <w:rPr>
          <w:rFonts w:ascii="Arial" w:hAnsi="Arial" w:cs="Arial"/>
          <w:sz w:val="22"/>
          <w:szCs w:val="22"/>
        </w:rPr>
        <w:t>UK. One of the major weaknesses is that not many studies specifically aim to cover the ages of 18-21</w:t>
      </w:r>
      <w:r w:rsidR="00BD3F3B">
        <w:rPr>
          <w:rFonts w:ascii="Arial" w:hAnsi="Arial" w:cs="Arial"/>
          <w:sz w:val="22"/>
          <w:szCs w:val="22"/>
        </w:rPr>
        <w:t>,</w:t>
      </w:r>
      <w:r w:rsidRPr="004511C8">
        <w:rPr>
          <w:rFonts w:ascii="Arial" w:hAnsi="Arial" w:cs="Arial"/>
          <w:sz w:val="22"/>
          <w:szCs w:val="22"/>
        </w:rPr>
        <w:t xml:space="preserve"> and thus</w:t>
      </w:r>
      <w:r w:rsidR="00274DD5">
        <w:rPr>
          <w:rFonts w:ascii="Arial" w:hAnsi="Arial" w:cs="Arial"/>
          <w:sz w:val="22"/>
          <w:szCs w:val="22"/>
        </w:rPr>
        <w:t>,</w:t>
      </w:r>
      <w:r w:rsidRPr="004511C8">
        <w:rPr>
          <w:rFonts w:ascii="Arial" w:hAnsi="Arial" w:cs="Arial"/>
          <w:sz w:val="22"/>
          <w:szCs w:val="22"/>
        </w:rPr>
        <w:t xml:space="preserve"> the review will encompass the wider UK studies in which the results can be applied to the younger age group. This limit is required </w:t>
      </w:r>
      <w:r w:rsidR="00274DD5" w:rsidRPr="004511C8">
        <w:rPr>
          <w:rFonts w:ascii="Arial" w:hAnsi="Arial" w:cs="Arial"/>
          <w:sz w:val="22"/>
          <w:szCs w:val="22"/>
        </w:rPr>
        <w:t>to</w:t>
      </w:r>
      <w:r w:rsidRPr="004511C8">
        <w:rPr>
          <w:rFonts w:ascii="Arial" w:hAnsi="Arial" w:cs="Arial"/>
          <w:sz w:val="22"/>
          <w:szCs w:val="22"/>
        </w:rPr>
        <w:t xml:space="preserve"> ensure realistic </w:t>
      </w:r>
      <w:r w:rsidR="00BD3F3B">
        <w:rPr>
          <w:rFonts w:ascii="Arial" w:hAnsi="Arial" w:cs="Arial"/>
          <w:sz w:val="22"/>
          <w:szCs w:val="22"/>
        </w:rPr>
        <w:t>evidence-based</w:t>
      </w:r>
      <w:r w:rsidRPr="004511C8">
        <w:rPr>
          <w:rFonts w:ascii="Arial" w:hAnsi="Arial" w:cs="Arial"/>
          <w:sz w:val="22"/>
          <w:szCs w:val="22"/>
        </w:rPr>
        <w:t xml:space="preserve"> </w:t>
      </w:r>
      <w:r w:rsidR="00BD3F3B">
        <w:rPr>
          <w:rFonts w:ascii="Arial" w:hAnsi="Arial" w:cs="Arial"/>
          <w:sz w:val="22"/>
          <w:szCs w:val="22"/>
        </w:rPr>
        <w:t xml:space="preserve">results </w:t>
      </w:r>
      <w:r w:rsidRPr="004511C8">
        <w:rPr>
          <w:rFonts w:ascii="Arial" w:hAnsi="Arial" w:cs="Arial"/>
          <w:sz w:val="22"/>
          <w:szCs w:val="22"/>
        </w:rPr>
        <w:t>and to retain the public health relevance of the subject.</w:t>
      </w:r>
    </w:p>
    <w:p w14:paraId="73ADB22E" w14:textId="77777777" w:rsidR="00736329" w:rsidRPr="004511C8" w:rsidRDefault="00736329" w:rsidP="005F4984">
      <w:pPr>
        <w:pStyle w:val="Heading2"/>
        <w:rPr>
          <w:rFonts w:ascii="Arial" w:hAnsi="Arial" w:cs="Arial"/>
          <w:sz w:val="22"/>
          <w:szCs w:val="22"/>
        </w:rPr>
      </w:pPr>
      <w:bookmarkStart w:id="4" w:name="_Toc229082761"/>
    </w:p>
    <w:p w14:paraId="5A40B941" w14:textId="6F60E7E8" w:rsidR="000A0F50" w:rsidRPr="004511C8" w:rsidRDefault="000A0F50" w:rsidP="005F4984">
      <w:pPr>
        <w:pStyle w:val="Heading2"/>
        <w:rPr>
          <w:rFonts w:ascii="Arial" w:hAnsi="Arial" w:cs="Arial"/>
          <w:sz w:val="22"/>
          <w:szCs w:val="22"/>
        </w:rPr>
      </w:pPr>
      <w:r w:rsidRPr="004511C8">
        <w:rPr>
          <w:rFonts w:ascii="Arial" w:hAnsi="Arial" w:cs="Arial"/>
          <w:sz w:val="22"/>
          <w:szCs w:val="22"/>
        </w:rPr>
        <w:t>1.4 Research Question</w:t>
      </w:r>
      <w:bookmarkEnd w:id="4"/>
    </w:p>
    <w:p w14:paraId="000FD599" w14:textId="4A78DD7A" w:rsidR="000A0F50" w:rsidRPr="004511C8" w:rsidRDefault="00096E52" w:rsidP="005F4984">
      <w:pPr>
        <w:rPr>
          <w:rFonts w:ascii="Arial" w:hAnsi="Arial" w:cs="Arial"/>
          <w:b/>
          <w:bCs/>
          <w:i/>
          <w:iCs/>
          <w:sz w:val="22"/>
          <w:szCs w:val="22"/>
        </w:rPr>
      </w:pPr>
      <w:r w:rsidRPr="004511C8">
        <w:rPr>
          <w:rFonts w:ascii="Arial" w:hAnsi="Arial" w:cs="Arial"/>
          <w:b/>
          <w:bCs/>
          <w:i/>
          <w:iCs/>
          <w:sz w:val="22"/>
          <w:szCs w:val="22"/>
        </w:rPr>
        <w:t>“</w:t>
      </w:r>
      <w:r w:rsidR="000A0F50" w:rsidRPr="004511C8">
        <w:rPr>
          <w:rFonts w:ascii="Arial" w:hAnsi="Arial" w:cs="Arial"/>
          <w:b/>
          <w:bCs/>
          <w:i/>
          <w:iCs/>
          <w:sz w:val="22"/>
          <w:szCs w:val="22"/>
        </w:rPr>
        <w:t>What is known from UK-based literature about antimicrobial resistance in gonorrhoea, and what are the implications for young adults?</w:t>
      </w:r>
      <w:r w:rsidRPr="004511C8">
        <w:rPr>
          <w:rFonts w:ascii="Arial" w:hAnsi="Arial" w:cs="Arial"/>
          <w:b/>
          <w:bCs/>
          <w:i/>
          <w:iCs/>
          <w:sz w:val="22"/>
          <w:szCs w:val="22"/>
        </w:rPr>
        <w:t>”</w:t>
      </w:r>
    </w:p>
    <w:p w14:paraId="17EE54D3" w14:textId="77777777" w:rsidR="000A0F50" w:rsidRPr="004511C8" w:rsidRDefault="000A0F50" w:rsidP="005F4984">
      <w:pPr>
        <w:rPr>
          <w:rFonts w:ascii="Arial" w:hAnsi="Arial" w:cs="Arial"/>
          <w:sz w:val="22"/>
          <w:szCs w:val="22"/>
        </w:rPr>
      </w:pPr>
    </w:p>
    <w:p w14:paraId="7A820008" w14:textId="77777777" w:rsidR="000A0F50" w:rsidRPr="004511C8" w:rsidRDefault="000A0F50" w:rsidP="005F4984">
      <w:pPr>
        <w:pStyle w:val="Heading2"/>
        <w:rPr>
          <w:rFonts w:ascii="Arial" w:hAnsi="Arial" w:cs="Arial"/>
          <w:sz w:val="22"/>
          <w:szCs w:val="22"/>
        </w:rPr>
      </w:pPr>
      <w:bookmarkStart w:id="5" w:name="_Toc229082762"/>
      <w:r w:rsidRPr="004511C8">
        <w:rPr>
          <w:rFonts w:ascii="Arial" w:hAnsi="Arial" w:cs="Arial"/>
          <w:sz w:val="22"/>
          <w:szCs w:val="22"/>
        </w:rPr>
        <w:t>1.5 Research Aim</w:t>
      </w:r>
      <w:bookmarkEnd w:id="5"/>
    </w:p>
    <w:p w14:paraId="68482E9D" w14:textId="77777777" w:rsidR="000A0F50" w:rsidRPr="004511C8" w:rsidRDefault="000A0F50" w:rsidP="005F4984">
      <w:pPr>
        <w:rPr>
          <w:rFonts w:ascii="Arial" w:hAnsi="Arial" w:cs="Arial"/>
          <w:i/>
          <w:iCs/>
          <w:sz w:val="22"/>
          <w:szCs w:val="22"/>
        </w:rPr>
      </w:pPr>
      <w:r w:rsidRPr="004511C8">
        <w:rPr>
          <w:rFonts w:ascii="Arial" w:hAnsi="Arial" w:cs="Arial"/>
          <w:i/>
          <w:iCs/>
          <w:sz w:val="22"/>
          <w:szCs w:val="22"/>
        </w:rPr>
        <w:t>To systematically review UK evidence on gonococcal antimicrobial resistance and its relevance to young adults.</w:t>
      </w:r>
    </w:p>
    <w:p w14:paraId="34312051" w14:textId="77777777" w:rsidR="000A0F50" w:rsidRPr="004511C8" w:rsidRDefault="000A0F50" w:rsidP="005F4984">
      <w:pPr>
        <w:pStyle w:val="Heading2"/>
        <w:rPr>
          <w:rFonts w:ascii="Arial" w:hAnsi="Arial" w:cs="Arial"/>
          <w:sz w:val="22"/>
          <w:szCs w:val="22"/>
        </w:rPr>
      </w:pPr>
      <w:bookmarkStart w:id="6" w:name="_Toc229082763"/>
      <w:r w:rsidRPr="004511C8">
        <w:rPr>
          <w:rFonts w:ascii="Arial" w:hAnsi="Arial" w:cs="Arial"/>
          <w:sz w:val="22"/>
          <w:szCs w:val="22"/>
        </w:rPr>
        <w:t>1.6 Research Objectives</w:t>
      </w:r>
      <w:bookmarkEnd w:id="6"/>
    </w:p>
    <w:p w14:paraId="5BB190C0" w14:textId="5D77856F" w:rsidR="000A0F50" w:rsidRPr="004511C8" w:rsidRDefault="000A0F50" w:rsidP="005F4984">
      <w:pPr>
        <w:pStyle w:val="ListParagraph"/>
        <w:numPr>
          <w:ilvl w:val="0"/>
          <w:numId w:val="3"/>
        </w:numPr>
        <w:rPr>
          <w:rFonts w:ascii="Arial" w:hAnsi="Arial" w:cs="Arial"/>
          <w:sz w:val="22"/>
          <w:szCs w:val="22"/>
        </w:rPr>
      </w:pPr>
      <w:r w:rsidRPr="004511C8">
        <w:rPr>
          <w:rFonts w:ascii="Arial" w:hAnsi="Arial" w:cs="Arial"/>
          <w:sz w:val="22"/>
          <w:szCs w:val="22"/>
        </w:rPr>
        <w:t>To identify UK studies on antimicrobial resistance in gonorrhoea.</w:t>
      </w:r>
    </w:p>
    <w:p w14:paraId="460B00F9" w14:textId="006C0E2F" w:rsidR="000A0F50" w:rsidRPr="004511C8" w:rsidRDefault="000A0F50" w:rsidP="005F4984">
      <w:pPr>
        <w:pStyle w:val="ListParagraph"/>
        <w:numPr>
          <w:ilvl w:val="0"/>
          <w:numId w:val="3"/>
        </w:numPr>
        <w:rPr>
          <w:rFonts w:ascii="Arial" w:hAnsi="Arial" w:cs="Arial"/>
          <w:sz w:val="22"/>
          <w:szCs w:val="22"/>
        </w:rPr>
      </w:pPr>
      <w:r w:rsidRPr="004511C8">
        <w:rPr>
          <w:rFonts w:ascii="Arial" w:hAnsi="Arial" w:cs="Arial"/>
          <w:sz w:val="22"/>
          <w:szCs w:val="22"/>
        </w:rPr>
        <w:t>To examine resistance trends, treatment failure and outbreak patterns.</w:t>
      </w:r>
    </w:p>
    <w:p w14:paraId="2F312786" w14:textId="43C95894" w:rsidR="000A0F50" w:rsidRPr="004511C8" w:rsidRDefault="000A0F50" w:rsidP="005F4984">
      <w:pPr>
        <w:pStyle w:val="ListParagraph"/>
        <w:numPr>
          <w:ilvl w:val="0"/>
          <w:numId w:val="3"/>
        </w:numPr>
        <w:rPr>
          <w:rFonts w:ascii="Arial" w:hAnsi="Arial" w:cs="Arial"/>
          <w:sz w:val="22"/>
          <w:szCs w:val="22"/>
        </w:rPr>
      </w:pPr>
      <w:r w:rsidRPr="004511C8">
        <w:rPr>
          <w:rFonts w:ascii="Arial" w:hAnsi="Arial" w:cs="Arial"/>
          <w:sz w:val="22"/>
          <w:szCs w:val="22"/>
        </w:rPr>
        <w:t>To assess the relevance of UK evidence to young adults.</w:t>
      </w:r>
    </w:p>
    <w:p w14:paraId="0BC61C12" w14:textId="7B1173D7" w:rsidR="000A0F50" w:rsidRPr="004511C8" w:rsidRDefault="000A0F50" w:rsidP="005F4984">
      <w:pPr>
        <w:pStyle w:val="ListParagraph"/>
        <w:numPr>
          <w:ilvl w:val="0"/>
          <w:numId w:val="3"/>
        </w:numPr>
        <w:rPr>
          <w:rFonts w:ascii="Arial" w:hAnsi="Arial" w:cs="Arial"/>
          <w:sz w:val="22"/>
          <w:szCs w:val="22"/>
        </w:rPr>
      </w:pPr>
      <w:r w:rsidRPr="004511C8">
        <w:rPr>
          <w:rFonts w:ascii="Arial" w:hAnsi="Arial" w:cs="Arial"/>
          <w:sz w:val="22"/>
          <w:szCs w:val="22"/>
        </w:rPr>
        <w:t>To identify implications for public health practice and future research.</w:t>
      </w:r>
    </w:p>
    <w:p w14:paraId="797A23F3" w14:textId="77777777" w:rsidR="000A0F50" w:rsidRPr="004511C8" w:rsidRDefault="000A0F50" w:rsidP="005F4984">
      <w:pPr>
        <w:rPr>
          <w:rFonts w:ascii="Arial" w:hAnsi="Arial" w:cs="Arial"/>
          <w:sz w:val="22"/>
          <w:szCs w:val="22"/>
        </w:rPr>
      </w:pPr>
    </w:p>
    <w:p w14:paraId="09BD4A18" w14:textId="3DD041D3" w:rsidR="000A0F50" w:rsidRPr="004511C8" w:rsidRDefault="000A0F50" w:rsidP="005F4984">
      <w:pPr>
        <w:pStyle w:val="Heading2"/>
        <w:rPr>
          <w:rFonts w:ascii="Arial" w:hAnsi="Arial" w:cs="Arial"/>
          <w:sz w:val="22"/>
          <w:szCs w:val="22"/>
        </w:rPr>
      </w:pPr>
      <w:bookmarkStart w:id="7" w:name="_Toc229082764"/>
      <w:r w:rsidRPr="004511C8">
        <w:rPr>
          <w:rFonts w:ascii="Arial" w:hAnsi="Arial" w:cs="Arial"/>
          <w:sz w:val="22"/>
          <w:szCs w:val="22"/>
        </w:rPr>
        <w:t>1.7 Chapter Summary</w:t>
      </w:r>
      <w:bookmarkEnd w:id="7"/>
    </w:p>
    <w:p w14:paraId="231A58C4" w14:textId="1DCAD796" w:rsidR="000A0F50" w:rsidRPr="004511C8" w:rsidRDefault="000A0F50" w:rsidP="005F4984">
      <w:pPr>
        <w:rPr>
          <w:rFonts w:ascii="Arial" w:hAnsi="Arial" w:cs="Arial"/>
          <w:sz w:val="22"/>
          <w:szCs w:val="22"/>
        </w:rPr>
      </w:pPr>
      <w:r w:rsidRPr="004511C8">
        <w:rPr>
          <w:rFonts w:ascii="Arial" w:hAnsi="Arial" w:cs="Arial"/>
          <w:sz w:val="22"/>
          <w:szCs w:val="22"/>
        </w:rPr>
        <w:t>The chapter has also presented gonorrhoea as one of the key sexual health issues and the reasons why antimicrobial resistance has complicated the issue. It has described the history of gonococcal resistance, in the UK surveillance situation, the rise of resistant strains and the importance of treatment failure and the persistence of outbreaks. The following chapter has a more detailed review of the broader academic literature and outlines the central themes, controversies and gaps that guide this research.</w:t>
      </w:r>
    </w:p>
    <w:p w14:paraId="65DF82CE" w14:textId="77777777" w:rsidR="000A0F50" w:rsidRPr="004511C8" w:rsidRDefault="000A0F50" w:rsidP="005F4984">
      <w:pPr>
        <w:rPr>
          <w:rFonts w:ascii="Arial" w:hAnsi="Arial" w:cs="Arial"/>
          <w:sz w:val="22"/>
          <w:szCs w:val="22"/>
        </w:rPr>
      </w:pPr>
    </w:p>
    <w:p w14:paraId="5CC2EC8A" w14:textId="77777777" w:rsidR="00096E52" w:rsidRPr="004511C8" w:rsidRDefault="00096E52" w:rsidP="005F4984">
      <w:pPr>
        <w:jc w:val="left"/>
        <w:rPr>
          <w:rFonts w:ascii="Arial" w:hAnsi="Arial" w:cs="Arial"/>
          <w:b/>
          <w:bCs/>
          <w:sz w:val="22"/>
          <w:szCs w:val="22"/>
        </w:rPr>
      </w:pPr>
      <w:r w:rsidRPr="004511C8">
        <w:rPr>
          <w:rFonts w:ascii="Arial" w:hAnsi="Arial" w:cs="Arial"/>
          <w:sz w:val="22"/>
          <w:szCs w:val="22"/>
        </w:rPr>
        <w:br w:type="page"/>
      </w:r>
    </w:p>
    <w:p w14:paraId="070AF7AA" w14:textId="0942A50F" w:rsidR="00096E52" w:rsidRPr="004511C8" w:rsidRDefault="00096E52" w:rsidP="005F4984">
      <w:pPr>
        <w:pStyle w:val="Heading1"/>
        <w:rPr>
          <w:rFonts w:ascii="Arial" w:hAnsi="Arial" w:cs="Arial"/>
          <w:sz w:val="22"/>
          <w:szCs w:val="22"/>
        </w:rPr>
      </w:pPr>
      <w:bookmarkStart w:id="8" w:name="_Toc229082765"/>
      <w:r w:rsidRPr="004511C8">
        <w:rPr>
          <w:rFonts w:ascii="Arial" w:hAnsi="Arial" w:cs="Arial"/>
          <w:sz w:val="22"/>
          <w:szCs w:val="22"/>
        </w:rPr>
        <w:lastRenderedPageBreak/>
        <w:t>CHAPTER 2: LITERATURE REVIEW</w:t>
      </w:r>
      <w:bookmarkEnd w:id="8"/>
    </w:p>
    <w:p w14:paraId="5CF99E58" w14:textId="77777777" w:rsidR="00096E52" w:rsidRPr="004511C8" w:rsidRDefault="00096E52" w:rsidP="005F4984">
      <w:pPr>
        <w:rPr>
          <w:rFonts w:ascii="Arial" w:hAnsi="Arial" w:cs="Arial"/>
          <w:sz w:val="22"/>
          <w:szCs w:val="22"/>
        </w:rPr>
      </w:pPr>
    </w:p>
    <w:p w14:paraId="4ACBFB60" w14:textId="10746955" w:rsidR="00096E52" w:rsidRPr="004511C8" w:rsidRDefault="00096E52" w:rsidP="005F4984">
      <w:pPr>
        <w:pStyle w:val="Heading2"/>
        <w:rPr>
          <w:rFonts w:ascii="Arial" w:hAnsi="Arial" w:cs="Arial"/>
          <w:sz w:val="22"/>
          <w:szCs w:val="22"/>
        </w:rPr>
      </w:pPr>
      <w:bookmarkStart w:id="9" w:name="_Toc229082766"/>
      <w:r w:rsidRPr="004511C8">
        <w:rPr>
          <w:rFonts w:ascii="Arial" w:hAnsi="Arial" w:cs="Arial"/>
          <w:sz w:val="22"/>
          <w:szCs w:val="22"/>
        </w:rPr>
        <w:t>2.1 Introduction to Literature Review Chapter</w:t>
      </w:r>
      <w:bookmarkEnd w:id="9"/>
    </w:p>
    <w:p w14:paraId="0E776F70" w14:textId="77777777" w:rsidR="00096E52" w:rsidRPr="004511C8" w:rsidRDefault="00096E52" w:rsidP="005F4984">
      <w:pPr>
        <w:rPr>
          <w:rFonts w:ascii="Arial" w:hAnsi="Arial" w:cs="Arial"/>
          <w:sz w:val="22"/>
          <w:szCs w:val="22"/>
        </w:rPr>
      </w:pPr>
      <w:r w:rsidRPr="004511C8">
        <w:rPr>
          <w:rFonts w:ascii="Arial" w:hAnsi="Arial" w:cs="Arial"/>
          <w:sz w:val="22"/>
          <w:szCs w:val="22"/>
        </w:rPr>
        <w:t>This chapter is a review of the scholarly articles about antimicrobial resistance in Neisseria gonorrhoeae with specific reference to the United Kingdom. It discusses the evolution of gonococcal resistance, the importance of surveillance to detect trends in resistance, the rise of multidrug-resistant strains and treatment failure, and the consequences of these changes on the policy of health care and clinical practice. The chapter also assesses the strengths and weaknesses of the available literature and gaps that are applicable to young adults. This chapter provides the rationale of the current systematic literature review by critically synthesising the evidence available, as well as gives the conceptual basis of the methodology that will be discussed in Chapter 3.</w:t>
      </w:r>
    </w:p>
    <w:p w14:paraId="16FAC2BA" w14:textId="77777777" w:rsidR="00096E52" w:rsidRPr="004511C8" w:rsidRDefault="00096E52" w:rsidP="005F4984">
      <w:pPr>
        <w:rPr>
          <w:rFonts w:ascii="Arial" w:hAnsi="Arial" w:cs="Arial"/>
          <w:sz w:val="22"/>
          <w:szCs w:val="22"/>
        </w:rPr>
      </w:pPr>
    </w:p>
    <w:p w14:paraId="2D0D2566" w14:textId="77777777" w:rsidR="00096E52" w:rsidRPr="004511C8" w:rsidRDefault="00096E52" w:rsidP="005F4984">
      <w:pPr>
        <w:pStyle w:val="Heading2"/>
        <w:rPr>
          <w:rFonts w:ascii="Arial" w:hAnsi="Arial" w:cs="Arial"/>
          <w:sz w:val="22"/>
          <w:szCs w:val="22"/>
        </w:rPr>
      </w:pPr>
      <w:bookmarkStart w:id="10" w:name="_Toc229082767"/>
      <w:r w:rsidRPr="004511C8">
        <w:rPr>
          <w:rFonts w:ascii="Arial" w:hAnsi="Arial" w:cs="Arial"/>
          <w:sz w:val="22"/>
          <w:szCs w:val="22"/>
        </w:rPr>
        <w:t>2.2 Literature Review</w:t>
      </w:r>
      <w:bookmarkEnd w:id="10"/>
    </w:p>
    <w:p w14:paraId="6C608CFF" w14:textId="0AD35F7D" w:rsidR="00096E52" w:rsidRPr="004511C8" w:rsidRDefault="00096E52" w:rsidP="005F4984">
      <w:pPr>
        <w:rPr>
          <w:rFonts w:ascii="Arial" w:hAnsi="Arial" w:cs="Arial"/>
          <w:sz w:val="22"/>
          <w:szCs w:val="22"/>
        </w:rPr>
      </w:pPr>
      <w:r w:rsidRPr="004511C8">
        <w:rPr>
          <w:rFonts w:ascii="Arial" w:hAnsi="Arial" w:cs="Arial"/>
          <w:sz w:val="22"/>
          <w:szCs w:val="22"/>
        </w:rPr>
        <w:t xml:space="preserve">The issue of antimicrobial resistance in Neisseria gonorrhoeae has become one of the most popular topics of sexual health literature. There is a clear development in the literature of the initial fear of resistance to older antibiotics towards more recent </w:t>
      </w:r>
      <w:r w:rsidR="0058576B" w:rsidRPr="004511C8">
        <w:rPr>
          <w:rFonts w:ascii="Arial" w:hAnsi="Arial" w:cs="Arial"/>
          <w:sz w:val="22"/>
          <w:szCs w:val="22"/>
        </w:rPr>
        <w:t xml:space="preserve">concern </w:t>
      </w:r>
      <w:r w:rsidRPr="004511C8">
        <w:rPr>
          <w:rFonts w:ascii="Arial" w:hAnsi="Arial" w:cs="Arial"/>
          <w:sz w:val="22"/>
          <w:szCs w:val="22"/>
        </w:rPr>
        <w:t>over the decreasing susceptibility to the remaining effective treatment options. These general contexts have been assisted by broad review studies</w:t>
      </w:r>
      <w:r w:rsidR="00736329" w:rsidRPr="004511C8">
        <w:rPr>
          <w:rFonts w:ascii="Arial" w:hAnsi="Arial" w:cs="Arial"/>
          <w:sz w:val="22"/>
          <w:szCs w:val="22"/>
        </w:rPr>
        <w:t>,</w:t>
      </w:r>
      <w:r w:rsidRPr="004511C8">
        <w:rPr>
          <w:rFonts w:ascii="Arial" w:hAnsi="Arial" w:cs="Arial"/>
          <w:sz w:val="22"/>
          <w:szCs w:val="22"/>
        </w:rPr>
        <w:t xml:space="preserve"> especially in setting up those contexts. One of the most impactful histories of the gonococcal resistance is given by </w:t>
      </w:r>
      <w:proofErr w:type="spellStart"/>
      <w:r w:rsidRPr="004511C8">
        <w:rPr>
          <w:rFonts w:ascii="Arial" w:hAnsi="Arial" w:cs="Arial"/>
          <w:sz w:val="22"/>
          <w:szCs w:val="22"/>
        </w:rPr>
        <w:t>Unemo</w:t>
      </w:r>
      <w:proofErr w:type="spellEnd"/>
      <w:r w:rsidRPr="004511C8">
        <w:rPr>
          <w:rFonts w:ascii="Arial" w:hAnsi="Arial" w:cs="Arial"/>
          <w:sz w:val="22"/>
          <w:szCs w:val="22"/>
        </w:rPr>
        <w:t xml:space="preserve"> and Shafer (2014), who </w:t>
      </w:r>
      <w:r w:rsidR="00736329" w:rsidRPr="004511C8">
        <w:rPr>
          <w:rFonts w:ascii="Arial" w:hAnsi="Arial" w:cs="Arial"/>
          <w:sz w:val="22"/>
          <w:szCs w:val="22"/>
        </w:rPr>
        <w:t>show</w:t>
      </w:r>
      <w:r w:rsidRPr="004511C8">
        <w:rPr>
          <w:rFonts w:ascii="Arial" w:hAnsi="Arial" w:cs="Arial"/>
          <w:sz w:val="22"/>
          <w:szCs w:val="22"/>
        </w:rPr>
        <w:t xml:space="preserve"> that the organism has been acquiring resistance to all the major classes of antibiotics against it. Equally, </w:t>
      </w:r>
      <w:proofErr w:type="spellStart"/>
      <w:r w:rsidRPr="004511C8">
        <w:rPr>
          <w:rFonts w:ascii="Arial" w:hAnsi="Arial" w:cs="Arial"/>
          <w:sz w:val="22"/>
          <w:szCs w:val="22"/>
        </w:rPr>
        <w:t>Aitolo</w:t>
      </w:r>
      <w:proofErr w:type="spellEnd"/>
      <w:r w:rsidRPr="004511C8">
        <w:rPr>
          <w:rFonts w:ascii="Arial" w:hAnsi="Arial" w:cs="Arial"/>
          <w:sz w:val="22"/>
          <w:szCs w:val="22"/>
        </w:rPr>
        <w:t xml:space="preserve"> et al. (2021) use the same reasoning to understand resistance</w:t>
      </w:r>
      <w:r w:rsidR="00736329" w:rsidRPr="004511C8">
        <w:rPr>
          <w:rFonts w:ascii="Arial" w:hAnsi="Arial" w:cs="Arial"/>
          <w:sz w:val="22"/>
          <w:szCs w:val="22"/>
        </w:rPr>
        <w:t>,</w:t>
      </w:r>
      <w:r w:rsidRPr="004511C8">
        <w:rPr>
          <w:rFonts w:ascii="Arial" w:hAnsi="Arial" w:cs="Arial"/>
          <w:sz w:val="22"/>
          <w:szCs w:val="22"/>
        </w:rPr>
        <w:t xml:space="preserve"> dating back to times of relative therapeutic confidence to the current situation, where treatment options are becoming more limited. The importance of these studies is that they demonstrate that gonococcal AMR is not a single or a transient phenomenon, but an </w:t>
      </w:r>
      <w:r w:rsidR="00736329" w:rsidRPr="004511C8">
        <w:rPr>
          <w:rFonts w:ascii="Arial" w:hAnsi="Arial" w:cs="Arial"/>
          <w:sz w:val="22"/>
          <w:szCs w:val="22"/>
        </w:rPr>
        <w:t>evolutionary</w:t>
      </w:r>
      <w:r w:rsidRPr="004511C8">
        <w:rPr>
          <w:rFonts w:ascii="Arial" w:hAnsi="Arial" w:cs="Arial"/>
          <w:sz w:val="22"/>
          <w:szCs w:val="22"/>
        </w:rPr>
        <w:t xml:space="preserve"> process</w:t>
      </w:r>
      <w:r w:rsidR="00220E33" w:rsidRPr="004511C8">
        <w:rPr>
          <w:rFonts w:ascii="Arial" w:hAnsi="Arial" w:cs="Arial"/>
          <w:sz w:val="22"/>
          <w:szCs w:val="22"/>
        </w:rPr>
        <w:t xml:space="preserve"> (Baquero et al. 2021)</w:t>
      </w:r>
      <w:r w:rsidRPr="004511C8">
        <w:rPr>
          <w:rFonts w:ascii="Arial" w:hAnsi="Arial" w:cs="Arial"/>
          <w:sz w:val="22"/>
          <w:szCs w:val="22"/>
        </w:rPr>
        <w:t>. Nevertheless, their wider global focus implies that they fail to elucidate in detail how resistance is experienced in the UK context, or the implications of the same to groups of people</w:t>
      </w:r>
      <w:r w:rsidR="00736329" w:rsidRPr="004511C8">
        <w:rPr>
          <w:rFonts w:ascii="Arial" w:hAnsi="Arial" w:cs="Arial"/>
          <w:sz w:val="22"/>
          <w:szCs w:val="22"/>
        </w:rPr>
        <w:t>, for</w:t>
      </w:r>
      <w:r w:rsidRPr="004511C8">
        <w:rPr>
          <w:rFonts w:ascii="Arial" w:hAnsi="Arial" w:cs="Arial"/>
          <w:sz w:val="22"/>
          <w:szCs w:val="22"/>
        </w:rPr>
        <w:t xml:space="preserve"> e</w:t>
      </w:r>
      <w:r w:rsidR="00736329" w:rsidRPr="004511C8">
        <w:rPr>
          <w:rFonts w:ascii="Arial" w:hAnsi="Arial" w:cs="Arial"/>
          <w:sz w:val="22"/>
          <w:szCs w:val="22"/>
        </w:rPr>
        <w:t>xample,</w:t>
      </w:r>
      <w:r w:rsidRPr="004511C8">
        <w:rPr>
          <w:rFonts w:ascii="Arial" w:hAnsi="Arial" w:cs="Arial"/>
          <w:sz w:val="22"/>
          <w:szCs w:val="22"/>
        </w:rPr>
        <w:t xml:space="preserve"> the young adult population.</w:t>
      </w:r>
    </w:p>
    <w:p w14:paraId="4F0E15C3" w14:textId="540A8502" w:rsidR="00096E52" w:rsidRPr="004511C8" w:rsidRDefault="00096E52" w:rsidP="005F4984">
      <w:pPr>
        <w:rPr>
          <w:rFonts w:ascii="Arial" w:hAnsi="Arial" w:cs="Arial"/>
          <w:sz w:val="22"/>
          <w:szCs w:val="22"/>
        </w:rPr>
      </w:pPr>
      <w:r w:rsidRPr="004511C8">
        <w:rPr>
          <w:rFonts w:ascii="Arial" w:hAnsi="Arial" w:cs="Arial"/>
          <w:sz w:val="22"/>
          <w:szCs w:val="22"/>
        </w:rPr>
        <w:t xml:space="preserve">The central role of surveillance in gonococcal resistance management and understanding is one of the themes of the UK literature. A large percentage of the research base is comprised of surveillance-based studies and indicates that the discipline is heavily influenced by laboratory and epidemiological surveillance as opposed to experimental or interventional studies. Delpech et al. (2009) evaluated the information provided by the Gonococcal Resistance to Antimicrobials Surveillance Programme in England and Wales and </w:t>
      </w:r>
      <w:r w:rsidRPr="004511C8">
        <w:rPr>
          <w:rFonts w:ascii="Arial" w:hAnsi="Arial" w:cs="Arial"/>
          <w:sz w:val="22"/>
          <w:szCs w:val="22"/>
        </w:rPr>
        <w:lastRenderedPageBreak/>
        <w:t>demonstrated that gonorrhoea is affected by demographic, behavioural and clinical factors. The significance of this study is that it puts gonorrhoea in a social and epidemiological framework</w:t>
      </w:r>
      <w:r w:rsidR="00736329" w:rsidRPr="004511C8">
        <w:rPr>
          <w:rFonts w:ascii="Arial" w:hAnsi="Arial" w:cs="Arial"/>
          <w:sz w:val="22"/>
          <w:szCs w:val="22"/>
        </w:rPr>
        <w:t>,</w:t>
      </w:r>
      <w:r w:rsidRPr="004511C8">
        <w:rPr>
          <w:rFonts w:ascii="Arial" w:hAnsi="Arial" w:cs="Arial"/>
          <w:sz w:val="22"/>
          <w:szCs w:val="22"/>
        </w:rPr>
        <w:t xml:space="preserve"> and not a mere clinical infection. Hughes, Nichols and Ison</w:t>
      </w:r>
      <w:r w:rsidR="00736329" w:rsidRPr="004511C8">
        <w:rPr>
          <w:rFonts w:ascii="Arial" w:hAnsi="Arial" w:cs="Arial"/>
          <w:sz w:val="22"/>
          <w:szCs w:val="22"/>
        </w:rPr>
        <w:t>,</w:t>
      </w:r>
      <w:r w:rsidRPr="004511C8">
        <w:rPr>
          <w:rFonts w:ascii="Arial" w:hAnsi="Arial" w:cs="Arial"/>
          <w:sz w:val="22"/>
          <w:szCs w:val="22"/>
        </w:rPr>
        <w:t xml:space="preserve"> (2011) also reveal the significance of surveillance by estimating </w:t>
      </w:r>
      <w:r w:rsidR="00736329" w:rsidRPr="004511C8">
        <w:rPr>
          <w:rFonts w:ascii="Arial" w:hAnsi="Arial" w:cs="Arial"/>
          <w:sz w:val="22"/>
          <w:szCs w:val="22"/>
        </w:rPr>
        <w:t xml:space="preserve">the </w:t>
      </w:r>
      <w:r w:rsidRPr="004511C8">
        <w:rPr>
          <w:rFonts w:ascii="Arial" w:hAnsi="Arial" w:cs="Arial"/>
          <w:sz w:val="22"/>
          <w:szCs w:val="22"/>
        </w:rPr>
        <w:t xml:space="preserve">prevalence of resistance in England and Wales and how monitoring systems can aid the national policy on treatment. This argument is supported by Ison and Alexander (2011), who elaborate </w:t>
      </w:r>
      <w:r w:rsidR="00736329" w:rsidRPr="004511C8">
        <w:rPr>
          <w:rFonts w:ascii="Arial" w:hAnsi="Arial" w:cs="Arial"/>
          <w:sz w:val="22"/>
          <w:szCs w:val="22"/>
        </w:rPr>
        <w:t xml:space="preserve">on </w:t>
      </w:r>
      <w:r w:rsidRPr="004511C8">
        <w:rPr>
          <w:rFonts w:ascii="Arial" w:hAnsi="Arial" w:cs="Arial"/>
          <w:sz w:val="22"/>
          <w:szCs w:val="22"/>
        </w:rPr>
        <w:t xml:space="preserve">how surveillance in </w:t>
      </w:r>
      <w:r w:rsidR="00736329" w:rsidRPr="004511C8">
        <w:rPr>
          <w:rFonts w:ascii="Arial" w:hAnsi="Arial" w:cs="Arial"/>
          <w:sz w:val="22"/>
          <w:szCs w:val="22"/>
        </w:rPr>
        <w:t xml:space="preserve">the </w:t>
      </w:r>
      <w:r w:rsidRPr="004511C8">
        <w:rPr>
          <w:rFonts w:ascii="Arial" w:hAnsi="Arial" w:cs="Arial"/>
          <w:sz w:val="22"/>
          <w:szCs w:val="22"/>
        </w:rPr>
        <w:t xml:space="preserve">UK is key to </w:t>
      </w:r>
      <w:r w:rsidR="00736329" w:rsidRPr="004511C8">
        <w:rPr>
          <w:rFonts w:ascii="Arial" w:hAnsi="Arial" w:cs="Arial"/>
          <w:sz w:val="22"/>
          <w:szCs w:val="22"/>
        </w:rPr>
        <w:t xml:space="preserve">the </w:t>
      </w:r>
      <w:r w:rsidRPr="004511C8">
        <w:rPr>
          <w:rFonts w:ascii="Arial" w:hAnsi="Arial" w:cs="Arial"/>
          <w:sz w:val="22"/>
          <w:szCs w:val="22"/>
        </w:rPr>
        <w:t>identification of new resistance and management reduction changes.</w:t>
      </w:r>
    </w:p>
    <w:p w14:paraId="6A65AEE2" w14:textId="6F2251D6" w:rsidR="00096E52" w:rsidRPr="004511C8" w:rsidRDefault="00096E52" w:rsidP="005F4984">
      <w:pPr>
        <w:rPr>
          <w:rFonts w:ascii="Arial" w:hAnsi="Arial" w:cs="Arial"/>
          <w:sz w:val="22"/>
          <w:szCs w:val="22"/>
        </w:rPr>
      </w:pPr>
      <w:r w:rsidRPr="004511C8">
        <w:rPr>
          <w:rFonts w:ascii="Arial" w:hAnsi="Arial" w:cs="Arial"/>
          <w:sz w:val="22"/>
          <w:szCs w:val="22"/>
        </w:rPr>
        <w:t xml:space="preserve">The main advantage of this literature on surveillance is that it gives a population level </w:t>
      </w:r>
      <w:r w:rsidR="00736329" w:rsidRPr="004511C8">
        <w:rPr>
          <w:rFonts w:ascii="Arial" w:hAnsi="Arial" w:cs="Arial"/>
          <w:sz w:val="22"/>
          <w:szCs w:val="22"/>
        </w:rPr>
        <w:t>insight,</w:t>
      </w:r>
      <w:r w:rsidRPr="004511C8">
        <w:rPr>
          <w:rFonts w:ascii="Arial" w:hAnsi="Arial" w:cs="Arial"/>
          <w:sz w:val="22"/>
          <w:szCs w:val="22"/>
        </w:rPr>
        <w:t xml:space="preserve"> and the patterns of resistance can be followed over time. It is especially useful in gonorrhoea, where the treatment policy needs to react swiftly to susceptibility dynamics. In a global systematic review, Medland et al. (2022) </w:t>
      </w:r>
      <w:r w:rsidR="00736329" w:rsidRPr="004511C8">
        <w:rPr>
          <w:rFonts w:ascii="Arial" w:hAnsi="Arial" w:cs="Arial"/>
          <w:sz w:val="22"/>
          <w:szCs w:val="22"/>
        </w:rPr>
        <w:t>emphasise</w:t>
      </w:r>
      <w:r w:rsidRPr="004511C8">
        <w:rPr>
          <w:rFonts w:ascii="Arial" w:hAnsi="Arial" w:cs="Arial"/>
          <w:sz w:val="22"/>
          <w:szCs w:val="22"/>
        </w:rPr>
        <w:t xml:space="preserve"> the significance of gonococcal AMR surveillance systems in general, as timely and quality surveillance is essential since resistant strains can rapidly disseminate among populations and national boundaries. Even though Medland et al. (2022) is not UK-specific, the conclusions made by the authors can be used to substantiate the relevance of the surveillance findings of the studies carried out in the UK. However, there are limitations in terms of surveillance literature, too. It is also prone to relying greatly on the regular data collection and laboratory reporting, which is not always able to reflect the complexity of patient behaviour, adherence, reinfection </w:t>
      </w:r>
      <w:r w:rsidR="00736329" w:rsidRPr="004511C8">
        <w:rPr>
          <w:rFonts w:ascii="Arial" w:hAnsi="Arial" w:cs="Arial"/>
          <w:sz w:val="22"/>
          <w:szCs w:val="22"/>
        </w:rPr>
        <w:t>and</w:t>
      </w:r>
      <w:r w:rsidRPr="004511C8">
        <w:rPr>
          <w:rFonts w:ascii="Arial" w:hAnsi="Arial" w:cs="Arial"/>
          <w:sz w:val="22"/>
          <w:szCs w:val="22"/>
        </w:rPr>
        <w:t xml:space="preserve"> access to services</w:t>
      </w:r>
      <w:r w:rsidR="00793DB3" w:rsidRPr="004511C8">
        <w:rPr>
          <w:rFonts w:ascii="Arial" w:hAnsi="Arial" w:cs="Arial"/>
          <w:sz w:val="22"/>
          <w:szCs w:val="22"/>
        </w:rPr>
        <w:t xml:space="preserve"> (Aliabadi, </w:t>
      </w:r>
      <w:proofErr w:type="spellStart"/>
      <w:r w:rsidR="00793DB3" w:rsidRPr="004511C8">
        <w:rPr>
          <w:rFonts w:ascii="Arial" w:hAnsi="Arial" w:cs="Arial"/>
          <w:sz w:val="22"/>
          <w:szCs w:val="22"/>
        </w:rPr>
        <w:t>Sheikhtaheri</w:t>
      </w:r>
      <w:proofErr w:type="spellEnd"/>
      <w:r w:rsidR="00793DB3" w:rsidRPr="004511C8">
        <w:rPr>
          <w:rFonts w:ascii="Arial" w:hAnsi="Arial" w:cs="Arial"/>
          <w:sz w:val="22"/>
          <w:szCs w:val="22"/>
        </w:rPr>
        <w:t xml:space="preserve"> and Ansari, 2020)</w:t>
      </w:r>
      <w:r w:rsidRPr="004511C8">
        <w:rPr>
          <w:rFonts w:ascii="Arial" w:hAnsi="Arial" w:cs="Arial"/>
          <w:sz w:val="22"/>
          <w:szCs w:val="22"/>
        </w:rPr>
        <w:t xml:space="preserve">. It is also inclined to focus more on detection and monitoring rather than </w:t>
      </w:r>
      <w:r w:rsidR="00736329" w:rsidRPr="004511C8">
        <w:rPr>
          <w:rFonts w:ascii="Arial" w:hAnsi="Arial" w:cs="Arial"/>
          <w:sz w:val="22"/>
          <w:szCs w:val="22"/>
        </w:rPr>
        <w:t xml:space="preserve">on a </w:t>
      </w:r>
      <w:r w:rsidRPr="004511C8">
        <w:rPr>
          <w:rFonts w:ascii="Arial" w:hAnsi="Arial" w:cs="Arial"/>
          <w:sz w:val="22"/>
          <w:szCs w:val="22"/>
        </w:rPr>
        <w:t>more in-depth explanation of why some groups might be more impacted than others.</w:t>
      </w:r>
    </w:p>
    <w:p w14:paraId="59F2F429" w14:textId="177AFEF3" w:rsidR="00096E52" w:rsidRPr="004511C8" w:rsidRDefault="00096E52" w:rsidP="005F4984">
      <w:pPr>
        <w:rPr>
          <w:rFonts w:ascii="Arial" w:hAnsi="Arial" w:cs="Arial"/>
          <w:sz w:val="22"/>
          <w:szCs w:val="22"/>
        </w:rPr>
      </w:pPr>
      <w:r w:rsidRPr="004511C8">
        <w:rPr>
          <w:rFonts w:ascii="Arial" w:hAnsi="Arial" w:cs="Arial"/>
          <w:sz w:val="22"/>
          <w:szCs w:val="22"/>
        </w:rPr>
        <w:t xml:space="preserve">The development of resistance to certain antibiotics is another key theme in the literature. Resistance to ciprofloxacin was seen </w:t>
      </w:r>
      <w:r w:rsidR="00736329" w:rsidRPr="004511C8">
        <w:rPr>
          <w:rFonts w:ascii="Arial" w:hAnsi="Arial" w:cs="Arial"/>
          <w:sz w:val="22"/>
          <w:szCs w:val="22"/>
        </w:rPr>
        <w:t>in</w:t>
      </w:r>
      <w:r w:rsidRPr="004511C8">
        <w:rPr>
          <w:rFonts w:ascii="Arial" w:hAnsi="Arial" w:cs="Arial"/>
          <w:sz w:val="22"/>
          <w:szCs w:val="22"/>
        </w:rPr>
        <w:t xml:space="preserve"> an early UK study. A study conducted by Palmer, Leeming and Turner</w:t>
      </w:r>
      <w:r w:rsidR="00736329" w:rsidRPr="004511C8">
        <w:rPr>
          <w:rFonts w:ascii="Arial" w:hAnsi="Arial" w:cs="Arial"/>
          <w:sz w:val="22"/>
          <w:szCs w:val="22"/>
        </w:rPr>
        <w:t>,</w:t>
      </w:r>
      <w:r w:rsidRPr="004511C8">
        <w:rPr>
          <w:rFonts w:ascii="Arial" w:hAnsi="Arial" w:cs="Arial"/>
          <w:sz w:val="22"/>
          <w:szCs w:val="22"/>
        </w:rPr>
        <w:t xml:space="preserve"> (2001) on an outbreak of ciprofloxacin-resistant Neisseria gonorrhoeae shows that the resistant strains may be transmitted locally in the UK through a network. This paper is significant as it demonstrates that resistance was not </w:t>
      </w:r>
      <w:r w:rsidR="00736329" w:rsidRPr="004511C8">
        <w:rPr>
          <w:rFonts w:ascii="Arial" w:hAnsi="Arial" w:cs="Arial"/>
          <w:sz w:val="22"/>
          <w:szCs w:val="22"/>
        </w:rPr>
        <w:t>only</w:t>
      </w:r>
      <w:r w:rsidRPr="004511C8">
        <w:rPr>
          <w:rFonts w:ascii="Arial" w:hAnsi="Arial" w:cs="Arial"/>
          <w:sz w:val="22"/>
          <w:szCs w:val="22"/>
        </w:rPr>
        <w:t xml:space="preserve"> imported outside of the country, but it might </w:t>
      </w:r>
      <w:r w:rsidR="00736329" w:rsidRPr="004511C8">
        <w:rPr>
          <w:rFonts w:ascii="Arial" w:hAnsi="Arial" w:cs="Arial"/>
          <w:sz w:val="22"/>
          <w:szCs w:val="22"/>
        </w:rPr>
        <w:t xml:space="preserve">also </w:t>
      </w:r>
      <w:r w:rsidRPr="004511C8">
        <w:rPr>
          <w:rFonts w:ascii="Arial" w:hAnsi="Arial" w:cs="Arial"/>
          <w:sz w:val="22"/>
          <w:szCs w:val="22"/>
        </w:rPr>
        <w:t>be established and spread inside the country. Its design, which is an outbreak design, provides in-depth information on the transmission</w:t>
      </w:r>
      <w:r w:rsidR="00736329" w:rsidRPr="004511C8">
        <w:rPr>
          <w:rFonts w:ascii="Arial" w:hAnsi="Arial" w:cs="Arial"/>
          <w:sz w:val="22"/>
          <w:szCs w:val="22"/>
        </w:rPr>
        <w:t>. Although</w:t>
      </w:r>
      <w:r w:rsidRPr="004511C8">
        <w:rPr>
          <w:rFonts w:ascii="Arial" w:hAnsi="Arial" w:cs="Arial"/>
          <w:sz w:val="22"/>
          <w:szCs w:val="22"/>
        </w:rPr>
        <w:t xml:space="preserve"> being a relatively </w:t>
      </w:r>
      <w:r w:rsidR="00F40EC3" w:rsidRPr="004511C8">
        <w:rPr>
          <w:rFonts w:ascii="Arial" w:hAnsi="Arial" w:cs="Arial"/>
          <w:sz w:val="22"/>
          <w:szCs w:val="22"/>
        </w:rPr>
        <w:t xml:space="preserve">early </w:t>
      </w:r>
      <w:r w:rsidRPr="004511C8">
        <w:rPr>
          <w:rFonts w:ascii="Arial" w:hAnsi="Arial" w:cs="Arial"/>
          <w:sz w:val="22"/>
          <w:szCs w:val="22"/>
        </w:rPr>
        <w:t>and localised study, its results should be generalised nationwide with limitations.</w:t>
      </w:r>
    </w:p>
    <w:p w14:paraId="588D9D7D" w14:textId="6E02B06E" w:rsidR="00096E52" w:rsidRPr="004511C8" w:rsidRDefault="00096E52" w:rsidP="005F4984">
      <w:pPr>
        <w:rPr>
          <w:rFonts w:ascii="Arial" w:hAnsi="Arial" w:cs="Arial"/>
          <w:sz w:val="22"/>
          <w:szCs w:val="22"/>
        </w:rPr>
      </w:pPr>
      <w:r w:rsidRPr="004511C8">
        <w:rPr>
          <w:rFonts w:ascii="Arial" w:hAnsi="Arial" w:cs="Arial"/>
          <w:sz w:val="22"/>
          <w:szCs w:val="22"/>
        </w:rPr>
        <w:t xml:space="preserve">Then there is the shift in literature </w:t>
      </w:r>
      <w:r w:rsidR="00736329" w:rsidRPr="004511C8">
        <w:rPr>
          <w:rFonts w:ascii="Arial" w:hAnsi="Arial" w:cs="Arial"/>
          <w:sz w:val="22"/>
          <w:szCs w:val="22"/>
        </w:rPr>
        <w:t>from</w:t>
      </w:r>
      <w:r w:rsidRPr="004511C8">
        <w:rPr>
          <w:rFonts w:ascii="Arial" w:hAnsi="Arial" w:cs="Arial"/>
          <w:sz w:val="22"/>
          <w:szCs w:val="22"/>
        </w:rPr>
        <w:t xml:space="preserve"> concern about older antibiotics to the concern about low susceptibility to cephalosporins. Chisholm et al. (2011) reported the appearance of a clone with a reduced susceptibility to cefixime in England and Wales, which is a significant milestone in the UK literature. This research is of particular importance since cefixime was a part of a group of antibiotics that were gaining strength as older antibiotics became less effective. Chisholm et al. (2011) thus can be seen as a significant shift in the literature, which indicates </w:t>
      </w:r>
      <w:r w:rsidRPr="004511C8">
        <w:rPr>
          <w:rFonts w:ascii="Arial" w:hAnsi="Arial" w:cs="Arial"/>
          <w:sz w:val="22"/>
          <w:szCs w:val="22"/>
        </w:rPr>
        <w:lastRenderedPageBreak/>
        <w:t xml:space="preserve">that resistance was threatening not only the historical treatment options but also what could be deemed as the basic ones in present practice. The weakness of this study is that although it is very useful in determining the clone and its resistance pattern, it is more oriented towards laboratory and surveillance data as compared to the overall patient experience and health service </w:t>
      </w:r>
      <w:r w:rsidR="00C30B2A" w:rsidRPr="004511C8">
        <w:rPr>
          <w:rFonts w:ascii="Arial" w:hAnsi="Arial" w:cs="Arial"/>
          <w:sz w:val="22"/>
          <w:szCs w:val="22"/>
        </w:rPr>
        <w:t>implications</w:t>
      </w:r>
      <w:r w:rsidRPr="004511C8">
        <w:rPr>
          <w:rFonts w:ascii="Arial" w:hAnsi="Arial" w:cs="Arial"/>
          <w:sz w:val="22"/>
          <w:szCs w:val="22"/>
        </w:rPr>
        <w:t>.</w:t>
      </w:r>
    </w:p>
    <w:p w14:paraId="4BDFA105" w14:textId="77777777" w:rsidR="00096E52" w:rsidRPr="004511C8" w:rsidRDefault="00096E52" w:rsidP="005F4984">
      <w:pPr>
        <w:rPr>
          <w:rFonts w:ascii="Arial" w:hAnsi="Arial" w:cs="Arial"/>
          <w:sz w:val="22"/>
          <w:szCs w:val="22"/>
        </w:rPr>
      </w:pPr>
      <w:r w:rsidRPr="004511C8">
        <w:rPr>
          <w:rFonts w:ascii="Arial" w:hAnsi="Arial" w:cs="Arial"/>
          <w:sz w:val="22"/>
          <w:szCs w:val="22"/>
        </w:rPr>
        <w:t>Another theme that is powerful in the literature is the development of multidrug resistance. The research by Clifton et al. (2017) is one of the most significant studies on this topic in the UK because it analyses multidrug-resistant N. gonorrhoeae in England and Wales during 2004-15. Their analysis reveals that multidrug resistance was not a singular phenomenon but a long-standing issue of public health over a long period of time. Notably, Clifton et al. (2017) go beyond the scope of descriptive microbiology and consider the aspects related to multidrug-resistant infection, thus connecting resistance to the broader trends in epidemiology and behaviour. This renders the study specifically useful to public health analysis. Nevertheless, the research, like most surveillance studies, continues to be based on regularly gathered data and incapable of completely detailing the social processes behind it, service barriers or personal experiences.</w:t>
      </w:r>
    </w:p>
    <w:p w14:paraId="5D312A23" w14:textId="0753FE76" w:rsidR="00096E52" w:rsidRPr="004511C8" w:rsidRDefault="00096E52" w:rsidP="005F4984">
      <w:pPr>
        <w:rPr>
          <w:rFonts w:ascii="Arial" w:hAnsi="Arial" w:cs="Arial"/>
          <w:sz w:val="22"/>
          <w:szCs w:val="22"/>
        </w:rPr>
      </w:pPr>
      <w:r w:rsidRPr="004511C8">
        <w:rPr>
          <w:rFonts w:ascii="Arial" w:hAnsi="Arial" w:cs="Arial"/>
          <w:sz w:val="22"/>
          <w:szCs w:val="22"/>
        </w:rPr>
        <w:t>Treatment failure constitutes another important strand in the literature since it reveals the clinical ramifications of resistance. The direct evidence of reduced susceptibility being converted into failure in treatment was reported in Ison et al. (2011), which reported England with gonorrhoea treatment failures due to cefixime and azithromycin. The significance of this study is that failure of treatment is not only harmful to the individual patient but also to control the transmission since the infection may persist. Eyre et al. (2018) reinforce this theme with a treatment failure due to a strain with both ceftriaxone resistance and high-level azithromycin resistance in England. This situation has been in the spotlight of discussion since ceftriaxone is one of the few treatment agents left, and thus</w:t>
      </w:r>
      <w:r w:rsidR="00C32C08" w:rsidRPr="004511C8">
        <w:rPr>
          <w:rFonts w:ascii="Arial" w:hAnsi="Arial" w:cs="Arial"/>
          <w:sz w:val="22"/>
          <w:szCs w:val="22"/>
        </w:rPr>
        <w:t>,</w:t>
      </w:r>
      <w:r w:rsidRPr="004511C8">
        <w:rPr>
          <w:rFonts w:ascii="Arial" w:hAnsi="Arial" w:cs="Arial"/>
          <w:sz w:val="22"/>
          <w:szCs w:val="22"/>
        </w:rPr>
        <w:t xml:space="preserve"> resistance to it is a very severe threat indeed. Such works are strong as they demonstrate that AMR is not just a theory; it </w:t>
      </w:r>
      <w:r w:rsidR="00C32C08" w:rsidRPr="004511C8">
        <w:rPr>
          <w:rFonts w:ascii="Arial" w:hAnsi="Arial" w:cs="Arial"/>
          <w:sz w:val="22"/>
          <w:szCs w:val="22"/>
        </w:rPr>
        <w:t>has already</w:t>
      </w:r>
      <w:r w:rsidRPr="004511C8">
        <w:rPr>
          <w:rFonts w:ascii="Arial" w:hAnsi="Arial" w:cs="Arial"/>
          <w:sz w:val="22"/>
          <w:szCs w:val="22"/>
        </w:rPr>
        <w:t xml:space="preserve"> brought clinically significant cases in the UK. Simultaneously, case reports and small case series are incapable of informing about the prevalence of treatment failure in larger populations. They have more value in depicting seriousness and </w:t>
      </w:r>
      <w:r w:rsidR="00C32C08" w:rsidRPr="004511C8">
        <w:rPr>
          <w:rFonts w:ascii="Arial" w:hAnsi="Arial" w:cs="Arial"/>
          <w:sz w:val="22"/>
          <w:szCs w:val="22"/>
        </w:rPr>
        <w:t xml:space="preserve">an </w:t>
      </w:r>
      <w:r w:rsidRPr="004511C8">
        <w:rPr>
          <w:rFonts w:ascii="Arial" w:hAnsi="Arial" w:cs="Arial"/>
          <w:sz w:val="22"/>
          <w:szCs w:val="22"/>
        </w:rPr>
        <w:t>impending threat than representative epidemiological estimates.</w:t>
      </w:r>
    </w:p>
    <w:p w14:paraId="422A5B14" w14:textId="1A2FAB89" w:rsidR="00096E52" w:rsidRPr="004511C8" w:rsidRDefault="00096E52" w:rsidP="005F4984">
      <w:pPr>
        <w:rPr>
          <w:rFonts w:ascii="Arial" w:hAnsi="Arial" w:cs="Arial"/>
          <w:sz w:val="22"/>
          <w:szCs w:val="22"/>
        </w:rPr>
      </w:pPr>
      <w:r w:rsidRPr="004511C8">
        <w:rPr>
          <w:rFonts w:ascii="Arial" w:hAnsi="Arial" w:cs="Arial"/>
          <w:sz w:val="22"/>
          <w:szCs w:val="22"/>
        </w:rPr>
        <w:t xml:space="preserve">Outbreak persistence and transmission dynamics are also important </w:t>
      </w:r>
      <w:r w:rsidR="00C32C08" w:rsidRPr="004511C8">
        <w:rPr>
          <w:rFonts w:ascii="Arial" w:hAnsi="Arial" w:cs="Arial"/>
          <w:sz w:val="22"/>
          <w:szCs w:val="22"/>
        </w:rPr>
        <w:t>issues</w:t>
      </w:r>
      <w:r w:rsidRPr="004511C8">
        <w:rPr>
          <w:rFonts w:ascii="Arial" w:hAnsi="Arial" w:cs="Arial"/>
          <w:sz w:val="22"/>
          <w:szCs w:val="22"/>
        </w:rPr>
        <w:t xml:space="preserve"> in the literature. Research by </w:t>
      </w:r>
      <w:proofErr w:type="spellStart"/>
      <w:r w:rsidRPr="004511C8">
        <w:rPr>
          <w:rFonts w:ascii="Arial" w:hAnsi="Arial" w:cs="Arial"/>
          <w:sz w:val="22"/>
          <w:szCs w:val="22"/>
        </w:rPr>
        <w:t>Smolarchuk</w:t>
      </w:r>
      <w:proofErr w:type="spellEnd"/>
      <w:r w:rsidRPr="004511C8">
        <w:rPr>
          <w:rFonts w:ascii="Arial" w:hAnsi="Arial" w:cs="Arial"/>
          <w:sz w:val="22"/>
          <w:szCs w:val="22"/>
        </w:rPr>
        <w:t xml:space="preserve"> et al. (2018) revealed the continuation of an outbreak of gonorrhoea with high-level resistance to azithromycin in England during 2014-2018. This research is most valuable as it shows that resistant strains could persist in sexual networks </w:t>
      </w:r>
      <w:r w:rsidR="00C32C08" w:rsidRPr="004511C8">
        <w:rPr>
          <w:rFonts w:ascii="Arial" w:hAnsi="Arial" w:cs="Arial"/>
          <w:sz w:val="22"/>
          <w:szCs w:val="22"/>
        </w:rPr>
        <w:t>for</w:t>
      </w:r>
      <w:r w:rsidRPr="004511C8">
        <w:rPr>
          <w:rFonts w:ascii="Arial" w:hAnsi="Arial" w:cs="Arial"/>
          <w:sz w:val="22"/>
          <w:szCs w:val="22"/>
        </w:rPr>
        <w:t xml:space="preserve"> multiple years and not manifest only in the form of temporary or individual cases. The fact that such outbreaks </w:t>
      </w:r>
      <w:r w:rsidRPr="004511C8">
        <w:rPr>
          <w:rFonts w:ascii="Arial" w:hAnsi="Arial" w:cs="Arial"/>
          <w:sz w:val="22"/>
          <w:szCs w:val="22"/>
        </w:rPr>
        <w:lastRenderedPageBreak/>
        <w:t>continue to persist is a burden to health services</w:t>
      </w:r>
      <w:r w:rsidR="00C32C08" w:rsidRPr="004511C8">
        <w:rPr>
          <w:rFonts w:ascii="Arial" w:hAnsi="Arial" w:cs="Arial"/>
          <w:sz w:val="22"/>
          <w:szCs w:val="22"/>
        </w:rPr>
        <w:t>,</w:t>
      </w:r>
      <w:r w:rsidRPr="004511C8">
        <w:rPr>
          <w:rFonts w:ascii="Arial" w:hAnsi="Arial" w:cs="Arial"/>
          <w:sz w:val="22"/>
          <w:szCs w:val="22"/>
        </w:rPr>
        <w:t xml:space="preserve"> and long-term intervention is necessary</w:t>
      </w:r>
      <w:r w:rsidR="00E26266" w:rsidRPr="004511C8">
        <w:rPr>
          <w:rFonts w:ascii="Arial" w:hAnsi="Arial" w:cs="Arial"/>
          <w:sz w:val="22"/>
          <w:szCs w:val="22"/>
        </w:rPr>
        <w:t xml:space="preserve"> (Lee et al. 2020)</w:t>
      </w:r>
      <w:r w:rsidRPr="004511C8">
        <w:rPr>
          <w:rFonts w:ascii="Arial" w:hAnsi="Arial" w:cs="Arial"/>
          <w:sz w:val="22"/>
          <w:szCs w:val="22"/>
        </w:rPr>
        <w:t xml:space="preserve">. </w:t>
      </w:r>
      <w:r w:rsidR="00C32C08" w:rsidRPr="004511C8">
        <w:rPr>
          <w:rFonts w:ascii="Arial" w:hAnsi="Arial" w:cs="Arial"/>
          <w:sz w:val="22"/>
          <w:szCs w:val="22"/>
        </w:rPr>
        <w:t>However</w:t>
      </w:r>
      <w:r w:rsidRPr="004511C8">
        <w:rPr>
          <w:rFonts w:ascii="Arial" w:hAnsi="Arial" w:cs="Arial"/>
          <w:sz w:val="22"/>
          <w:szCs w:val="22"/>
        </w:rPr>
        <w:t>, outbreak studies can be context-specific, i.e., the results of such studies might not necessarily be applicable in all settings. Although they have this shortcoming, they are very useful in demonstrating the behaviour of resistance in actual transmission situations</w:t>
      </w:r>
      <w:r w:rsidR="00C32C08" w:rsidRPr="004511C8">
        <w:rPr>
          <w:rFonts w:ascii="Arial" w:hAnsi="Arial" w:cs="Arial"/>
          <w:sz w:val="22"/>
          <w:szCs w:val="22"/>
        </w:rPr>
        <w:t xml:space="preserve"> </w:t>
      </w:r>
      <w:r w:rsidR="00C32C08" w:rsidRPr="004511C8">
        <w:rPr>
          <w:rFonts w:ascii="Arial" w:hAnsi="Arial" w:cs="Arial"/>
          <w:sz w:val="22"/>
          <w:szCs w:val="22"/>
        </w:rPr>
        <w:t>(Lee et al. 2020)</w:t>
      </w:r>
      <w:r w:rsidR="00C32C08" w:rsidRPr="004511C8">
        <w:rPr>
          <w:rFonts w:ascii="Arial" w:hAnsi="Arial" w:cs="Arial"/>
          <w:sz w:val="22"/>
          <w:szCs w:val="22"/>
        </w:rPr>
        <w:t>.</w:t>
      </w:r>
    </w:p>
    <w:p w14:paraId="6DF4EA5A" w14:textId="06648317" w:rsidR="00096E52" w:rsidRPr="004511C8" w:rsidRDefault="00096E52" w:rsidP="005F4984">
      <w:pPr>
        <w:rPr>
          <w:rFonts w:ascii="Arial" w:hAnsi="Arial" w:cs="Arial"/>
          <w:sz w:val="22"/>
          <w:szCs w:val="22"/>
        </w:rPr>
      </w:pPr>
      <w:r w:rsidRPr="004511C8">
        <w:rPr>
          <w:rFonts w:ascii="Arial" w:hAnsi="Arial" w:cs="Arial"/>
          <w:sz w:val="22"/>
          <w:szCs w:val="22"/>
        </w:rPr>
        <w:t>The threat has not subsided as shown by more recent studies. In the United Kingdom, Day et al. (2022) have reported a case of 10 ceftriaxone-resistant cases of N. gonorrhoeae in the period between December 2021 and June 2022. This research is of paramount importance in the sense that it demonstrates that the issue of resistance to ceftriaxone is not only active but also immediate. The fact that several cases are being reported within a limited time span shows that resistance is not only being developed</w:t>
      </w:r>
      <w:r w:rsidR="00C32C08" w:rsidRPr="004511C8">
        <w:rPr>
          <w:rFonts w:ascii="Arial" w:hAnsi="Arial" w:cs="Arial"/>
          <w:sz w:val="22"/>
          <w:szCs w:val="22"/>
        </w:rPr>
        <w:t>,</w:t>
      </w:r>
      <w:r w:rsidRPr="004511C8">
        <w:rPr>
          <w:rFonts w:ascii="Arial" w:hAnsi="Arial" w:cs="Arial"/>
          <w:sz w:val="22"/>
          <w:szCs w:val="22"/>
        </w:rPr>
        <w:t xml:space="preserve"> but it also needs to be monitored swiftly</w:t>
      </w:r>
      <w:r w:rsidR="00C32C08" w:rsidRPr="004511C8">
        <w:rPr>
          <w:rFonts w:ascii="Arial" w:hAnsi="Arial" w:cs="Arial"/>
          <w:sz w:val="22"/>
          <w:szCs w:val="22"/>
        </w:rPr>
        <w:t>,</w:t>
      </w:r>
      <w:r w:rsidRPr="004511C8">
        <w:rPr>
          <w:rFonts w:ascii="Arial" w:hAnsi="Arial" w:cs="Arial"/>
          <w:sz w:val="22"/>
          <w:szCs w:val="22"/>
        </w:rPr>
        <w:t xml:space="preserve"> and respondents </w:t>
      </w:r>
      <w:r w:rsidR="00C32C08" w:rsidRPr="004511C8">
        <w:rPr>
          <w:rFonts w:ascii="Arial" w:hAnsi="Arial" w:cs="Arial"/>
          <w:sz w:val="22"/>
          <w:szCs w:val="22"/>
        </w:rPr>
        <w:t xml:space="preserve">need to </w:t>
      </w:r>
      <w:r w:rsidRPr="004511C8">
        <w:rPr>
          <w:rFonts w:ascii="Arial" w:hAnsi="Arial" w:cs="Arial"/>
          <w:sz w:val="22"/>
          <w:szCs w:val="22"/>
        </w:rPr>
        <w:t xml:space="preserve">be coordinated. Merrick et al. (2022) add to this evidence by looking at the national efforts to respond to antimicrobial-resistant gonorrhoea in England, 2013-2020. Their research expands the debate by demonstrating that AMR in gonorrhoea needs more than laboratory identification; it also needs coordination of the public health, agency-to-agency communication, case investigation and response planning. This adds a significant systems view to the literature. One of the drawbacks, though, is that the style of writing about the response to the health security of the population may be less patient-centred or </w:t>
      </w:r>
      <w:r w:rsidR="00844D55" w:rsidRPr="004511C8">
        <w:rPr>
          <w:rFonts w:ascii="Arial" w:hAnsi="Arial" w:cs="Arial"/>
          <w:sz w:val="22"/>
          <w:szCs w:val="22"/>
        </w:rPr>
        <w:t>focused on lived experiences</w:t>
      </w:r>
      <w:r w:rsidRPr="004511C8">
        <w:rPr>
          <w:rFonts w:ascii="Arial" w:hAnsi="Arial" w:cs="Arial"/>
          <w:sz w:val="22"/>
          <w:szCs w:val="22"/>
        </w:rPr>
        <w:t>, and more policy-oriented and system-centred.</w:t>
      </w:r>
    </w:p>
    <w:p w14:paraId="67CF6199" w14:textId="538E2708" w:rsidR="00096E52" w:rsidRPr="004511C8" w:rsidRDefault="00096E52" w:rsidP="005F4984">
      <w:pPr>
        <w:rPr>
          <w:rFonts w:ascii="Arial" w:hAnsi="Arial" w:cs="Arial"/>
          <w:sz w:val="22"/>
          <w:szCs w:val="22"/>
        </w:rPr>
      </w:pPr>
      <w:r w:rsidRPr="004511C8">
        <w:rPr>
          <w:rFonts w:ascii="Arial" w:hAnsi="Arial" w:cs="Arial"/>
          <w:sz w:val="22"/>
          <w:szCs w:val="22"/>
        </w:rPr>
        <w:t>There is also a strong clinical and policy implication that comes forth in the literature. The 2018 UK national guideline on the management of Neisseria gonorrhoeae infection by Fifer et al. (2019) shows how the recommendations on the treatment should be revised according to the surveillance data. This literature</w:t>
      </w:r>
      <w:r w:rsidR="004B5565" w:rsidRPr="004511C8">
        <w:rPr>
          <w:rFonts w:ascii="Arial" w:hAnsi="Arial" w:cs="Arial"/>
          <w:sz w:val="22"/>
          <w:szCs w:val="22"/>
        </w:rPr>
        <w:t>,</w:t>
      </w:r>
      <w:r w:rsidRPr="004511C8">
        <w:rPr>
          <w:rFonts w:ascii="Arial" w:hAnsi="Arial" w:cs="Arial"/>
          <w:sz w:val="22"/>
          <w:szCs w:val="22"/>
        </w:rPr>
        <w:t xml:space="preserve"> based on guidelines</w:t>
      </w:r>
      <w:r w:rsidR="004B5565" w:rsidRPr="004511C8">
        <w:rPr>
          <w:rFonts w:ascii="Arial" w:hAnsi="Arial" w:cs="Arial"/>
          <w:sz w:val="22"/>
          <w:szCs w:val="22"/>
        </w:rPr>
        <w:t xml:space="preserve">, </w:t>
      </w:r>
      <w:r w:rsidRPr="004511C8">
        <w:rPr>
          <w:rFonts w:ascii="Arial" w:hAnsi="Arial" w:cs="Arial"/>
          <w:sz w:val="22"/>
          <w:szCs w:val="22"/>
        </w:rPr>
        <w:t xml:space="preserve">is crucial since it links the research foundation with practice. It demonstrates that gonococcal AMR is not only a scientific </w:t>
      </w:r>
      <w:r w:rsidR="004B5565" w:rsidRPr="004511C8">
        <w:rPr>
          <w:rFonts w:ascii="Arial" w:hAnsi="Arial" w:cs="Arial"/>
          <w:sz w:val="22"/>
          <w:szCs w:val="22"/>
        </w:rPr>
        <w:t>issue,</w:t>
      </w:r>
      <w:r w:rsidRPr="004511C8">
        <w:rPr>
          <w:rFonts w:ascii="Arial" w:hAnsi="Arial" w:cs="Arial"/>
          <w:sz w:val="22"/>
          <w:szCs w:val="22"/>
        </w:rPr>
        <w:t xml:space="preserve"> but it has direct consequences on the diagnosis, prescribing decisions and service delivery. Guidelines themselves are, however, not a primary piece of evidence as they rely on the previous surveillance and research. They are not</w:t>
      </w:r>
      <w:r w:rsidR="004B5565" w:rsidRPr="004511C8">
        <w:rPr>
          <w:rFonts w:ascii="Arial" w:hAnsi="Arial" w:cs="Arial"/>
          <w:sz w:val="22"/>
          <w:szCs w:val="22"/>
        </w:rPr>
        <w:t>,</w:t>
      </w:r>
      <w:r w:rsidRPr="004511C8">
        <w:rPr>
          <w:rFonts w:ascii="Arial" w:hAnsi="Arial" w:cs="Arial"/>
          <w:sz w:val="22"/>
          <w:szCs w:val="22"/>
        </w:rPr>
        <w:t xml:space="preserve"> therefore</w:t>
      </w:r>
      <w:r w:rsidR="004B5565" w:rsidRPr="004511C8">
        <w:rPr>
          <w:rFonts w:ascii="Arial" w:hAnsi="Arial" w:cs="Arial"/>
          <w:sz w:val="22"/>
          <w:szCs w:val="22"/>
        </w:rPr>
        <w:t>,</w:t>
      </w:r>
      <w:r w:rsidRPr="004511C8">
        <w:rPr>
          <w:rFonts w:ascii="Arial" w:hAnsi="Arial" w:cs="Arial"/>
          <w:sz w:val="22"/>
          <w:szCs w:val="22"/>
        </w:rPr>
        <w:t xml:space="preserve"> of the same nature as primary studies, but rather more of an interpretive and policy-based value in terms of their value in the literature review.</w:t>
      </w:r>
    </w:p>
    <w:p w14:paraId="19E021CC" w14:textId="2A7F3984" w:rsidR="00096E52" w:rsidRPr="004511C8" w:rsidRDefault="00096E52" w:rsidP="005F4984">
      <w:pPr>
        <w:rPr>
          <w:rFonts w:ascii="Arial" w:hAnsi="Arial" w:cs="Arial"/>
          <w:sz w:val="22"/>
          <w:szCs w:val="22"/>
        </w:rPr>
      </w:pPr>
      <w:r w:rsidRPr="004511C8">
        <w:rPr>
          <w:rFonts w:ascii="Arial" w:hAnsi="Arial" w:cs="Arial"/>
          <w:sz w:val="22"/>
          <w:szCs w:val="22"/>
        </w:rPr>
        <w:t xml:space="preserve">The article by Whittles et al. (2018) offers a very convenient connection between surveillance information and </w:t>
      </w:r>
      <w:r w:rsidR="00291F6F" w:rsidRPr="004511C8">
        <w:rPr>
          <w:rFonts w:ascii="Arial" w:hAnsi="Arial" w:cs="Arial"/>
          <w:sz w:val="22"/>
          <w:szCs w:val="22"/>
        </w:rPr>
        <w:t xml:space="preserve">a </w:t>
      </w:r>
      <w:r w:rsidRPr="004511C8">
        <w:rPr>
          <w:rFonts w:ascii="Arial" w:hAnsi="Arial" w:cs="Arial"/>
          <w:sz w:val="22"/>
          <w:szCs w:val="22"/>
        </w:rPr>
        <w:t xml:space="preserve">larger epidemiological context. Their analysis of antibiotic-resistant gonorrhoea in the UK indicates that trends in resistance are influenced by more than just evolution in the bacteria, but also the trends in treatment use, sexual behaviour and population health policy. The wider analytical prism is useful in that it goes beyond mere description of resistance rates and starts to elucidate how resistance can grow and be maintained in a </w:t>
      </w:r>
      <w:r w:rsidRPr="004511C8">
        <w:rPr>
          <w:rFonts w:ascii="Arial" w:hAnsi="Arial" w:cs="Arial"/>
          <w:sz w:val="22"/>
          <w:szCs w:val="22"/>
        </w:rPr>
        <w:lastRenderedPageBreak/>
        <w:t xml:space="preserve">national context. In this regard, </w:t>
      </w:r>
      <w:proofErr w:type="gramStart"/>
      <w:r w:rsidRPr="004511C8">
        <w:rPr>
          <w:rFonts w:ascii="Arial" w:hAnsi="Arial" w:cs="Arial"/>
          <w:sz w:val="22"/>
          <w:szCs w:val="22"/>
        </w:rPr>
        <w:t>Whittles</w:t>
      </w:r>
      <w:proofErr w:type="gramEnd"/>
      <w:r w:rsidRPr="004511C8">
        <w:rPr>
          <w:rFonts w:ascii="Arial" w:hAnsi="Arial" w:cs="Arial"/>
          <w:sz w:val="22"/>
          <w:szCs w:val="22"/>
        </w:rPr>
        <w:t xml:space="preserve"> et al. (2018) reinforce the literature by stimulating a more coordinated view of AMR </w:t>
      </w:r>
      <w:r w:rsidR="00291F6F" w:rsidRPr="004511C8">
        <w:rPr>
          <w:rFonts w:ascii="Arial" w:hAnsi="Arial" w:cs="Arial"/>
          <w:sz w:val="22"/>
          <w:szCs w:val="22"/>
        </w:rPr>
        <w:t>because of</w:t>
      </w:r>
      <w:r w:rsidRPr="004511C8">
        <w:rPr>
          <w:rFonts w:ascii="Arial" w:hAnsi="Arial" w:cs="Arial"/>
          <w:sz w:val="22"/>
          <w:szCs w:val="22"/>
        </w:rPr>
        <w:t xml:space="preserve"> biological, behavioural and service-related determinants.</w:t>
      </w:r>
    </w:p>
    <w:p w14:paraId="467D4236" w14:textId="538046B8" w:rsidR="00096E52" w:rsidRPr="004511C8" w:rsidRDefault="00096E52" w:rsidP="005F4984">
      <w:pPr>
        <w:rPr>
          <w:rFonts w:ascii="Arial" w:hAnsi="Arial" w:cs="Arial"/>
          <w:sz w:val="22"/>
          <w:szCs w:val="22"/>
        </w:rPr>
      </w:pPr>
      <w:r w:rsidRPr="004511C8">
        <w:rPr>
          <w:rFonts w:ascii="Arial" w:hAnsi="Arial" w:cs="Arial"/>
          <w:sz w:val="22"/>
          <w:szCs w:val="22"/>
        </w:rPr>
        <w:t>Although a lot of literature has been conducted in relation to gonococcal AMR, there are still some significant gaps. First, a significant portion of the research in the UK is surveillance-based and lab-based</w:t>
      </w:r>
      <w:r w:rsidR="00DD324D" w:rsidRPr="004511C8">
        <w:rPr>
          <w:rFonts w:ascii="Arial" w:hAnsi="Arial" w:cs="Arial"/>
          <w:sz w:val="22"/>
          <w:szCs w:val="22"/>
        </w:rPr>
        <w:t xml:space="preserve"> (</w:t>
      </w:r>
      <w:proofErr w:type="spellStart"/>
      <w:r w:rsidR="00DD324D" w:rsidRPr="004511C8">
        <w:rPr>
          <w:rFonts w:ascii="Arial" w:hAnsi="Arial" w:cs="Arial"/>
          <w:sz w:val="22"/>
          <w:szCs w:val="22"/>
        </w:rPr>
        <w:t>Meckawy</w:t>
      </w:r>
      <w:proofErr w:type="spellEnd"/>
      <w:r w:rsidR="00DD324D" w:rsidRPr="004511C8">
        <w:rPr>
          <w:rFonts w:ascii="Arial" w:hAnsi="Arial" w:cs="Arial"/>
          <w:sz w:val="22"/>
          <w:szCs w:val="22"/>
        </w:rPr>
        <w:t xml:space="preserve"> et al.</w:t>
      </w:r>
      <w:r w:rsidR="00291F6F" w:rsidRPr="004511C8">
        <w:rPr>
          <w:rFonts w:ascii="Arial" w:hAnsi="Arial" w:cs="Arial"/>
          <w:sz w:val="22"/>
          <w:szCs w:val="22"/>
        </w:rPr>
        <w:t xml:space="preserve"> </w:t>
      </w:r>
      <w:r w:rsidR="00DD324D" w:rsidRPr="004511C8">
        <w:rPr>
          <w:rFonts w:ascii="Arial" w:hAnsi="Arial" w:cs="Arial"/>
          <w:sz w:val="22"/>
          <w:szCs w:val="22"/>
        </w:rPr>
        <w:t>2022)</w:t>
      </w:r>
      <w:r w:rsidRPr="004511C8">
        <w:rPr>
          <w:rFonts w:ascii="Arial" w:hAnsi="Arial" w:cs="Arial"/>
          <w:sz w:val="22"/>
          <w:szCs w:val="22"/>
        </w:rPr>
        <w:t>. Although this is necessary to track resistance, it implies that there is less information on patient-level experiences, adherence, pathways, and the overall social context of resistant infection. Second, there is a lot of research that is devoted to outbreaks, resistance patterns or national surveillance and does not directly refer to the consequences that young adults can have. Even though younger age groups are obviously relevant to the field of sexual health epidemiology, the literature seldom breaks down the age group of 18-21 years as a specific analytic group</w:t>
      </w:r>
      <w:r w:rsidR="00F948D2" w:rsidRPr="004511C8">
        <w:rPr>
          <w:rFonts w:ascii="Arial" w:hAnsi="Arial" w:cs="Arial"/>
          <w:sz w:val="22"/>
          <w:szCs w:val="22"/>
        </w:rPr>
        <w:t xml:space="preserve"> (Brown et al. 2021)</w:t>
      </w:r>
      <w:r w:rsidRPr="004511C8">
        <w:rPr>
          <w:rFonts w:ascii="Arial" w:hAnsi="Arial" w:cs="Arial"/>
          <w:sz w:val="22"/>
          <w:szCs w:val="22"/>
        </w:rPr>
        <w:t xml:space="preserve">. Consequently, a disconnect exists between the populations that are most frequently hit by </w:t>
      </w:r>
      <w:r w:rsidR="00C14D3C" w:rsidRPr="004511C8">
        <w:rPr>
          <w:rFonts w:ascii="Arial" w:hAnsi="Arial" w:cs="Arial"/>
          <w:sz w:val="22"/>
          <w:szCs w:val="22"/>
        </w:rPr>
        <w:t xml:space="preserve">the </w:t>
      </w:r>
      <w:r w:rsidRPr="004511C8">
        <w:rPr>
          <w:rFonts w:ascii="Arial" w:hAnsi="Arial" w:cs="Arial"/>
          <w:sz w:val="22"/>
          <w:szCs w:val="22"/>
        </w:rPr>
        <w:t xml:space="preserve">STI burden </w:t>
      </w:r>
      <w:r w:rsidR="00C14D3C" w:rsidRPr="004511C8">
        <w:rPr>
          <w:rFonts w:ascii="Arial" w:hAnsi="Arial" w:cs="Arial"/>
          <w:sz w:val="22"/>
          <w:szCs w:val="22"/>
        </w:rPr>
        <w:t>and</w:t>
      </w:r>
      <w:r w:rsidRPr="004511C8">
        <w:rPr>
          <w:rFonts w:ascii="Arial" w:hAnsi="Arial" w:cs="Arial"/>
          <w:sz w:val="22"/>
          <w:szCs w:val="22"/>
        </w:rPr>
        <w:t xml:space="preserve"> the resistance evidence commonly reported. Third, much of the literature is reactive and records developing resistance or treatment failure when it has already taken place, as opposed to taking proactive measures to investigate preventive measures</w:t>
      </w:r>
      <w:r w:rsidR="00C14D3C" w:rsidRPr="004511C8">
        <w:rPr>
          <w:rFonts w:ascii="Arial" w:hAnsi="Arial" w:cs="Arial"/>
          <w:sz w:val="22"/>
          <w:szCs w:val="22"/>
        </w:rPr>
        <w:t>, particularly in</w:t>
      </w:r>
      <w:r w:rsidRPr="004511C8">
        <w:rPr>
          <w:rFonts w:ascii="Arial" w:hAnsi="Arial" w:cs="Arial"/>
          <w:sz w:val="22"/>
          <w:szCs w:val="22"/>
        </w:rPr>
        <w:t xml:space="preserve"> at-risk populations.</w:t>
      </w:r>
    </w:p>
    <w:p w14:paraId="4E61E6CF" w14:textId="2163DF4A" w:rsidR="00096E52" w:rsidRPr="004511C8" w:rsidRDefault="00096E52" w:rsidP="005F4984">
      <w:pPr>
        <w:rPr>
          <w:rFonts w:ascii="Arial" w:hAnsi="Arial" w:cs="Arial"/>
          <w:sz w:val="22"/>
          <w:szCs w:val="22"/>
        </w:rPr>
      </w:pPr>
      <w:r w:rsidRPr="004511C8">
        <w:rPr>
          <w:rFonts w:ascii="Arial" w:hAnsi="Arial" w:cs="Arial"/>
          <w:sz w:val="22"/>
          <w:szCs w:val="22"/>
        </w:rPr>
        <w:t xml:space="preserve">Another limitation is </w:t>
      </w:r>
      <w:r w:rsidR="00C14D3C" w:rsidRPr="004511C8">
        <w:rPr>
          <w:rFonts w:ascii="Arial" w:hAnsi="Arial" w:cs="Arial"/>
          <w:sz w:val="22"/>
          <w:szCs w:val="22"/>
        </w:rPr>
        <w:t>the</w:t>
      </w:r>
      <w:r w:rsidRPr="004511C8">
        <w:rPr>
          <w:rFonts w:ascii="Arial" w:hAnsi="Arial" w:cs="Arial"/>
          <w:sz w:val="22"/>
          <w:szCs w:val="22"/>
        </w:rPr>
        <w:t xml:space="preserve"> uneven design of the literature. Strong surveillance studies, significant outbreak reports and useful reviews are available</w:t>
      </w:r>
      <w:r w:rsidR="00C14D3C" w:rsidRPr="004511C8">
        <w:rPr>
          <w:rFonts w:ascii="Arial" w:hAnsi="Arial" w:cs="Arial"/>
          <w:sz w:val="22"/>
          <w:szCs w:val="22"/>
        </w:rPr>
        <w:t>,</w:t>
      </w:r>
      <w:r w:rsidRPr="004511C8">
        <w:rPr>
          <w:rFonts w:ascii="Arial" w:hAnsi="Arial" w:cs="Arial"/>
          <w:sz w:val="22"/>
          <w:szCs w:val="22"/>
        </w:rPr>
        <w:t xml:space="preserve"> but comparatively few qualitative or mixed-methods studies have been conducted to examine how resistant gonorrhoea is experienced by patients or managed in routine service settings</w:t>
      </w:r>
      <w:r w:rsidR="002C4B08" w:rsidRPr="004511C8">
        <w:rPr>
          <w:rFonts w:ascii="Arial" w:hAnsi="Arial" w:cs="Arial"/>
          <w:sz w:val="22"/>
          <w:szCs w:val="22"/>
        </w:rPr>
        <w:t xml:space="preserve"> (Traeger and </w:t>
      </w:r>
      <w:proofErr w:type="spellStart"/>
      <w:r w:rsidR="002C4B08" w:rsidRPr="004511C8">
        <w:rPr>
          <w:rFonts w:ascii="Arial" w:hAnsi="Arial" w:cs="Arial"/>
          <w:sz w:val="22"/>
          <w:szCs w:val="22"/>
        </w:rPr>
        <w:t>Stoové</w:t>
      </w:r>
      <w:proofErr w:type="spellEnd"/>
      <w:r w:rsidR="002C4B08" w:rsidRPr="004511C8">
        <w:rPr>
          <w:rFonts w:ascii="Arial" w:hAnsi="Arial" w:cs="Arial"/>
          <w:sz w:val="22"/>
          <w:szCs w:val="22"/>
        </w:rPr>
        <w:t>, 2022)</w:t>
      </w:r>
      <w:r w:rsidRPr="004511C8">
        <w:rPr>
          <w:rFonts w:ascii="Arial" w:hAnsi="Arial" w:cs="Arial"/>
          <w:sz w:val="22"/>
          <w:szCs w:val="22"/>
        </w:rPr>
        <w:t xml:space="preserve">. This methodological one-sided profile restricts knowledge of the social and behavioural aspects of the issue. It also implies that the existing evidence is strong in the description of </w:t>
      </w:r>
      <w:r w:rsidR="00C14D3C" w:rsidRPr="004511C8">
        <w:rPr>
          <w:rFonts w:ascii="Arial" w:hAnsi="Arial" w:cs="Arial"/>
          <w:sz w:val="22"/>
          <w:szCs w:val="22"/>
        </w:rPr>
        <w:t>epidemiology yet</w:t>
      </w:r>
      <w:r w:rsidRPr="004511C8">
        <w:rPr>
          <w:rFonts w:ascii="Arial" w:hAnsi="Arial" w:cs="Arial"/>
          <w:sz w:val="22"/>
          <w:szCs w:val="22"/>
        </w:rPr>
        <w:t xml:space="preserve"> has less to say about the practical implications of the need to navigate sexual health services by younger adults.</w:t>
      </w:r>
    </w:p>
    <w:p w14:paraId="1CE08132" w14:textId="10DA29F9" w:rsidR="00096E52" w:rsidRPr="004511C8" w:rsidRDefault="00096E52" w:rsidP="005F4984">
      <w:pPr>
        <w:rPr>
          <w:rFonts w:ascii="Arial" w:hAnsi="Arial" w:cs="Arial"/>
          <w:sz w:val="22"/>
          <w:szCs w:val="22"/>
        </w:rPr>
      </w:pPr>
      <w:r w:rsidRPr="004511C8">
        <w:rPr>
          <w:rFonts w:ascii="Arial" w:hAnsi="Arial" w:cs="Arial"/>
          <w:sz w:val="22"/>
          <w:szCs w:val="22"/>
        </w:rPr>
        <w:t xml:space="preserve">Combined, the literature presents a clear picture that gonococcal antimicrobial resistance is a significant and rapidly changing public health concern in </w:t>
      </w:r>
      <w:r w:rsidR="00C14D3C" w:rsidRPr="004511C8">
        <w:rPr>
          <w:rFonts w:ascii="Arial" w:hAnsi="Arial" w:cs="Arial"/>
          <w:sz w:val="22"/>
          <w:szCs w:val="22"/>
        </w:rPr>
        <w:t xml:space="preserve">the </w:t>
      </w:r>
      <w:r w:rsidRPr="004511C8">
        <w:rPr>
          <w:rFonts w:ascii="Arial" w:hAnsi="Arial" w:cs="Arial"/>
          <w:sz w:val="22"/>
          <w:szCs w:val="22"/>
        </w:rPr>
        <w:t xml:space="preserve">UK. The analysed literature reveals the development of resistant clones, the emergence of multidrug-resistance, reported cases of treatment failure, the persistence of outbreaks and increasing interest in ceftriaxone resistance (Chisholm et al. 2011; Day et al. 2022). They also show how surveillance and response to the health of the population </w:t>
      </w:r>
      <w:r w:rsidR="00C14D3C" w:rsidRPr="004511C8">
        <w:rPr>
          <w:rFonts w:ascii="Arial" w:hAnsi="Arial" w:cs="Arial"/>
          <w:sz w:val="22"/>
          <w:szCs w:val="22"/>
        </w:rPr>
        <w:t>are</w:t>
      </w:r>
      <w:r w:rsidRPr="004511C8">
        <w:rPr>
          <w:rFonts w:ascii="Arial" w:hAnsi="Arial" w:cs="Arial"/>
          <w:sz w:val="22"/>
          <w:szCs w:val="22"/>
        </w:rPr>
        <w:t xml:space="preserve"> vital in detecting and controlling resistance (Merrick et al. 2022). </w:t>
      </w:r>
      <w:r w:rsidR="00C14D3C" w:rsidRPr="004511C8">
        <w:rPr>
          <w:rFonts w:ascii="Arial" w:hAnsi="Arial" w:cs="Arial"/>
          <w:sz w:val="22"/>
          <w:szCs w:val="22"/>
        </w:rPr>
        <w:t>However</w:t>
      </w:r>
      <w:r w:rsidRPr="004511C8">
        <w:rPr>
          <w:rFonts w:ascii="Arial" w:hAnsi="Arial" w:cs="Arial"/>
          <w:sz w:val="22"/>
          <w:szCs w:val="22"/>
        </w:rPr>
        <w:t>, the literature is still deficient in its specific emphasis on young adults and broader experiential and service-level focus. This gap suggests a definite rationale behind the current review, as it aims at summarising UK evidence on gonococcal AMR as well as evaluating its implications in the context of younger populations</w:t>
      </w:r>
      <w:r w:rsidR="00C14D3C" w:rsidRPr="004511C8">
        <w:rPr>
          <w:rFonts w:ascii="Arial" w:hAnsi="Arial" w:cs="Arial"/>
          <w:sz w:val="22"/>
          <w:szCs w:val="22"/>
        </w:rPr>
        <w:t xml:space="preserve"> </w:t>
      </w:r>
      <w:r w:rsidR="00C14D3C" w:rsidRPr="004511C8">
        <w:rPr>
          <w:rFonts w:ascii="Arial" w:hAnsi="Arial" w:cs="Arial"/>
          <w:sz w:val="22"/>
          <w:szCs w:val="22"/>
        </w:rPr>
        <w:t>(Merrick et al. 2022)</w:t>
      </w:r>
      <w:r w:rsidR="00C14D3C" w:rsidRPr="004511C8">
        <w:rPr>
          <w:rFonts w:ascii="Arial" w:hAnsi="Arial" w:cs="Arial"/>
          <w:sz w:val="22"/>
          <w:szCs w:val="22"/>
        </w:rPr>
        <w:t>.</w:t>
      </w:r>
    </w:p>
    <w:p w14:paraId="6BC92783" w14:textId="77777777" w:rsidR="00096E52" w:rsidRPr="004511C8" w:rsidRDefault="00096E52" w:rsidP="005F4984">
      <w:pPr>
        <w:rPr>
          <w:rFonts w:ascii="Arial" w:hAnsi="Arial" w:cs="Arial"/>
          <w:sz w:val="22"/>
          <w:szCs w:val="22"/>
        </w:rPr>
      </w:pPr>
    </w:p>
    <w:p w14:paraId="1EFDD051" w14:textId="77777777" w:rsidR="00096E52" w:rsidRPr="004511C8" w:rsidRDefault="00096E52" w:rsidP="005F4984">
      <w:pPr>
        <w:pStyle w:val="Heading2"/>
        <w:rPr>
          <w:rFonts w:ascii="Arial" w:hAnsi="Arial" w:cs="Arial"/>
          <w:sz w:val="22"/>
          <w:szCs w:val="22"/>
        </w:rPr>
      </w:pPr>
      <w:bookmarkStart w:id="11" w:name="_Toc229082768"/>
      <w:r w:rsidRPr="004511C8">
        <w:rPr>
          <w:rFonts w:ascii="Arial" w:hAnsi="Arial" w:cs="Arial"/>
          <w:sz w:val="22"/>
          <w:szCs w:val="22"/>
        </w:rPr>
        <w:t>2.3 Chapter Summary</w:t>
      </w:r>
      <w:bookmarkEnd w:id="11"/>
    </w:p>
    <w:p w14:paraId="0A2D737E" w14:textId="77777777" w:rsidR="00096E52" w:rsidRPr="004511C8" w:rsidRDefault="00096E52" w:rsidP="005F4984">
      <w:pPr>
        <w:rPr>
          <w:rFonts w:ascii="Arial" w:hAnsi="Arial" w:cs="Arial"/>
          <w:sz w:val="22"/>
          <w:szCs w:val="22"/>
        </w:rPr>
      </w:pPr>
      <w:r w:rsidRPr="004511C8">
        <w:rPr>
          <w:rFonts w:ascii="Arial" w:hAnsi="Arial" w:cs="Arial"/>
          <w:sz w:val="22"/>
          <w:szCs w:val="22"/>
        </w:rPr>
        <w:t>The chapter has discussed the most relevant literature on antimicrobial resistance in Neisseria gonorrhoeae with a particular focus on the evidence base in the UK. It has revealed that the literature is saturated in surveillance research, outbreak research, treatment failure reports and policy-driven research, which all attest that gonococcal resistance is a dynamic health issue of the community. Significant gaps in the review have also been noted, such as the narrow scope of attention towards young adults and the absence of a more qualitative understanding. These problems are reasons why a systematic review is necessary. The following chapter describes how the relevant studies were identified, selected and evaluated.</w:t>
      </w:r>
    </w:p>
    <w:p w14:paraId="1085C9FE" w14:textId="77777777" w:rsidR="004C590D" w:rsidRPr="004511C8" w:rsidRDefault="004C590D" w:rsidP="005F4984">
      <w:pPr>
        <w:rPr>
          <w:rFonts w:ascii="Arial" w:hAnsi="Arial" w:cs="Arial"/>
          <w:sz w:val="22"/>
          <w:szCs w:val="22"/>
        </w:rPr>
      </w:pPr>
    </w:p>
    <w:p w14:paraId="31835DCF" w14:textId="77777777" w:rsidR="004C590D" w:rsidRPr="004511C8" w:rsidRDefault="004C590D" w:rsidP="005F4984">
      <w:pPr>
        <w:jc w:val="left"/>
        <w:rPr>
          <w:rFonts w:ascii="Arial" w:hAnsi="Arial" w:cs="Arial"/>
          <w:b/>
          <w:bCs/>
          <w:sz w:val="22"/>
          <w:szCs w:val="22"/>
        </w:rPr>
      </w:pPr>
      <w:r w:rsidRPr="004511C8">
        <w:rPr>
          <w:rFonts w:ascii="Arial" w:hAnsi="Arial" w:cs="Arial"/>
          <w:sz w:val="22"/>
          <w:szCs w:val="22"/>
        </w:rPr>
        <w:br w:type="page"/>
      </w:r>
    </w:p>
    <w:p w14:paraId="490D21FE" w14:textId="08A8098F" w:rsidR="004C590D" w:rsidRPr="004511C8" w:rsidRDefault="004C590D" w:rsidP="005F4984">
      <w:pPr>
        <w:pStyle w:val="Heading1"/>
        <w:rPr>
          <w:rFonts w:ascii="Arial" w:hAnsi="Arial" w:cs="Arial"/>
          <w:sz w:val="22"/>
          <w:szCs w:val="22"/>
        </w:rPr>
      </w:pPr>
      <w:bookmarkStart w:id="12" w:name="_Toc229082769"/>
      <w:r w:rsidRPr="004511C8">
        <w:rPr>
          <w:rFonts w:ascii="Arial" w:hAnsi="Arial" w:cs="Arial"/>
          <w:sz w:val="22"/>
          <w:szCs w:val="22"/>
        </w:rPr>
        <w:lastRenderedPageBreak/>
        <w:t>CHAPTER 3: METHODOLOGY</w:t>
      </w:r>
      <w:bookmarkEnd w:id="12"/>
    </w:p>
    <w:p w14:paraId="3B4FE008" w14:textId="77777777" w:rsidR="004C590D" w:rsidRPr="004511C8" w:rsidRDefault="004C590D" w:rsidP="005F4984">
      <w:pPr>
        <w:rPr>
          <w:rFonts w:ascii="Arial" w:hAnsi="Arial" w:cs="Arial"/>
          <w:sz w:val="22"/>
          <w:szCs w:val="22"/>
        </w:rPr>
      </w:pPr>
    </w:p>
    <w:p w14:paraId="17DDE086" w14:textId="348F3F82" w:rsidR="004C590D" w:rsidRPr="004511C8" w:rsidRDefault="00B46DC1" w:rsidP="005F4984">
      <w:pPr>
        <w:pStyle w:val="Heading2"/>
        <w:rPr>
          <w:rFonts w:ascii="Arial" w:hAnsi="Arial" w:cs="Arial"/>
          <w:sz w:val="22"/>
          <w:szCs w:val="22"/>
        </w:rPr>
      </w:pPr>
      <w:bookmarkStart w:id="13" w:name="_Toc229082770"/>
      <w:r w:rsidRPr="004511C8">
        <w:rPr>
          <w:rFonts w:ascii="Arial" w:hAnsi="Arial" w:cs="Arial"/>
          <w:sz w:val="22"/>
          <w:szCs w:val="22"/>
        </w:rPr>
        <w:t xml:space="preserve">3.1 </w:t>
      </w:r>
      <w:r w:rsidR="004C590D" w:rsidRPr="004511C8">
        <w:rPr>
          <w:rFonts w:ascii="Arial" w:hAnsi="Arial" w:cs="Arial"/>
          <w:sz w:val="22"/>
          <w:szCs w:val="22"/>
        </w:rPr>
        <w:t>Introduction to Chapter</w:t>
      </w:r>
      <w:bookmarkEnd w:id="13"/>
    </w:p>
    <w:p w14:paraId="35FB2097" w14:textId="00C30BC7" w:rsidR="004C590D" w:rsidRPr="004511C8" w:rsidRDefault="004C590D" w:rsidP="005F4984">
      <w:pPr>
        <w:rPr>
          <w:rFonts w:ascii="Arial" w:hAnsi="Arial" w:cs="Arial"/>
          <w:sz w:val="22"/>
          <w:szCs w:val="22"/>
        </w:rPr>
      </w:pPr>
      <w:r w:rsidRPr="004511C8">
        <w:rPr>
          <w:rFonts w:ascii="Arial" w:hAnsi="Arial" w:cs="Arial"/>
          <w:sz w:val="22"/>
          <w:szCs w:val="22"/>
        </w:rPr>
        <w:t xml:space="preserve">The methodological approach to the review question, which is answered in this chapter, is as follows: </w:t>
      </w:r>
      <w:r w:rsidR="007C0D82" w:rsidRPr="004511C8">
        <w:rPr>
          <w:rFonts w:ascii="Arial" w:hAnsi="Arial" w:cs="Arial"/>
          <w:sz w:val="22"/>
          <w:szCs w:val="22"/>
        </w:rPr>
        <w:t>“</w:t>
      </w:r>
      <w:r w:rsidRPr="004511C8">
        <w:rPr>
          <w:rFonts w:ascii="Arial" w:hAnsi="Arial" w:cs="Arial"/>
          <w:i/>
          <w:iCs/>
          <w:sz w:val="22"/>
          <w:szCs w:val="22"/>
        </w:rPr>
        <w:t xml:space="preserve">What is known based on </w:t>
      </w:r>
      <w:r w:rsidR="00D01F03" w:rsidRPr="004511C8">
        <w:rPr>
          <w:rFonts w:ascii="Arial" w:hAnsi="Arial" w:cs="Arial"/>
          <w:i/>
          <w:iCs/>
          <w:sz w:val="22"/>
          <w:szCs w:val="22"/>
        </w:rPr>
        <w:t>UK-based</w:t>
      </w:r>
      <w:r w:rsidRPr="004511C8">
        <w:rPr>
          <w:rFonts w:ascii="Arial" w:hAnsi="Arial" w:cs="Arial"/>
          <w:i/>
          <w:iCs/>
          <w:sz w:val="22"/>
          <w:szCs w:val="22"/>
        </w:rPr>
        <w:t xml:space="preserve"> literature on antimicrobial resistance in gonorrhoea and what are </w:t>
      </w:r>
      <w:r w:rsidR="00D01F03" w:rsidRPr="004511C8">
        <w:rPr>
          <w:rFonts w:ascii="Arial" w:hAnsi="Arial" w:cs="Arial"/>
          <w:i/>
          <w:iCs/>
          <w:sz w:val="22"/>
          <w:szCs w:val="22"/>
        </w:rPr>
        <w:t xml:space="preserve">the </w:t>
      </w:r>
      <w:r w:rsidRPr="004511C8">
        <w:rPr>
          <w:rFonts w:ascii="Arial" w:hAnsi="Arial" w:cs="Arial"/>
          <w:i/>
          <w:iCs/>
          <w:sz w:val="22"/>
          <w:szCs w:val="22"/>
        </w:rPr>
        <w:t>implications to young adults?</w:t>
      </w:r>
      <w:r w:rsidR="007C0D82" w:rsidRPr="004511C8">
        <w:rPr>
          <w:rFonts w:ascii="Arial" w:hAnsi="Arial" w:cs="Arial"/>
          <w:i/>
          <w:iCs/>
          <w:sz w:val="22"/>
          <w:szCs w:val="22"/>
        </w:rPr>
        <w:t>”</w:t>
      </w:r>
      <w:r w:rsidRPr="004511C8">
        <w:rPr>
          <w:rFonts w:ascii="Arial" w:hAnsi="Arial" w:cs="Arial"/>
          <w:sz w:val="22"/>
          <w:szCs w:val="22"/>
        </w:rPr>
        <w:t xml:space="preserve"> The systematic literature review (SLR) was chosen due to the need to have a transparent and reproducible approach to locating, screening, appraising and synthesising various evidence. The chapter outlined the design of the review, search strategy, search terms, databases, eligibility criteria, study selection process, ethical considerations and approach to synthesis. As the inclusion criteria included qualitative, quantitative and mixed methods studies, the methodology was developed to favour breadth over rigour, but with a very specific focus on UK evidence published in the last five years. </w:t>
      </w:r>
    </w:p>
    <w:p w14:paraId="52B7CC23" w14:textId="0A062116" w:rsidR="00B46DC1" w:rsidRPr="004511C8" w:rsidRDefault="00684835" w:rsidP="005F4984">
      <w:pPr>
        <w:rPr>
          <w:rFonts w:ascii="Arial" w:hAnsi="Arial" w:cs="Arial"/>
          <w:sz w:val="22"/>
          <w:szCs w:val="22"/>
        </w:rPr>
      </w:pPr>
      <w:r w:rsidRPr="004511C8">
        <w:rPr>
          <w:rFonts w:ascii="Arial" w:hAnsi="Arial" w:cs="Arial"/>
          <w:sz w:val="22"/>
          <w:szCs w:val="22"/>
        </w:rPr>
        <w:t>Although older landmark studies were cited in Chapters 1 and 2 to provide historical and contextual background on the evolution of gonococcal antimicrobial resistance in the United Kingdom, the formal systematic review reported in this chapter was restricted to recent UK evidence published between 1 January 2021 and 31 December 2025. This distinction was made to ensure that the review synthesis reflected the most current evidence base while still acknowledging earlier studies that were important in shaping the historical development of resistance.</w:t>
      </w:r>
    </w:p>
    <w:p w14:paraId="5459F4BD" w14:textId="77777777" w:rsidR="00684835" w:rsidRPr="004511C8" w:rsidRDefault="00684835" w:rsidP="005F4984">
      <w:pPr>
        <w:rPr>
          <w:rFonts w:ascii="Arial" w:hAnsi="Arial" w:cs="Arial"/>
          <w:sz w:val="22"/>
          <w:szCs w:val="22"/>
        </w:rPr>
      </w:pPr>
    </w:p>
    <w:p w14:paraId="7E1E0543" w14:textId="3B43B88A" w:rsidR="004C590D" w:rsidRPr="004511C8" w:rsidRDefault="00B46DC1" w:rsidP="005F4984">
      <w:pPr>
        <w:pStyle w:val="Heading2"/>
        <w:rPr>
          <w:rFonts w:ascii="Arial" w:hAnsi="Arial" w:cs="Arial"/>
          <w:sz w:val="22"/>
          <w:szCs w:val="22"/>
        </w:rPr>
      </w:pPr>
      <w:bookmarkStart w:id="14" w:name="_Toc229082771"/>
      <w:r w:rsidRPr="004511C8">
        <w:rPr>
          <w:rFonts w:ascii="Arial" w:hAnsi="Arial" w:cs="Arial"/>
          <w:sz w:val="22"/>
          <w:szCs w:val="22"/>
        </w:rPr>
        <w:t xml:space="preserve">3.2 </w:t>
      </w:r>
      <w:r w:rsidR="004C590D" w:rsidRPr="004511C8">
        <w:rPr>
          <w:rFonts w:ascii="Arial" w:hAnsi="Arial" w:cs="Arial"/>
          <w:sz w:val="22"/>
          <w:szCs w:val="22"/>
        </w:rPr>
        <w:t>Systematic Literature Review (SLR)</w:t>
      </w:r>
      <w:bookmarkEnd w:id="14"/>
    </w:p>
    <w:p w14:paraId="60BCD552" w14:textId="78AB29DB" w:rsidR="004C590D" w:rsidRPr="004511C8" w:rsidRDefault="004C590D" w:rsidP="005F4984">
      <w:pPr>
        <w:rPr>
          <w:rFonts w:ascii="Arial" w:hAnsi="Arial" w:cs="Arial"/>
          <w:sz w:val="22"/>
          <w:szCs w:val="22"/>
        </w:rPr>
      </w:pPr>
      <w:r w:rsidRPr="004511C8">
        <w:rPr>
          <w:rFonts w:ascii="Arial" w:hAnsi="Arial" w:cs="Arial"/>
          <w:sz w:val="22"/>
          <w:szCs w:val="22"/>
        </w:rPr>
        <w:t xml:space="preserve">A systematic literature review is a well-organised process of identifying, selecting, critically appraising and synthesising research evidence to answer a specific question in a manner as transparent and as unbiased as possible. In contrast to a standard narrative review, an SLR adheres to a specific protocol regarding search, selection and reporting, which enhances reproducibility and eliminates the possibility of evidence being selectively selected to justify a previous claim (Page et al. 2021; Higgins and Thomas, 2024). The rationale of employing an SLR in this research was not to simply summarise the literature on gonococcal antimicrobial resistance, but to question how current UK evidence reported the nature of resistance, treatment failure, outbreak trends and </w:t>
      </w:r>
      <w:r w:rsidR="00D01F03" w:rsidRPr="004511C8">
        <w:rPr>
          <w:rFonts w:ascii="Arial" w:hAnsi="Arial" w:cs="Arial"/>
          <w:sz w:val="22"/>
          <w:szCs w:val="22"/>
        </w:rPr>
        <w:t>implications for</w:t>
      </w:r>
      <w:r w:rsidRPr="004511C8">
        <w:rPr>
          <w:rFonts w:ascii="Arial" w:hAnsi="Arial" w:cs="Arial"/>
          <w:sz w:val="22"/>
          <w:szCs w:val="22"/>
        </w:rPr>
        <w:t xml:space="preserve"> young adults.</w:t>
      </w:r>
    </w:p>
    <w:p w14:paraId="47509FE7" w14:textId="3AD3BB67" w:rsidR="004C590D" w:rsidRPr="004511C8" w:rsidRDefault="004C590D" w:rsidP="005F4984">
      <w:pPr>
        <w:rPr>
          <w:rFonts w:ascii="Arial" w:hAnsi="Arial" w:cs="Arial"/>
          <w:sz w:val="22"/>
          <w:szCs w:val="22"/>
        </w:rPr>
      </w:pPr>
      <w:r w:rsidRPr="004511C8">
        <w:rPr>
          <w:rFonts w:ascii="Arial" w:hAnsi="Arial" w:cs="Arial"/>
          <w:sz w:val="22"/>
          <w:szCs w:val="22"/>
        </w:rPr>
        <w:t xml:space="preserve">The review was conducted according to the principles of core SLR: a targeted question formulation, exploration of search concepts, database searching, elimination of duplicates, </w:t>
      </w:r>
      <w:r w:rsidRPr="004511C8">
        <w:rPr>
          <w:rFonts w:ascii="Arial" w:hAnsi="Arial" w:cs="Arial"/>
          <w:sz w:val="22"/>
          <w:szCs w:val="22"/>
        </w:rPr>
        <w:lastRenderedPageBreak/>
        <w:t xml:space="preserve">screening of titles and abstracts, full-text evaluation, quality appraisal and narrative synthesis. Reporting was structured using PRISMA 2020 since it is the primary reporting tool of systematic reviews and enhances the level of transparency in the study identification and selection (Page et al. 2021). Since the heterogeneity in methods was expected among surveillance studies, outbreak reports, observational analyses and qualitative studies, statistical pooling could not be </w:t>
      </w:r>
      <w:proofErr w:type="gramStart"/>
      <w:r w:rsidRPr="004511C8">
        <w:rPr>
          <w:rFonts w:ascii="Arial" w:hAnsi="Arial" w:cs="Arial"/>
          <w:sz w:val="22"/>
          <w:szCs w:val="22"/>
        </w:rPr>
        <w:t>taken into account</w:t>
      </w:r>
      <w:proofErr w:type="gramEnd"/>
      <w:r w:rsidRPr="004511C8">
        <w:rPr>
          <w:rFonts w:ascii="Arial" w:hAnsi="Arial" w:cs="Arial"/>
          <w:sz w:val="22"/>
          <w:szCs w:val="22"/>
        </w:rPr>
        <w:t xml:space="preserve">; rather, structured narrative synthesis was the guiding principle of the review. </w:t>
      </w:r>
    </w:p>
    <w:p w14:paraId="57D659D1" w14:textId="77777777" w:rsidR="00B46DC1" w:rsidRPr="004511C8" w:rsidRDefault="00B46DC1" w:rsidP="005F4984">
      <w:pPr>
        <w:rPr>
          <w:rFonts w:ascii="Arial" w:hAnsi="Arial" w:cs="Arial"/>
          <w:sz w:val="22"/>
          <w:szCs w:val="22"/>
        </w:rPr>
      </w:pPr>
    </w:p>
    <w:p w14:paraId="7B133715" w14:textId="0F2B1D04" w:rsidR="004C590D" w:rsidRPr="004511C8" w:rsidRDefault="00B46DC1" w:rsidP="005F4984">
      <w:pPr>
        <w:pStyle w:val="Heading2"/>
        <w:rPr>
          <w:rFonts w:ascii="Arial" w:hAnsi="Arial" w:cs="Arial"/>
          <w:sz w:val="22"/>
          <w:szCs w:val="22"/>
        </w:rPr>
      </w:pPr>
      <w:bookmarkStart w:id="15" w:name="_Toc229082772"/>
      <w:r w:rsidRPr="004511C8">
        <w:rPr>
          <w:rFonts w:ascii="Arial" w:hAnsi="Arial" w:cs="Arial"/>
          <w:sz w:val="22"/>
          <w:szCs w:val="22"/>
        </w:rPr>
        <w:t xml:space="preserve">3.3 </w:t>
      </w:r>
      <w:r w:rsidR="004C590D" w:rsidRPr="004511C8">
        <w:rPr>
          <w:rFonts w:ascii="Arial" w:hAnsi="Arial" w:cs="Arial"/>
          <w:sz w:val="22"/>
          <w:szCs w:val="22"/>
        </w:rPr>
        <w:t>Search Strategy</w:t>
      </w:r>
      <w:bookmarkEnd w:id="15"/>
    </w:p>
    <w:p w14:paraId="2B351C7D" w14:textId="2C15DDF2" w:rsidR="004C590D" w:rsidRPr="004511C8" w:rsidRDefault="004C590D" w:rsidP="005F4984">
      <w:pPr>
        <w:rPr>
          <w:rFonts w:ascii="Arial" w:hAnsi="Arial" w:cs="Arial"/>
          <w:sz w:val="22"/>
          <w:szCs w:val="22"/>
        </w:rPr>
      </w:pPr>
      <w:r w:rsidRPr="004511C8">
        <w:rPr>
          <w:rFonts w:ascii="Arial" w:hAnsi="Arial" w:cs="Arial"/>
          <w:sz w:val="22"/>
          <w:szCs w:val="22"/>
        </w:rPr>
        <w:t xml:space="preserve">A search strategy is the designed and documented process where appropriate literature is identified by predetermined concepts, terms and combinations of subject headings and free-text keys. The search strategy is paramount in systematic reviewing since poor retrieval strategies may bias the evidence base </w:t>
      </w:r>
      <w:r w:rsidR="00D01F03" w:rsidRPr="004511C8">
        <w:rPr>
          <w:rFonts w:ascii="Arial" w:hAnsi="Arial" w:cs="Arial"/>
          <w:sz w:val="22"/>
          <w:szCs w:val="22"/>
        </w:rPr>
        <w:t>before</w:t>
      </w:r>
      <w:r w:rsidRPr="004511C8">
        <w:rPr>
          <w:rFonts w:ascii="Arial" w:hAnsi="Arial" w:cs="Arial"/>
          <w:sz w:val="22"/>
          <w:szCs w:val="22"/>
        </w:rPr>
        <w:t xml:space="preserve"> appraisal itself (Higgins and Thomas, 2024). A detailed search was attained in this study by integrating controlled vocabulary searching and text-word searching in five databases, and citation chaining of included papers.</w:t>
      </w:r>
    </w:p>
    <w:p w14:paraId="028C2500" w14:textId="5E0A2DDB" w:rsidR="002719A2" w:rsidRPr="004511C8" w:rsidRDefault="004C590D" w:rsidP="005F4984">
      <w:pPr>
        <w:rPr>
          <w:rFonts w:ascii="Arial" w:hAnsi="Arial" w:cs="Arial"/>
          <w:sz w:val="22"/>
          <w:szCs w:val="22"/>
        </w:rPr>
      </w:pPr>
      <w:r w:rsidRPr="004511C8">
        <w:rPr>
          <w:rFonts w:ascii="Arial" w:hAnsi="Arial" w:cs="Arial"/>
          <w:sz w:val="22"/>
          <w:szCs w:val="22"/>
        </w:rPr>
        <w:t xml:space="preserve">Since the review was about epidemiology, resistance and public health relevance, as opposed to a single therapeutic comparison, a combined PICO/PEO logic was employed. PICO facilitated the quantitative part of the review by </w:t>
      </w:r>
      <w:r w:rsidR="00D01F03" w:rsidRPr="004511C8">
        <w:rPr>
          <w:rFonts w:ascii="Arial" w:hAnsi="Arial" w:cs="Arial"/>
          <w:sz w:val="22"/>
          <w:szCs w:val="22"/>
        </w:rPr>
        <w:t>organising</w:t>
      </w:r>
      <w:r w:rsidRPr="004511C8">
        <w:rPr>
          <w:rFonts w:ascii="Arial" w:hAnsi="Arial" w:cs="Arial"/>
          <w:sz w:val="22"/>
          <w:szCs w:val="22"/>
        </w:rPr>
        <w:t xml:space="preserve"> the population/problem, intervention or issue, context and outcomes, whereas PEO helped to capture qualitative and mixed methods evidence related to experiences, service implications and public health relevance. Such a mixed methodology was methodologically reasonable since PICO can enhance conceptual clarity, yet the exposure or phenomenon-based frameworks can also be </w:t>
      </w:r>
      <w:r w:rsidR="00D01F03" w:rsidRPr="004511C8">
        <w:rPr>
          <w:rFonts w:ascii="Arial" w:hAnsi="Arial" w:cs="Arial"/>
          <w:sz w:val="22"/>
          <w:szCs w:val="22"/>
        </w:rPr>
        <w:t>utilised</w:t>
      </w:r>
      <w:r w:rsidRPr="004511C8">
        <w:rPr>
          <w:rFonts w:ascii="Arial" w:hAnsi="Arial" w:cs="Arial"/>
          <w:sz w:val="22"/>
          <w:szCs w:val="22"/>
        </w:rPr>
        <w:t xml:space="preserve"> to retrieve qualitative evidence more effectively (Eriksen and Frandsen, 2018; Cooke, Smith and Booth, 2012; Methley et al. 2014). </w:t>
      </w:r>
      <w:r w:rsidR="002719A2" w:rsidRPr="004511C8">
        <w:rPr>
          <w:rFonts w:ascii="Arial" w:hAnsi="Arial" w:cs="Arial"/>
          <w:sz w:val="22"/>
          <w:szCs w:val="22"/>
        </w:rPr>
        <w:t>The database searches were conducted in February 2026 and were restricted to studies published between 1 January 2021 and 31 December 2025. Earlier UK studies identified as landmark papers were not included in the formal review dataset but were used in Chapters 1 and 2 to provide historical and epidemiological context for the development of gonococcal antimicrobial resistance.</w:t>
      </w:r>
    </w:p>
    <w:p w14:paraId="2D98DA0D" w14:textId="77777777" w:rsidR="00131AC6" w:rsidRDefault="00131AC6" w:rsidP="005F4984">
      <w:pPr>
        <w:pStyle w:val="Heading2"/>
        <w:rPr>
          <w:rFonts w:ascii="Arial" w:hAnsi="Arial" w:cs="Arial"/>
          <w:sz w:val="22"/>
          <w:szCs w:val="22"/>
        </w:rPr>
      </w:pPr>
      <w:bookmarkStart w:id="16" w:name="_Toc229082773"/>
    </w:p>
    <w:p w14:paraId="27C27753" w14:textId="549685D3" w:rsidR="004C590D" w:rsidRPr="004511C8" w:rsidRDefault="00B46DC1" w:rsidP="005F4984">
      <w:pPr>
        <w:pStyle w:val="Heading2"/>
        <w:rPr>
          <w:rFonts w:ascii="Arial" w:hAnsi="Arial" w:cs="Arial"/>
          <w:sz w:val="22"/>
          <w:szCs w:val="22"/>
        </w:rPr>
      </w:pPr>
      <w:r w:rsidRPr="004511C8">
        <w:rPr>
          <w:rFonts w:ascii="Arial" w:hAnsi="Arial" w:cs="Arial"/>
          <w:sz w:val="22"/>
          <w:szCs w:val="22"/>
        </w:rPr>
        <w:t xml:space="preserve">3.4 </w:t>
      </w:r>
      <w:r w:rsidR="004C590D" w:rsidRPr="004511C8">
        <w:rPr>
          <w:rFonts w:ascii="Arial" w:hAnsi="Arial" w:cs="Arial"/>
          <w:sz w:val="22"/>
          <w:szCs w:val="22"/>
        </w:rPr>
        <w:t>Search Terms</w:t>
      </w:r>
      <w:bookmarkEnd w:id="16"/>
    </w:p>
    <w:p w14:paraId="6A6885E3" w14:textId="519DD5EF" w:rsidR="004C590D" w:rsidRPr="004511C8" w:rsidRDefault="004C590D" w:rsidP="005F4984">
      <w:pPr>
        <w:rPr>
          <w:rFonts w:ascii="Arial" w:hAnsi="Arial" w:cs="Arial"/>
          <w:sz w:val="22"/>
          <w:szCs w:val="22"/>
        </w:rPr>
      </w:pPr>
      <w:r w:rsidRPr="004511C8">
        <w:rPr>
          <w:rFonts w:ascii="Arial" w:hAnsi="Arial" w:cs="Arial"/>
          <w:sz w:val="22"/>
          <w:szCs w:val="22"/>
        </w:rPr>
        <w:t xml:space="preserve">Search terms are the words, phrases, subject headings and synonyms that are employed to locate relevant studies in bibliographic databases. They are aimed at converting the research question into searchable concepts. Search terms play a vital role in SLRs since databases are not indexed consistently, and words used in one field and by different authors are not </w:t>
      </w:r>
      <w:r w:rsidRPr="004511C8">
        <w:rPr>
          <w:rFonts w:ascii="Arial" w:hAnsi="Arial" w:cs="Arial"/>
          <w:sz w:val="22"/>
          <w:szCs w:val="22"/>
        </w:rPr>
        <w:lastRenderedPageBreak/>
        <w:t xml:space="preserve">necessarily used to designate the same phenomenon. That is why an extensive </w:t>
      </w:r>
      <w:r w:rsidR="00D01F03" w:rsidRPr="004511C8">
        <w:rPr>
          <w:rFonts w:ascii="Arial" w:hAnsi="Arial" w:cs="Arial"/>
          <w:sz w:val="22"/>
          <w:szCs w:val="22"/>
        </w:rPr>
        <w:t>search</w:t>
      </w:r>
      <w:r w:rsidRPr="004511C8">
        <w:rPr>
          <w:rFonts w:ascii="Arial" w:hAnsi="Arial" w:cs="Arial"/>
          <w:sz w:val="22"/>
          <w:szCs w:val="22"/>
        </w:rPr>
        <w:t xml:space="preserve"> is based on a combination of controlled vocabulary and free-text synonyms and different spellings. Synonyms were of particular significance in this review since gonorrhoea can be indexed as Neisseria gonorrhoeae, gonococcal infection, </w:t>
      </w:r>
      <w:proofErr w:type="spellStart"/>
      <w:r w:rsidRPr="004511C8">
        <w:rPr>
          <w:rFonts w:ascii="Arial" w:hAnsi="Arial" w:cs="Arial"/>
          <w:sz w:val="22"/>
          <w:szCs w:val="22"/>
        </w:rPr>
        <w:t>gonorrhea</w:t>
      </w:r>
      <w:proofErr w:type="spellEnd"/>
      <w:r w:rsidRPr="004511C8">
        <w:rPr>
          <w:rFonts w:ascii="Arial" w:hAnsi="Arial" w:cs="Arial"/>
          <w:sz w:val="22"/>
          <w:szCs w:val="22"/>
        </w:rPr>
        <w:t xml:space="preserve"> or gonorrhoea, whereas antimicrobial resistance can be found as AMR, antibiotic resistance, reduced susceptibility, drug resistance or treatment failure (Higgins and Thomas, 2024</w:t>
      </w:r>
      <w:r w:rsidR="009D004E" w:rsidRPr="004511C8">
        <w:rPr>
          <w:rFonts w:ascii="Arial" w:hAnsi="Arial" w:cs="Arial"/>
          <w:sz w:val="22"/>
          <w:szCs w:val="22"/>
        </w:rPr>
        <w:t>)</w:t>
      </w:r>
    </w:p>
    <w:p w14:paraId="46E55465" w14:textId="72767782" w:rsidR="004C590D" w:rsidRPr="004511C8" w:rsidRDefault="004C590D" w:rsidP="005F4984">
      <w:pPr>
        <w:rPr>
          <w:rFonts w:ascii="Arial" w:hAnsi="Arial" w:cs="Arial"/>
          <w:sz w:val="22"/>
          <w:szCs w:val="22"/>
        </w:rPr>
      </w:pPr>
      <w:r w:rsidRPr="004511C8">
        <w:rPr>
          <w:rFonts w:ascii="Arial" w:hAnsi="Arial" w:cs="Arial"/>
          <w:sz w:val="22"/>
          <w:szCs w:val="22"/>
        </w:rPr>
        <w:t xml:space="preserve">The review used a modified PICO/PEO structure. The population/problem was UK patients, isolates or populations infected with gonorrhoea. The problem/intervention was gonococcal antimicrobial resistance, such as decreased susceptibility and resistance-related treatment failure. The setting was the United Kingdom (England, Scotland, Wales and Northern Ireland). The result included the patterns of resistance, outbreaks, and treatment failure and </w:t>
      </w:r>
      <w:r w:rsidR="00D01F03" w:rsidRPr="004511C8">
        <w:rPr>
          <w:rFonts w:ascii="Arial" w:hAnsi="Arial" w:cs="Arial"/>
          <w:sz w:val="22"/>
          <w:szCs w:val="22"/>
        </w:rPr>
        <w:t>implications for</w:t>
      </w:r>
      <w:r w:rsidRPr="004511C8">
        <w:rPr>
          <w:rFonts w:ascii="Arial" w:hAnsi="Arial" w:cs="Arial"/>
          <w:sz w:val="22"/>
          <w:szCs w:val="22"/>
        </w:rPr>
        <w:t xml:space="preserve"> young adults. This framework was maintained with a lean implementation strategy since excessively complex search blocks may decrease sensitivity; Cochrane guidelines suggest the use of synonyms with OR within each concept and a limited set of core concepts with OR between concepts (Higgins and Thomas, 2024). </w:t>
      </w:r>
    </w:p>
    <w:p w14:paraId="010546F5" w14:textId="77777777" w:rsidR="00B46DC1" w:rsidRPr="004511C8" w:rsidRDefault="00B46DC1" w:rsidP="005F4984">
      <w:pPr>
        <w:rPr>
          <w:rFonts w:ascii="Arial" w:hAnsi="Arial" w:cs="Arial"/>
          <w:sz w:val="22"/>
          <w:szCs w:val="22"/>
        </w:rPr>
      </w:pPr>
    </w:p>
    <w:p w14:paraId="6084E933" w14:textId="77777777" w:rsidR="00D01F03" w:rsidRPr="004511C8" w:rsidRDefault="00D01F03" w:rsidP="005F4984">
      <w:pPr>
        <w:jc w:val="center"/>
        <w:rPr>
          <w:rFonts w:ascii="Arial" w:hAnsi="Arial" w:cs="Arial"/>
          <w:b/>
          <w:bCs/>
          <w:sz w:val="22"/>
          <w:szCs w:val="22"/>
        </w:rPr>
      </w:pPr>
    </w:p>
    <w:p w14:paraId="3DCE45BB" w14:textId="77777777" w:rsidR="00D01F03" w:rsidRPr="004511C8" w:rsidRDefault="00D01F03" w:rsidP="005F4984">
      <w:pPr>
        <w:jc w:val="center"/>
        <w:rPr>
          <w:rFonts w:ascii="Arial" w:hAnsi="Arial" w:cs="Arial"/>
          <w:b/>
          <w:bCs/>
          <w:sz w:val="22"/>
          <w:szCs w:val="22"/>
        </w:rPr>
      </w:pPr>
    </w:p>
    <w:p w14:paraId="55DD23C6" w14:textId="77777777" w:rsidR="00D01F03" w:rsidRPr="004511C8" w:rsidRDefault="00D01F03" w:rsidP="005F4984">
      <w:pPr>
        <w:jc w:val="center"/>
        <w:rPr>
          <w:rFonts w:ascii="Arial" w:hAnsi="Arial" w:cs="Arial"/>
          <w:b/>
          <w:bCs/>
          <w:sz w:val="22"/>
          <w:szCs w:val="22"/>
        </w:rPr>
      </w:pPr>
    </w:p>
    <w:p w14:paraId="66E374FD" w14:textId="2D55F678" w:rsidR="004C590D" w:rsidRPr="004511C8" w:rsidRDefault="004C590D" w:rsidP="005F4984">
      <w:pPr>
        <w:jc w:val="center"/>
        <w:rPr>
          <w:rFonts w:ascii="Arial" w:hAnsi="Arial" w:cs="Arial"/>
          <w:b/>
          <w:bCs/>
          <w:sz w:val="22"/>
          <w:szCs w:val="22"/>
        </w:rPr>
      </w:pPr>
      <w:r w:rsidRPr="004511C8">
        <w:rPr>
          <w:rFonts w:ascii="Arial" w:hAnsi="Arial" w:cs="Arial"/>
          <w:b/>
          <w:bCs/>
          <w:sz w:val="22"/>
          <w:szCs w:val="22"/>
        </w:rPr>
        <w:t>Table 1: PICO/PEO Framework</w:t>
      </w:r>
    </w:p>
    <w:tbl>
      <w:tblPr>
        <w:tblStyle w:val="TableGridLight"/>
        <w:tblW w:w="5000" w:type="pct"/>
        <w:jc w:val="center"/>
        <w:tblLook w:val="04A0" w:firstRow="1" w:lastRow="0" w:firstColumn="1" w:lastColumn="0" w:noHBand="0" w:noVBand="1"/>
      </w:tblPr>
      <w:tblGrid>
        <w:gridCol w:w="2334"/>
        <w:gridCol w:w="2341"/>
        <w:gridCol w:w="1890"/>
        <w:gridCol w:w="2451"/>
      </w:tblGrid>
      <w:tr w:rsidR="009A7D6C" w:rsidRPr="004511C8" w14:paraId="0447280D" w14:textId="77777777" w:rsidTr="00BF3496">
        <w:trPr>
          <w:trHeight w:val="719"/>
          <w:jc w:val="center"/>
        </w:trPr>
        <w:tc>
          <w:tcPr>
            <w:tcW w:w="1294" w:type="pct"/>
            <w:vAlign w:val="center"/>
            <w:hideMark/>
          </w:tcPr>
          <w:p w14:paraId="07BA08FD" w14:textId="77777777" w:rsidR="009A7D6C" w:rsidRPr="004511C8" w:rsidRDefault="009A7D6C" w:rsidP="005F4984">
            <w:pPr>
              <w:jc w:val="center"/>
              <w:rPr>
                <w:rFonts w:ascii="Arial" w:eastAsia="Calibri" w:hAnsi="Arial" w:cs="Arial"/>
                <w:b/>
                <w:bCs/>
                <w:kern w:val="0"/>
                <w:sz w:val="22"/>
                <w:szCs w:val="22"/>
                <w14:ligatures w14:val="none"/>
              </w:rPr>
            </w:pPr>
            <w:r w:rsidRPr="004511C8">
              <w:rPr>
                <w:rFonts w:ascii="Arial" w:eastAsia="Calibri" w:hAnsi="Arial" w:cs="Arial"/>
                <w:b/>
                <w:bCs/>
                <w:kern w:val="0"/>
                <w:sz w:val="22"/>
                <w:szCs w:val="22"/>
                <w14:ligatures w14:val="none"/>
              </w:rPr>
              <w:t>Population/Problem</w:t>
            </w:r>
          </w:p>
        </w:tc>
        <w:tc>
          <w:tcPr>
            <w:tcW w:w="1298" w:type="pct"/>
            <w:vAlign w:val="center"/>
            <w:hideMark/>
          </w:tcPr>
          <w:p w14:paraId="06F782FE" w14:textId="77777777" w:rsidR="009A7D6C" w:rsidRPr="004511C8" w:rsidRDefault="009A7D6C" w:rsidP="005F4984">
            <w:pPr>
              <w:jc w:val="center"/>
              <w:rPr>
                <w:rFonts w:ascii="Arial" w:eastAsia="Calibri" w:hAnsi="Arial" w:cs="Arial"/>
                <w:b/>
                <w:bCs/>
                <w:kern w:val="0"/>
                <w:sz w:val="22"/>
                <w:szCs w:val="22"/>
                <w14:ligatures w14:val="none"/>
              </w:rPr>
            </w:pPr>
            <w:r w:rsidRPr="004511C8">
              <w:rPr>
                <w:rFonts w:ascii="Arial" w:eastAsia="Calibri" w:hAnsi="Arial" w:cs="Arial"/>
                <w:b/>
                <w:bCs/>
                <w:kern w:val="0"/>
                <w:sz w:val="22"/>
                <w:szCs w:val="22"/>
                <w14:ligatures w14:val="none"/>
              </w:rPr>
              <w:t>Intervention/Issue</w:t>
            </w:r>
          </w:p>
        </w:tc>
        <w:tc>
          <w:tcPr>
            <w:tcW w:w="1048" w:type="pct"/>
            <w:vAlign w:val="center"/>
            <w:hideMark/>
          </w:tcPr>
          <w:p w14:paraId="6068FCC6" w14:textId="77777777" w:rsidR="009A7D6C" w:rsidRPr="004511C8" w:rsidRDefault="009A7D6C" w:rsidP="005F4984">
            <w:pPr>
              <w:jc w:val="center"/>
              <w:rPr>
                <w:rFonts w:ascii="Arial" w:eastAsia="Calibri" w:hAnsi="Arial" w:cs="Arial"/>
                <w:b/>
                <w:bCs/>
                <w:kern w:val="0"/>
                <w:sz w:val="22"/>
                <w:szCs w:val="22"/>
                <w14:ligatures w14:val="none"/>
              </w:rPr>
            </w:pPr>
            <w:r w:rsidRPr="004511C8">
              <w:rPr>
                <w:rFonts w:ascii="Arial" w:eastAsia="Calibri" w:hAnsi="Arial" w:cs="Arial"/>
                <w:b/>
                <w:bCs/>
                <w:kern w:val="0"/>
                <w:sz w:val="22"/>
                <w:szCs w:val="22"/>
                <w14:ligatures w14:val="none"/>
              </w:rPr>
              <w:t>Context</w:t>
            </w:r>
          </w:p>
        </w:tc>
        <w:tc>
          <w:tcPr>
            <w:tcW w:w="1359" w:type="pct"/>
            <w:vAlign w:val="center"/>
            <w:hideMark/>
          </w:tcPr>
          <w:p w14:paraId="36B6221B" w14:textId="77777777" w:rsidR="009A7D6C" w:rsidRPr="004511C8" w:rsidRDefault="009A7D6C" w:rsidP="005F4984">
            <w:pPr>
              <w:jc w:val="center"/>
              <w:rPr>
                <w:rFonts w:ascii="Arial" w:eastAsia="Calibri" w:hAnsi="Arial" w:cs="Arial"/>
                <w:b/>
                <w:bCs/>
                <w:kern w:val="0"/>
                <w:sz w:val="22"/>
                <w:szCs w:val="22"/>
                <w14:ligatures w14:val="none"/>
              </w:rPr>
            </w:pPr>
            <w:r w:rsidRPr="004511C8">
              <w:rPr>
                <w:rFonts w:ascii="Arial" w:eastAsia="Calibri" w:hAnsi="Arial" w:cs="Arial"/>
                <w:b/>
                <w:bCs/>
                <w:kern w:val="0"/>
                <w:sz w:val="22"/>
                <w:szCs w:val="22"/>
                <w14:ligatures w14:val="none"/>
              </w:rPr>
              <w:t>Outcome</w:t>
            </w:r>
          </w:p>
        </w:tc>
      </w:tr>
      <w:tr w:rsidR="009A7D6C" w:rsidRPr="004511C8" w14:paraId="790F7627" w14:textId="77777777" w:rsidTr="00BF3496">
        <w:trPr>
          <w:jc w:val="center"/>
        </w:trPr>
        <w:tc>
          <w:tcPr>
            <w:tcW w:w="1294" w:type="pct"/>
            <w:vAlign w:val="center"/>
            <w:hideMark/>
          </w:tcPr>
          <w:p w14:paraId="38D81DB7" w14:textId="77777777" w:rsidR="009A7D6C" w:rsidRPr="004511C8" w:rsidRDefault="009A7D6C" w:rsidP="005F4984">
            <w:pPr>
              <w:jc w:val="center"/>
              <w:rPr>
                <w:rFonts w:ascii="Arial" w:eastAsia="Calibri" w:hAnsi="Arial" w:cs="Arial"/>
                <w:kern w:val="0"/>
                <w:sz w:val="22"/>
                <w:szCs w:val="22"/>
                <w14:ligatures w14:val="none"/>
              </w:rPr>
            </w:pPr>
            <w:r w:rsidRPr="004511C8">
              <w:rPr>
                <w:rFonts w:ascii="Arial" w:eastAsia="Calibri" w:hAnsi="Arial" w:cs="Arial"/>
                <w:kern w:val="0"/>
                <w:sz w:val="22"/>
                <w:szCs w:val="22"/>
                <w14:ligatures w14:val="none"/>
              </w:rPr>
              <w:t xml:space="preserve">People diagnosed with gonorrhoea; </w:t>
            </w:r>
            <w:r w:rsidRPr="004511C8">
              <w:rPr>
                <w:rFonts w:ascii="Arial" w:eastAsia="Calibri" w:hAnsi="Arial" w:cs="Arial"/>
                <w:i/>
                <w:iCs/>
                <w:kern w:val="0"/>
                <w:sz w:val="22"/>
                <w:szCs w:val="22"/>
                <w14:ligatures w14:val="none"/>
              </w:rPr>
              <w:t>Neisseria gonorrhoeae</w:t>
            </w:r>
            <w:r w:rsidRPr="004511C8">
              <w:rPr>
                <w:rFonts w:ascii="Arial" w:eastAsia="Calibri" w:hAnsi="Arial" w:cs="Arial"/>
                <w:kern w:val="0"/>
                <w:sz w:val="22"/>
                <w:szCs w:val="22"/>
                <w14:ligatures w14:val="none"/>
              </w:rPr>
              <w:t xml:space="preserve"> isolates; sexual health populations</w:t>
            </w:r>
          </w:p>
        </w:tc>
        <w:tc>
          <w:tcPr>
            <w:tcW w:w="1298" w:type="pct"/>
            <w:vAlign w:val="center"/>
            <w:hideMark/>
          </w:tcPr>
          <w:p w14:paraId="55F8C8A6" w14:textId="77777777" w:rsidR="009A7D6C" w:rsidRPr="004511C8" w:rsidRDefault="009A7D6C" w:rsidP="005F4984">
            <w:pPr>
              <w:jc w:val="center"/>
              <w:rPr>
                <w:rFonts w:ascii="Arial" w:eastAsia="Calibri" w:hAnsi="Arial" w:cs="Arial"/>
                <w:kern w:val="0"/>
                <w:sz w:val="22"/>
                <w:szCs w:val="22"/>
                <w14:ligatures w14:val="none"/>
              </w:rPr>
            </w:pPr>
            <w:r w:rsidRPr="004511C8">
              <w:rPr>
                <w:rFonts w:ascii="Arial" w:eastAsia="Calibri" w:hAnsi="Arial" w:cs="Arial"/>
                <w:kern w:val="0"/>
                <w:sz w:val="22"/>
                <w:szCs w:val="22"/>
                <w14:ligatures w14:val="none"/>
              </w:rPr>
              <w:t>Antimicrobial resistance; antibiotic resistance; reduced susceptibility; treatment failure</w:t>
            </w:r>
          </w:p>
        </w:tc>
        <w:tc>
          <w:tcPr>
            <w:tcW w:w="1048" w:type="pct"/>
            <w:vAlign w:val="center"/>
            <w:hideMark/>
          </w:tcPr>
          <w:p w14:paraId="443679F9" w14:textId="77777777" w:rsidR="009A7D6C" w:rsidRPr="004511C8" w:rsidRDefault="009A7D6C" w:rsidP="005F4984">
            <w:pPr>
              <w:jc w:val="center"/>
              <w:rPr>
                <w:rFonts w:ascii="Arial" w:eastAsia="Calibri" w:hAnsi="Arial" w:cs="Arial"/>
                <w:kern w:val="0"/>
                <w:sz w:val="22"/>
                <w:szCs w:val="22"/>
                <w14:ligatures w14:val="none"/>
              </w:rPr>
            </w:pPr>
            <w:r w:rsidRPr="004511C8">
              <w:rPr>
                <w:rFonts w:ascii="Arial" w:eastAsia="Calibri" w:hAnsi="Arial" w:cs="Arial"/>
                <w:kern w:val="0"/>
                <w:sz w:val="22"/>
                <w:szCs w:val="22"/>
                <w14:ligatures w14:val="none"/>
              </w:rPr>
              <w:t>United Kingdom; UK; England; Scotland; Wales; Northern Ireland</w:t>
            </w:r>
          </w:p>
        </w:tc>
        <w:tc>
          <w:tcPr>
            <w:tcW w:w="1359" w:type="pct"/>
            <w:vAlign w:val="center"/>
            <w:hideMark/>
          </w:tcPr>
          <w:p w14:paraId="78F20DFC" w14:textId="77777777" w:rsidR="009A7D6C" w:rsidRPr="004511C8" w:rsidRDefault="009A7D6C" w:rsidP="005F4984">
            <w:pPr>
              <w:jc w:val="center"/>
              <w:rPr>
                <w:rFonts w:ascii="Arial" w:eastAsia="Calibri" w:hAnsi="Arial" w:cs="Arial"/>
                <w:kern w:val="0"/>
                <w:sz w:val="22"/>
                <w:szCs w:val="22"/>
                <w14:ligatures w14:val="none"/>
              </w:rPr>
            </w:pPr>
            <w:r w:rsidRPr="004511C8">
              <w:rPr>
                <w:rFonts w:ascii="Arial" w:eastAsia="Calibri" w:hAnsi="Arial" w:cs="Arial"/>
                <w:kern w:val="0"/>
                <w:sz w:val="22"/>
                <w:szCs w:val="22"/>
                <w14:ligatures w14:val="none"/>
              </w:rPr>
              <w:t>Resistance trends; outbreak patterns; treatment failure; relevance to young adults; public health implications</w:t>
            </w:r>
          </w:p>
        </w:tc>
      </w:tr>
    </w:tbl>
    <w:p w14:paraId="51CE2A65" w14:textId="77777777" w:rsidR="009A7D6C" w:rsidRPr="004511C8" w:rsidRDefault="009A7D6C" w:rsidP="005F4984">
      <w:pPr>
        <w:rPr>
          <w:rFonts w:ascii="Arial" w:hAnsi="Arial" w:cs="Arial"/>
          <w:sz w:val="22"/>
          <w:szCs w:val="22"/>
        </w:rPr>
      </w:pPr>
    </w:p>
    <w:p w14:paraId="672F62EF" w14:textId="77777777" w:rsidR="00131AC6" w:rsidRDefault="00131AC6" w:rsidP="005F4984">
      <w:pPr>
        <w:rPr>
          <w:rFonts w:ascii="Arial" w:hAnsi="Arial" w:cs="Arial"/>
          <w:sz w:val="22"/>
          <w:szCs w:val="22"/>
        </w:rPr>
      </w:pPr>
    </w:p>
    <w:p w14:paraId="53D47176" w14:textId="77777777" w:rsidR="00131AC6" w:rsidRDefault="00131AC6" w:rsidP="005F4984">
      <w:pPr>
        <w:rPr>
          <w:rFonts w:ascii="Arial" w:hAnsi="Arial" w:cs="Arial"/>
          <w:sz w:val="22"/>
          <w:szCs w:val="22"/>
        </w:rPr>
      </w:pPr>
    </w:p>
    <w:p w14:paraId="3C1CA9D1" w14:textId="1FF34CC2" w:rsidR="00B46DC1" w:rsidRPr="004511C8" w:rsidRDefault="00256E3F" w:rsidP="005F4984">
      <w:pPr>
        <w:rPr>
          <w:rFonts w:ascii="Arial" w:hAnsi="Arial" w:cs="Arial"/>
          <w:sz w:val="22"/>
          <w:szCs w:val="22"/>
        </w:rPr>
      </w:pPr>
      <w:r w:rsidRPr="004511C8">
        <w:rPr>
          <w:rFonts w:ascii="Arial" w:hAnsi="Arial" w:cs="Arial"/>
          <w:sz w:val="22"/>
          <w:szCs w:val="22"/>
        </w:rPr>
        <w:lastRenderedPageBreak/>
        <w:t xml:space="preserve">The search question was operationalised from this framework as follows: </w:t>
      </w:r>
      <w:r w:rsidRPr="004511C8">
        <w:rPr>
          <w:rFonts w:ascii="Arial" w:hAnsi="Arial" w:cs="Arial"/>
          <w:b/>
          <w:bCs/>
          <w:i/>
          <w:iCs/>
          <w:sz w:val="22"/>
          <w:szCs w:val="22"/>
        </w:rPr>
        <w:t>What is the current UK-based evidence on antimicrobial resistance in gonorrhoea, including resistance trends, treatment failure and outbreaks, and what are the implications for young adults?</w:t>
      </w:r>
      <w:r w:rsidRPr="004511C8">
        <w:rPr>
          <w:rFonts w:ascii="Arial" w:hAnsi="Arial" w:cs="Arial"/>
          <w:sz w:val="22"/>
          <w:szCs w:val="22"/>
        </w:rPr>
        <w:t xml:space="preserve"> The database search was conducted in phases using Boolean operators to combine key concepts. In the first phase, synonyms for the population/problem were combined with OR, including gonorrhoea, gonorrhoea, Neisseria gonorrhoeae and gonococcal infection. In the second phase, synonyms for the intervention/issue were combined with OR, including antimicrobial resistance, antibiotic resistance, drug resistance, reduced susceptibility and </w:t>
      </w:r>
      <w:r w:rsidR="00D01F03" w:rsidRPr="004511C8">
        <w:rPr>
          <w:rFonts w:ascii="Arial" w:hAnsi="Arial" w:cs="Arial"/>
          <w:sz w:val="22"/>
          <w:szCs w:val="22"/>
        </w:rPr>
        <w:t>ceftriaxone resistance</w:t>
      </w:r>
      <w:r w:rsidRPr="004511C8">
        <w:rPr>
          <w:rFonts w:ascii="Arial" w:hAnsi="Arial" w:cs="Arial"/>
          <w:sz w:val="22"/>
          <w:szCs w:val="22"/>
        </w:rPr>
        <w:t xml:space="preserve">. In the third phase, context terms were combined with OR, including United Kingdom, UK, England, Scotland, Wales, Northern Ireland and Britain. In the fourth phase, outcome and relevance terms were combined with OR, including trend, outbreak, surveillance, cluster, young adult, adolescent and youth. These four concept blocks were then combined using AND to produce the final search string. Search syntax was adapted for each database </w:t>
      </w:r>
      <w:proofErr w:type="gramStart"/>
      <w:r w:rsidRPr="004511C8">
        <w:rPr>
          <w:rFonts w:ascii="Arial" w:hAnsi="Arial" w:cs="Arial"/>
          <w:sz w:val="22"/>
          <w:szCs w:val="22"/>
        </w:rPr>
        <w:t>through the use of</w:t>
      </w:r>
      <w:proofErr w:type="gramEnd"/>
      <w:r w:rsidRPr="004511C8">
        <w:rPr>
          <w:rFonts w:ascii="Arial" w:hAnsi="Arial" w:cs="Arial"/>
          <w:sz w:val="22"/>
          <w:szCs w:val="22"/>
        </w:rPr>
        <w:t xml:space="preserve"> truncation, phrase searching and database-specific subject headings where appropriate.</w:t>
      </w:r>
    </w:p>
    <w:p w14:paraId="7A550BF7" w14:textId="77777777" w:rsidR="00256E3F" w:rsidRPr="004511C8" w:rsidRDefault="00256E3F" w:rsidP="005F4984">
      <w:pPr>
        <w:rPr>
          <w:rFonts w:ascii="Arial" w:hAnsi="Arial" w:cs="Arial"/>
          <w:sz w:val="22"/>
          <w:szCs w:val="22"/>
        </w:rPr>
      </w:pPr>
    </w:p>
    <w:p w14:paraId="2CA57DBE" w14:textId="33DCD9DA" w:rsidR="004C590D" w:rsidRPr="004511C8" w:rsidRDefault="00B46DC1" w:rsidP="005F4984">
      <w:pPr>
        <w:pStyle w:val="Heading2"/>
        <w:rPr>
          <w:rFonts w:ascii="Arial" w:hAnsi="Arial" w:cs="Arial"/>
          <w:sz w:val="22"/>
          <w:szCs w:val="22"/>
        </w:rPr>
      </w:pPr>
      <w:bookmarkStart w:id="17" w:name="_Toc229082774"/>
      <w:r w:rsidRPr="004511C8">
        <w:rPr>
          <w:rFonts w:ascii="Arial" w:hAnsi="Arial" w:cs="Arial"/>
          <w:sz w:val="22"/>
          <w:szCs w:val="22"/>
        </w:rPr>
        <w:t xml:space="preserve">3.5 </w:t>
      </w:r>
      <w:r w:rsidR="004C590D" w:rsidRPr="004511C8">
        <w:rPr>
          <w:rFonts w:ascii="Arial" w:hAnsi="Arial" w:cs="Arial"/>
          <w:sz w:val="22"/>
          <w:szCs w:val="22"/>
        </w:rPr>
        <w:t>Key Words</w:t>
      </w:r>
      <w:bookmarkEnd w:id="17"/>
    </w:p>
    <w:p w14:paraId="63D5AA67" w14:textId="4450164C" w:rsidR="004C590D" w:rsidRPr="004511C8" w:rsidRDefault="004C590D" w:rsidP="005F4984">
      <w:pPr>
        <w:rPr>
          <w:rFonts w:ascii="Arial" w:hAnsi="Arial" w:cs="Arial"/>
          <w:sz w:val="22"/>
          <w:szCs w:val="22"/>
        </w:rPr>
      </w:pPr>
      <w:r w:rsidRPr="004511C8">
        <w:rPr>
          <w:rFonts w:ascii="Arial" w:hAnsi="Arial" w:cs="Arial"/>
          <w:sz w:val="22"/>
          <w:szCs w:val="22"/>
        </w:rPr>
        <w:t xml:space="preserve">Keywords are the major words that are involved in exemplifying the major ideas of a research and aid in the effective search of the relevant evidence. They are significant as they enhance the accuracy of searches, particularly when used with synonyms and controlled vocabulary. The key words involved in this review were: gonorrhoea, </w:t>
      </w:r>
      <w:proofErr w:type="spellStart"/>
      <w:r w:rsidRPr="004511C8">
        <w:rPr>
          <w:rFonts w:ascii="Arial" w:hAnsi="Arial" w:cs="Arial"/>
          <w:sz w:val="22"/>
          <w:szCs w:val="22"/>
        </w:rPr>
        <w:t>gonorrhea</w:t>
      </w:r>
      <w:proofErr w:type="spellEnd"/>
      <w:r w:rsidRPr="004511C8">
        <w:rPr>
          <w:rFonts w:ascii="Arial" w:hAnsi="Arial" w:cs="Arial"/>
          <w:sz w:val="22"/>
          <w:szCs w:val="22"/>
        </w:rPr>
        <w:t xml:space="preserve">, Neisseria gonorrhoeae, antimicrobial resistance, antibiotic resistance, reduced susceptibility, treatment failure, outbreak, surveillance, United Kingdom, England and young adults. These words directly addressed the question of the </w:t>
      </w:r>
      <w:r w:rsidR="00D01F03" w:rsidRPr="004511C8">
        <w:rPr>
          <w:rFonts w:ascii="Arial" w:hAnsi="Arial" w:cs="Arial"/>
          <w:sz w:val="22"/>
          <w:szCs w:val="22"/>
        </w:rPr>
        <w:t>review,</w:t>
      </w:r>
      <w:r w:rsidRPr="004511C8">
        <w:rPr>
          <w:rFonts w:ascii="Arial" w:hAnsi="Arial" w:cs="Arial"/>
          <w:sz w:val="22"/>
          <w:szCs w:val="22"/>
        </w:rPr>
        <w:t xml:space="preserve"> and they were able to capture both microbiological and public health literature.  </w:t>
      </w:r>
    </w:p>
    <w:p w14:paraId="15B36D29" w14:textId="77777777" w:rsidR="00B46DC1" w:rsidRPr="004511C8" w:rsidRDefault="00B46DC1" w:rsidP="005F4984">
      <w:pPr>
        <w:rPr>
          <w:rFonts w:ascii="Arial" w:hAnsi="Arial" w:cs="Arial"/>
          <w:sz w:val="22"/>
          <w:szCs w:val="22"/>
        </w:rPr>
      </w:pPr>
    </w:p>
    <w:p w14:paraId="16F71D18" w14:textId="291D9C60" w:rsidR="004C590D" w:rsidRPr="004511C8" w:rsidRDefault="00B46DC1" w:rsidP="005F4984">
      <w:pPr>
        <w:pStyle w:val="Heading2"/>
        <w:rPr>
          <w:rFonts w:ascii="Arial" w:hAnsi="Arial" w:cs="Arial"/>
          <w:sz w:val="22"/>
          <w:szCs w:val="22"/>
        </w:rPr>
      </w:pPr>
      <w:bookmarkStart w:id="18" w:name="_Toc229082775"/>
      <w:r w:rsidRPr="004511C8">
        <w:rPr>
          <w:rFonts w:ascii="Arial" w:hAnsi="Arial" w:cs="Arial"/>
          <w:sz w:val="22"/>
          <w:szCs w:val="22"/>
        </w:rPr>
        <w:t xml:space="preserve">3.6 </w:t>
      </w:r>
      <w:r w:rsidR="004C590D" w:rsidRPr="004511C8">
        <w:rPr>
          <w:rFonts w:ascii="Arial" w:hAnsi="Arial" w:cs="Arial"/>
          <w:sz w:val="22"/>
          <w:szCs w:val="22"/>
        </w:rPr>
        <w:t>Databases</w:t>
      </w:r>
      <w:bookmarkEnd w:id="18"/>
    </w:p>
    <w:p w14:paraId="2123D5DF" w14:textId="34244C0A" w:rsidR="004C590D" w:rsidRPr="004511C8" w:rsidRDefault="004C590D" w:rsidP="005F4984">
      <w:pPr>
        <w:rPr>
          <w:rFonts w:ascii="Arial" w:hAnsi="Arial" w:cs="Arial"/>
          <w:sz w:val="22"/>
          <w:szCs w:val="22"/>
        </w:rPr>
      </w:pPr>
      <w:r w:rsidRPr="004511C8">
        <w:rPr>
          <w:rFonts w:ascii="Arial" w:hAnsi="Arial" w:cs="Arial"/>
          <w:sz w:val="22"/>
          <w:szCs w:val="22"/>
        </w:rPr>
        <w:t xml:space="preserve">Searching of the relevant databases was done since the choice of database determines the breadth and profile of evidence retrieved. No one database is totally comprehensive and hence, in SLRs, several databases should be searched </w:t>
      </w:r>
      <w:r w:rsidR="00D01F03" w:rsidRPr="004511C8">
        <w:rPr>
          <w:rFonts w:ascii="Arial" w:hAnsi="Arial" w:cs="Arial"/>
          <w:sz w:val="22"/>
          <w:szCs w:val="22"/>
        </w:rPr>
        <w:t>to</w:t>
      </w:r>
      <w:r w:rsidRPr="004511C8">
        <w:rPr>
          <w:rFonts w:ascii="Arial" w:hAnsi="Arial" w:cs="Arial"/>
          <w:sz w:val="22"/>
          <w:szCs w:val="22"/>
        </w:rPr>
        <w:t xml:space="preserve"> minimi</w:t>
      </w:r>
      <w:r w:rsidR="00D01F03" w:rsidRPr="004511C8">
        <w:rPr>
          <w:rFonts w:ascii="Arial" w:hAnsi="Arial" w:cs="Arial"/>
          <w:sz w:val="22"/>
          <w:szCs w:val="22"/>
        </w:rPr>
        <w:t>s</w:t>
      </w:r>
      <w:r w:rsidRPr="004511C8">
        <w:rPr>
          <w:rFonts w:ascii="Arial" w:hAnsi="Arial" w:cs="Arial"/>
          <w:sz w:val="22"/>
          <w:szCs w:val="22"/>
        </w:rPr>
        <w:t>e the retrieval bias and enhance comprehensiveness. Bramer et al. (2017) demonstrated that multi-database search strategies yield significantly more relevant studies than single-source search strategies, and Cochrane guidance also suggests multi-database strategies to conduct a rigorous search of evidence (Bramer et al., 2017; Higgins and Thomas, 2024).</w:t>
      </w:r>
      <w:r w:rsidR="00D01F03" w:rsidRPr="004511C8">
        <w:rPr>
          <w:rFonts w:ascii="Arial" w:hAnsi="Arial" w:cs="Arial"/>
          <w:sz w:val="22"/>
          <w:szCs w:val="22"/>
        </w:rPr>
        <w:t xml:space="preserve"> </w:t>
      </w:r>
      <w:r w:rsidRPr="004511C8">
        <w:rPr>
          <w:rFonts w:ascii="Arial" w:hAnsi="Arial" w:cs="Arial"/>
          <w:sz w:val="22"/>
          <w:szCs w:val="22"/>
        </w:rPr>
        <w:t xml:space="preserve">Due to this reason, MEDLINE </w:t>
      </w:r>
      <w:r w:rsidRPr="004511C8">
        <w:rPr>
          <w:rFonts w:ascii="Arial" w:hAnsi="Arial" w:cs="Arial"/>
          <w:sz w:val="22"/>
          <w:szCs w:val="22"/>
        </w:rPr>
        <w:lastRenderedPageBreak/>
        <w:t>through PubMed, Embase, Scopus, Web of Science Core Collection and CINAHL Ultimate were searched.</w:t>
      </w:r>
    </w:p>
    <w:p w14:paraId="76D08FAB" w14:textId="77777777" w:rsidR="004C590D" w:rsidRPr="004511C8" w:rsidRDefault="004C590D" w:rsidP="005F4984">
      <w:pPr>
        <w:rPr>
          <w:rFonts w:ascii="Arial" w:hAnsi="Arial" w:cs="Arial"/>
          <w:sz w:val="22"/>
          <w:szCs w:val="22"/>
        </w:rPr>
      </w:pPr>
      <w:r w:rsidRPr="004511C8">
        <w:rPr>
          <w:rFonts w:ascii="Arial" w:hAnsi="Arial" w:cs="Arial"/>
          <w:sz w:val="22"/>
          <w:szCs w:val="22"/>
        </w:rPr>
        <w:t xml:space="preserve">These databases have been chosen to complete each other. MEDLINE and Embase provided good biomedical and pharmacological coverage; Scopus and Web of Science provided better interdisciplinary and citation coverage; and CINAHL provided better coverage of nursing, public health and service-related literature. All the included studies were also hand-searched to identify any other eligible papers that were not electronically identified. Of particular significance to this multi-database structure was the fact that evidence of UK gonococcal resistance crosscuts across clinical microbiology, sexual health, epidemiology and health services research. </w:t>
      </w:r>
    </w:p>
    <w:p w14:paraId="3A249426" w14:textId="580BD0FB" w:rsidR="004C590D" w:rsidRPr="004511C8" w:rsidRDefault="00B46DC1" w:rsidP="005F4984">
      <w:pPr>
        <w:pStyle w:val="Heading2"/>
        <w:rPr>
          <w:rFonts w:ascii="Arial" w:hAnsi="Arial" w:cs="Arial"/>
          <w:sz w:val="22"/>
          <w:szCs w:val="22"/>
        </w:rPr>
      </w:pPr>
      <w:bookmarkStart w:id="19" w:name="_Toc229082776"/>
      <w:r w:rsidRPr="004511C8">
        <w:rPr>
          <w:rFonts w:ascii="Arial" w:hAnsi="Arial" w:cs="Arial"/>
          <w:sz w:val="22"/>
          <w:szCs w:val="22"/>
        </w:rPr>
        <w:t xml:space="preserve">3.7 </w:t>
      </w:r>
      <w:r w:rsidR="004C590D" w:rsidRPr="004511C8">
        <w:rPr>
          <w:rFonts w:ascii="Arial" w:hAnsi="Arial" w:cs="Arial"/>
          <w:sz w:val="22"/>
          <w:szCs w:val="22"/>
        </w:rPr>
        <w:t>Inclusion/Exclusion Criteria</w:t>
      </w:r>
      <w:bookmarkEnd w:id="19"/>
    </w:p>
    <w:p w14:paraId="2854478E" w14:textId="3C161922" w:rsidR="004C590D" w:rsidRPr="004511C8" w:rsidRDefault="004C590D" w:rsidP="005F4984">
      <w:pPr>
        <w:rPr>
          <w:rFonts w:ascii="Arial" w:hAnsi="Arial" w:cs="Arial"/>
          <w:sz w:val="22"/>
          <w:szCs w:val="22"/>
        </w:rPr>
      </w:pPr>
      <w:r w:rsidRPr="004511C8">
        <w:rPr>
          <w:rFonts w:ascii="Arial" w:hAnsi="Arial" w:cs="Arial"/>
          <w:sz w:val="22"/>
          <w:szCs w:val="22"/>
        </w:rPr>
        <w:t xml:space="preserve">Inclusion and exclusion criteria are predetermined rules that are applied to decide which studies can be included into a review. These are important because they ensure that the focus of review is focused, consistent and reproducible by making sure that the selection of studies is guided by clear criteria as opposed to the preference of the reviewer. These criteria must </w:t>
      </w:r>
      <w:r w:rsidR="00131AC6">
        <w:rPr>
          <w:rFonts w:ascii="Arial" w:hAnsi="Arial" w:cs="Arial"/>
          <w:sz w:val="22"/>
          <w:szCs w:val="22"/>
        </w:rPr>
        <w:t>be closely</w:t>
      </w:r>
      <w:r w:rsidRPr="004511C8">
        <w:rPr>
          <w:rFonts w:ascii="Arial" w:hAnsi="Arial" w:cs="Arial"/>
          <w:sz w:val="22"/>
          <w:szCs w:val="22"/>
        </w:rPr>
        <w:t xml:space="preserve"> related to the research question and be used uniformly at </w:t>
      </w:r>
      <w:r w:rsidR="00131AC6">
        <w:rPr>
          <w:rFonts w:ascii="Arial" w:hAnsi="Arial" w:cs="Arial"/>
          <w:sz w:val="22"/>
          <w:szCs w:val="22"/>
        </w:rPr>
        <w:t xml:space="preserve">the </w:t>
      </w:r>
      <w:r w:rsidRPr="004511C8">
        <w:rPr>
          <w:rFonts w:ascii="Arial" w:hAnsi="Arial" w:cs="Arial"/>
          <w:sz w:val="22"/>
          <w:szCs w:val="22"/>
        </w:rPr>
        <w:t>title/abstract and full-text levels in systematic reviewing (Page et al.</w:t>
      </w:r>
      <w:r w:rsidR="00D01F03" w:rsidRPr="004511C8">
        <w:rPr>
          <w:rFonts w:ascii="Arial" w:hAnsi="Arial" w:cs="Arial"/>
          <w:sz w:val="22"/>
          <w:szCs w:val="22"/>
        </w:rPr>
        <w:t xml:space="preserve"> </w:t>
      </w:r>
      <w:r w:rsidRPr="004511C8">
        <w:rPr>
          <w:rFonts w:ascii="Arial" w:hAnsi="Arial" w:cs="Arial"/>
          <w:sz w:val="22"/>
          <w:szCs w:val="22"/>
        </w:rPr>
        <w:t xml:space="preserve">2021; Booth et al. 2016). </w:t>
      </w:r>
    </w:p>
    <w:p w14:paraId="4449CC95" w14:textId="6CFC2BEA" w:rsidR="004C590D" w:rsidRPr="004511C8" w:rsidRDefault="004C590D" w:rsidP="005F4984">
      <w:pPr>
        <w:pStyle w:val="Heading3"/>
        <w:rPr>
          <w:rFonts w:ascii="Arial" w:hAnsi="Arial" w:cs="Arial"/>
          <w:b/>
          <w:bCs/>
          <w:color w:val="000000" w:themeColor="text1"/>
          <w:sz w:val="22"/>
          <w:szCs w:val="22"/>
        </w:rPr>
      </w:pPr>
      <w:bookmarkStart w:id="20" w:name="_Toc229082777"/>
      <w:r w:rsidRPr="004511C8">
        <w:rPr>
          <w:rFonts w:ascii="Arial" w:hAnsi="Arial" w:cs="Arial"/>
          <w:b/>
          <w:bCs/>
          <w:color w:val="000000" w:themeColor="text1"/>
          <w:sz w:val="22"/>
          <w:szCs w:val="22"/>
        </w:rPr>
        <w:t>Inclusion Criteria</w:t>
      </w:r>
      <w:bookmarkEnd w:id="20"/>
    </w:p>
    <w:p w14:paraId="0487EC89" w14:textId="66AA4DAF" w:rsidR="00B46DC1" w:rsidRPr="004511C8" w:rsidRDefault="00E02A7F" w:rsidP="005F4984">
      <w:pPr>
        <w:rPr>
          <w:rFonts w:ascii="Arial" w:hAnsi="Arial" w:cs="Arial"/>
          <w:sz w:val="22"/>
          <w:szCs w:val="22"/>
        </w:rPr>
      </w:pPr>
      <w:r w:rsidRPr="004511C8">
        <w:rPr>
          <w:rFonts w:ascii="Arial" w:hAnsi="Arial" w:cs="Arial"/>
          <w:sz w:val="22"/>
          <w:szCs w:val="22"/>
        </w:rPr>
        <w:t xml:space="preserve">The inclusion criteria were as follows: studies had to be published between 1 January 2021 and 31 December 2025; conducted in the United Kingdom or reporting UK-specific data; focused on gonorrhoea antimicrobial resistance, reduced susceptibility, treatment failure or outbreak investigation; and published as peer-reviewed empirical research or relevant official UK surveillance reports. Studies were also included where young adults were not the sole population of </w:t>
      </w:r>
      <w:r w:rsidR="00A7196E" w:rsidRPr="004511C8">
        <w:rPr>
          <w:rFonts w:ascii="Arial" w:hAnsi="Arial" w:cs="Arial"/>
          <w:sz w:val="22"/>
          <w:szCs w:val="22"/>
        </w:rPr>
        <w:t>interest,</w:t>
      </w:r>
      <w:r w:rsidRPr="004511C8">
        <w:rPr>
          <w:rFonts w:ascii="Arial" w:hAnsi="Arial" w:cs="Arial"/>
          <w:sz w:val="22"/>
          <w:szCs w:val="22"/>
        </w:rPr>
        <w:t xml:space="preserve"> but where the findings had clear relevance to young adults within the UK sexual health context.</w:t>
      </w:r>
    </w:p>
    <w:p w14:paraId="7AD8DBEC" w14:textId="77777777" w:rsidR="004C590D" w:rsidRPr="004511C8" w:rsidRDefault="004C590D" w:rsidP="005F4984">
      <w:pPr>
        <w:pStyle w:val="Heading3"/>
        <w:rPr>
          <w:rFonts w:ascii="Arial" w:hAnsi="Arial" w:cs="Arial"/>
          <w:b/>
          <w:bCs/>
          <w:color w:val="000000" w:themeColor="text1"/>
          <w:sz w:val="22"/>
          <w:szCs w:val="22"/>
        </w:rPr>
      </w:pPr>
      <w:bookmarkStart w:id="21" w:name="_Toc229082778"/>
      <w:r w:rsidRPr="004511C8">
        <w:rPr>
          <w:rFonts w:ascii="Arial" w:hAnsi="Arial" w:cs="Arial"/>
          <w:b/>
          <w:bCs/>
          <w:color w:val="000000" w:themeColor="text1"/>
          <w:sz w:val="22"/>
          <w:szCs w:val="22"/>
        </w:rPr>
        <w:t>Exclusion Criteria</w:t>
      </w:r>
      <w:bookmarkEnd w:id="21"/>
    </w:p>
    <w:p w14:paraId="60C51EB9" w14:textId="0445E7AB" w:rsidR="00B46DC1" w:rsidRPr="004511C8" w:rsidRDefault="00E02A7F" w:rsidP="005F4984">
      <w:pPr>
        <w:rPr>
          <w:rFonts w:ascii="Arial" w:hAnsi="Arial" w:cs="Arial"/>
          <w:sz w:val="22"/>
          <w:szCs w:val="22"/>
        </w:rPr>
      </w:pPr>
      <w:r w:rsidRPr="004511C8">
        <w:rPr>
          <w:rFonts w:ascii="Arial" w:hAnsi="Arial" w:cs="Arial"/>
          <w:sz w:val="22"/>
          <w:szCs w:val="22"/>
        </w:rPr>
        <w:t>Studies were excluded if they were published before 1 January 2021, were not UK-based, did not report UK-specific findings, did not address gonococcal antimicrobial resistance or related outcomes, were editorials, commentaries, conference abstracts or protocols, or duplicated data reported in a more complete included paper. Earlier landmark studies published before 2021 were excluded from the formal review stage but were retained in Chapters 1 and 2 for background discussion only.</w:t>
      </w:r>
    </w:p>
    <w:p w14:paraId="77E64437" w14:textId="77777777" w:rsidR="00E02A7F" w:rsidRDefault="00E02A7F" w:rsidP="005F4984">
      <w:pPr>
        <w:rPr>
          <w:rFonts w:ascii="Arial" w:hAnsi="Arial" w:cs="Arial"/>
          <w:sz w:val="22"/>
          <w:szCs w:val="22"/>
        </w:rPr>
      </w:pPr>
    </w:p>
    <w:p w14:paraId="6D5830A3" w14:textId="77777777" w:rsidR="00131AC6" w:rsidRPr="004511C8" w:rsidRDefault="00131AC6" w:rsidP="005F4984">
      <w:pPr>
        <w:rPr>
          <w:rFonts w:ascii="Arial" w:hAnsi="Arial" w:cs="Arial"/>
          <w:sz w:val="22"/>
          <w:szCs w:val="22"/>
        </w:rPr>
      </w:pPr>
    </w:p>
    <w:p w14:paraId="19E8A2F1" w14:textId="38F71535" w:rsidR="004C590D" w:rsidRPr="004511C8" w:rsidRDefault="00B46DC1" w:rsidP="005F4984">
      <w:pPr>
        <w:pStyle w:val="Heading2"/>
        <w:rPr>
          <w:rFonts w:ascii="Arial" w:hAnsi="Arial" w:cs="Arial"/>
          <w:sz w:val="22"/>
          <w:szCs w:val="22"/>
        </w:rPr>
      </w:pPr>
      <w:bookmarkStart w:id="22" w:name="_Toc229082779"/>
      <w:r w:rsidRPr="004511C8">
        <w:rPr>
          <w:rFonts w:ascii="Arial" w:hAnsi="Arial" w:cs="Arial"/>
          <w:sz w:val="22"/>
          <w:szCs w:val="22"/>
        </w:rPr>
        <w:t xml:space="preserve">3.8 </w:t>
      </w:r>
      <w:r w:rsidR="004C590D" w:rsidRPr="004511C8">
        <w:rPr>
          <w:rFonts w:ascii="Arial" w:hAnsi="Arial" w:cs="Arial"/>
          <w:sz w:val="22"/>
          <w:szCs w:val="22"/>
        </w:rPr>
        <w:t>Search Results</w:t>
      </w:r>
      <w:bookmarkEnd w:id="22"/>
    </w:p>
    <w:p w14:paraId="0CBFAEA0" w14:textId="10BE1884" w:rsidR="004C590D" w:rsidRPr="004511C8" w:rsidRDefault="004C590D" w:rsidP="005F4984">
      <w:pPr>
        <w:rPr>
          <w:rFonts w:ascii="Arial" w:hAnsi="Arial" w:cs="Arial"/>
          <w:sz w:val="22"/>
          <w:szCs w:val="22"/>
        </w:rPr>
      </w:pPr>
      <w:r w:rsidRPr="004511C8">
        <w:rPr>
          <w:rFonts w:ascii="Arial" w:hAnsi="Arial" w:cs="Arial"/>
          <w:sz w:val="22"/>
          <w:szCs w:val="22"/>
        </w:rPr>
        <w:t xml:space="preserve">The process of search was reported as per PRISMA 2020. Searching in databases was used to find 1,248 records in MEDLINE, Embase, Scopus, Web of Science and CINAHL. Another 18 records were located with reference-list searching, resulting in a total of 1,266 records. Following the removal of duplicates, there were 930 unique records to undergo title and abstract screening. In this step, 824 records were filtered out due to being non-UK based, not discussing gonococcal resistance, being out of date, or not original empirical research. This narrowed down to 106 articles to review the </w:t>
      </w:r>
      <w:r w:rsidR="00A7196E" w:rsidRPr="004511C8">
        <w:rPr>
          <w:rFonts w:ascii="Arial" w:hAnsi="Arial" w:cs="Arial"/>
          <w:sz w:val="22"/>
          <w:szCs w:val="22"/>
        </w:rPr>
        <w:t>full text</w:t>
      </w:r>
      <w:r w:rsidRPr="004511C8">
        <w:rPr>
          <w:rFonts w:ascii="Arial" w:hAnsi="Arial" w:cs="Arial"/>
          <w:sz w:val="22"/>
          <w:szCs w:val="22"/>
        </w:rPr>
        <w:t xml:space="preserve">. </w:t>
      </w:r>
    </w:p>
    <w:p w14:paraId="309AF702" w14:textId="3EBD01AA" w:rsidR="004C590D" w:rsidRPr="004511C8" w:rsidRDefault="004C590D" w:rsidP="005F4984">
      <w:pPr>
        <w:rPr>
          <w:rFonts w:ascii="Arial" w:hAnsi="Arial" w:cs="Arial"/>
          <w:sz w:val="22"/>
          <w:szCs w:val="22"/>
        </w:rPr>
      </w:pPr>
      <w:r w:rsidRPr="004511C8">
        <w:rPr>
          <w:rFonts w:ascii="Arial" w:hAnsi="Arial" w:cs="Arial"/>
          <w:sz w:val="22"/>
          <w:szCs w:val="22"/>
        </w:rPr>
        <w:t xml:space="preserve">The screening of </w:t>
      </w:r>
      <w:r w:rsidR="00A7196E" w:rsidRPr="004511C8">
        <w:rPr>
          <w:rFonts w:ascii="Arial" w:hAnsi="Arial" w:cs="Arial"/>
          <w:sz w:val="22"/>
          <w:szCs w:val="22"/>
        </w:rPr>
        <w:t>full text</w:t>
      </w:r>
      <w:r w:rsidRPr="004511C8">
        <w:rPr>
          <w:rFonts w:ascii="Arial" w:hAnsi="Arial" w:cs="Arial"/>
          <w:sz w:val="22"/>
          <w:szCs w:val="22"/>
        </w:rPr>
        <w:t xml:space="preserve"> led to the removal of 81 articles. The predominant causes were non-UK setting, lack of antimicrobial resistance outcomes, non-empirical publication, reporting of the same data twice, or lack of relevance to the objectives of the review. As such, twenty-five studies were incorporated in the final review. This last category included surveillance studies, observational epidemiological studies, outbreak studies, laboratory-based clinical studies and fewer mixed methods or qualitative articles </w:t>
      </w:r>
      <w:r w:rsidR="008F1BFE" w:rsidRPr="004511C8">
        <w:rPr>
          <w:rFonts w:ascii="Arial" w:hAnsi="Arial" w:cs="Arial"/>
          <w:sz w:val="22"/>
          <w:szCs w:val="22"/>
        </w:rPr>
        <w:t>about</w:t>
      </w:r>
      <w:r w:rsidRPr="004511C8">
        <w:rPr>
          <w:rFonts w:ascii="Arial" w:hAnsi="Arial" w:cs="Arial"/>
          <w:sz w:val="22"/>
          <w:szCs w:val="22"/>
        </w:rPr>
        <w:t xml:space="preserve"> service delivery and implications to public health.</w:t>
      </w:r>
    </w:p>
    <w:p w14:paraId="4402DB1F" w14:textId="0084C3A9" w:rsidR="004C590D" w:rsidRPr="004511C8" w:rsidRDefault="004C590D" w:rsidP="005F4984">
      <w:pPr>
        <w:rPr>
          <w:rFonts w:ascii="Arial" w:hAnsi="Arial" w:cs="Arial"/>
          <w:sz w:val="22"/>
          <w:szCs w:val="22"/>
        </w:rPr>
      </w:pPr>
      <w:r w:rsidRPr="004511C8">
        <w:rPr>
          <w:rFonts w:ascii="Arial" w:hAnsi="Arial" w:cs="Arial"/>
          <w:sz w:val="22"/>
          <w:szCs w:val="22"/>
        </w:rPr>
        <w:t>The Mixed Methods Appraisal Tool (MMAT) version 2018, as chosen due to the multiple methodological traditions the review encompassed, was used to perform quality appraisal through coherent cross-design appraisal within a single framework (Hong et al. 2018; Hong et al. 2019). Research was not excluded based on quality criteria only</w:t>
      </w:r>
      <w:r w:rsidR="00D712C3" w:rsidRPr="004511C8">
        <w:rPr>
          <w:rFonts w:ascii="Arial" w:hAnsi="Arial" w:cs="Arial"/>
          <w:sz w:val="22"/>
          <w:szCs w:val="22"/>
        </w:rPr>
        <w:t>,</w:t>
      </w:r>
      <w:r w:rsidRPr="004511C8">
        <w:rPr>
          <w:rFonts w:ascii="Arial" w:hAnsi="Arial" w:cs="Arial"/>
          <w:sz w:val="22"/>
          <w:szCs w:val="22"/>
        </w:rPr>
        <w:t xml:space="preserve"> since this can create its own bias</w:t>
      </w:r>
      <w:r w:rsidR="00D712C3" w:rsidRPr="004511C8">
        <w:rPr>
          <w:rFonts w:ascii="Arial" w:hAnsi="Arial" w:cs="Arial"/>
          <w:sz w:val="22"/>
          <w:szCs w:val="22"/>
        </w:rPr>
        <w:t>;</w:t>
      </w:r>
      <w:r w:rsidRPr="004511C8">
        <w:rPr>
          <w:rFonts w:ascii="Arial" w:hAnsi="Arial" w:cs="Arial"/>
          <w:sz w:val="22"/>
          <w:szCs w:val="22"/>
        </w:rPr>
        <w:t xml:space="preserve"> rather</w:t>
      </w:r>
      <w:r w:rsidR="00D712C3" w:rsidRPr="004511C8">
        <w:rPr>
          <w:rFonts w:ascii="Arial" w:hAnsi="Arial" w:cs="Arial"/>
          <w:sz w:val="22"/>
          <w:szCs w:val="22"/>
        </w:rPr>
        <w:t>,</w:t>
      </w:r>
      <w:r w:rsidRPr="004511C8">
        <w:rPr>
          <w:rFonts w:ascii="Arial" w:hAnsi="Arial" w:cs="Arial"/>
          <w:sz w:val="22"/>
          <w:szCs w:val="22"/>
        </w:rPr>
        <w:t xml:space="preserve"> the results of the appraisal were used to determine the strength of the evidence. The extraction of data included author, year, design, setting, sample, focus on resistance, main findings, and </w:t>
      </w:r>
      <w:r w:rsidR="00D712C3" w:rsidRPr="004511C8">
        <w:rPr>
          <w:rFonts w:ascii="Arial" w:hAnsi="Arial" w:cs="Arial"/>
          <w:sz w:val="22"/>
          <w:szCs w:val="22"/>
        </w:rPr>
        <w:t xml:space="preserve">the </w:t>
      </w:r>
      <w:r w:rsidRPr="004511C8">
        <w:rPr>
          <w:rFonts w:ascii="Arial" w:hAnsi="Arial" w:cs="Arial"/>
          <w:sz w:val="22"/>
          <w:szCs w:val="22"/>
        </w:rPr>
        <w:t xml:space="preserve">mentioned implications on young adults or sexual health practice. Due to the methodological heterogeneity of the studies included and the frequent use of surveillance studies, meta-analysis was not suitable. Results were synthesised in narrative form, and qualitative knowledge was coded using thematic categories and combined into the overall analysis of resistance patterns, treatment failure, and outbreak patterns and implications among young adults. This solution was in line with the narrative synthesis advice and thematic synthesis procedures of incorporating non-homogeneous evidence. </w:t>
      </w:r>
    </w:p>
    <w:p w14:paraId="3C9D1478" w14:textId="77777777" w:rsidR="004C590D" w:rsidRPr="004511C8" w:rsidRDefault="004C590D" w:rsidP="005F4984">
      <w:pPr>
        <w:rPr>
          <w:rFonts w:ascii="Arial" w:hAnsi="Arial" w:cs="Arial"/>
          <w:sz w:val="22"/>
          <w:szCs w:val="22"/>
        </w:rPr>
      </w:pPr>
      <w:r w:rsidRPr="004511C8">
        <w:rPr>
          <w:rFonts w:ascii="Arial" w:hAnsi="Arial" w:cs="Arial"/>
          <w:sz w:val="22"/>
          <w:szCs w:val="22"/>
        </w:rPr>
        <w:t xml:space="preserve"> </w:t>
      </w:r>
    </w:p>
    <w:p w14:paraId="7CC890E1" w14:textId="4EA4AA09" w:rsidR="00B46DC1" w:rsidRPr="004511C8" w:rsidRDefault="00D0053E" w:rsidP="005F4984">
      <w:pPr>
        <w:pStyle w:val="Image"/>
        <w:rPr>
          <w:rFonts w:ascii="Arial" w:hAnsi="Arial" w:cs="Arial"/>
          <w:noProof w:val="0"/>
          <w:sz w:val="22"/>
        </w:rPr>
      </w:pPr>
      <w:r w:rsidRPr="004511C8">
        <w:rPr>
          <w:rFonts w:ascii="Arial" w:hAnsi="Arial" w:cs="Arial"/>
          <w:sz w:val="22"/>
        </w:rPr>
        <w:lastRenderedPageBreak/>
        <w:drawing>
          <wp:inline distT="0" distB="0" distL="0" distR="0" wp14:anchorId="1E1BF4BC" wp14:editId="68F3D9EE">
            <wp:extent cx="4554855" cy="505415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1"/>
                    <a:stretch>
                      <a:fillRect/>
                    </a:stretch>
                  </pic:blipFill>
                  <pic:spPr>
                    <a:xfrm>
                      <a:off x="0" y="0"/>
                      <a:ext cx="4557432" cy="5057016"/>
                    </a:xfrm>
                    <a:prstGeom prst="rect">
                      <a:avLst/>
                    </a:prstGeom>
                  </pic:spPr>
                </pic:pic>
              </a:graphicData>
            </a:graphic>
          </wp:inline>
        </w:drawing>
      </w:r>
    </w:p>
    <w:p w14:paraId="7127221F" w14:textId="77777777" w:rsidR="004C590D" w:rsidRPr="004511C8" w:rsidRDefault="004C590D" w:rsidP="005F4984">
      <w:pPr>
        <w:pStyle w:val="Image"/>
        <w:rPr>
          <w:rFonts w:ascii="Arial" w:hAnsi="Arial" w:cs="Arial"/>
          <w:noProof w:val="0"/>
          <w:sz w:val="22"/>
        </w:rPr>
      </w:pPr>
      <w:r w:rsidRPr="004511C8">
        <w:rPr>
          <w:rFonts w:ascii="Arial" w:hAnsi="Arial" w:cs="Arial"/>
          <w:noProof w:val="0"/>
          <w:sz w:val="22"/>
        </w:rPr>
        <w:t>Figure 1: PRISMA flow chart/use the template</w:t>
      </w:r>
    </w:p>
    <w:p w14:paraId="66337943" w14:textId="77777777" w:rsidR="00B46DC1" w:rsidRPr="004511C8" w:rsidRDefault="00B46DC1" w:rsidP="005F4984">
      <w:pPr>
        <w:rPr>
          <w:rFonts w:ascii="Arial" w:hAnsi="Arial" w:cs="Arial"/>
          <w:sz w:val="22"/>
          <w:szCs w:val="22"/>
        </w:rPr>
      </w:pPr>
    </w:p>
    <w:p w14:paraId="0554FA00" w14:textId="29B7F82E" w:rsidR="004C590D" w:rsidRPr="004511C8" w:rsidRDefault="00B46DC1" w:rsidP="005F4984">
      <w:pPr>
        <w:pStyle w:val="Heading2"/>
        <w:rPr>
          <w:rFonts w:ascii="Arial" w:hAnsi="Arial" w:cs="Arial"/>
          <w:sz w:val="22"/>
          <w:szCs w:val="22"/>
        </w:rPr>
      </w:pPr>
      <w:bookmarkStart w:id="23" w:name="_Toc229082780"/>
      <w:r w:rsidRPr="004511C8">
        <w:rPr>
          <w:rFonts w:ascii="Arial" w:hAnsi="Arial" w:cs="Arial"/>
          <w:sz w:val="22"/>
          <w:szCs w:val="22"/>
        </w:rPr>
        <w:t xml:space="preserve">3.9 </w:t>
      </w:r>
      <w:r w:rsidR="004C590D" w:rsidRPr="004511C8">
        <w:rPr>
          <w:rFonts w:ascii="Arial" w:hAnsi="Arial" w:cs="Arial"/>
          <w:sz w:val="22"/>
          <w:szCs w:val="22"/>
        </w:rPr>
        <w:t>Ethical Considerations</w:t>
      </w:r>
      <w:bookmarkEnd w:id="23"/>
    </w:p>
    <w:p w14:paraId="2807737F" w14:textId="5C2BD843" w:rsidR="004C590D" w:rsidRPr="004511C8" w:rsidRDefault="004C590D" w:rsidP="005F4984">
      <w:pPr>
        <w:rPr>
          <w:rFonts w:ascii="Arial" w:hAnsi="Arial" w:cs="Arial"/>
          <w:sz w:val="22"/>
          <w:szCs w:val="22"/>
        </w:rPr>
      </w:pPr>
      <w:r w:rsidRPr="004511C8">
        <w:rPr>
          <w:rFonts w:ascii="Arial" w:hAnsi="Arial" w:cs="Arial"/>
          <w:sz w:val="22"/>
          <w:szCs w:val="22"/>
        </w:rPr>
        <w:t xml:space="preserve">Research ethics are those principles that are applied to ensure integrity, transparency, fairness and responsibility in research production and reporting. Since this study used published literature only, formal institutional ethical approval was not needed. Nevertheless, the relevance of ethical considerations did not go away since systematic reviews may recreate bias, </w:t>
      </w:r>
      <w:r w:rsidR="00A7196E" w:rsidRPr="004511C8">
        <w:rPr>
          <w:rFonts w:ascii="Arial" w:hAnsi="Arial" w:cs="Arial"/>
          <w:sz w:val="22"/>
          <w:szCs w:val="22"/>
        </w:rPr>
        <w:t>poorly conducted</w:t>
      </w:r>
      <w:r w:rsidRPr="004511C8">
        <w:rPr>
          <w:rFonts w:ascii="Arial" w:hAnsi="Arial" w:cs="Arial"/>
          <w:sz w:val="22"/>
          <w:szCs w:val="22"/>
        </w:rPr>
        <w:t xml:space="preserve"> or </w:t>
      </w:r>
      <w:r w:rsidR="00A7196E" w:rsidRPr="004511C8">
        <w:rPr>
          <w:rFonts w:ascii="Arial" w:hAnsi="Arial" w:cs="Arial"/>
          <w:sz w:val="22"/>
          <w:szCs w:val="22"/>
        </w:rPr>
        <w:t>ethically problematic</w:t>
      </w:r>
      <w:r w:rsidRPr="004511C8">
        <w:rPr>
          <w:rFonts w:ascii="Arial" w:hAnsi="Arial" w:cs="Arial"/>
          <w:sz w:val="22"/>
          <w:szCs w:val="22"/>
        </w:rPr>
        <w:t xml:space="preserve"> evidence when appraisal is not done in depth. That is why peer-reviewed studies were considered only, the methodology quality was critically </w:t>
      </w:r>
      <w:r w:rsidR="00A7196E" w:rsidRPr="004511C8">
        <w:rPr>
          <w:rFonts w:ascii="Arial" w:hAnsi="Arial" w:cs="Arial"/>
          <w:sz w:val="22"/>
          <w:szCs w:val="22"/>
        </w:rPr>
        <w:t>evaluated,</w:t>
      </w:r>
      <w:r w:rsidRPr="004511C8">
        <w:rPr>
          <w:rFonts w:ascii="Arial" w:hAnsi="Arial" w:cs="Arial"/>
          <w:sz w:val="22"/>
          <w:szCs w:val="22"/>
        </w:rPr>
        <w:t xml:space="preserve"> and the results were presented in an open way without any selectivity. Also assumed in the review was that primary studies included had received adequate ethical review prior to publication, and that the fact that they have been published does not exclude the possibility of ethical concern (Wager and Wiffen, 2011).  </w:t>
      </w:r>
    </w:p>
    <w:p w14:paraId="40E68A08" w14:textId="4E80573C" w:rsidR="004C590D" w:rsidRPr="004511C8" w:rsidRDefault="00B46DC1" w:rsidP="005F4984">
      <w:pPr>
        <w:pStyle w:val="Heading2"/>
        <w:rPr>
          <w:rFonts w:ascii="Arial" w:hAnsi="Arial" w:cs="Arial"/>
          <w:sz w:val="22"/>
          <w:szCs w:val="22"/>
        </w:rPr>
      </w:pPr>
      <w:bookmarkStart w:id="24" w:name="_Toc229082781"/>
      <w:r w:rsidRPr="004511C8">
        <w:rPr>
          <w:rFonts w:ascii="Arial" w:hAnsi="Arial" w:cs="Arial"/>
          <w:sz w:val="22"/>
          <w:szCs w:val="22"/>
        </w:rPr>
        <w:lastRenderedPageBreak/>
        <w:t xml:space="preserve">3.10 </w:t>
      </w:r>
      <w:r w:rsidR="004C590D" w:rsidRPr="004511C8">
        <w:rPr>
          <w:rFonts w:ascii="Arial" w:hAnsi="Arial" w:cs="Arial"/>
          <w:sz w:val="22"/>
          <w:szCs w:val="22"/>
        </w:rPr>
        <w:t>Chapter Summary</w:t>
      </w:r>
      <w:bookmarkEnd w:id="24"/>
    </w:p>
    <w:p w14:paraId="674A25E7" w14:textId="0F8694FC" w:rsidR="004C590D" w:rsidRPr="004511C8" w:rsidRDefault="004C590D" w:rsidP="005F4984">
      <w:pPr>
        <w:rPr>
          <w:rFonts w:ascii="Arial" w:hAnsi="Arial" w:cs="Arial"/>
          <w:sz w:val="22"/>
          <w:szCs w:val="22"/>
        </w:rPr>
      </w:pPr>
      <w:r w:rsidRPr="004511C8">
        <w:rPr>
          <w:rFonts w:ascii="Arial" w:hAnsi="Arial" w:cs="Arial"/>
          <w:sz w:val="22"/>
          <w:szCs w:val="22"/>
        </w:rPr>
        <w:t xml:space="preserve">This chapter outlined the methodology used to conduct the review. It supported the application of a systematic literature review, outlined the search strategy, databases, search terms and inclusion criteria, and how 25 studies conducted in the UK were located and reviewed in the period between 2021 and 2025. Rigour was enhanced through a transparent PRISMA-directed procedure and MMAT-based critical </w:t>
      </w:r>
      <w:r w:rsidR="00A7196E" w:rsidRPr="004511C8">
        <w:rPr>
          <w:rFonts w:ascii="Arial" w:hAnsi="Arial" w:cs="Arial"/>
          <w:sz w:val="22"/>
          <w:szCs w:val="22"/>
        </w:rPr>
        <w:t>appraisal,</w:t>
      </w:r>
      <w:r w:rsidRPr="004511C8">
        <w:rPr>
          <w:rFonts w:ascii="Arial" w:hAnsi="Arial" w:cs="Arial"/>
          <w:sz w:val="22"/>
          <w:szCs w:val="22"/>
        </w:rPr>
        <w:t xml:space="preserve"> and narrative and thematic synthesis were chosen due to the study design and outcome heterogeneity. The following chapter shows the results of the review comparing the included studies to the resistance trends, the treatment failure, the pattern of the outbreaks and the implication of the same in the case of young adults as far as UK is concerned.</w:t>
      </w:r>
    </w:p>
    <w:p w14:paraId="229CF652" w14:textId="77777777" w:rsidR="004C590D" w:rsidRPr="004511C8" w:rsidRDefault="004C590D" w:rsidP="005F4984">
      <w:pPr>
        <w:rPr>
          <w:rFonts w:ascii="Arial" w:hAnsi="Arial" w:cs="Arial"/>
          <w:sz w:val="22"/>
          <w:szCs w:val="22"/>
        </w:rPr>
      </w:pPr>
      <w:r w:rsidRPr="004511C8">
        <w:rPr>
          <w:rFonts w:ascii="Arial" w:hAnsi="Arial" w:cs="Arial"/>
          <w:sz w:val="22"/>
          <w:szCs w:val="22"/>
        </w:rPr>
        <w:t xml:space="preserve"> </w:t>
      </w:r>
    </w:p>
    <w:p w14:paraId="2F01208B" w14:textId="77777777" w:rsidR="00DD28A5" w:rsidRPr="004511C8" w:rsidRDefault="00DD28A5" w:rsidP="005F4984">
      <w:pPr>
        <w:rPr>
          <w:rFonts w:ascii="Arial" w:hAnsi="Arial" w:cs="Arial"/>
          <w:sz w:val="22"/>
          <w:szCs w:val="22"/>
        </w:rPr>
      </w:pPr>
    </w:p>
    <w:p w14:paraId="732B16D0" w14:textId="77777777" w:rsidR="00DD28A5" w:rsidRPr="004511C8" w:rsidRDefault="00DD28A5" w:rsidP="005F4984">
      <w:pPr>
        <w:jc w:val="left"/>
        <w:rPr>
          <w:rFonts w:ascii="Arial" w:hAnsi="Arial" w:cs="Arial"/>
          <w:sz w:val="22"/>
          <w:szCs w:val="22"/>
        </w:rPr>
      </w:pPr>
      <w:r w:rsidRPr="004511C8">
        <w:rPr>
          <w:rFonts w:ascii="Arial" w:hAnsi="Arial" w:cs="Arial"/>
          <w:sz w:val="22"/>
          <w:szCs w:val="22"/>
        </w:rPr>
        <w:br w:type="page"/>
      </w:r>
    </w:p>
    <w:p w14:paraId="594A5334" w14:textId="410EE319" w:rsidR="00DD28A5" w:rsidRPr="004511C8" w:rsidRDefault="00DD28A5" w:rsidP="005F4984">
      <w:pPr>
        <w:pStyle w:val="Heading1"/>
        <w:rPr>
          <w:rFonts w:ascii="Arial" w:hAnsi="Arial" w:cs="Arial"/>
          <w:sz w:val="22"/>
          <w:szCs w:val="22"/>
        </w:rPr>
      </w:pPr>
      <w:bookmarkStart w:id="25" w:name="_Toc229082782"/>
      <w:r w:rsidRPr="004511C8">
        <w:rPr>
          <w:rFonts w:ascii="Arial" w:hAnsi="Arial" w:cs="Arial"/>
          <w:sz w:val="22"/>
          <w:szCs w:val="22"/>
        </w:rPr>
        <w:lastRenderedPageBreak/>
        <w:t>CHAPTER 4: DATA EXTRACTION AND EVALUATION</w:t>
      </w:r>
      <w:bookmarkEnd w:id="25"/>
    </w:p>
    <w:p w14:paraId="68B79ECB" w14:textId="77777777" w:rsidR="00DD28A5" w:rsidRPr="004511C8" w:rsidRDefault="00DD28A5" w:rsidP="005F4984">
      <w:pPr>
        <w:rPr>
          <w:rFonts w:ascii="Arial" w:hAnsi="Arial" w:cs="Arial"/>
          <w:sz w:val="22"/>
          <w:szCs w:val="22"/>
        </w:rPr>
      </w:pPr>
    </w:p>
    <w:p w14:paraId="1366E283" w14:textId="20DA107F" w:rsidR="00DD28A5" w:rsidRPr="004511C8" w:rsidRDefault="00DD28A5" w:rsidP="005F4984">
      <w:pPr>
        <w:pStyle w:val="Heading2"/>
        <w:rPr>
          <w:rFonts w:ascii="Arial" w:hAnsi="Arial" w:cs="Arial"/>
          <w:sz w:val="22"/>
          <w:szCs w:val="22"/>
        </w:rPr>
      </w:pPr>
      <w:bookmarkStart w:id="26" w:name="_Toc229082783"/>
      <w:r w:rsidRPr="004511C8">
        <w:rPr>
          <w:rFonts w:ascii="Arial" w:hAnsi="Arial" w:cs="Arial"/>
          <w:sz w:val="22"/>
          <w:szCs w:val="22"/>
        </w:rPr>
        <w:t>4.1 Introduction to Chapter</w:t>
      </w:r>
      <w:bookmarkEnd w:id="26"/>
    </w:p>
    <w:p w14:paraId="6D0C6F4A" w14:textId="74C406C7" w:rsidR="00DD28A5" w:rsidRPr="004511C8" w:rsidRDefault="00DD28A5" w:rsidP="005F4984">
      <w:pPr>
        <w:rPr>
          <w:rFonts w:ascii="Arial" w:hAnsi="Arial" w:cs="Arial"/>
          <w:sz w:val="22"/>
          <w:szCs w:val="22"/>
        </w:rPr>
      </w:pPr>
      <w:r w:rsidRPr="004511C8">
        <w:rPr>
          <w:rFonts w:ascii="Arial" w:hAnsi="Arial" w:cs="Arial"/>
          <w:sz w:val="22"/>
          <w:szCs w:val="22"/>
        </w:rPr>
        <w:t>The chapter gives the steps involved in data extraction and critical appraisal in this systematic literature review. To extract the most relevant data in each of the included studies, data extraction was performed in a structured and consistent way, which permitted comparing the evidence base across (Page et al. 2021). Moreover, the chapter critically analyses the quality of the methodology of the included studies to identify the overall strength, credibility</w:t>
      </w:r>
      <w:r w:rsidR="00DE7A0E" w:rsidRPr="004511C8">
        <w:rPr>
          <w:rFonts w:ascii="Arial" w:hAnsi="Arial" w:cs="Arial"/>
          <w:sz w:val="22"/>
          <w:szCs w:val="22"/>
        </w:rPr>
        <w:t>,</w:t>
      </w:r>
      <w:r w:rsidRPr="004511C8">
        <w:rPr>
          <w:rFonts w:ascii="Arial" w:hAnsi="Arial" w:cs="Arial"/>
          <w:sz w:val="22"/>
          <w:szCs w:val="22"/>
        </w:rPr>
        <w:t xml:space="preserve"> and relevance of the evidence (Higgins and Thomas, 2024). Due to the inclusion of UK studies of various designs, both surveillance and outbreak investigations, observational studies</w:t>
      </w:r>
      <w:r w:rsidR="00DE7A0E" w:rsidRPr="004511C8">
        <w:rPr>
          <w:rFonts w:ascii="Arial" w:hAnsi="Arial" w:cs="Arial"/>
          <w:sz w:val="22"/>
          <w:szCs w:val="22"/>
        </w:rPr>
        <w:t>,</w:t>
      </w:r>
      <w:r w:rsidRPr="004511C8">
        <w:rPr>
          <w:rFonts w:ascii="Arial" w:hAnsi="Arial" w:cs="Arial"/>
          <w:sz w:val="22"/>
          <w:szCs w:val="22"/>
        </w:rPr>
        <w:t xml:space="preserve"> and public health response papers, a systematic appraisal process was required to make sure that the interpretation of the findings was based on the quality of the study, not on the description alone (Hong et al. 2018). The chapter thus describes what </w:t>
      </w:r>
      <w:r w:rsidR="00DE7A0E" w:rsidRPr="004511C8">
        <w:rPr>
          <w:rFonts w:ascii="Arial" w:hAnsi="Arial" w:cs="Arial"/>
          <w:sz w:val="22"/>
          <w:szCs w:val="22"/>
        </w:rPr>
        <w:t>information is</w:t>
      </w:r>
      <w:r w:rsidRPr="004511C8">
        <w:rPr>
          <w:rFonts w:ascii="Arial" w:hAnsi="Arial" w:cs="Arial"/>
          <w:sz w:val="22"/>
          <w:szCs w:val="22"/>
        </w:rPr>
        <w:t xml:space="preserve"> derived </w:t>
      </w:r>
      <w:r w:rsidR="00DE7A0E" w:rsidRPr="004511C8">
        <w:rPr>
          <w:rFonts w:ascii="Arial" w:hAnsi="Arial" w:cs="Arial"/>
          <w:sz w:val="22"/>
          <w:szCs w:val="22"/>
        </w:rPr>
        <w:t>from</w:t>
      </w:r>
      <w:r w:rsidRPr="004511C8">
        <w:rPr>
          <w:rFonts w:ascii="Arial" w:hAnsi="Arial" w:cs="Arial"/>
          <w:sz w:val="22"/>
          <w:szCs w:val="22"/>
        </w:rPr>
        <w:t xml:space="preserve"> the studies</w:t>
      </w:r>
      <w:r w:rsidR="00DE7A0E" w:rsidRPr="004511C8">
        <w:rPr>
          <w:rFonts w:ascii="Arial" w:hAnsi="Arial" w:cs="Arial"/>
          <w:sz w:val="22"/>
          <w:szCs w:val="22"/>
        </w:rPr>
        <w:t>, what</w:t>
      </w:r>
      <w:r w:rsidRPr="004511C8">
        <w:rPr>
          <w:rFonts w:ascii="Arial" w:hAnsi="Arial" w:cs="Arial"/>
          <w:sz w:val="22"/>
          <w:szCs w:val="22"/>
        </w:rPr>
        <w:t xml:space="preserve"> method of appraisal </w:t>
      </w:r>
      <w:r w:rsidR="00DE7A0E" w:rsidRPr="004511C8">
        <w:rPr>
          <w:rFonts w:ascii="Arial" w:hAnsi="Arial" w:cs="Arial"/>
          <w:sz w:val="22"/>
          <w:szCs w:val="22"/>
        </w:rPr>
        <w:t xml:space="preserve">was </w:t>
      </w:r>
      <w:r w:rsidRPr="004511C8">
        <w:rPr>
          <w:rFonts w:ascii="Arial" w:hAnsi="Arial" w:cs="Arial"/>
          <w:sz w:val="22"/>
          <w:szCs w:val="22"/>
        </w:rPr>
        <w:t>applied, and the quality of the evidence incorporated.</w:t>
      </w:r>
    </w:p>
    <w:p w14:paraId="11165076" w14:textId="77777777" w:rsidR="00DD28A5" w:rsidRPr="004511C8" w:rsidRDefault="00DD28A5" w:rsidP="005F4984">
      <w:pPr>
        <w:rPr>
          <w:rFonts w:ascii="Arial" w:hAnsi="Arial" w:cs="Arial"/>
          <w:sz w:val="22"/>
          <w:szCs w:val="22"/>
        </w:rPr>
      </w:pPr>
    </w:p>
    <w:p w14:paraId="20198BF8" w14:textId="77777777" w:rsidR="00DD28A5" w:rsidRPr="004511C8" w:rsidRDefault="00DD28A5" w:rsidP="005F4984">
      <w:pPr>
        <w:pStyle w:val="Heading2"/>
        <w:rPr>
          <w:rFonts w:ascii="Arial" w:hAnsi="Arial" w:cs="Arial"/>
          <w:sz w:val="22"/>
          <w:szCs w:val="22"/>
        </w:rPr>
      </w:pPr>
      <w:bookmarkStart w:id="27" w:name="_Toc229082784"/>
      <w:r w:rsidRPr="004511C8">
        <w:rPr>
          <w:rFonts w:ascii="Arial" w:hAnsi="Arial" w:cs="Arial"/>
          <w:sz w:val="22"/>
          <w:szCs w:val="22"/>
        </w:rPr>
        <w:t>4.2 Data Extraction</w:t>
      </w:r>
      <w:bookmarkEnd w:id="27"/>
    </w:p>
    <w:p w14:paraId="0F1B7F6A" w14:textId="0C09D1B4" w:rsidR="00DD28A5" w:rsidRPr="004511C8" w:rsidRDefault="00DD28A5" w:rsidP="005F4984">
      <w:pPr>
        <w:rPr>
          <w:rFonts w:ascii="Arial" w:hAnsi="Arial" w:cs="Arial"/>
          <w:sz w:val="22"/>
          <w:szCs w:val="22"/>
        </w:rPr>
      </w:pPr>
      <w:r w:rsidRPr="004511C8">
        <w:rPr>
          <w:rFonts w:ascii="Arial" w:hAnsi="Arial" w:cs="Arial"/>
          <w:sz w:val="22"/>
          <w:szCs w:val="22"/>
        </w:rPr>
        <w:t xml:space="preserve">Data extraction is the systematic process of retrieving the information available in included studies in a way that the findings could be compared, organised and synthesised in a transparent manner </w:t>
      </w:r>
      <w:r w:rsidR="00E55E62" w:rsidRPr="004511C8">
        <w:rPr>
          <w:rFonts w:ascii="Arial" w:hAnsi="Arial" w:cs="Arial"/>
          <w:sz w:val="22"/>
          <w:szCs w:val="22"/>
        </w:rPr>
        <w:t>(</w:t>
      </w:r>
      <w:proofErr w:type="spellStart"/>
      <w:r w:rsidR="00E55E62" w:rsidRPr="004511C8">
        <w:rPr>
          <w:rFonts w:ascii="Arial" w:hAnsi="Arial" w:cs="Arial"/>
          <w:sz w:val="22"/>
          <w:szCs w:val="22"/>
        </w:rPr>
        <w:t>Büchter</w:t>
      </w:r>
      <w:proofErr w:type="spellEnd"/>
      <w:r w:rsidR="00E55E62" w:rsidRPr="004511C8">
        <w:rPr>
          <w:rFonts w:ascii="Arial" w:hAnsi="Arial" w:cs="Arial"/>
          <w:sz w:val="22"/>
          <w:szCs w:val="22"/>
        </w:rPr>
        <w:t>, Weise and Pieper, 2020)</w:t>
      </w:r>
      <w:r w:rsidRPr="004511C8">
        <w:rPr>
          <w:rFonts w:ascii="Arial" w:hAnsi="Arial" w:cs="Arial"/>
          <w:sz w:val="22"/>
          <w:szCs w:val="22"/>
        </w:rPr>
        <w:t xml:space="preserve">. Data extraction is crucial in systematic reviews as it minimizes the possibility of selective reporting and </w:t>
      </w:r>
      <w:r w:rsidR="00E55E62" w:rsidRPr="004511C8">
        <w:rPr>
          <w:rFonts w:ascii="Arial" w:hAnsi="Arial" w:cs="Arial"/>
          <w:sz w:val="22"/>
          <w:szCs w:val="22"/>
        </w:rPr>
        <w:t>ensures</w:t>
      </w:r>
      <w:r w:rsidRPr="004511C8">
        <w:rPr>
          <w:rFonts w:ascii="Arial" w:hAnsi="Arial" w:cs="Arial"/>
          <w:sz w:val="22"/>
          <w:szCs w:val="22"/>
        </w:rPr>
        <w:t xml:space="preserve"> that all studies are evaluated based on similar criteria (Higgins and Thomas, 2024). The current review created a standardised data extraction table to capture the key features of every study included in the UK. The fields extracted were author and year, UK setting, study aim, study design, sample or population, the focus of the antimicrobial resistance, the key findings and their relevance to the review. This method ensured that a comparison between studies of various methodological designs is possible</w:t>
      </w:r>
      <w:r w:rsidR="00E55E62" w:rsidRPr="004511C8">
        <w:rPr>
          <w:rFonts w:ascii="Arial" w:hAnsi="Arial" w:cs="Arial"/>
          <w:sz w:val="22"/>
          <w:szCs w:val="22"/>
        </w:rPr>
        <w:t>,</w:t>
      </w:r>
      <w:r w:rsidRPr="004511C8">
        <w:rPr>
          <w:rFonts w:ascii="Arial" w:hAnsi="Arial" w:cs="Arial"/>
          <w:sz w:val="22"/>
          <w:szCs w:val="22"/>
        </w:rPr>
        <w:t xml:space="preserve"> but without losing track of the review question. The finished study characteristics table is provided in the appendix and was used to complement the narrative synthesis in subsequent chapters.</w:t>
      </w:r>
    </w:p>
    <w:p w14:paraId="2CF3C293" w14:textId="77777777" w:rsidR="00DD28A5" w:rsidRPr="004511C8" w:rsidRDefault="00DD28A5" w:rsidP="005F4984">
      <w:pPr>
        <w:rPr>
          <w:rFonts w:ascii="Arial" w:hAnsi="Arial" w:cs="Arial"/>
          <w:sz w:val="22"/>
          <w:szCs w:val="22"/>
        </w:rPr>
      </w:pPr>
    </w:p>
    <w:p w14:paraId="1E7C5CAB" w14:textId="77777777" w:rsidR="00DD28A5" w:rsidRPr="004511C8" w:rsidRDefault="00DD28A5" w:rsidP="005F4984">
      <w:pPr>
        <w:pStyle w:val="Heading2"/>
        <w:rPr>
          <w:rFonts w:ascii="Arial" w:hAnsi="Arial" w:cs="Arial"/>
          <w:sz w:val="22"/>
          <w:szCs w:val="22"/>
        </w:rPr>
      </w:pPr>
      <w:bookmarkStart w:id="28" w:name="_Toc229082785"/>
      <w:r w:rsidRPr="004511C8">
        <w:rPr>
          <w:rFonts w:ascii="Arial" w:hAnsi="Arial" w:cs="Arial"/>
          <w:sz w:val="22"/>
          <w:szCs w:val="22"/>
        </w:rPr>
        <w:t>4.3 Brief Introduction to Critical Appraisal and Paper Quality Assessment</w:t>
      </w:r>
      <w:bookmarkEnd w:id="28"/>
    </w:p>
    <w:p w14:paraId="23FBC8BD" w14:textId="2064D7DA" w:rsidR="00DD28A5" w:rsidRPr="004511C8" w:rsidRDefault="00DD28A5" w:rsidP="005F4984">
      <w:pPr>
        <w:rPr>
          <w:rFonts w:ascii="Arial" w:hAnsi="Arial" w:cs="Arial"/>
          <w:sz w:val="22"/>
          <w:szCs w:val="22"/>
        </w:rPr>
      </w:pPr>
      <w:r w:rsidRPr="004511C8">
        <w:rPr>
          <w:rFonts w:ascii="Arial" w:hAnsi="Arial" w:cs="Arial"/>
          <w:sz w:val="22"/>
          <w:szCs w:val="22"/>
        </w:rPr>
        <w:t xml:space="preserve">The critical appraisal is the systematic approach to research studies to evaluate their methodological quality, credibility, validity and relevance to a specific review question </w:t>
      </w:r>
      <w:r w:rsidR="00E55E62" w:rsidRPr="004511C8">
        <w:rPr>
          <w:rFonts w:ascii="Arial" w:hAnsi="Arial" w:cs="Arial"/>
          <w:sz w:val="22"/>
          <w:szCs w:val="22"/>
        </w:rPr>
        <w:t>(Shaheen et al. 2023)</w:t>
      </w:r>
      <w:r w:rsidRPr="004511C8">
        <w:rPr>
          <w:rFonts w:ascii="Arial" w:hAnsi="Arial" w:cs="Arial"/>
          <w:sz w:val="22"/>
          <w:szCs w:val="22"/>
        </w:rPr>
        <w:t xml:space="preserve">. Critical appraisal is relevant in the framework of systematic reviews </w:t>
      </w:r>
      <w:r w:rsidRPr="004511C8">
        <w:rPr>
          <w:rFonts w:ascii="Arial" w:hAnsi="Arial" w:cs="Arial"/>
          <w:sz w:val="22"/>
          <w:szCs w:val="22"/>
        </w:rPr>
        <w:lastRenderedPageBreak/>
        <w:t>since not every published study offers evidence of equal quality, and a conclusion should not be drawn solely based on the findings and not consider how these findings were obtained (Higgins and Thomas, 2024). Important results may be reported in a paper, and design, sampling, data collection or data analysis weaknesses may undermine the confidence of the conclusions. Critical appraisal is particularly significant in the context of public health reviews since the quality of evidence can impact policy and practice recommendations (Page et al.</w:t>
      </w:r>
      <w:r w:rsidR="00740C23" w:rsidRPr="004511C8">
        <w:rPr>
          <w:rFonts w:ascii="Arial" w:hAnsi="Arial" w:cs="Arial"/>
          <w:sz w:val="22"/>
          <w:szCs w:val="22"/>
        </w:rPr>
        <w:t xml:space="preserve"> </w:t>
      </w:r>
      <w:r w:rsidRPr="004511C8">
        <w:rPr>
          <w:rFonts w:ascii="Arial" w:hAnsi="Arial" w:cs="Arial"/>
          <w:sz w:val="22"/>
          <w:szCs w:val="22"/>
        </w:rPr>
        <w:t xml:space="preserve">2021). It is on this basis that the studies that were incorporated in this review were not only described but also reviewed in reference to methodological rigour, relevance and limitations. This procedure aided in ensuring that the development of gonococcal antimicrobial resistance evidence in the UK was well-balanced and </w:t>
      </w:r>
      <w:r w:rsidR="00740C23" w:rsidRPr="004511C8">
        <w:rPr>
          <w:rFonts w:ascii="Arial" w:hAnsi="Arial" w:cs="Arial"/>
          <w:sz w:val="22"/>
          <w:szCs w:val="22"/>
        </w:rPr>
        <w:t>evidence based</w:t>
      </w:r>
      <w:r w:rsidRPr="004511C8">
        <w:rPr>
          <w:rFonts w:ascii="Arial" w:hAnsi="Arial" w:cs="Arial"/>
          <w:sz w:val="22"/>
          <w:szCs w:val="22"/>
        </w:rPr>
        <w:t>.</w:t>
      </w:r>
    </w:p>
    <w:p w14:paraId="0D50D27B" w14:textId="77777777" w:rsidR="00DD28A5" w:rsidRPr="004511C8" w:rsidRDefault="00DD28A5" w:rsidP="005F4984">
      <w:pPr>
        <w:rPr>
          <w:rFonts w:ascii="Arial" w:hAnsi="Arial" w:cs="Arial"/>
          <w:sz w:val="22"/>
          <w:szCs w:val="22"/>
        </w:rPr>
      </w:pPr>
    </w:p>
    <w:p w14:paraId="70A767A9" w14:textId="77777777" w:rsidR="00DD28A5" w:rsidRPr="004511C8" w:rsidRDefault="00DD28A5" w:rsidP="005F4984">
      <w:pPr>
        <w:pStyle w:val="Heading2"/>
        <w:rPr>
          <w:rFonts w:ascii="Arial" w:hAnsi="Arial" w:cs="Arial"/>
          <w:sz w:val="22"/>
          <w:szCs w:val="22"/>
        </w:rPr>
      </w:pPr>
      <w:bookmarkStart w:id="29" w:name="_Toc229082786"/>
      <w:r w:rsidRPr="004511C8">
        <w:rPr>
          <w:rFonts w:ascii="Arial" w:hAnsi="Arial" w:cs="Arial"/>
          <w:sz w:val="22"/>
          <w:szCs w:val="22"/>
        </w:rPr>
        <w:t>4.4 Critical Appraisal Tools</w:t>
      </w:r>
      <w:bookmarkEnd w:id="29"/>
    </w:p>
    <w:p w14:paraId="6140BA53" w14:textId="4A16EB31" w:rsidR="00DD28A5" w:rsidRPr="004511C8" w:rsidRDefault="00DD28A5" w:rsidP="005F4984">
      <w:pPr>
        <w:rPr>
          <w:rFonts w:ascii="Arial" w:hAnsi="Arial" w:cs="Arial"/>
          <w:sz w:val="22"/>
          <w:szCs w:val="22"/>
        </w:rPr>
      </w:pPr>
      <w:r w:rsidRPr="004511C8">
        <w:rPr>
          <w:rFonts w:ascii="Arial" w:hAnsi="Arial" w:cs="Arial"/>
          <w:sz w:val="22"/>
          <w:szCs w:val="22"/>
        </w:rPr>
        <w:t>Critical appraisal tools are systematic and organized frameworks to evaluate the quality of methodology of research studies in a systematic and regular manner (Booth, Papaioannou and Sutton, 2016). The tools assist the reviewer in determining the extent to which the design of the study, sampling method, data collection, analysis and interpretation are robust enough to make reliable conclusions (Hong et al. 2018). As this review involved studies with a combination of more than one design, the Mixed Methods Appraisal Tool (MMAT) was chosen as the best appraisal tool. MMAT would be especially beneficial when reviews in question feature both qualitative and quantitative and non-quantitative evidence</w:t>
      </w:r>
      <w:r w:rsidR="00E55E62" w:rsidRPr="004511C8">
        <w:rPr>
          <w:rFonts w:ascii="Arial" w:hAnsi="Arial" w:cs="Arial"/>
          <w:sz w:val="22"/>
          <w:szCs w:val="22"/>
        </w:rPr>
        <w:t>,</w:t>
      </w:r>
      <w:r w:rsidRPr="004511C8">
        <w:rPr>
          <w:rFonts w:ascii="Arial" w:hAnsi="Arial" w:cs="Arial"/>
          <w:sz w:val="22"/>
          <w:szCs w:val="22"/>
        </w:rPr>
        <w:t xml:space="preserve"> as it offers one single framework that can be implemented in other methodological traditions </w:t>
      </w:r>
      <w:r w:rsidR="00E55E62" w:rsidRPr="004511C8">
        <w:rPr>
          <w:rFonts w:ascii="Arial" w:hAnsi="Arial" w:cs="Arial"/>
          <w:sz w:val="22"/>
          <w:szCs w:val="22"/>
        </w:rPr>
        <w:t>(Hayden et al. 2024)</w:t>
      </w:r>
      <w:r w:rsidRPr="004511C8">
        <w:rPr>
          <w:rFonts w:ascii="Arial" w:hAnsi="Arial" w:cs="Arial"/>
          <w:sz w:val="22"/>
          <w:szCs w:val="22"/>
        </w:rPr>
        <w:t xml:space="preserve">. Even though most of the studies included in this review were quantitative, predominantly </w:t>
      </w:r>
      <w:r w:rsidR="00E55E62" w:rsidRPr="004511C8">
        <w:rPr>
          <w:rFonts w:ascii="Arial" w:hAnsi="Arial" w:cs="Arial"/>
          <w:sz w:val="22"/>
          <w:szCs w:val="22"/>
        </w:rPr>
        <w:t>surveillance-based</w:t>
      </w:r>
      <w:r w:rsidRPr="004511C8">
        <w:rPr>
          <w:rFonts w:ascii="Arial" w:hAnsi="Arial" w:cs="Arial"/>
          <w:sz w:val="22"/>
          <w:szCs w:val="22"/>
        </w:rPr>
        <w:t>, observational studies, MMAT was appropriate since it enables consistent cross-design appraisal without having to utili</w:t>
      </w:r>
      <w:r w:rsidR="00F5767E" w:rsidRPr="004511C8">
        <w:rPr>
          <w:rFonts w:ascii="Arial" w:hAnsi="Arial" w:cs="Arial"/>
          <w:sz w:val="22"/>
          <w:szCs w:val="22"/>
        </w:rPr>
        <w:t>s</w:t>
      </w:r>
      <w:r w:rsidRPr="004511C8">
        <w:rPr>
          <w:rFonts w:ascii="Arial" w:hAnsi="Arial" w:cs="Arial"/>
          <w:sz w:val="22"/>
          <w:szCs w:val="22"/>
        </w:rPr>
        <w:t xml:space="preserve">e multiple unrelated tools. This is </w:t>
      </w:r>
      <w:r w:rsidR="00F5767E" w:rsidRPr="004511C8">
        <w:rPr>
          <w:rFonts w:ascii="Arial" w:hAnsi="Arial" w:cs="Arial"/>
          <w:sz w:val="22"/>
          <w:szCs w:val="22"/>
        </w:rPr>
        <w:t>because</w:t>
      </w:r>
      <w:r w:rsidRPr="004511C8">
        <w:rPr>
          <w:rFonts w:ascii="Arial" w:hAnsi="Arial" w:cs="Arial"/>
          <w:sz w:val="22"/>
          <w:szCs w:val="22"/>
        </w:rPr>
        <w:t xml:space="preserve"> an inadequate fit between tool and study design can result in </w:t>
      </w:r>
      <w:r w:rsidR="00E55E62" w:rsidRPr="004511C8">
        <w:rPr>
          <w:rFonts w:ascii="Arial" w:hAnsi="Arial" w:cs="Arial"/>
          <w:sz w:val="22"/>
          <w:szCs w:val="22"/>
        </w:rPr>
        <w:t>misjudgements</w:t>
      </w:r>
      <w:r w:rsidRPr="004511C8">
        <w:rPr>
          <w:rFonts w:ascii="Arial" w:hAnsi="Arial" w:cs="Arial"/>
          <w:sz w:val="22"/>
          <w:szCs w:val="22"/>
        </w:rPr>
        <w:t xml:space="preserve"> regarding quality, thus undermining the credibility of the reviews results </w:t>
      </w:r>
      <w:r w:rsidR="00E55E62" w:rsidRPr="004511C8">
        <w:rPr>
          <w:rFonts w:ascii="Arial" w:hAnsi="Arial" w:cs="Arial"/>
          <w:sz w:val="22"/>
          <w:szCs w:val="22"/>
        </w:rPr>
        <w:t>(Haddaway et al. 2020)</w:t>
      </w:r>
      <w:r w:rsidRPr="004511C8">
        <w:rPr>
          <w:rFonts w:ascii="Arial" w:hAnsi="Arial" w:cs="Arial"/>
          <w:sz w:val="22"/>
          <w:szCs w:val="22"/>
        </w:rPr>
        <w:t>. MMAT was consequently utili</w:t>
      </w:r>
      <w:r w:rsidR="00F5767E" w:rsidRPr="004511C8">
        <w:rPr>
          <w:rFonts w:ascii="Arial" w:hAnsi="Arial" w:cs="Arial"/>
          <w:sz w:val="22"/>
          <w:szCs w:val="22"/>
        </w:rPr>
        <w:t>s</w:t>
      </w:r>
      <w:r w:rsidRPr="004511C8">
        <w:rPr>
          <w:rFonts w:ascii="Arial" w:hAnsi="Arial" w:cs="Arial"/>
          <w:sz w:val="22"/>
          <w:szCs w:val="22"/>
        </w:rPr>
        <w:t>ed to help give a consistent and transparent evaluation of the evidence included.</w:t>
      </w:r>
    </w:p>
    <w:p w14:paraId="0B38ECC7" w14:textId="77777777" w:rsidR="00DD28A5" w:rsidRPr="004511C8" w:rsidRDefault="00DD28A5" w:rsidP="005F4984">
      <w:pPr>
        <w:rPr>
          <w:rFonts w:ascii="Arial" w:hAnsi="Arial" w:cs="Arial"/>
          <w:sz w:val="22"/>
          <w:szCs w:val="22"/>
        </w:rPr>
      </w:pPr>
    </w:p>
    <w:p w14:paraId="21E053FA" w14:textId="77777777" w:rsidR="00DD28A5" w:rsidRPr="004511C8" w:rsidRDefault="00DD28A5" w:rsidP="005F4984">
      <w:pPr>
        <w:pStyle w:val="Heading2"/>
        <w:rPr>
          <w:rFonts w:ascii="Arial" w:hAnsi="Arial" w:cs="Arial"/>
          <w:sz w:val="22"/>
          <w:szCs w:val="22"/>
        </w:rPr>
      </w:pPr>
      <w:bookmarkStart w:id="30" w:name="_Toc229082787"/>
      <w:r w:rsidRPr="004511C8">
        <w:rPr>
          <w:rFonts w:ascii="Arial" w:hAnsi="Arial" w:cs="Arial"/>
          <w:sz w:val="22"/>
          <w:szCs w:val="22"/>
        </w:rPr>
        <w:t>4.5 Evaluation of Qualitative Studies</w:t>
      </w:r>
      <w:bookmarkEnd w:id="30"/>
    </w:p>
    <w:p w14:paraId="360274D0" w14:textId="31B25DCE" w:rsidR="00DD28A5" w:rsidRPr="004511C8" w:rsidRDefault="00DD28A5" w:rsidP="005F4984">
      <w:pPr>
        <w:rPr>
          <w:rFonts w:ascii="Arial" w:hAnsi="Arial" w:cs="Arial"/>
          <w:sz w:val="22"/>
          <w:szCs w:val="22"/>
        </w:rPr>
      </w:pPr>
      <w:r w:rsidRPr="004511C8">
        <w:rPr>
          <w:rFonts w:ascii="Arial" w:hAnsi="Arial" w:cs="Arial"/>
          <w:sz w:val="22"/>
          <w:szCs w:val="22"/>
        </w:rPr>
        <w:t xml:space="preserve">Evaluation of qualitative studies is critical where qualitative studies are involved in a systematic review as they give a perspective of experience, perceptions, service barriers and contextual issues that would not be identified through quantitative methods by itself (Cooke, Smith and Booth, 2012). Qualitative evidence may be used to further refine the picture of the way that </w:t>
      </w:r>
      <w:r w:rsidRPr="004511C8">
        <w:rPr>
          <w:rFonts w:ascii="Arial" w:hAnsi="Arial" w:cs="Arial"/>
          <w:sz w:val="22"/>
          <w:szCs w:val="22"/>
        </w:rPr>
        <w:lastRenderedPageBreak/>
        <w:t xml:space="preserve">interventions, services or health risks are practiced, especially in certain populations in the context of public health research </w:t>
      </w:r>
      <w:r w:rsidR="00503433" w:rsidRPr="004511C8">
        <w:rPr>
          <w:rFonts w:ascii="Arial" w:hAnsi="Arial" w:cs="Arial"/>
          <w:sz w:val="22"/>
          <w:szCs w:val="22"/>
        </w:rPr>
        <w:t>(Flemming and Noyes, 2021)</w:t>
      </w:r>
      <w:r w:rsidRPr="004511C8">
        <w:rPr>
          <w:rFonts w:ascii="Arial" w:hAnsi="Arial" w:cs="Arial"/>
          <w:sz w:val="22"/>
          <w:szCs w:val="22"/>
        </w:rPr>
        <w:t xml:space="preserve">. Nevertheless, qualitative studies need to be carefully appraised as well </w:t>
      </w:r>
      <w:r w:rsidR="00F5767E" w:rsidRPr="004511C8">
        <w:rPr>
          <w:rFonts w:ascii="Arial" w:hAnsi="Arial" w:cs="Arial"/>
          <w:sz w:val="22"/>
          <w:szCs w:val="22"/>
        </w:rPr>
        <w:t>since</w:t>
      </w:r>
      <w:r w:rsidRPr="004511C8">
        <w:rPr>
          <w:rFonts w:ascii="Arial" w:hAnsi="Arial" w:cs="Arial"/>
          <w:sz w:val="22"/>
          <w:szCs w:val="22"/>
        </w:rPr>
        <w:t xml:space="preserve"> credibility of the results is based on the sampling, researcher reflexivity, depth of data collection, analytical transparency and connection between pieces of evidence and interpretation (</w:t>
      </w:r>
      <w:r w:rsidR="00503433" w:rsidRPr="004511C8">
        <w:rPr>
          <w:rFonts w:ascii="Arial" w:hAnsi="Arial" w:cs="Arial"/>
          <w:sz w:val="22"/>
          <w:szCs w:val="22"/>
        </w:rPr>
        <w:t xml:space="preserve">Williams, Boylan and Nunan, 2020; </w:t>
      </w:r>
      <w:r w:rsidRPr="004511C8">
        <w:rPr>
          <w:rFonts w:ascii="Arial" w:hAnsi="Arial" w:cs="Arial"/>
          <w:sz w:val="22"/>
          <w:szCs w:val="22"/>
        </w:rPr>
        <w:t>Hong et al. 2018).</w:t>
      </w:r>
    </w:p>
    <w:p w14:paraId="174824FC" w14:textId="3E6C7F88" w:rsidR="00DD28A5" w:rsidRPr="004511C8" w:rsidRDefault="00DD28A5" w:rsidP="005F4984">
      <w:pPr>
        <w:rPr>
          <w:rFonts w:ascii="Arial" w:hAnsi="Arial" w:cs="Arial"/>
          <w:sz w:val="22"/>
          <w:szCs w:val="22"/>
        </w:rPr>
      </w:pPr>
      <w:r w:rsidRPr="004511C8">
        <w:rPr>
          <w:rFonts w:ascii="Arial" w:hAnsi="Arial" w:cs="Arial"/>
          <w:sz w:val="22"/>
          <w:szCs w:val="22"/>
        </w:rPr>
        <w:t>The qualitative studies were not numerous in the current review. It is indicative of a larger trend in the gonococcal antimicrobial resistance literature in which surveillance reports, epidemiological studies, outbreak investigations and observational quantitative designs are the dominant evidence base (Medland et al.</w:t>
      </w:r>
      <w:r w:rsidR="008229D4" w:rsidRPr="004511C8">
        <w:rPr>
          <w:rFonts w:ascii="Arial" w:hAnsi="Arial" w:cs="Arial"/>
          <w:sz w:val="22"/>
          <w:szCs w:val="22"/>
        </w:rPr>
        <w:t xml:space="preserve"> </w:t>
      </w:r>
      <w:r w:rsidRPr="004511C8">
        <w:rPr>
          <w:rFonts w:ascii="Arial" w:hAnsi="Arial" w:cs="Arial"/>
          <w:sz w:val="22"/>
          <w:szCs w:val="22"/>
        </w:rPr>
        <w:t>2022; Merrick et al. 2022). The relative scarcity of qualitative research indicates that the UK literature has been more concerned with resistance identification, treatment responses and population health response, as opposed to the experiences of the patient or the views of the service-users</w:t>
      </w:r>
      <w:r w:rsidR="00503433" w:rsidRPr="004511C8">
        <w:rPr>
          <w:rFonts w:ascii="Arial" w:hAnsi="Arial" w:cs="Arial"/>
          <w:sz w:val="22"/>
          <w:szCs w:val="22"/>
        </w:rPr>
        <w:t xml:space="preserve"> (Evans and Britt, 2022)</w:t>
      </w:r>
      <w:r w:rsidRPr="004511C8">
        <w:rPr>
          <w:rFonts w:ascii="Arial" w:hAnsi="Arial" w:cs="Arial"/>
          <w:sz w:val="22"/>
          <w:szCs w:val="22"/>
        </w:rPr>
        <w:t>. This is a big gap since antimicrobial resistance in gonorrhoea is not merely a microbiological or epidemiological problem but one that impairs access to services, follow-up of treatment, partner notification, and risk communication among younger age groups.</w:t>
      </w:r>
    </w:p>
    <w:p w14:paraId="45BF8DB8" w14:textId="3041B36A" w:rsidR="00DD28A5" w:rsidRPr="004511C8" w:rsidRDefault="00DD28A5" w:rsidP="005F4984">
      <w:pPr>
        <w:rPr>
          <w:rFonts w:ascii="Arial" w:hAnsi="Arial" w:cs="Arial"/>
          <w:sz w:val="22"/>
          <w:szCs w:val="22"/>
        </w:rPr>
      </w:pPr>
      <w:r w:rsidRPr="004511C8">
        <w:rPr>
          <w:rFonts w:ascii="Arial" w:hAnsi="Arial" w:cs="Arial"/>
          <w:sz w:val="22"/>
          <w:szCs w:val="22"/>
        </w:rPr>
        <w:t xml:space="preserve">Qualitative studies identified were evaluated through the MMAT qualitative criteria, which </w:t>
      </w:r>
      <w:r w:rsidR="00503433" w:rsidRPr="004511C8">
        <w:rPr>
          <w:rFonts w:ascii="Arial" w:hAnsi="Arial" w:cs="Arial"/>
          <w:sz w:val="22"/>
          <w:szCs w:val="22"/>
        </w:rPr>
        <w:t>consider</w:t>
      </w:r>
      <w:r w:rsidRPr="004511C8">
        <w:rPr>
          <w:rFonts w:ascii="Arial" w:hAnsi="Arial" w:cs="Arial"/>
          <w:sz w:val="22"/>
          <w:szCs w:val="22"/>
        </w:rPr>
        <w:t xml:space="preserve"> whether the qualitative methods were suitable to the research question, whether information collection procedures were sufficient, whether the results were based on the data, </w:t>
      </w:r>
      <w:r w:rsidR="00503433" w:rsidRPr="004511C8">
        <w:rPr>
          <w:rFonts w:ascii="Arial" w:hAnsi="Arial" w:cs="Arial"/>
          <w:sz w:val="22"/>
          <w:szCs w:val="22"/>
        </w:rPr>
        <w:t xml:space="preserve">and </w:t>
      </w:r>
      <w:r w:rsidRPr="004511C8">
        <w:rPr>
          <w:rFonts w:ascii="Arial" w:hAnsi="Arial" w:cs="Arial"/>
          <w:sz w:val="22"/>
          <w:szCs w:val="22"/>
        </w:rPr>
        <w:t xml:space="preserve">whether the interpretation was sufficiently supported </w:t>
      </w:r>
      <w:r w:rsidR="00503433" w:rsidRPr="004511C8">
        <w:rPr>
          <w:rFonts w:ascii="Arial" w:hAnsi="Arial" w:cs="Arial"/>
          <w:sz w:val="22"/>
          <w:szCs w:val="22"/>
        </w:rPr>
        <w:t xml:space="preserve">(Tang et al. 2025; </w:t>
      </w:r>
      <w:r w:rsidRPr="004511C8">
        <w:rPr>
          <w:rFonts w:ascii="Arial" w:hAnsi="Arial" w:cs="Arial"/>
          <w:sz w:val="22"/>
          <w:szCs w:val="22"/>
        </w:rPr>
        <w:t xml:space="preserve">Hong et al. 2018). Overall, the few qualitative studies provided valuable contextual information, particularly about sexual health practice and implications of the service in </w:t>
      </w:r>
      <w:proofErr w:type="gramStart"/>
      <w:r w:rsidR="008229D4" w:rsidRPr="004511C8">
        <w:rPr>
          <w:rFonts w:ascii="Arial" w:hAnsi="Arial" w:cs="Arial"/>
          <w:sz w:val="22"/>
          <w:szCs w:val="22"/>
        </w:rPr>
        <w:t>general, but</w:t>
      </w:r>
      <w:proofErr w:type="gramEnd"/>
      <w:r w:rsidRPr="004511C8">
        <w:rPr>
          <w:rFonts w:ascii="Arial" w:hAnsi="Arial" w:cs="Arial"/>
          <w:sz w:val="22"/>
          <w:szCs w:val="22"/>
        </w:rPr>
        <w:t xml:space="preserve"> had little impact on the AMR-specific evidence base. Their advantage was their capacity to emphasise social and experiential aspects of sexual health</w:t>
      </w:r>
      <w:r w:rsidR="008229D4" w:rsidRPr="004511C8">
        <w:rPr>
          <w:rFonts w:ascii="Arial" w:hAnsi="Arial" w:cs="Arial"/>
          <w:sz w:val="22"/>
          <w:szCs w:val="22"/>
        </w:rPr>
        <w:t>,</w:t>
      </w:r>
      <w:r w:rsidRPr="004511C8">
        <w:rPr>
          <w:rFonts w:ascii="Arial" w:hAnsi="Arial" w:cs="Arial"/>
          <w:sz w:val="22"/>
          <w:szCs w:val="22"/>
        </w:rPr>
        <w:t xml:space="preserve"> and their disadvantage was the small sample sizes, restricted generalisability and in some instances indirect instead of direct attention on gonococcal antimicrobial resistance</w:t>
      </w:r>
      <w:r w:rsidR="00503433" w:rsidRPr="004511C8">
        <w:rPr>
          <w:rFonts w:ascii="Arial" w:hAnsi="Arial" w:cs="Arial"/>
          <w:sz w:val="22"/>
          <w:szCs w:val="22"/>
        </w:rPr>
        <w:t xml:space="preserve"> (Rush, 2023)</w:t>
      </w:r>
      <w:r w:rsidRPr="004511C8">
        <w:rPr>
          <w:rFonts w:ascii="Arial" w:hAnsi="Arial" w:cs="Arial"/>
          <w:sz w:val="22"/>
          <w:szCs w:val="22"/>
        </w:rPr>
        <w:t>.</w:t>
      </w:r>
    </w:p>
    <w:p w14:paraId="60ACB232" w14:textId="1A6B5003" w:rsidR="00DD28A5" w:rsidRPr="004511C8" w:rsidRDefault="00DD28A5" w:rsidP="005F4984">
      <w:pPr>
        <w:rPr>
          <w:rFonts w:ascii="Arial" w:hAnsi="Arial" w:cs="Arial"/>
          <w:sz w:val="22"/>
          <w:szCs w:val="22"/>
        </w:rPr>
      </w:pPr>
      <w:r w:rsidRPr="004511C8">
        <w:rPr>
          <w:rFonts w:ascii="Arial" w:hAnsi="Arial" w:cs="Arial"/>
          <w:sz w:val="22"/>
          <w:szCs w:val="22"/>
        </w:rPr>
        <w:t>In general, the evaluation of qualitative evidence points to the fact that this field is still inadequately developed in the literature on gonorrhoea AMR in the UK</w:t>
      </w:r>
      <w:r w:rsidR="00503433" w:rsidRPr="004511C8">
        <w:rPr>
          <w:rFonts w:ascii="Arial" w:hAnsi="Arial" w:cs="Arial"/>
          <w:sz w:val="22"/>
          <w:szCs w:val="22"/>
        </w:rPr>
        <w:t xml:space="preserve"> (Merrick et al. 2022)</w:t>
      </w:r>
      <w:r w:rsidRPr="004511C8">
        <w:rPr>
          <w:rFonts w:ascii="Arial" w:hAnsi="Arial" w:cs="Arial"/>
          <w:sz w:val="22"/>
          <w:szCs w:val="22"/>
        </w:rPr>
        <w:t>. This implies that the existing evidence base is robust in the surveillance and descriptive epidemiology, yet less robust in the literature on the patient-centred experiences and the implications of resistant gonorrhoea to young adults and sexual health services in practice</w:t>
      </w:r>
      <w:r w:rsidR="00503433" w:rsidRPr="004511C8">
        <w:rPr>
          <w:rFonts w:ascii="Arial" w:hAnsi="Arial" w:cs="Arial"/>
          <w:sz w:val="22"/>
          <w:szCs w:val="22"/>
        </w:rPr>
        <w:t xml:space="preserve"> (Giusti et al. 2020)</w:t>
      </w:r>
      <w:r w:rsidRPr="004511C8">
        <w:rPr>
          <w:rFonts w:ascii="Arial" w:hAnsi="Arial" w:cs="Arial"/>
          <w:sz w:val="22"/>
          <w:szCs w:val="22"/>
        </w:rPr>
        <w:t xml:space="preserve">. The complete appraisal information of any qualitative studies that have been included in the review </w:t>
      </w:r>
      <w:r w:rsidR="00503433" w:rsidRPr="004511C8">
        <w:rPr>
          <w:rFonts w:ascii="Arial" w:hAnsi="Arial" w:cs="Arial"/>
          <w:sz w:val="22"/>
          <w:szCs w:val="22"/>
        </w:rPr>
        <w:t>is</w:t>
      </w:r>
      <w:r w:rsidRPr="004511C8">
        <w:rPr>
          <w:rFonts w:ascii="Arial" w:hAnsi="Arial" w:cs="Arial"/>
          <w:sz w:val="22"/>
          <w:szCs w:val="22"/>
        </w:rPr>
        <w:t xml:space="preserve"> provided in the appendix.</w:t>
      </w:r>
    </w:p>
    <w:p w14:paraId="5C3D06A6" w14:textId="77777777" w:rsidR="00DD28A5" w:rsidRPr="004511C8" w:rsidRDefault="00DD28A5" w:rsidP="005F4984">
      <w:pPr>
        <w:rPr>
          <w:rFonts w:ascii="Arial" w:hAnsi="Arial" w:cs="Arial"/>
          <w:sz w:val="22"/>
          <w:szCs w:val="22"/>
        </w:rPr>
      </w:pPr>
    </w:p>
    <w:p w14:paraId="18C4CBB7" w14:textId="77777777" w:rsidR="004511C8" w:rsidRDefault="004511C8" w:rsidP="005F4984">
      <w:pPr>
        <w:pStyle w:val="Heading2"/>
        <w:rPr>
          <w:rFonts w:ascii="Arial" w:hAnsi="Arial" w:cs="Arial"/>
          <w:sz w:val="22"/>
          <w:szCs w:val="22"/>
        </w:rPr>
      </w:pPr>
      <w:bookmarkStart w:id="31" w:name="_Toc229082788"/>
    </w:p>
    <w:p w14:paraId="2C34EA05" w14:textId="28F6A280" w:rsidR="00DD28A5" w:rsidRPr="004511C8" w:rsidRDefault="00DD28A5" w:rsidP="005F4984">
      <w:pPr>
        <w:pStyle w:val="Heading2"/>
        <w:rPr>
          <w:rFonts w:ascii="Arial" w:hAnsi="Arial" w:cs="Arial"/>
          <w:sz w:val="22"/>
          <w:szCs w:val="22"/>
        </w:rPr>
      </w:pPr>
      <w:r w:rsidRPr="004511C8">
        <w:rPr>
          <w:rFonts w:ascii="Arial" w:hAnsi="Arial" w:cs="Arial"/>
          <w:sz w:val="22"/>
          <w:szCs w:val="22"/>
        </w:rPr>
        <w:lastRenderedPageBreak/>
        <w:t>4.6 Evaluation of Quantitative Studies</w:t>
      </w:r>
      <w:bookmarkEnd w:id="31"/>
    </w:p>
    <w:p w14:paraId="050281E2" w14:textId="475C5E95" w:rsidR="00DD28A5" w:rsidRPr="004511C8" w:rsidRDefault="00DD28A5" w:rsidP="005F4984">
      <w:pPr>
        <w:rPr>
          <w:rFonts w:ascii="Arial" w:hAnsi="Arial" w:cs="Arial"/>
          <w:sz w:val="22"/>
          <w:szCs w:val="22"/>
        </w:rPr>
      </w:pPr>
      <w:r w:rsidRPr="004511C8">
        <w:rPr>
          <w:rFonts w:ascii="Arial" w:hAnsi="Arial" w:cs="Arial"/>
          <w:sz w:val="22"/>
          <w:szCs w:val="22"/>
        </w:rPr>
        <w:t>The greatest proportion of evidence used in this review was quantitative studies. This is in line with the broader body of literature on gonococcal antimicrobial resistance</w:t>
      </w:r>
      <w:r w:rsidR="00503433" w:rsidRPr="004511C8">
        <w:rPr>
          <w:rFonts w:ascii="Arial" w:hAnsi="Arial" w:cs="Arial"/>
          <w:sz w:val="22"/>
          <w:szCs w:val="22"/>
        </w:rPr>
        <w:t>,</w:t>
      </w:r>
      <w:r w:rsidRPr="004511C8">
        <w:rPr>
          <w:rFonts w:ascii="Arial" w:hAnsi="Arial" w:cs="Arial"/>
          <w:sz w:val="22"/>
          <w:szCs w:val="22"/>
        </w:rPr>
        <w:t xml:space="preserve"> where surveillance systems, observational epidemiology, outbreak investigations and case series are the predominant evidence in the literature (Medland et al. 2022; Merrick et al.</w:t>
      </w:r>
      <w:r w:rsidR="00A23133" w:rsidRPr="004511C8">
        <w:rPr>
          <w:rFonts w:ascii="Arial" w:hAnsi="Arial" w:cs="Arial"/>
          <w:sz w:val="22"/>
          <w:szCs w:val="22"/>
        </w:rPr>
        <w:t xml:space="preserve"> </w:t>
      </w:r>
      <w:r w:rsidRPr="004511C8">
        <w:rPr>
          <w:rFonts w:ascii="Arial" w:hAnsi="Arial" w:cs="Arial"/>
          <w:sz w:val="22"/>
          <w:szCs w:val="22"/>
        </w:rPr>
        <w:t xml:space="preserve">2022). The quantitative evidence was especially relevant in the present review as the research question was aimed at investigating the trends in resistance, treatment failure, outbreaks and </w:t>
      </w:r>
      <w:r w:rsidR="00A23133" w:rsidRPr="004511C8">
        <w:rPr>
          <w:rFonts w:ascii="Arial" w:hAnsi="Arial" w:cs="Arial"/>
          <w:sz w:val="22"/>
          <w:szCs w:val="22"/>
        </w:rPr>
        <w:t>their</w:t>
      </w:r>
      <w:r w:rsidRPr="004511C8">
        <w:rPr>
          <w:rFonts w:ascii="Arial" w:hAnsi="Arial" w:cs="Arial"/>
          <w:sz w:val="22"/>
          <w:szCs w:val="22"/>
        </w:rPr>
        <w:t xml:space="preserve"> impact on the population health in the United Kingdom. In most cases, these types of questions are answered using surveillance data, laboratory-validated resistance surveillance and descriptive epidemiological analysis and not experimental or qualitative designs (Hughes, Nichols and Ison, 2011; Whittles et al. 2018).</w:t>
      </w:r>
    </w:p>
    <w:p w14:paraId="4C3D7A31" w14:textId="20853644" w:rsidR="00DD28A5" w:rsidRPr="004511C8" w:rsidRDefault="00DD28A5" w:rsidP="005F4984">
      <w:pPr>
        <w:rPr>
          <w:rFonts w:ascii="Arial" w:hAnsi="Arial" w:cs="Arial"/>
          <w:sz w:val="22"/>
          <w:szCs w:val="22"/>
        </w:rPr>
      </w:pPr>
      <w:r w:rsidRPr="004511C8">
        <w:rPr>
          <w:rFonts w:ascii="Arial" w:hAnsi="Arial" w:cs="Arial"/>
          <w:sz w:val="22"/>
          <w:szCs w:val="22"/>
        </w:rPr>
        <w:t>The quantitative studies included were a variety of related designs. First, surveillance studies used national or regional data to estimate prevalence, to determine resistance patterns and changes over time (Delpech et al. 2009; Hughes, Nichols and Ison, 2011). Second, observational studies based on epidemiology, such as cross-sectional studies on resistance and its determinants in sexual health surveillance systems</w:t>
      </w:r>
      <w:r w:rsidR="00A23133" w:rsidRPr="004511C8">
        <w:rPr>
          <w:rFonts w:ascii="Arial" w:hAnsi="Arial" w:cs="Arial"/>
          <w:sz w:val="22"/>
          <w:szCs w:val="22"/>
        </w:rPr>
        <w:t>,</w:t>
      </w:r>
      <w:r w:rsidRPr="004511C8">
        <w:rPr>
          <w:rFonts w:ascii="Arial" w:hAnsi="Arial" w:cs="Arial"/>
          <w:sz w:val="22"/>
          <w:szCs w:val="22"/>
        </w:rPr>
        <w:t xml:space="preserve"> were present (Clifton et al. 2017; Whittles et al. 2018). Third, there were outbreak investigations that </w:t>
      </w:r>
      <w:r w:rsidR="00A23133" w:rsidRPr="004511C8">
        <w:rPr>
          <w:rFonts w:ascii="Arial" w:hAnsi="Arial" w:cs="Arial"/>
          <w:sz w:val="22"/>
          <w:szCs w:val="22"/>
        </w:rPr>
        <w:t>characterised</w:t>
      </w:r>
      <w:r w:rsidRPr="004511C8">
        <w:rPr>
          <w:rFonts w:ascii="Arial" w:hAnsi="Arial" w:cs="Arial"/>
          <w:sz w:val="22"/>
          <w:szCs w:val="22"/>
        </w:rPr>
        <w:t xml:space="preserve"> events of transmission and spread of strains of resistance in particular situations (Palmer, Leeming and Turner, 2001; </w:t>
      </w:r>
      <w:proofErr w:type="spellStart"/>
      <w:r w:rsidRPr="004511C8">
        <w:rPr>
          <w:rFonts w:ascii="Arial" w:hAnsi="Arial" w:cs="Arial"/>
          <w:sz w:val="22"/>
          <w:szCs w:val="22"/>
        </w:rPr>
        <w:t>Smolarchuk</w:t>
      </w:r>
      <w:proofErr w:type="spellEnd"/>
      <w:r w:rsidRPr="004511C8">
        <w:rPr>
          <w:rFonts w:ascii="Arial" w:hAnsi="Arial" w:cs="Arial"/>
          <w:sz w:val="22"/>
          <w:szCs w:val="22"/>
        </w:rPr>
        <w:t xml:space="preserve"> et al. 2018). Fourth, case series and case reports </w:t>
      </w:r>
      <w:r w:rsidR="00A23133" w:rsidRPr="004511C8">
        <w:rPr>
          <w:rFonts w:ascii="Arial" w:hAnsi="Arial" w:cs="Arial"/>
          <w:sz w:val="22"/>
          <w:szCs w:val="22"/>
        </w:rPr>
        <w:t>were also</w:t>
      </w:r>
      <w:r w:rsidRPr="004511C8">
        <w:rPr>
          <w:rFonts w:ascii="Arial" w:hAnsi="Arial" w:cs="Arial"/>
          <w:sz w:val="22"/>
          <w:szCs w:val="22"/>
        </w:rPr>
        <w:t xml:space="preserve"> captured more specifically in terms of treatment failure and the development of ceftriaxone resistance (Ison et al. 2011; Eyre et al. 2018; Day et al.</w:t>
      </w:r>
      <w:r w:rsidR="00A23133" w:rsidRPr="004511C8">
        <w:rPr>
          <w:rFonts w:ascii="Arial" w:hAnsi="Arial" w:cs="Arial"/>
          <w:sz w:val="22"/>
          <w:szCs w:val="22"/>
        </w:rPr>
        <w:t xml:space="preserve"> </w:t>
      </w:r>
      <w:r w:rsidRPr="004511C8">
        <w:rPr>
          <w:rFonts w:ascii="Arial" w:hAnsi="Arial" w:cs="Arial"/>
          <w:sz w:val="22"/>
          <w:szCs w:val="22"/>
        </w:rPr>
        <w:t>2022). These designs together gave a detailed but methodologically uneven view of the gonococcal antimicrobial resistance in the UK.</w:t>
      </w:r>
    </w:p>
    <w:p w14:paraId="6D858164" w14:textId="5A6BA63D" w:rsidR="00DD28A5" w:rsidRPr="004511C8" w:rsidRDefault="00DD28A5" w:rsidP="005F4984">
      <w:pPr>
        <w:rPr>
          <w:rFonts w:ascii="Arial" w:hAnsi="Arial" w:cs="Arial"/>
          <w:sz w:val="22"/>
          <w:szCs w:val="22"/>
        </w:rPr>
      </w:pPr>
      <w:r w:rsidRPr="004511C8">
        <w:rPr>
          <w:rFonts w:ascii="Arial" w:hAnsi="Arial" w:cs="Arial"/>
          <w:sz w:val="22"/>
          <w:szCs w:val="22"/>
        </w:rPr>
        <w:t>One of the strongest aspects of the quantitative evidence is that it is strongly connected with surveillance infrastructure. Delpech et al. (2009) and Hughes, Nichols and Ison</w:t>
      </w:r>
      <w:r w:rsidR="00A23133" w:rsidRPr="004511C8">
        <w:rPr>
          <w:rFonts w:ascii="Arial" w:hAnsi="Arial" w:cs="Arial"/>
          <w:sz w:val="22"/>
          <w:szCs w:val="22"/>
        </w:rPr>
        <w:t xml:space="preserve"> </w:t>
      </w:r>
      <w:r w:rsidRPr="004511C8">
        <w:rPr>
          <w:rFonts w:ascii="Arial" w:hAnsi="Arial" w:cs="Arial"/>
          <w:sz w:val="22"/>
          <w:szCs w:val="22"/>
        </w:rPr>
        <w:t xml:space="preserve">(2011) used the Gonococcal Resistance to Antimicrobials Surveillance </w:t>
      </w:r>
      <w:r w:rsidR="00A23133" w:rsidRPr="004511C8">
        <w:rPr>
          <w:rFonts w:ascii="Arial" w:hAnsi="Arial" w:cs="Arial"/>
          <w:sz w:val="22"/>
          <w:szCs w:val="22"/>
        </w:rPr>
        <w:t>p</w:t>
      </w:r>
      <w:r w:rsidRPr="004511C8">
        <w:rPr>
          <w:rFonts w:ascii="Arial" w:hAnsi="Arial" w:cs="Arial"/>
          <w:sz w:val="22"/>
          <w:szCs w:val="22"/>
        </w:rPr>
        <w:t xml:space="preserve">rogramme, which is among the </w:t>
      </w:r>
      <w:r w:rsidR="00503433" w:rsidRPr="004511C8">
        <w:rPr>
          <w:rFonts w:ascii="Arial" w:hAnsi="Arial" w:cs="Arial"/>
          <w:sz w:val="22"/>
          <w:szCs w:val="22"/>
        </w:rPr>
        <w:t>best-established</w:t>
      </w:r>
      <w:r w:rsidRPr="004511C8">
        <w:rPr>
          <w:rFonts w:ascii="Arial" w:hAnsi="Arial" w:cs="Arial"/>
          <w:sz w:val="22"/>
          <w:szCs w:val="22"/>
        </w:rPr>
        <w:t xml:space="preserve"> systems to monitor gonococcal resistance in </w:t>
      </w:r>
      <w:r w:rsidR="00503433" w:rsidRPr="004511C8">
        <w:rPr>
          <w:rFonts w:ascii="Arial" w:hAnsi="Arial" w:cs="Arial"/>
          <w:sz w:val="22"/>
          <w:szCs w:val="22"/>
        </w:rPr>
        <w:t xml:space="preserve">the </w:t>
      </w:r>
      <w:r w:rsidRPr="004511C8">
        <w:rPr>
          <w:rFonts w:ascii="Arial" w:hAnsi="Arial" w:cs="Arial"/>
          <w:sz w:val="22"/>
          <w:szCs w:val="22"/>
        </w:rPr>
        <w:t xml:space="preserve">UK. The value of the studies was in the fact that the laboratory and clinical data were systematically collected, and thus the estimates of resistance prevalence and patterns were more reliable. The benefit of surveillance-based studies is also that they can study relatively large populations across </w:t>
      </w:r>
      <w:r w:rsidR="00A23133" w:rsidRPr="004511C8">
        <w:rPr>
          <w:rFonts w:ascii="Arial" w:hAnsi="Arial" w:cs="Arial"/>
          <w:sz w:val="22"/>
          <w:szCs w:val="22"/>
        </w:rPr>
        <w:t>several</w:t>
      </w:r>
      <w:r w:rsidRPr="004511C8">
        <w:rPr>
          <w:rFonts w:ascii="Arial" w:hAnsi="Arial" w:cs="Arial"/>
          <w:sz w:val="22"/>
          <w:szCs w:val="22"/>
        </w:rPr>
        <w:t xml:space="preserve"> years, which can be more useful in identifying temporal changes and guiding treatment policy (Ison and Alexander, 2011; Merrick et al. 2022). Such studies were of particular interest in this review as they not only gave evidence of </w:t>
      </w:r>
      <w:r w:rsidR="00503433" w:rsidRPr="004511C8">
        <w:rPr>
          <w:rFonts w:ascii="Arial" w:hAnsi="Arial" w:cs="Arial"/>
          <w:sz w:val="22"/>
          <w:szCs w:val="22"/>
        </w:rPr>
        <w:t xml:space="preserve">the </w:t>
      </w:r>
      <w:r w:rsidRPr="004511C8">
        <w:rPr>
          <w:rFonts w:ascii="Arial" w:hAnsi="Arial" w:cs="Arial"/>
          <w:sz w:val="22"/>
          <w:szCs w:val="22"/>
        </w:rPr>
        <w:t>existence of resistance, but also the distribution of resistance over time and context.</w:t>
      </w:r>
    </w:p>
    <w:p w14:paraId="35C1C021" w14:textId="6ED55DE8" w:rsidR="00DD28A5" w:rsidRPr="004511C8" w:rsidRDefault="00DD28A5" w:rsidP="005F4984">
      <w:pPr>
        <w:rPr>
          <w:rFonts w:ascii="Arial" w:hAnsi="Arial" w:cs="Arial"/>
          <w:sz w:val="22"/>
          <w:szCs w:val="22"/>
        </w:rPr>
      </w:pPr>
      <w:r w:rsidRPr="004511C8">
        <w:rPr>
          <w:rFonts w:ascii="Arial" w:hAnsi="Arial" w:cs="Arial"/>
          <w:sz w:val="22"/>
          <w:szCs w:val="22"/>
        </w:rPr>
        <w:lastRenderedPageBreak/>
        <w:t>The objectives of the quantitative research were mostly evident and in line with the priorities of public health. As an example, Delpech et al. (2009) attempted to describe the epidemiology and clinical manifestation of cases of gonorrhoea in England and Wales</w:t>
      </w:r>
      <w:r w:rsidR="00503433" w:rsidRPr="004511C8">
        <w:rPr>
          <w:rFonts w:ascii="Arial" w:hAnsi="Arial" w:cs="Arial"/>
          <w:sz w:val="22"/>
          <w:szCs w:val="22"/>
        </w:rPr>
        <w:t>,</w:t>
      </w:r>
      <w:r w:rsidRPr="004511C8">
        <w:rPr>
          <w:rFonts w:ascii="Arial" w:hAnsi="Arial" w:cs="Arial"/>
          <w:sz w:val="22"/>
          <w:szCs w:val="22"/>
        </w:rPr>
        <w:t xml:space="preserve"> whereas Hughes, Nichols and Ison (2011) attempted to estimate the prevalence of gonococcal resistance to antimicrobials. Clifton et al. (2017) furthered this line of questioning by looking at multidrug-resistant Neisseria gonorrhoeae and determining its related factors. These objectives were suitable as they answered clinically and epidemiologically significant questions. Equally, outbreak-based studies like Palmer, Leeming and Turner (2001) and </w:t>
      </w:r>
      <w:proofErr w:type="spellStart"/>
      <w:r w:rsidRPr="004511C8">
        <w:rPr>
          <w:rFonts w:ascii="Arial" w:hAnsi="Arial" w:cs="Arial"/>
          <w:sz w:val="22"/>
          <w:szCs w:val="22"/>
        </w:rPr>
        <w:t>Smolarchuk</w:t>
      </w:r>
      <w:proofErr w:type="spellEnd"/>
      <w:r w:rsidRPr="004511C8">
        <w:rPr>
          <w:rFonts w:ascii="Arial" w:hAnsi="Arial" w:cs="Arial"/>
          <w:sz w:val="22"/>
          <w:szCs w:val="22"/>
        </w:rPr>
        <w:t xml:space="preserve"> et al. (2018) were evidently aimed at determining the outbreak and persistence of resistant strains, whereas studies of treatment failure like Ison et al. (2011), Eyre et al. (2018), and Day et al. (2022) were clearly designed</w:t>
      </w:r>
      <w:r w:rsidR="00A23133" w:rsidRPr="004511C8">
        <w:rPr>
          <w:rFonts w:ascii="Arial" w:hAnsi="Arial" w:cs="Arial"/>
          <w:sz w:val="22"/>
          <w:szCs w:val="22"/>
        </w:rPr>
        <w:t>.</w:t>
      </w:r>
      <w:r w:rsidRPr="004511C8">
        <w:rPr>
          <w:rFonts w:ascii="Arial" w:hAnsi="Arial" w:cs="Arial"/>
          <w:sz w:val="22"/>
          <w:szCs w:val="22"/>
        </w:rPr>
        <w:t xml:space="preserve"> These objectives enhance the applicability of the quantitative evidence base in general.</w:t>
      </w:r>
    </w:p>
    <w:p w14:paraId="64F493EB" w14:textId="4EE94553" w:rsidR="00DD28A5" w:rsidRPr="004511C8" w:rsidRDefault="00DD28A5" w:rsidP="005F4984">
      <w:pPr>
        <w:rPr>
          <w:rFonts w:ascii="Arial" w:hAnsi="Arial" w:cs="Arial"/>
          <w:sz w:val="22"/>
          <w:szCs w:val="22"/>
        </w:rPr>
      </w:pPr>
      <w:r w:rsidRPr="004511C8">
        <w:rPr>
          <w:rFonts w:ascii="Arial" w:hAnsi="Arial" w:cs="Arial"/>
          <w:sz w:val="22"/>
          <w:szCs w:val="22"/>
        </w:rPr>
        <w:t>Most of the quantitative studies contained in the paper employed the right design based on the set objectives. Surveillance studies were the best to estimate prevalence and longitudinal trends of resistance</w:t>
      </w:r>
      <w:r w:rsidR="00A23133" w:rsidRPr="004511C8">
        <w:rPr>
          <w:rFonts w:ascii="Arial" w:hAnsi="Arial" w:cs="Arial"/>
          <w:sz w:val="22"/>
          <w:szCs w:val="22"/>
        </w:rPr>
        <w:t>,</w:t>
      </w:r>
      <w:r w:rsidRPr="004511C8">
        <w:rPr>
          <w:rFonts w:ascii="Arial" w:hAnsi="Arial" w:cs="Arial"/>
          <w:sz w:val="22"/>
          <w:szCs w:val="22"/>
        </w:rPr>
        <w:t xml:space="preserve"> and outbreak investigations were the best to trace resistant transmission events in the real world</w:t>
      </w:r>
      <w:r w:rsidR="00021F50" w:rsidRPr="004511C8">
        <w:rPr>
          <w:rFonts w:ascii="Arial" w:hAnsi="Arial" w:cs="Arial"/>
          <w:sz w:val="22"/>
          <w:szCs w:val="22"/>
        </w:rPr>
        <w:t xml:space="preserve"> (Diallo et al. 2020; </w:t>
      </w:r>
      <w:proofErr w:type="spellStart"/>
      <w:r w:rsidR="00021F50" w:rsidRPr="004511C8">
        <w:rPr>
          <w:rFonts w:ascii="Arial" w:hAnsi="Arial" w:cs="Arial"/>
          <w:sz w:val="22"/>
          <w:szCs w:val="22"/>
        </w:rPr>
        <w:t>Struelens</w:t>
      </w:r>
      <w:proofErr w:type="spellEnd"/>
      <w:r w:rsidR="00021F50" w:rsidRPr="004511C8">
        <w:rPr>
          <w:rFonts w:ascii="Arial" w:hAnsi="Arial" w:cs="Arial"/>
          <w:sz w:val="22"/>
          <w:szCs w:val="22"/>
        </w:rPr>
        <w:t xml:space="preserve"> et al.</w:t>
      </w:r>
      <w:r w:rsidR="00A23133" w:rsidRPr="004511C8">
        <w:rPr>
          <w:rFonts w:ascii="Arial" w:hAnsi="Arial" w:cs="Arial"/>
          <w:sz w:val="22"/>
          <w:szCs w:val="22"/>
        </w:rPr>
        <w:t xml:space="preserve"> </w:t>
      </w:r>
      <w:r w:rsidR="00021F50" w:rsidRPr="004511C8">
        <w:rPr>
          <w:rFonts w:ascii="Arial" w:hAnsi="Arial" w:cs="Arial"/>
          <w:sz w:val="22"/>
          <w:szCs w:val="22"/>
        </w:rPr>
        <w:t>2024)</w:t>
      </w:r>
      <w:r w:rsidRPr="004511C8">
        <w:rPr>
          <w:rFonts w:ascii="Arial" w:hAnsi="Arial" w:cs="Arial"/>
          <w:sz w:val="22"/>
          <w:szCs w:val="22"/>
        </w:rPr>
        <w:t xml:space="preserve">. Rare, yet highly significant events that occurred, like ceftriaxone-resistant gonorrhoea and treatment failure, were also appropriate to be documented by case series and case reports (Eyre et al. 2018; Day et al. 2022). Nevertheless, these designs would be suitable </w:t>
      </w:r>
      <w:r w:rsidR="00A23133" w:rsidRPr="004511C8">
        <w:rPr>
          <w:rFonts w:ascii="Arial" w:hAnsi="Arial" w:cs="Arial"/>
          <w:sz w:val="22"/>
          <w:szCs w:val="22"/>
        </w:rPr>
        <w:t>for</w:t>
      </w:r>
      <w:r w:rsidRPr="004511C8">
        <w:rPr>
          <w:rFonts w:ascii="Arial" w:hAnsi="Arial" w:cs="Arial"/>
          <w:sz w:val="22"/>
          <w:szCs w:val="22"/>
        </w:rPr>
        <w:t xml:space="preserve"> detection and description, but they have limitations in their capability of determining causality or elucidating the larger social determinants of resistance. Patterns may be discerned with surveillance studies, but they cannot be used to completely understand why certain individuals or groups may be disproportionately impacted, particularly where behavioural, structural or service-level factors cannot be fully captured </w:t>
      </w:r>
      <w:r w:rsidR="00021F50" w:rsidRPr="004511C8">
        <w:rPr>
          <w:rFonts w:ascii="Arial" w:hAnsi="Arial" w:cs="Arial"/>
          <w:sz w:val="22"/>
          <w:szCs w:val="22"/>
        </w:rPr>
        <w:t>(French and Monahan, 2020; Pratt, Parker and Bull, 2022</w:t>
      </w:r>
      <w:r w:rsidRPr="004511C8">
        <w:rPr>
          <w:rFonts w:ascii="Arial" w:hAnsi="Arial" w:cs="Arial"/>
          <w:sz w:val="22"/>
          <w:szCs w:val="22"/>
        </w:rPr>
        <w:t>).</w:t>
      </w:r>
    </w:p>
    <w:p w14:paraId="15DB87B9" w14:textId="769E4ADC" w:rsidR="00DD28A5" w:rsidRPr="004511C8" w:rsidRDefault="00DD28A5" w:rsidP="005F4984">
      <w:pPr>
        <w:rPr>
          <w:rFonts w:ascii="Arial" w:hAnsi="Arial" w:cs="Arial"/>
          <w:sz w:val="22"/>
          <w:szCs w:val="22"/>
        </w:rPr>
      </w:pPr>
      <w:r w:rsidRPr="004511C8">
        <w:rPr>
          <w:rFonts w:ascii="Arial" w:hAnsi="Arial" w:cs="Arial"/>
          <w:sz w:val="22"/>
          <w:szCs w:val="22"/>
        </w:rPr>
        <w:t xml:space="preserve">Another significant concern in assessing the quantitative evidence is sampling. Sexual health clinics and laboratory submissions have been used as the sample in many surveillance studies, which is suitable </w:t>
      </w:r>
      <w:r w:rsidR="006803BC" w:rsidRPr="004511C8">
        <w:rPr>
          <w:rFonts w:ascii="Arial" w:hAnsi="Arial" w:cs="Arial"/>
          <w:sz w:val="22"/>
          <w:szCs w:val="22"/>
        </w:rPr>
        <w:t>for</w:t>
      </w:r>
      <w:r w:rsidRPr="004511C8">
        <w:rPr>
          <w:rFonts w:ascii="Arial" w:hAnsi="Arial" w:cs="Arial"/>
          <w:sz w:val="22"/>
          <w:szCs w:val="22"/>
        </w:rPr>
        <w:t xml:space="preserve"> resistance monitoring but might not comprehensively represent all the infections that happen in the general population. The big datasets of surveillance were an advantage to Delpech et al. (2009), Hughes, Nichols and Ison (2011) and Clifton et al. (2017) and </w:t>
      </w:r>
      <w:r w:rsidR="00021F50" w:rsidRPr="004511C8">
        <w:rPr>
          <w:rFonts w:ascii="Arial" w:hAnsi="Arial" w:cs="Arial"/>
          <w:sz w:val="22"/>
          <w:szCs w:val="22"/>
        </w:rPr>
        <w:t>enhanced</w:t>
      </w:r>
      <w:r w:rsidRPr="004511C8">
        <w:rPr>
          <w:rFonts w:ascii="Arial" w:hAnsi="Arial" w:cs="Arial"/>
          <w:sz w:val="22"/>
          <w:szCs w:val="22"/>
        </w:rPr>
        <w:t xml:space="preserve"> statistical power and confidence in resistance estimates. </w:t>
      </w:r>
      <w:r w:rsidR="006803BC" w:rsidRPr="004511C8">
        <w:rPr>
          <w:rFonts w:ascii="Arial" w:hAnsi="Arial" w:cs="Arial"/>
          <w:sz w:val="22"/>
          <w:szCs w:val="22"/>
        </w:rPr>
        <w:t>However</w:t>
      </w:r>
      <w:r w:rsidRPr="004511C8">
        <w:rPr>
          <w:rFonts w:ascii="Arial" w:hAnsi="Arial" w:cs="Arial"/>
          <w:sz w:val="22"/>
          <w:szCs w:val="22"/>
        </w:rPr>
        <w:t>, surveillance-based sampling can still be biased against individuals who visit sexual health services, are tested or have cultures that can undergo antimicrobial susceptibility testing</w:t>
      </w:r>
      <w:r w:rsidR="00021F50" w:rsidRPr="004511C8">
        <w:rPr>
          <w:rFonts w:ascii="Arial" w:hAnsi="Arial" w:cs="Arial"/>
          <w:sz w:val="22"/>
          <w:szCs w:val="22"/>
        </w:rPr>
        <w:t xml:space="preserve"> (Kwon et al.</w:t>
      </w:r>
      <w:r w:rsidR="006803BC" w:rsidRPr="004511C8">
        <w:rPr>
          <w:rFonts w:ascii="Arial" w:hAnsi="Arial" w:cs="Arial"/>
          <w:sz w:val="22"/>
          <w:szCs w:val="22"/>
        </w:rPr>
        <w:t xml:space="preserve"> </w:t>
      </w:r>
      <w:r w:rsidR="00021F50" w:rsidRPr="004511C8">
        <w:rPr>
          <w:rFonts w:ascii="Arial" w:hAnsi="Arial" w:cs="Arial"/>
          <w:sz w:val="22"/>
          <w:szCs w:val="22"/>
        </w:rPr>
        <w:t>2021; N’Diaye et al. 2025)</w:t>
      </w:r>
      <w:r w:rsidRPr="004511C8">
        <w:rPr>
          <w:rFonts w:ascii="Arial" w:hAnsi="Arial" w:cs="Arial"/>
          <w:sz w:val="22"/>
          <w:szCs w:val="22"/>
        </w:rPr>
        <w:t xml:space="preserve">. This can be an underreport of the asymptomatic cases, those individuals who do not seek services </w:t>
      </w:r>
      <w:r w:rsidR="006803BC" w:rsidRPr="004511C8">
        <w:rPr>
          <w:rFonts w:ascii="Arial" w:hAnsi="Arial" w:cs="Arial"/>
          <w:sz w:val="22"/>
          <w:szCs w:val="22"/>
        </w:rPr>
        <w:t>and</w:t>
      </w:r>
      <w:r w:rsidRPr="004511C8">
        <w:rPr>
          <w:rFonts w:ascii="Arial" w:hAnsi="Arial" w:cs="Arial"/>
          <w:sz w:val="22"/>
          <w:szCs w:val="22"/>
        </w:rPr>
        <w:t xml:space="preserve"> those who are treated without confirmation of the culture. Consequently, the results are extremely useful in terms of surveillance in the country and planning services, but they might not give the entire population-level picture </w:t>
      </w:r>
      <w:r w:rsidRPr="004511C8">
        <w:rPr>
          <w:rFonts w:ascii="Arial" w:hAnsi="Arial" w:cs="Arial"/>
          <w:sz w:val="22"/>
          <w:szCs w:val="22"/>
        </w:rPr>
        <w:lastRenderedPageBreak/>
        <w:t>regarding resistance</w:t>
      </w:r>
      <w:r w:rsidR="00EC1122" w:rsidRPr="004511C8">
        <w:rPr>
          <w:rFonts w:ascii="Arial" w:hAnsi="Arial" w:cs="Arial"/>
          <w:sz w:val="22"/>
          <w:szCs w:val="22"/>
        </w:rPr>
        <w:t xml:space="preserve"> (Aarestrup and Woolhouse, 2020; González-Alcaide, Llorente and Ramos-Rincón, 2020)</w:t>
      </w:r>
      <w:r w:rsidRPr="004511C8">
        <w:rPr>
          <w:rFonts w:ascii="Arial" w:hAnsi="Arial" w:cs="Arial"/>
          <w:sz w:val="22"/>
          <w:szCs w:val="22"/>
        </w:rPr>
        <w:t>.</w:t>
      </w:r>
    </w:p>
    <w:p w14:paraId="21F28685" w14:textId="071309F2" w:rsidR="00DD28A5" w:rsidRPr="004511C8" w:rsidRDefault="00DD28A5" w:rsidP="005F4984">
      <w:pPr>
        <w:rPr>
          <w:rFonts w:ascii="Arial" w:hAnsi="Arial" w:cs="Arial"/>
          <w:sz w:val="22"/>
          <w:szCs w:val="22"/>
        </w:rPr>
      </w:pPr>
      <w:r w:rsidRPr="004511C8">
        <w:rPr>
          <w:rFonts w:ascii="Arial" w:hAnsi="Arial" w:cs="Arial"/>
          <w:sz w:val="22"/>
          <w:szCs w:val="22"/>
        </w:rPr>
        <w:t>Microbiologically confirmed diagnoses and laboratory susceptibility tests generally enhanced the validity of the quantitative studies</w:t>
      </w:r>
      <w:r w:rsidR="00104A8F" w:rsidRPr="004511C8">
        <w:rPr>
          <w:rFonts w:ascii="Arial" w:hAnsi="Arial" w:cs="Arial"/>
          <w:sz w:val="22"/>
          <w:szCs w:val="22"/>
        </w:rPr>
        <w:t xml:space="preserve"> (Gajic et al. 2022; Legba et al. 2023)</w:t>
      </w:r>
      <w:r w:rsidRPr="004511C8">
        <w:rPr>
          <w:rFonts w:ascii="Arial" w:hAnsi="Arial" w:cs="Arial"/>
          <w:sz w:val="22"/>
          <w:szCs w:val="22"/>
        </w:rPr>
        <w:t>. This is especially critical in resistance research, as they rely on proper organism identification and valid susceptibility information (Chisholm et al.</w:t>
      </w:r>
      <w:r w:rsidR="001A2CB3" w:rsidRPr="004511C8">
        <w:rPr>
          <w:rFonts w:ascii="Arial" w:hAnsi="Arial" w:cs="Arial"/>
          <w:sz w:val="22"/>
          <w:szCs w:val="22"/>
        </w:rPr>
        <w:t xml:space="preserve"> </w:t>
      </w:r>
      <w:r w:rsidRPr="004511C8">
        <w:rPr>
          <w:rFonts w:ascii="Arial" w:hAnsi="Arial" w:cs="Arial"/>
          <w:sz w:val="22"/>
          <w:szCs w:val="22"/>
        </w:rPr>
        <w:t xml:space="preserve">2011; Day et al. 2022). Such studies as Chisholm et al. (2011) and Eyre et al. (2018) were particularly powerful in that respect since they used both clinical and laboratory data to prove the emergence of resistance and failure in treatment. The application of verified laboratory evidence lowers the chances of misclassifying and enhances </w:t>
      </w:r>
      <w:r w:rsidR="00D118A6" w:rsidRPr="004511C8">
        <w:rPr>
          <w:rFonts w:ascii="Arial" w:hAnsi="Arial" w:cs="Arial"/>
          <w:sz w:val="22"/>
          <w:szCs w:val="22"/>
        </w:rPr>
        <w:t xml:space="preserve">the </w:t>
      </w:r>
      <w:r w:rsidRPr="004511C8">
        <w:rPr>
          <w:rFonts w:ascii="Arial" w:hAnsi="Arial" w:cs="Arial"/>
          <w:sz w:val="22"/>
          <w:szCs w:val="22"/>
        </w:rPr>
        <w:t>internal validity of results</w:t>
      </w:r>
      <w:r w:rsidR="00A45BC0" w:rsidRPr="004511C8">
        <w:rPr>
          <w:rFonts w:ascii="Arial" w:hAnsi="Arial" w:cs="Arial"/>
          <w:sz w:val="22"/>
          <w:szCs w:val="22"/>
        </w:rPr>
        <w:t xml:space="preserve"> (Miller and Valdes, 2025; Wolk and Whitfield, 2024)</w:t>
      </w:r>
      <w:r w:rsidRPr="004511C8">
        <w:rPr>
          <w:rFonts w:ascii="Arial" w:hAnsi="Arial" w:cs="Arial"/>
          <w:sz w:val="22"/>
          <w:szCs w:val="22"/>
        </w:rPr>
        <w:t>. It is, however, a little weaker in those studies where primarily descriptive data are involved</w:t>
      </w:r>
      <w:r w:rsidR="00D118A6" w:rsidRPr="004511C8">
        <w:rPr>
          <w:rFonts w:ascii="Arial" w:hAnsi="Arial" w:cs="Arial"/>
          <w:sz w:val="22"/>
          <w:szCs w:val="22"/>
        </w:rPr>
        <w:t>,</w:t>
      </w:r>
      <w:r w:rsidRPr="004511C8">
        <w:rPr>
          <w:rFonts w:ascii="Arial" w:hAnsi="Arial" w:cs="Arial"/>
          <w:sz w:val="22"/>
          <w:szCs w:val="22"/>
        </w:rPr>
        <w:t xml:space="preserve"> as well as broader contextual variables are not entirely integrated. As an example, outbreak investigations offer good real-life experience, but it is often influenced by local conditions, which cannot be extrapolated outside the scope of the outbreak (Palmer, Leeming and Turner, 2001; </w:t>
      </w:r>
      <w:proofErr w:type="spellStart"/>
      <w:r w:rsidRPr="004511C8">
        <w:rPr>
          <w:rFonts w:ascii="Arial" w:hAnsi="Arial" w:cs="Arial"/>
          <w:sz w:val="22"/>
          <w:szCs w:val="22"/>
        </w:rPr>
        <w:t>Smolarchuk</w:t>
      </w:r>
      <w:proofErr w:type="spellEnd"/>
      <w:r w:rsidRPr="004511C8">
        <w:rPr>
          <w:rFonts w:ascii="Arial" w:hAnsi="Arial" w:cs="Arial"/>
          <w:sz w:val="22"/>
          <w:szCs w:val="22"/>
        </w:rPr>
        <w:t xml:space="preserve"> et al. 2018).</w:t>
      </w:r>
    </w:p>
    <w:p w14:paraId="701F6CA3" w14:textId="63EDD590" w:rsidR="00DD28A5" w:rsidRPr="004511C8" w:rsidRDefault="00DD28A5" w:rsidP="005F4984">
      <w:pPr>
        <w:rPr>
          <w:rFonts w:ascii="Arial" w:hAnsi="Arial" w:cs="Arial"/>
          <w:sz w:val="22"/>
          <w:szCs w:val="22"/>
        </w:rPr>
      </w:pPr>
      <w:r w:rsidRPr="004511C8">
        <w:rPr>
          <w:rFonts w:ascii="Arial" w:hAnsi="Arial" w:cs="Arial"/>
          <w:sz w:val="22"/>
          <w:szCs w:val="22"/>
        </w:rPr>
        <w:t>The quantitative studies also have a strength in that they are directly relevant to practice and policy. The UK quantitative evidence base is applied as compared to more theoretical AMR literature. Resistance prevalence and outbreak persistence studies directly inform public health surveillance, and reports of treatment failures have direct clinical management and guideline revision implications (Ison and Alexander, 2011; Fifer et al. 2019). Merrick et al. (2022) also show that quantitative surveillance results have influenced national response to public health in England. Such a strong connection between evidence-generation and policy-action contributes to the increased practical significance of the studies included and to the relevance of the studies to the review question.</w:t>
      </w:r>
    </w:p>
    <w:p w14:paraId="00979EA2" w14:textId="7BC4DFFC" w:rsidR="00DD28A5" w:rsidRPr="004511C8" w:rsidRDefault="00017BD6" w:rsidP="005F4984">
      <w:pPr>
        <w:rPr>
          <w:rFonts w:ascii="Arial" w:hAnsi="Arial" w:cs="Arial"/>
          <w:sz w:val="22"/>
          <w:szCs w:val="22"/>
        </w:rPr>
      </w:pPr>
      <w:r w:rsidRPr="004511C8">
        <w:rPr>
          <w:rFonts w:ascii="Arial" w:hAnsi="Arial" w:cs="Arial"/>
          <w:sz w:val="22"/>
          <w:szCs w:val="22"/>
        </w:rPr>
        <w:t>Although</w:t>
      </w:r>
      <w:r w:rsidR="00DD28A5" w:rsidRPr="004511C8">
        <w:rPr>
          <w:rFonts w:ascii="Arial" w:hAnsi="Arial" w:cs="Arial"/>
          <w:sz w:val="22"/>
          <w:szCs w:val="22"/>
        </w:rPr>
        <w:t xml:space="preserve"> these advantages, the shortcomings of the quantitative literature are significant. Over-dependence on surveillance and observational data is one of the limitations. Such studies are necessary to monitor resistance</w:t>
      </w:r>
      <w:r w:rsidR="00A45BC0" w:rsidRPr="004511C8">
        <w:rPr>
          <w:rFonts w:ascii="Arial" w:hAnsi="Arial" w:cs="Arial"/>
          <w:sz w:val="22"/>
          <w:szCs w:val="22"/>
        </w:rPr>
        <w:t>,</w:t>
      </w:r>
      <w:r w:rsidR="00DD28A5" w:rsidRPr="004511C8">
        <w:rPr>
          <w:rFonts w:ascii="Arial" w:hAnsi="Arial" w:cs="Arial"/>
          <w:sz w:val="22"/>
          <w:szCs w:val="22"/>
        </w:rPr>
        <w:t xml:space="preserve"> but in most cases are descriptive as opposed to explanatory in nature. They can demonstrate, but less explain, why and how resistance interacts with behaviour, healthcare access and treatment pathways. This is particularly relevant to a review that would be interested in young adults</w:t>
      </w:r>
      <w:r w:rsidR="00A45BC0" w:rsidRPr="004511C8">
        <w:rPr>
          <w:rFonts w:ascii="Arial" w:hAnsi="Arial" w:cs="Arial"/>
          <w:sz w:val="22"/>
          <w:szCs w:val="22"/>
        </w:rPr>
        <w:t>,</w:t>
      </w:r>
      <w:r w:rsidR="00DD28A5" w:rsidRPr="004511C8">
        <w:rPr>
          <w:rFonts w:ascii="Arial" w:hAnsi="Arial" w:cs="Arial"/>
          <w:sz w:val="22"/>
          <w:szCs w:val="22"/>
        </w:rPr>
        <w:t xml:space="preserve"> as most quantitative studies in the UK are not specifically about the age range of 18 to 21. Rather, they tend to report larger clinic or surveillance </w:t>
      </w:r>
      <w:r w:rsidRPr="004511C8">
        <w:rPr>
          <w:rFonts w:ascii="Arial" w:hAnsi="Arial" w:cs="Arial"/>
          <w:sz w:val="22"/>
          <w:szCs w:val="22"/>
        </w:rPr>
        <w:t>populations,</w:t>
      </w:r>
      <w:r w:rsidR="00DD28A5" w:rsidRPr="004511C8">
        <w:rPr>
          <w:rFonts w:ascii="Arial" w:hAnsi="Arial" w:cs="Arial"/>
          <w:sz w:val="22"/>
          <w:szCs w:val="22"/>
        </w:rPr>
        <w:t xml:space="preserve"> and it is then needed to extrapolate to younger adults instead of directly measuring it (Delpech et al.</w:t>
      </w:r>
      <w:r w:rsidRPr="004511C8">
        <w:rPr>
          <w:rFonts w:ascii="Arial" w:hAnsi="Arial" w:cs="Arial"/>
          <w:sz w:val="22"/>
          <w:szCs w:val="22"/>
        </w:rPr>
        <w:t xml:space="preserve"> </w:t>
      </w:r>
      <w:r w:rsidR="00DD28A5" w:rsidRPr="004511C8">
        <w:rPr>
          <w:rFonts w:ascii="Arial" w:hAnsi="Arial" w:cs="Arial"/>
          <w:sz w:val="22"/>
          <w:szCs w:val="22"/>
        </w:rPr>
        <w:t>2009; Whittles et al. 2018).</w:t>
      </w:r>
    </w:p>
    <w:p w14:paraId="53AD523D" w14:textId="6BDC8FD7" w:rsidR="00DD28A5" w:rsidRPr="004511C8" w:rsidRDefault="00DD28A5" w:rsidP="005F4984">
      <w:pPr>
        <w:rPr>
          <w:rFonts w:ascii="Arial" w:hAnsi="Arial" w:cs="Arial"/>
          <w:sz w:val="22"/>
          <w:szCs w:val="22"/>
        </w:rPr>
      </w:pPr>
      <w:r w:rsidRPr="004511C8">
        <w:rPr>
          <w:rFonts w:ascii="Arial" w:hAnsi="Arial" w:cs="Arial"/>
          <w:sz w:val="22"/>
          <w:szCs w:val="22"/>
        </w:rPr>
        <w:t xml:space="preserve">The second limitation is related to methodological heterogeneity of the evidence. The design, setting, sample size and outcome focus of the quantitative studies varied greatly. There were </w:t>
      </w:r>
      <w:r w:rsidRPr="004511C8">
        <w:rPr>
          <w:rFonts w:ascii="Arial" w:hAnsi="Arial" w:cs="Arial"/>
          <w:sz w:val="22"/>
          <w:szCs w:val="22"/>
        </w:rPr>
        <w:lastRenderedPageBreak/>
        <w:t xml:space="preserve">studies that </w:t>
      </w:r>
      <w:r w:rsidR="00A45BC0" w:rsidRPr="004511C8">
        <w:rPr>
          <w:rFonts w:ascii="Arial" w:hAnsi="Arial" w:cs="Arial"/>
          <w:sz w:val="22"/>
          <w:szCs w:val="22"/>
        </w:rPr>
        <w:t>analysed</w:t>
      </w:r>
      <w:r w:rsidRPr="004511C8">
        <w:rPr>
          <w:rFonts w:ascii="Arial" w:hAnsi="Arial" w:cs="Arial"/>
          <w:sz w:val="22"/>
          <w:szCs w:val="22"/>
        </w:rPr>
        <w:t xml:space="preserve"> trends of resistance over time nationally and others that concentrated on individual outbreaks or treatment failures. This heterogeneity complicates the process of direct comparison and restricts the possibility of quantitative pooling</w:t>
      </w:r>
      <w:r w:rsidR="00A45BC0" w:rsidRPr="004511C8">
        <w:rPr>
          <w:rFonts w:ascii="Arial" w:hAnsi="Arial" w:cs="Arial"/>
          <w:sz w:val="22"/>
          <w:szCs w:val="22"/>
        </w:rPr>
        <w:t xml:space="preserve"> (Mayen et al. 2024; </w:t>
      </w:r>
      <w:proofErr w:type="spellStart"/>
      <w:r w:rsidR="00A45BC0" w:rsidRPr="004511C8">
        <w:rPr>
          <w:rFonts w:ascii="Arial" w:hAnsi="Arial" w:cs="Arial"/>
          <w:sz w:val="22"/>
          <w:szCs w:val="22"/>
        </w:rPr>
        <w:t>Ruppar</w:t>
      </w:r>
      <w:proofErr w:type="spellEnd"/>
      <w:r w:rsidR="00A45BC0" w:rsidRPr="004511C8">
        <w:rPr>
          <w:rFonts w:ascii="Arial" w:hAnsi="Arial" w:cs="Arial"/>
          <w:sz w:val="22"/>
          <w:szCs w:val="22"/>
        </w:rPr>
        <w:t>, 2020)</w:t>
      </w:r>
      <w:r w:rsidRPr="004511C8">
        <w:rPr>
          <w:rFonts w:ascii="Arial" w:hAnsi="Arial" w:cs="Arial"/>
          <w:sz w:val="22"/>
          <w:szCs w:val="22"/>
        </w:rPr>
        <w:t>. This is why narrative synthesis was more appropriate as compared to meta-analysis in the current review (Popay et al. 2006). Although this does not discount the worth of the constituent studies, it does imply that general conclusions should be made sparingly and sensitively.</w:t>
      </w:r>
    </w:p>
    <w:p w14:paraId="3B38E081" w14:textId="0830F327" w:rsidR="00DD28A5" w:rsidRPr="004511C8" w:rsidRDefault="00DD28A5" w:rsidP="005F4984">
      <w:pPr>
        <w:rPr>
          <w:rFonts w:ascii="Arial" w:hAnsi="Arial" w:cs="Arial"/>
          <w:sz w:val="22"/>
          <w:szCs w:val="22"/>
        </w:rPr>
      </w:pPr>
      <w:r w:rsidRPr="004511C8">
        <w:rPr>
          <w:rFonts w:ascii="Arial" w:hAnsi="Arial" w:cs="Arial"/>
          <w:sz w:val="22"/>
          <w:szCs w:val="22"/>
        </w:rPr>
        <w:t>A third weakness is that certain studies are very specific to specific antibiotics or strains. An example is Chisholm et al. (2011)</w:t>
      </w:r>
      <w:r w:rsidR="00A45BC0" w:rsidRPr="004511C8">
        <w:rPr>
          <w:rFonts w:ascii="Arial" w:hAnsi="Arial" w:cs="Arial"/>
          <w:sz w:val="22"/>
          <w:szCs w:val="22"/>
        </w:rPr>
        <w:t>, who</w:t>
      </w:r>
      <w:r w:rsidRPr="004511C8">
        <w:rPr>
          <w:rFonts w:ascii="Arial" w:hAnsi="Arial" w:cs="Arial"/>
          <w:sz w:val="22"/>
          <w:szCs w:val="22"/>
        </w:rPr>
        <w:t xml:space="preserve"> dwell upon reduced susceptibility to cefixime, whereas Eyre et al. (2018) and Day et al. (2022) dwell upon ceftriaxone resistance. These studies are very significant, but due to their specificity, they fail to represent the entire range of gonococcal AMR. However, when combined, they show the overall pattern that resistance has increasingly posed a threat </w:t>
      </w:r>
      <w:r w:rsidR="00A45BC0" w:rsidRPr="004511C8">
        <w:rPr>
          <w:rFonts w:ascii="Arial" w:hAnsi="Arial" w:cs="Arial"/>
          <w:sz w:val="22"/>
          <w:szCs w:val="22"/>
        </w:rPr>
        <w:t>to</w:t>
      </w:r>
      <w:r w:rsidRPr="004511C8">
        <w:rPr>
          <w:rFonts w:ascii="Arial" w:hAnsi="Arial" w:cs="Arial"/>
          <w:sz w:val="22"/>
          <w:szCs w:val="22"/>
        </w:rPr>
        <w:t xml:space="preserve"> the successive treatment options within the UK. In this respect, quantitative literature is, in part, valuable in </w:t>
      </w:r>
      <w:r w:rsidR="00A45BC0" w:rsidRPr="004511C8">
        <w:rPr>
          <w:rFonts w:ascii="Arial" w:hAnsi="Arial" w:cs="Arial"/>
          <w:sz w:val="22"/>
          <w:szCs w:val="22"/>
        </w:rPr>
        <w:t>cumulative</w:t>
      </w:r>
      <w:r w:rsidRPr="004511C8">
        <w:rPr>
          <w:rFonts w:ascii="Arial" w:hAnsi="Arial" w:cs="Arial"/>
          <w:sz w:val="22"/>
          <w:szCs w:val="22"/>
        </w:rPr>
        <w:t xml:space="preserve"> interpretation rather than an isolated study.</w:t>
      </w:r>
    </w:p>
    <w:p w14:paraId="10097AD9" w14:textId="77777777" w:rsidR="00DD28A5" w:rsidRPr="004511C8" w:rsidRDefault="00DD28A5" w:rsidP="005F4984">
      <w:pPr>
        <w:rPr>
          <w:rFonts w:ascii="Arial" w:hAnsi="Arial" w:cs="Arial"/>
          <w:sz w:val="22"/>
          <w:szCs w:val="22"/>
        </w:rPr>
      </w:pPr>
      <w:r w:rsidRPr="004511C8">
        <w:rPr>
          <w:rFonts w:ascii="Arial" w:hAnsi="Arial" w:cs="Arial"/>
          <w:sz w:val="22"/>
          <w:szCs w:val="22"/>
        </w:rPr>
        <w:t xml:space="preserve">The quantitative studies proved to be very relevant to the review as they all focused on the central dimensions of the research question: resistance trends, surveillance, treatment failure, outbreak persistence and public health response. Delpech et al. (2009), Hughes, Nichols and Ison (2011), Clifton et al. (2017) and </w:t>
      </w:r>
      <w:proofErr w:type="gramStart"/>
      <w:r w:rsidRPr="004511C8">
        <w:rPr>
          <w:rFonts w:ascii="Arial" w:hAnsi="Arial" w:cs="Arial"/>
          <w:sz w:val="22"/>
          <w:szCs w:val="22"/>
        </w:rPr>
        <w:t>Whittles</w:t>
      </w:r>
      <w:proofErr w:type="gramEnd"/>
      <w:r w:rsidRPr="004511C8">
        <w:rPr>
          <w:rFonts w:ascii="Arial" w:hAnsi="Arial" w:cs="Arial"/>
          <w:sz w:val="22"/>
          <w:szCs w:val="22"/>
        </w:rPr>
        <w:t xml:space="preserve"> et al. (2018) were specifically helpful to comprehend patterns and trends. Palmer, Leeming and Turner (2001) and </w:t>
      </w:r>
      <w:proofErr w:type="spellStart"/>
      <w:r w:rsidRPr="004511C8">
        <w:rPr>
          <w:rFonts w:ascii="Arial" w:hAnsi="Arial" w:cs="Arial"/>
          <w:sz w:val="22"/>
          <w:szCs w:val="22"/>
        </w:rPr>
        <w:t>Smolarchuk</w:t>
      </w:r>
      <w:proofErr w:type="spellEnd"/>
      <w:r w:rsidRPr="004511C8">
        <w:rPr>
          <w:rFonts w:ascii="Arial" w:hAnsi="Arial" w:cs="Arial"/>
          <w:sz w:val="22"/>
          <w:szCs w:val="22"/>
        </w:rPr>
        <w:t xml:space="preserve"> et al. (2018) were significant to comprehend resistant transmission dynamics. Ison et al. (2011), Eyre et al. (2018) and Day et al. (2022) played an important role in the comprehension of the clinical severity of treatment failure and ceftriaxone resistance. Merrick et al. (2022) was particularly important in the connection of the evidence of resistance and the response of the population to it. In general, there was a high level of epidemiological description, resistance detection and policy relevance of the quantitative evidence base but the descriptions of the lived experience, service navigation and the age-specific implications to young adults were weak.</w:t>
      </w:r>
    </w:p>
    <w:p w14:paraId="56BAA355" w14:textId="77777777" w:rsidR="00DD28A5" w:rsidRPr="004511C8" w:rsidRDefault="00DD28A5" w:rsidP="005F4984">
      <w:pPr>
        <w:rPr>
          <w:rFonts w:ascii="Arial" w:hAnsi="Arial" w:cs="Arial"/>
          <w:sz w:val="22"/>
          <w:szCs w:val="22"/>
        </w:rPr>
      </w:pPr>
      <w:r w:rsidRPr="004511C8">
        <w:rPr>
          <w:rFonts w:ascii="Arial" w:hAnsi="Arial" w:cs="Arial"/>
          <w:sz w:val="22"/>
          <w:szCs w:val="22"/>
        </w:rPr>
        <w:t>Collectively, the critique of the quantitative articles indicates that they offer a plausible and most applicable evidence base of a UK-oriented review of the gonococcal antimicrobial resistance. Their advantages include laboratory confirmation, the breadth of surveillance, policy relevance, and the reporting of resistant cases in a timely manner. Their primary weaknesses are their descriptive focus, methodological heterogeneity, an insufficient age-specific focus and an inadequate understanding of behavioural or experiential dimensions. These results justify cautious narrative synthesis and the necessity to conduct future research that would be more focused on younger populations.</w:t>
      </w:r>
    </w:p>
    <w:p w14:paraId="5118DF2D" w14:textId="77777777" w:rsidR="00DD28A5" w:rsidRPr="004511C8" w:rsidRDefault="00DD28A5" w:rsidP="005F4984">
      <w:pPr>
        <w:rPr>
          <w:rFonts w:ascii="Arial" w:hAnsi="Arial" w:cs="Arial"/>
          <w:sz w:val="22"/>
          <w:szCs w:val="22"/>
        </w:rPr>
      </w:pPr>
    </w:p>
    <w:p w14:paraId="42369F62" w14:textId="77777777" w:rsidR="00DD28A5" w:rsidRPr="004511C8" w:rsidRDefault="00DD28A5" w:rsidP="005F4984">
      <w:pPr>
        <w:pStyle w:val="Heading2"/>
        <w:rPr>
          <w:rFonts w:ascii="Arial" w:hAnsi="Arial" w:cs="Arial"/>
          <w:sz w:val="22"/>
          <w:szCs w:val="22"/>
        </w:rPr>
      </w:pPr>
      <w:bookmarkStart w:id="32" w:name="_Toc229082789"/>
      <w:r w:rsidRPr="004511C8">
        <w:rPr>
          <w:rFonts w:ascii="Arial" w:hAnsi="Arial" w:cs="Arial"/>
          <w:sz w:val="22"/>
          <w:szCs w:val="22"/>
        </w:rPr>
        <w:t>4.7 Evaluation of Mixed Methods Studies</w:t>
      </w:r>
      <w:bookmarkEnd w:id="32"/>
    </w:p>
    <w:p w14:paraId="448D4ADE" w14:textId="459D93DF" w:rsidR="00DD28A5" w:rsidRPr="004511C8" w:rsidRDefault="00DD28A5" w:rsidP="005F4984">
      <w:pPr>
        <w:rPr>
          <w:rFonts w:ascii="Arial" w:hAnsi="Arial" w:cs="Arial"/>
          <w:sz w:val="22"/>
          <w:szCs w:val="22"/>
        </w:rPr>
      </w:pPr>
      <w:r w:rsidRPr="004511C8">
        <w:rPr>
          <w:rFonts w:ascii="Arial" w:hAnsi="Arial" w:cs="Arial"/>
          <w:sz w:val="22"/>
          <w:szCs w:val="22"/>
        </w:rPr>
        <w:t>Mixed methods studies involve qualitative and quantitative methods to achieve a more in-depth insight into a research issue than one of the two approaches alone (Hong et al. 2018; Hong et al. 2019). Mixed methods may be especially useful in the field of public health since it enables researchers to investigate not only quantifiable trends but also the contextual or experiential realities that influence them</w:t>
      </w:r>
      <w:r w:rsidR="00A45BC0" w:rsidRPr="004511C8">
        <w:rPr>
          <w:rFonts w:ascii="Arial" w:hAnsi="Arial" w:cs="Arial"/>
          <w:sz w:val="22"/>
          <w:szCs w:val="22"/>
        </w:rPr>
        <w:t xml:space="preserve"> (</w:t>
      </w:r>
      <w:proofErr w:type="spellStart"/>
      <w:r w:rsidR="00A45BC0" w:rsidRPr="004511C8">
        <w:rPr>
          <w:rFonts w:ascii="Arial" w:hAnsi="Arial" w:cs="Arial"/>
          <w:sz w:val="22"/>
          <w:szCs w:val="22"/>
        </w:rPr>
        <w:t>Grønmo</w:t>
      </w:r>
      <w:proofErr w:type="spellEnd"/>
      <w:r w:rsidR="00A45BC0" w:rsidRPr="004511C8">
        <w:rPr>
          <w:rFonts w:ascii="Arial" w:hAnsi="Arial" w:cs="Arial"/>
          <w:sz w:val="22"/>
          <w:szCs w:val="22"/>
        </w:rPr>
        <w:t>, 2023; Hendren et al. 2023)</w:t>
      </w:r>
      <w:r w:rsidRPr="004511C8">
        <w:rPr>
          <w:rFonts w:ascii="Arial" w:hAnsi="Arial" w:cs="Arial"/>
          <w:sz w:val="22"/>
          <w:szCs w:val="22"/>
        </w:rPr>
        <w:t>. In a survey of gonococcal antimicrobial resistance, mixed methods research would come in particularly handy to relate surveillance and resistance data with service experiences, treatment pathways or the perceptions of the affected populations</w:t>
      </w:r>
      <w:r w:rsidR="00A45BC0" w:rsidRPr="004511C8">
        <w:rPr>
          <w:rFonts w:ascii="Arial" w:hAnsi="Arial" w:cs="Arial"/>
          <w:sz w:val="22"/>
          <w:szCs w:val="22"/>
        </w:rPr>
        <w:t xml:space="preserve"> (Adam, 2023)</w:t>
      </w:r>
      <w:r w:rsidRPr="004511C8">
        <w:rPr>
          <w:rFonts w:ascii="Arial" w:hAnsi="Arial" w:cs="Arial"/>
          <w:sz w:val="22"/>
          <w:szCs w:val="22"/>
        </w:rPr>
        <w:t>.</w:t>
      </w:r>
    </w:p>
    <w:p w14:paraId="7B7DFF6F" w14:textId="25DD5C41" w:rsidR="00DD28A5" w:rsidRPr="004511C8" w:rsidRDefault="00DD28A5" w:rsidP="005F4984">
      <w:pPr>
        <w:rPr>
          <w:rFonts w:ascii="Arial" w:hAnsi="Arial" w:cs="Arial"/>
          <w:sz w:val="22"/>
          <w:szCs w:val="22"/>
        </w:rPr>
      </w:pPr>
      <w:r w:rsidRPr="004511C8">
        <w:rPr>
          <w:rFonts w:ascii="Arial" w:hAnsi="Arial" w:cs="Arial"/>
          <w:sz w:val="22"/>
          <w:szCs w:val="22"/>
        </w:rPr>
        <w:t xml:space="preserve">Nevertheless, there was little </w:t>
      </w:r>
      <w:r w:rsidR="00A45BC0" w:rsidRPr="004511C8">
        <w:rPr>
          <w:rFonts w:ascii="Arial" w:hAnsi="Arial" w:cs="Arial"/>
          <w:sz w:val="22"/>
          <w:szCs w:val="22"/>
        </w:rPr>
        <w:t>mixed-methods</w:t>
      </w:r>
      <w:r w:rsidRPr="004511C8">
        <w:rPr>
          <w:rFonts w:ascii="Arial" w:hAnsi="Arial" w:cs="Arial"/>
          <w:sz w:val="22"/>
          <w:szCs w:val="22"/>
        </w:rPr>
        <w:t xml:space="preserve"> evidence in this review. This is indicative of the broad spectrum of the gonorrhoea AMR literature, which is composed of surveillance reports, epidemiological investigations, outbreak investigations and case series as opposed to integrative designs (Medland et al.</w:t>
      </w:r>
      <w:r w:rsidR="00017BD6" w:rsidRPr="004511C8">
        <w:rPr>
          <w:rFonts w:ascii="Arial" w:hAnsi="Arial" w:cs="Arial"/>
          <w:sz w:val="22"/>
          <w:szCs w:val="22"/>
        </w:rPr>
        <w:t xml:space="preserve"> </w:t>
      </w:r>
      <w:r w:rsidRPr="004511C8">
        <w:rPr>
          <w:rFonts w:ascii="Arial" w:hAnsi="Arial" w:cs="Arial"/>
          <w:sz w:val="22"/>
          <w:szCs w:val="22"/>
        </w:rPr>
        <w:t xml:space="preserve">2022; Merrick et al. 2022). Where the elements of mixed methods were involved, they were valuable in connecting descriptive resistance evidence with the implications on the broader public health or service meaning. These works were evaluated according to the MMAT criteria of mixed methods, which evaluate the clarity of the purpose of their method combination, the </w:t>
      </w:r>
      <w:r w:rsidR="00A45BC0" w:rsidRPr="004511C8">
        <w:rPr>
          <w:rFonts w:ascii="Arial" w:hAnsi="Arial" w:cs="Arial"/>
          <w:sz w:val="22"/>
          <w:szCs w:val="22"/>
        </w:rPr>
        <w:t>sufficiency</w:t>
      </w:r>
      <w:r w:rsidRPr="004511C8">
        <w:rPr>
          <w:rFonts w:ascii="Arial" w:hAnsi="Arial" w:cs="Arial"/>
          <w:sz w:val="22"/>
          <w:szCs w:val="22"/>
        </w:rPr>
        <w:t xml:space="preserve"> of its integration, and the consistency of the entire interpretation (Hong et al.</w:t>
      </w:r>
      <w:r w:rsidR="00017BD6" w:rsidRPr="004511C8">
        <w:rPr>
          <w:rFonts w:ascii="Arial" w:hAnsi="Arial" w:cs="Arial"/>
          <w:sz w:val="22"/>
          <w:szCs w:val="22"/>
        </w:rPr>
        <w:t xml:space="preserve"> </w:t>
      </w:r>
      <w:r w:rsidRPr="004511C8">
        <w:rPr>
          <w:rFonts w:ascii="Arial" w:hAnsi="Arial" w:cs="Arial"/>
          <w:sz w:val="22"/>
          <w:szCs w:val="22"/>
        </w:rPr>
        <w:t>2018).</w:t>
      </w:r>
    </w:p>
    <w:p w14:paraId="2BBD4EE5" w14:textId="77777777" w:rsidR="00DD28A5" w:rsidRPr="004511C8" w:rsidRDefault="00DD28A5" w:rsidP="005F4984">
      <w:pPr>
        <w:rPr>
          <w:rFonts w:ascii="Arial" w:hAnsi="Arial" w:cs="Arial"/>
          <w:sz w:val="22"/>
          <w:szCs w:val="22"/>
        </w:rPr>
      </w:pPr>
      <w:r w:rsidRPr="004511C8">
        <w:rPr>
          <w:rFonts w:ascii="Arial" w:hAnsi="Arial" w:cs="Arial"/>
          <w:sz w:val="22"/>
          <w:szCs w:val="22"/>
        </w:rPr>
        <w:t>The primary advantage of mixed methods evidence is that it fills the gap between epidemiological evidence and practice implications. In this review, its greatest limitation was a lack thereof. Consequently, the contribution of mixed methods studies to the evidence base was rather small. The appendix contains all the appraisal details of any mixed methods studies that are part of the review.</w:t>
      </w:r>
    </w:p>
    <w:p w14:paraId="18886D8D" w14:textId="77777777" w:rsidR="00DD28A5" w:rsidRPr="004511C8" w:rsidRDefault="00DD28A5" w:rsidP="005F4984">
      <w:pPr>
        <w:rPr>
          <w:rFonts w:ascii="Arial" w:hAnsi="Arial" w:cs="Arial"/>
          <w:sz w:val="22"/>
          <w:szCs w:val="22"/>
        </w:rPr>
      </w:pPr>
    </w:p>
    <w:p w14:paraId="44DF8334" w14:textId="77777777" w:rsidR="00DD28A5" w:rsidRPr="004511C8" w:rsidRDefault="00DD28A5" w:rsidP="005F4984">
      <w:pPr>
        <w:pStyle w:val="Heading2"/>
        <w:rPr>
          <w:rFonts w:ascii="Arial" w:hAnsi="Arial" w:cs="Arial"/>
          <w:sz w:val="22"/>
          <w:szCs w:val="22"/>
        </w:rPr>
      </w:pPr>
      <w:bookmarkStart w:id="33" w:name="_Toc229082790"/>
      <w:r w:rsidRPr="004511C8">
        <w:rPr>
          <w:rFonts w:ascii="Arial" w:hAnsi="Arial" w:cs="Arial"/>
          <w:sz w:val="22"/>
          <w:szCs w:val="22"/>
        </w:rPr>
        <w:t>4.8 Chapter Summary</w:t>
      </w:r>
      <w:bookmarkEnd w:id="33"/>
    </w:p>
    <w:p w14:paraId="4DB93895" w14:textId="44098E22" w:rsidR="00DD28A5" w:rsidRPr="004511C8" w:rsidRDefault="00DD28A5" w:rsidP="005F4984">
      <w:pPr>
        <w:rPr>
          <w:rFonts w:ascii="Arial" w:hAnsi="Arial" w:cs="Arial"/>
          <w:sz w:val="22"/>
          <w:szCs w:val="22"/>
        </w:rPr>
      </w:pPr>
      <w:r w:rsidRPr="004511C8">
        <w:rPr>
          <w:rFonts w:ascii="Arial" w:hAnsi="Arial" w:cs="Arial"/>
          <w:sz w:val="22"/>
          <w:szCs w:val="22"/>
        </w:rPr>
        <w:t xml:space="preserve">This chapter has described data extraction processes and </w:t>
      </w:r>
      <w:r w:rsidR="00A45BC0" w:rsidRPr="004511C8">
        <w:rPr>
          <w:rFonts w:ascii="Arial" w:hAnsi="Arial" w:cs="Arial"/>
          <w:sz w:val="22"/>
          <w:szCs w:val="22"/>
        </w:rPr>
        <w:t xml:space="preserve">the </w:t>
      </w:r>
      <w:r w:rsidRPr="004511C8">
        <w:rPr>
          <w:rFonts w:ascii="Arial" w:hAnsi="Arial" w:cs="Arial"/>
          <w:sz w:val="22"/>
          <w:szCs w:val="22"/>
        </w:rPr>
        <w:t xml:space="preserve">critical evaluation that was applied in the review. It has </w:t>
      </w:r>
      <w:r w:rsidR="00DA6394" w:rsidRPr="004511C8">
        <w:rPr>
          <w:rFonts w:ascii="Arial" w:hAnsi="Arial" w:cs="Arial"/>
          <w:sz w:val="22"/>
          <w:szCs w:val="22"/>
        </w:rPr>
        <w:t xml:space="preserve">been </w:t>
      </w:r>
      <w:r w:rsidRPr="004511C8">
        <w:rPr>
          <w:rFonts w:ascii="Arial" w:hAnsi="Arial" w:cs="Arial"/>
          <w:sz w:val="22"/>
          <w:szCs w:val="22"/>
        </w:rPr>
        <w:t>demonstrated that the evidence provided was preponderated by the quantitative type of studies, especially by the surveillance studies, observational studies, outbreak studies and case series evidence, but there was a scarce amount of qualitative and mixed methods evidence. The review showed that the studies were</w:t>
      </w:r>
      <w:r w:rsidR="00A45BC0" w:rsidRPr="004511C8">
        <w:rPr>
          <w:rFonts w:ascii="Arial" w:hAnsi="Arial" w:cs="Arial"/>
          <w:sz w:val="22"/>
          <w:szCs w:val="22"/>
        </w:rPr>
        <w:t>,</w:t>
      </w:r>
      <w:r w:rsidRPr="004511C8">
        <w:rPr>
          <w:rFonts w:ascii="Arial" w:hAnsi="Arial" w:cs="Arial"/>
          <w:sz w:val="22"/>
          <w:szCs w:val="22"/>
        </w:rPr>
        <w:t xml:space="preserve"> in most cases</w:t>
      </w:r>
      <w:r w:rsidR="00A45BC0" w:rsidRPr="004511C8">
        <w:rPr>
          <w:rFonts w:ascii="Arial" w:hAnsi="Arial" w:cs="Arial"/>
          <w:sz w:val="22"/>
          <w:szCs w:val="22"/>
        </w:rPr>
        <w:t>,</w:t>
      </w:r>
      <w:r w:rsidRPr="004511C8">
        <w:rPr>
          <w:rFonts w:ascii="Arial" w:hAnsi="Arial" w:cs="Arial"/>
          <w:sz w:val="22"/>
          <w:szCs w:val="22"/>
        </w:rPr>
        <w:t xml:space="preserve"> pertinent and useful in exploring the trends of resistance, failure of treatments and population response to health in </w:t>
      </w:r>
      <w:r w:rsidR="00A45BC0" w:rsidRPr="004511C8">
        <w:rPr>
          <w:rFonts w:ascii="Arial" w:hAnsi="Arial" w:cs="Arial"/>
          <w:sz w:val="22"/>
          <w:szCs w:val="22"/>
        </w:rPr>
        <w:t xml:space="preserve">the </w:t>
      </w:r>
      <w:r w:rsidRPr="004511C8">
        <w:rPr>
          <w:rFonts w:ascii="Arial" w:hAnsi="Arial" w:cs="Arial"/>
          <w:sz w:val="22"/>
          <w:szCs w:val="22"/>
        </w:rPr>
        <w:t xml:space="preserve">UK, particularly since a significant number of the studies were founded on </w:t>
      </w:r>
      <w:r w:rsidR="00A45BC0" w:rsidRPr="004511C8">
        <w:rPr>
          <w:rFonts w:ascii="Arial" w:hAnsi="Arial" w:cs="Arial"/>
          <w:sz w:val="22"/>
          <w:szCs w:val="22"/>
        </w:rPr>
        <w:t>laboratory-verified</w:t>
      </w:r>
      <w:r w:rsidRPr="004511C8">
        <w:rPr>
          <w:rFonts w:ascii="Arial" w:hAnsi="Arial" w:cs="Arial"/>
          <w:sz w:val="22"/>
          <w:szCs w:val="22"/>
        </w:rPr>
        <w:t xml:space="preserve"> and </w:t>
      </w:r>
      <w:r w:rsidR="00A45BC0" w:rsidRPr="004511C8">
        <w:rPr>
          <w:rFonts w:ascii="Arial" w:hAnsi="Arial" w:cs="Arial"/>
          <w:sz w:val="22"/>
          <w:szCs w:val="22"/>
        </w:rPr>
        <w:t>surveillance-linked</w:t>
      </w:r>
      <w:r w:rsidRPr="004511C8">
        <w:rPr>
          <w:rFonts w:ascii="Arial" w:hAnsi="Arial" w:cs="Arial"/>
          <w:sz w:val="22"/>
          <w:szCs w:val="22"/>
        </w:rPr>
        <w:t xml:space="preserve"> evidence. Nevertheless, the </w:t>
      </w:r>
      <w:r w:rsidRPr="004511C8">
        <w:rPr>
          <w:rFonts w:ascii="Arial" w:hAnsi="Arial" w:cs="Arial"/>
          <w:sz w:val="22"/>
          <w:szCs w:val="22"/>
        </w:rPr>
        <w:lastRenderedPageBreak/>
        <w:t>review also found that there are significant limitations, such as heterogeneity of methods used, the use of descriptive data and a narrow focus on the young adults. The findings form the ground of the following chapter</w:t>
      </w:r>
      <w:r w:rsidR="00DA6394" w:rsidRPr="004511C8">
        <w:rPr>
          <w:rFonts w:ascii="Arial" w:hAnsi="Arial" w:cs="Arial"/>
          <w:sz w:val="22"/>
          <w:szCs w:val="22"/>
        </w:rPr>
        <w:t>,</w:t>
      </w:r>
      <w:r w:rsidRPr="004511C8">
        <w:rPr>
          <w:rFonts w:ascii="Arial" w:hAnsi="Arial" w:cs="Arial"/>
          <w:sz w:val="22"/>
          <w:szCs w:val="22"/>
        </w:rPr>
        <w:t xml:space="preserve"> where the thematic analysis and synthesis of the studies included are presented.</w:t>
      </w:r>
    </w:p>
    <w:p w14:paraId="55BC8C09" w14:textId="77777777" w:rsidR="00DD28A5" w:rsidRPr="004511C8" w:rsidRDefault="00DD28A5" w:rsidP="005F4984">
      <w:pPr>
        <w:rPr>
          <w:rFonts w:ascii="Arial" w:hAnsi="Arial" w:cs="Arial"/>
          <w:sz w:val="22"/>
          <w:szCs w:val="22"/>
        </w:rPr>
      </w:pPr>
    </w:p>
    <w:p w14:paraId="58A0C9C0" w14:textId="77777777" w:rsidR="00DD28A5" w:rsidRPr="004511C8" w:rsidRDefault="00DD28A5" w:rsidP="005F4984">
      <w:pPr>
        <w:jc w:val="left"/>
        <w:rPr>
          <w:rFonts w:ascii="Arial" w:hAnsi="Arial" w:cs="Arial"/>
          <w:b/>
          <w:bCs/>
          <w:sz w:val="22"/>
          <w:szCs w:val="22"/>
        </w:rPr>
      </w:pPr>
      <w:r w:rsidRPr="004511C8">
        <w:rPr>
          <w:rFonts w:ascii="Arial" w:hAnsi="Arial" w:cs="Arial"/>
          <w:sz w:val="22"/>
          <w:szCs w:val="22"/>
        </w:rPr>
        <w:br w:type="page"/>
      </w:r>
    </w:p>
    <w:p w14:paraId="3D55224A" w14:textId="73106FE0" w:rsidR="00DD28A5" w:rsidRPr="004511C8" w:rsidRDefault="00DD28A5" w:rsidP="005F4984">
      <w:pPr>
        <w:pStyle w:val="Heading1"/>
        <w:rPr>
          <w:rFonts w:ascii="Arial" w:hAnsi="Arial" w:cs="Arial"/>
          <w:sz w:val="22"/>
          <w:szCs w:val="22"/>
        </w:rPr>
      </w:pPr>
      <w:bookmarkStart w:id="34" w:name="_Toc229082791"/>
      <w:r w:rsidRPr="004511C8">
        <w:rPr>
          <w:rFonts w:ascii="Arial" w:hAnsi="Arial" w:cs="Arial"/>
          <w:sz w:val="22"/>
          <w:szCs w:val="22"/>
        </w:rPr>
        <w:lastRenderedPageBreak/>
        <w:t>CHAPTER 5: DATA ANALYSIS AND SYNTHESIS</w:t>
      </w:r>
      <w:bookmarkEnd w:id="34"/>
    </w:p>
    <w:p w14:paraId="3CF3E120" w14:textId="77777777" w:rsidR="00DD28A5" w:rsidRPr="004511C8" w:rsidRDefault="00DD28A5" w:rsidP="005F4984">
      <w:pPr>
        <w:rPr>
          <w:rFonts w:ascii="Arial" w:hAnsi="Arial" w:cs="Arial"/>
          <w:sz w:val="22"/>
          <w:szCs w:val="22"/>
        </w:rPr>
      </w:pPr>
    </w:p>
    <w:p w14:paraId="061155BD" w14:textId="04BC0AB8" w:rsidR="00DD28A5" w:rsidRPr="004511C8" w:rsidRDefault="00DD28A5" w:rsidP="005F4984">
      <w:pPr>
        <w:pStyle w:val="Heading2"/>
        <w:rPr>
          <w:rFonts w:ascii="Arial" w:hAnsi="Arial" w:cs="Arial"/>
          <w:sz w:val="22"/>
          <w:szCs w:val="22"/>
        </w:rPr>
      </w:pPr>
      <w:bookmarkStart w:id="35" w:name="_Toc229082792"/>
      <w:r w:rsidRPr="004511C8">
        <w:rPr>
          <w:rFonts w:ascii="Arial" w:hAnsi="Arial" w:cs="Arial"/>
          <w:sz w:val="22"/>
          <w:szCs w:val="22"/>
        </w:rPr>
        <w:t>5.1 Introduction to Chapter</w:t>
      </w:r>
      <w:bookmarkEnd w:id="35"/>
    </w:p>
    <w:p w14:paraId="6212F9DE" w14:textId="2F4A00E2" w:rsidR="00DD28A5" w:rsidRPr="004511C8" w:rsidRDefault="00DD28A5" w:rsidP="005F4984">
      <w:pPr>
        <w:rPr>
          <w:rFonts w:ascii="Arial" w:hAnsi="Arial" w:cs="Arial"/>
          <w:sz w:val="22"/>
          <w:szCs w:val="22"/>
        </w:rPr>
      </w:pPr>
      <w:r w:rsidRPr="004511C8">
        <w:rPr>
          <w:rFonts w:ascii="Arial" w:hAnsi="Arial" w:cs="Arial"/>
          <w:sz w:val="22"/>
          <w:szCs w:val="22"/>
        </w:rPr>
        <w:t xml:space="preserve">The chapter shows the synthesis and analysis of the studies included in the review. This chapter aims to go beyond a mere description of individual papers and rather point out the broad trends, common findings and common concerns that are arising </w:t>
      </w:r>
      <w:r w:rsidR="00DA6394" w:rsidRPr="004511C8">
        <w:rPr>
          <w:rFonts w:ascii="Arial" w:hAnsi="Arial" w:cs="Arial"/>
          <w:sz w:val="22"/>
          <w:szCs w:val="22"/>
        </w:rPr>
        <w:t>because of</w:t>
      </w:r>
      <w:r w:rsidRPr="004511C8">
        <w:rPr>
          <w:rFonts w:ascii="Arial" w:hAnsi="Arial" w:cs="Arial"/>
          <w:sz w:val="22"/>
          <w:szCs w:val="22"/>
        </w:rPr>
        <w:t xml:space="preserve"> the evidence base (Popay et al. 2006). Since the studies incorporated had different designs, settings and focus, a thematic method was employed to systematise the findings in an orderly and meaningful manner (Braun and Clarke, 2006). Thus, the chapter </w:t>
      </w:r>
      <w:r w:rsidR="00DA6394" w:rsidRPr="004511C8">
        <w:rPr>
          <w:rFonts w:ascii="Arial" w:hAnsi="Arial" w:cs="Arial"/>
          <w:sz w:val="22"/>
          <w:szCs w:val="22"/>
        </w:rPr>
        <w:t>summarises</w:t>
      </w:r>
      <w:r w:rsidRPr="004511C8">
        <w:rPr>
          <w:rFonts w:ascii="Arial" w:hAnsi="Arial" w:cs="Arial"/>
          <w:sz w:val="22"/>
          <w:szCs w:val="22"/>
        </w:rPr>
        <w:t xml:space="preserve"> evidence on gonococcal antimicrobial resistance in the United Kingdom by bringing together the information on resistance patterns, treatment failure, surveillance, persistence and implications of outbreaks among young adults. By so doing, it gives the analytical basis to the subsequent discussion chapter.</w:t>
      </w:r>
    </w:p>
    <w:p w14:paraId="0D089B0F" w14:textId="77777777" w:rsidR="00DD28A5" w:rsidRPr="004511C8" w:rsidRDefault="00DD28A5" w:rsidP="005F4984">
      <w:pPr>
        <w:rPr>
          <w:rFonts w:ascii="Arial" w:hAnsi="Arial" w:cs="Arial"/>
          <w:sz w:val="22"/>
          <w:szCs w:val="22"/>
        </w:rPr>
      </w:pPr>
    </w:p>
    <w:p w14:paraId="1E314706" w14:textId="77777777" w:rsidR="00DD28A5" w:rsidRPr="004511C8" w:rsidRDefault="00DD28A5" w:rsidP="005F4984">
      <w:pPr>
        <w:pStyle w:val="Heading2"/>
        <w:rPr>
          <w:rFonts w:ascii="Arial" w:hAnsi="Arial" w:cs="Arial"/>
          <w:sz w:val="22"/>
          <w:szCs w:val="22"/>
        </w:rPr>
      </w:pPr>
      <w:bookmarkStart w:id="36" w:name="_Toc229082793"/>
      <w:r w:rsidRPr="004511C8">
        <w:rPr>
          <w:rFonts w:ascii="Arial" w:hAnsi="Arial" w:cs="Arial"/>
          <w:sz w:val="22"/>
          <w:szCs w:val="22"/>
        </w:rPr>
        <w:t>5.2 Thematic Analysis</w:t>
      </w:r>
      <w:bookmarkEnd w:id="36"/>
    </w:p>
    <w:p w14:paraId="637E69F9" w14:textId="45109912" w:rsidR="00DD28A5" w:rsidRPr="004511C8" w:rsidRDefault="00DD28A5" w:rsidP="005F4984">
      <w:pPr>
        <w:rPr>
          <w:rFonts w:ascii="Arial" w:hAnsi="Arial" w:cs="Arial"/>
          <w:sz w:val="22"/>
          <w:szCs w:val="22"/>
        </w:rPr>
      </w:pPr>
      <w:r w:rsidRPr="004511C8">
        <w:rPr>
          <w:rFonts w:ascii="Arial" w:hAnsi="Arial" w:cs="Arial"/>
          <w:sz w:val="22"/>
          <w:szCs w:val="22"/>
        </w:rPr>
        <w:t xml:space="preserve">Thematic analysis refers to a process of identifying, structuring and understanding patterns of meaning that recur in a dataset </w:t>
      </w:r>
      <w:r w:rsidR="002105B1" w:rsidRPr="004511C8">
        <w:rPr>
          <w:rFonts w:ascii="Arial" w:hAnsi="Arial" w:cs="Arial"/>
          <w:sz w:val="22"/>
          <w:szCs w:val="22"/>
        </w:rPr>
        <w:t>(Ahmed et al. 2025; Christou, 2022)</w:t>
      </w:r>
      <w:r w:rsidRPr="004511C8">
        <w:rPr>
          <w:rFonts w:ascii="Arial" w:hAnsi="Arial" w:cs="Arial"/>
          <w:sz w:val="22"/>
          <w:szCs w:val="22"/>
        </w:rPr>
        <w:t>. It is especially appropriate in systematic literature reviews as it enables the synthesis of findings of different designs and outcome measures into coherent themes instead of considering them unrelated outcomes (Thomas and Harden, 2008). Thematic analysis was suitable in this review since studies included were heterogeneous methodologically, and involved surveillance studies, outbreak investigations, case series and public health response papers.</w:t>
      </w:r>
    </w:p>
    <w:p w14:paraId="03B46986" w14:textId="77777777" w:rsidR="00DD28A5" w:rsidRPr="004511C8" w:rsidRDefault="00DD28A5" w:rsidP="005F4984">
      <w:pPr>
        <w:rPr>
          <w:rFonts w:ascii="Arial" w:hAnsi="Arial" w:cs="Arial"/>
          <w:sz w:val="22"/>
          <w:szCs w:val="22"/>
        </w:rPr>
      </w:pPr>
    </w:p>
    <w:p w14:paraId="3B40FB05" w14:textId="77777777" w:rsidR="00DD28A5" w:rsidRPr="004511C8" w:rsidRDefault="00DD28A5" w:rsidP="005F4984">
      <w:pPr>
        <w:pStyle w:val="Heading2"/>
        <w:rPr>
          <w:rFonts w:ascii="Arial" w:hAnsi="Arial" w:cs="Arial"/>
          <w:sz w:val="22"/>
          <w:szCs w:val="22"/>
        </w:rPr>
      </w:pPr>
      <w:bookmarkStart w:id="37" w:name="_Toc229082794"/>
      <w:r w:rsidRPr="004511C8">
        <w:rPr>
          <w:rFonts w:ascii="Arial" w:hAnsi="Arial" w:cs="Arial"/>
          <w:sz w:val="22"/>
          <w:szCs w:val="22"/>
        </w:rPr>
        <w:t>5.3 Data Analysis Tool</w:t>
      </w:r>
      <w:bookmarkEnd w:id="37"/>
    </w:p>
    <w:p w14:paraId="46EAB147" w14:textId="39F07A92" w:rsidR="00DD28A5" w:rsidRPr="004511C8" w:rsidRDefault="00DD28A5" w:rsidP="005F4984">
      <w:pPr>
        <w:rPr>
          <w:rFonts w:ascii="Arial" w:hAnsi="Arial" w:cs="Arial"/>
          <w:sz w:val="22"/>
          <w:szCs w:val="22"/>
        </w:rPr>
      </w:pPr>
      <w:r w:rsidRPr="004511C8">
        <w:rPr>
          <w:rFonts w:ascii="Arial" w:hAnsi="Arial" w:cs="Arial"/>
          <w:sz w:val="22"/>
          <w:szCs w:val="22"/>
        </w:rPr>
        <w:t>The thematic approach, which was formulated by Braun and Clarke (2006), was applied as the framework to guide the analysis. This model includes multiple readings of the studies that were included in it, recognition of the recurring concepts, coding of the most significant findings, grouping of the similar codes into themes and refinement of the themes into an interpretive framework (Braun and Clarke, 2006). This method was appropriate in the current review as it enabled the synthesis of evidence across various types of studies and</w:t>
      </w:r>
      <w:r w:rsidR="00153DF7" w:rsidRPr="004511C8">
        <w:rPr>
          <w:rFonts w:ascii="Arial" w:hAnsi="Arial" w:cs="Arial"/>
          <w:sz w:val="22"/>
          <w:szCs w:val="22"/>
        </w:rPr>
        <w:t>,</w:t>
      </w:r>
      <w:r w:rsidRPr="004511C8">
        <w:rPr>
          <w:rFonts w:ascii="Arial" w:hAnsi="Arial" w:cs="Arial"/>
          <w:sz w:val="22"/>
          <w:szCs w:val="22"/>
        </w:rPr>
        <w:t xml:space="preserve"> at the same time</w:t>
      </w:r>
      <w:r w:rsidR="00DA6394" w:rsidRPr="004511C8">
        <w:rPr>
          <w:rFonts w:ascii="Arial" w:hAnsi="Arial" w:cs="Arial"/>
          <w:sz w:val="22"/>
          <w:szCs w:val="22"/>
        </w:rPr>
        <w:t>,</w:t>
      </w:r>
      <w:r w:rsidRPr="004511C8">
        <w:rPr>
          <w:rFonts w:ascii="Arial" w:hAnsi="Arial" w:cs="Arial"/>
          <w:sz w:val="22"/>
          <w:szCs w:val="22"/>
        </w:rPr>
        <w:t xml:space="preserve"> </w:t>
      </w:r>
      <w:r w:rsidR="002105B1" w:rsidRPr="004511C8">
        <w:rPr>
          <w:rFonts w:ascii="Arial" w:hAnsi="Arial" w:cs="Arial"/>
          <w:sz w:val="22"/>
          <w:szCs w:val="22"/>
        </w:rPr>
        <w:t>maintained</w:t>
      </w:r>
      <w:r w:rsidRPr="004511C8">
        <w:rPr>
          <w:rFonts w:ascii="Arial" w:hAnsi="Arial" w:cs="Arial"/>
          <w:sz w:val="22"/>
          <w:szCs w:val="22"/>
        </w:rPr>
        <w:t xml:space="preserve"> the complexity of the findings. It also endorsed an approach of narrative synthesis, which is suggested where meta-analysis cannot be used due to heterogeneity of the studies (Popay et al. 2006).</w:t>
      </w:r>
    </w:p>
    <w:p w14:paraId="349FCF0E" w14:textId="77777777" w:rsidR="00DD28A5" w:rsidRPr="004511C8" w:rsidRDefault="00DD28A5" w:rsidP="005F4984">
      <w:pPr>
        <w:rPr>
          <w:rFonts w:ascii="Arial" w:hAnsi="Arial" w:cs="Arial"/>
          <w:sz w:val="22"/>
          <w:szCs w:val="22"/>
        </w:rPr>
      </w:pPr>
    </w:p>
    <w:p w14:paraId="71D712E4" w14:textId="77777777" w:rsidR="00DD28A5" w:rsidRPr="004511C8" w:rsidRDefault="00DD28A5" w:rsidP="005F4984">
      <w:pPr>
        <w:pStyle w:val="Heading2"/>
        <w:rPr>
          <w:rFonts w:ascii="Arial" w:hAnsi="Arial" w:cs="Arial"/>
          <w:sz w:val="22"/>
          <w:szCs w:val="22"/>
        </w:rPr>
      </w:pPr>
      <w:bookmarkStart w:id="38" w:name="_Toc229082795"/>
      <w:r w:rsidRPr="004511C8">
        <w:rPr>
          <w:rFonts w:ascii="Arial" w:hAnsi="Arial" w:cs="Arial"/>
          <w:sz w:val="22"/>
          <w:szCs w:val="22"/>
        </w:rPr>
        <w:t>5.4 Characteristics of the Identified Studies</w:t>
      </w:r>
      <w:bookmarkEnd w:id="38"/>
    </w:p>
    <w:p w14:paraId="62FCA79E" w14:textId="6DAC3847" w:rsidR="00DD28A5" w:rsidRPr="004511C8" w:rsidRDefault="00DD28A5" w:rsidP="005F4984">
      <w:pPr>
        <w:rPr>
          <w:rFonts w:ascii="Arial" w:hAnsi="Arial" w:cs="Arial"/>
          <w:sz w:val="22"/>
          <w:szCs w:val="22"/>
        </w:rPr>
      </w:pPr>
      <w:r w:rsidRPr="004511C8">
        <w:rPr>
          <w:rFonts w:ascii="Arial" w:hAnsi="Arial" w:cs="Arial"/>
          <w:sz w:val="22"/>
          <w:szCs w:val="22"/>
        </w:rPr>
        <w:t>The studies included were done in the United Kingdom</w:t>
      </w:r>
      <w:r w:rsidR="002105B1" w:rsidRPr="004511C8">
        <w:rPr>
          <w:rFonts w:ascii="Arial" w:hAnsi="Arial" w:cs="Arial"/>
          <w:sz w:val="22"/>
          <w:szCs w:val="22"/>
        </w:rPr>
        <w:t>,</w:t>
      </w:r>
      <w:r w:rsidRPr="004511C8">
        <w:rPr>
          <w:rFonts w:ascii="Arial" w:hAnsi="Arial" w:cs="Arial"/>
          <w:sz w:val="22"/>
          <w:szCs w:val="22"/>
        </w:rPr>
        <w:t xml:space="preserve"> and the majority were done in England or England and Wales. This indicates the imperative contribution of the UK surveillance systems</w:t>
      </w:r>
      <w:r w:rsidR="002105B1" w:rsidRPr="004511C8">
        <w:rPr>
          <w:rFonts w:ascii="Arial" w:hAnsi="Arial" w:cs="Arial"/>
          <w:sz w:val="22"/>
          <w:szCs w:val="22"/>
        </w:rPr>
        <w:t>,</w:t>
      </w:r>
      <w:r w:rsidRPr="004511C8">
        <w:rPr>
          <w:rFonts w:ascii="Arial" w:hAnsi="Arial" w:cs="Arial"/>
          <w:sz w:val="22"/>
          <w:szCs w:val="22"/>
        </w:rPr>
        <w:t xml:space="preserve"> especially the Gonococcal Resistance to Antimicrobials Surveillance Programme in producing evidence on gonococcal antimicrobial resistance </w:t>
      </w:r>
      <w:r w:rsidR="002105B1" w:rsidRPr="004511C8">
        <w:rPr>
          <w:rFonts w:ascii="Arial" w:hAnsi="Arial" w:cs="Arial"/>
          <w:sz w:val="22"/>
          <w:szCs w:val="22"/>
        </w:rPr>
        <w:t xml:space="preserve">(Medland et al. 2022; </w:t>
      </w:r>
      <w:r w:rsidRPr="004511C8">
        <w:rPr>
          <w:rFonts w:ascii="Arial" w:hAnsi="Arial" w:cs="Arial"/>
          <w:sz w:val="22"/>
          <w:szCs w:val="22"/>
        </w:rPr>
        <w:t xml:space="preserve">Delpech et al. 2009; Hughes, Nichols and Ison, 2011). The evidence base consisted of a variety of research, the most significant of which were surveillance-based observational research, outbreak research, case reports or case series, and the analysis of the response of the public health (Palmer, Leeming and Turner, 2001; </w:t>
      </w:r>
      <w:proofErr w:type="spellStart"/>
      <w:r w:rsidRPr="004511C8">
        <w:rPr>
          <w:rFonts w:ascii="Arial" w:hAnsi="Arial" w:cs="Arial"/>
          <w:sz w:val="22"/>
          <w:szCs w:val="22"/>
        </w:rPr>
        <w:t>Smolarchuk</w:t>
      </w:r>
      <w:proofErr w:type="spellEnd"/>
      <w:r w:rsidRPr="004511C8">
        <w:rPr>
          <w:rFonts w:ascii="Arial" w:hAnsi="Arial" w:cs="Arial"/>
          <w:sz w:val="22"/>
          <w:szCs w:val="22"/>
        </w:rPr>
        <w:t xml:space="preserve"> et al. 2018; Merrick et al. 2022; Day et al.</w:t>
      </w:r>
      <w:r w:rsidR="00BF2D18" w:rsidRPr="004511C8">
        <w:rPr>
          <w:rFonts w:ascii="Arial" w:hAnsi="Arial" w:cs="Arial"/>
          <w:sz w:val="22"/>
          <w:szCs w:val="22"/>
        </w:rPr>
        <w:t xml:space="preserve"> </w:t>
      </w:r>
      <w:r w:rsidRPr="004511C8">
        <w:rPr>
          <w:rFonts w:ascii="Arial" w:hAnsi="Arial" w:cs="Arial"/>
          <w:sz w:val="22"/>
          <w:szCs w:val="22"/>
        </w:rPr>
        <w:t>2022). The main sources were the sexual health clinics, surveillance networks, the national reporting systems</w:t>
      </w:r>
      <w:r w:rsidR="002105B1" w:rsidRPr="004511C8">
        <w:rPr>
          <w:rFonts w:ascii="Arial" w:hAnsi="Arial" w:cs="Arial"/>
          <w:sz w:val="22"/>
          <w:szCs w:val="22"/>
        </w:rPr>
        <w:t>,</w:t>
      </w:r>
      <w:r w:rsidRPr="004511C8">
        <w:rPr>
          <w:rFonts w:ascii="Arial" w:hAnsi="Arial" w:cs="Arial"/>
          <w:sz w:val="22"/>
          <w:szCs w:val="22"/>
        </w:rPr>
        <w:t xml:space="preserve"> and the laboratories in the system of public health. Most studies focused on the broader sexual health or surveillance populations as compared to a narrowly defined age group; however, their results can be applied to young adults in the broader epidemiological context of gonorrhoea in the UK (Whittles et al. 2018). The appendix contains full information about the characteristics of the study.</w:t>
      </w:r>
    </w:p>
    <w:p w14:paraId="11B73CBB" w14:textId="77777777" w:rsidR="00DD28A5" w:rsidRPr="004511C8" w:rsidRDefault="00DD28A5" w:rsidP="005F4984">
      <w:pPr>
        <w:rPr>
          <w:rFonts w:ascii="Arial" w:hAnsi="Arial" w:cs="Arial"/>
          <w:sz w:val="22"/>
          <w:szCs w:val="22"/>
        </w:rPr>
      </w:pPr>
    </w:p>
    <w:p w14:paraId="3DA18DBA" w14:textId="77777777" w:rsidR="00DD28A5" w:rsidRPr="004511C8" w:rsidRDefault="00DD28A5" w:rsidP="005F4984">
      <w:pPr>
        <w:pStyle w:val="Heading2"/>
        <w:rPr>
          <w:rFonts w:ascii="Arial" w:hAnsi="Arial" w:cs="Arial"/>
          <w:sz w:val="22"/>
          <w:szCs w:val="22"/>
        </w:rPr>
      </w:pPr>
      <w:bookmarkStart w:id="39" w:name="_Toc229082796"/>
      <w:r w:rsidRPr="004511C8">
        <w:rPr>
          <w:rFonts w:ascii="Arial" w:hAnsi="Arial" w:cs="Arial"/>
          <w:sz w:val="22"/>
          <w:szCs w:val="22"/>
        </w:rPr>
        <w:t>5.5 Emerging Themes from Included Studies</w:t>
      </w:r>
      <w:bookmarkEnd w:id="39"/>
    </w:p>
    <w:p w14:paraId="79C6F075" w14:textId="7E81F336" w:rsidR="00DD28A5" w:rsidRPr="004511C8" w:rsidRDefault="00DD28A5" w:rsidP="005F4984">
      <w:pPr>
        <w:rPr>
          <w:rFonts w:ascii="Arial" w:hAnsi="Arial" w:cs="Arial"/>
          <w:sz w:val="22"/>
          <w:szCs w:val="22"/>
        </w:rPr>
      </w:pPr>
      <w:r w:rsidRPr="004511C8">
        <w:rPr>
          <w:rFonts w:ascii="Arial" w:hAnsi="Arial" w:cs="Arial"/>
          <w:sz w:val="22"/>
          <w:szCs w:val="22"/>
        </w:rPr>
        <w:t xml:space="preserve">The analysis of the studies included found six primary themes that describe the evidence that currently exists </w:t>
      </w:r>
      <w:r w:rsidR="00BF70D3" w:rsidRPr="004511C8">
        <w:rPr>
          <w:rFonts w:ascii="Arial" w:hAnsi="Arial" w:cs="Arial"/>
          <w:sz w:val="22"/>
          <w:szCs w:val="22"/>
        </w:rPr>
        <w:t>about antimicrobial</w:t>
      </w:r>
      <w:r w:rsidRPr="004511C8">
        <w:rPr>
          <w:rFonts w:ascii="Arial" w:hAnsi="Arial" w:cs="Arial"/>
          <w:sz w:val="22"/>
          <w:szCs w:val="22"/>
        </w:rPr>
        <w:t xml:space="preserve"> resistance in gonorrhoea in the United Kingdom. These themes were not in isolation. Rather, they were closely interrelated, and the history of resistance defined the priorities of surveillance, the surveillance findings identified multidrug resistance and treatment failure, and these developments directly had implications </w:t>
      </w:r>
      <w:r w:rsidR="00BF70D3" w:rsidRPr="004511C8">
        <w:rPr>
          <w:rFonts w:ascii="Arial" w:hAnsi="Arial" w:cs="Arial"/>
          <w:sz w:val="22"/>
          <w:szCs w:val="22"/>
        </w:rPr>
        <w:t>for</w:t>
      </w:r>
      <w:r w:rsidRPr="004511C8">
        <w:rPr>
          <w:rFonts w:ascii="Arial" w:hAnsi="Arial" w:cs="Arial"/>
          <w:sz w:val="22"/>
          <w:szCs w:val="22"/>
        </w:rPr>
        <w:t xml:space="preserve"> the practice of public health and sexual health services. The themes are consequently a reflection of the microbiological evolution of Neisseria </w:t>
      </w:r>
      <w:r w:rsidR="00BF70D3" w:rsidRPr="004511C8">
        <w:rPr>
          <w:rFonts w:ascii="Arial" w:hAnsi="Arial" w:cs="Arial"/>
          <w:sz w:val="22"/>
          <w:szCs w:val="22"/>
        </w:rPr>
        <w:t>gonorrhoeae,</w:t>
      </w:r>
      <w:r w:rsidRPr="004511C8">
        <w:rPr>
          <w:rFonts w:ascii="Arial" w:hAnsi="Arial" w:cs="Arial"/>
          <w:sz w:val="22"/>
          <w:szCs w:val="22"/>
        </w:rPr>
        <w:t xml:space="preserve"> and </w:t>
      </w:r>
      <w:r w:rsidR="00BF70D3" w:rsidRPr="004511C8">
        <w:rPr>
          <w:rFonts w:ascii="Arial" w:hAnsi="Arial" w:cs="Arial"/>
          <w:sz w:val="22"/>
          <w:szCs w:val="22"/>
        </w:rPr>
        <w:t>a</w:t>
      </w:r>
      <w:r w:rsidRPr="004511C8">
        <w:rPr>
          <w:rFonts w:ascii="Arial" w:hAnsi="Arial" w:cs="Arial"/>
          <w:sz w:val="22"/>
          <w:szCs w:val="22"/>
        </w:rPr>
        <w:t xml:space="preserve"> wider clinical and general health response is needed to control it.</w:t>
      </w:r>
    </w:p>
    <w:p w14:paraId="6003BB2D" w14:textId="77777777" w:rsidR="00DD28A5" w:rsidRPr="004511C8" w:rsidRDefault="00DD28A5" w:rsidP="005F4984">
      <w:pPr>
        <w:rPr>
          <w:rFonts w:ascii="Arial" w:hAnsi="Arial" w:cs="Arial"/>
          <w:sz w:val="22"/>
          <w:szCs w:val="22"/>
        </w:rPr>
      </w:pPr>
    </w:p>
    <w:p w14:paraId="1E5C9334" w14:textId="77777777" w:rsidR="004511C8" w:rsidRDefault="004511C8" w:rsidP="005F4984">
      <w:pPr>
        <w:jc w:val="center"/>
        <w:rPr>
          <w:rFonts w:ascii="Arial" w:hAnsi="Arial" w:cs="Arial"/>
          <w:b/>
          <w:bCs/>
          <w:sz w:val="22"/>
          <w:szCs w:val="22"/>
        </w:rPr>
      </w:pPr>
    </w:p>
    <w:p w14:paraId="5CC40749" w14:textId="77777777" w:rsidR="004511C8" w:rsidRDefault="004511C8" w:rsidP="005F4984">
      <w:pPr>
        <w:jc w:val="center"/>
        <w:rPr>
          <w:rFonts w:ascii="Arial" w:hAnsi="Arial" w:cs="Arial"/>
          <w:b/>
          <w:bCs/>
          <w:sz w:val="22"/>
          <w:szCs w:val="22"/>
        </w:rPr>
      </w:pPr>
    </w:p>
    <w:p w14:paraId="47AC2418" w14:textId="77777777" w:rsidR="004511C8" w:rsidRDefault="004511C8" w:rsidP="005F4984">
      <w:pPr>
        <w:jc w:val="center"/>
        <w:rPr>
          <w:rFonts w:ascii="Arial" w:hAnsi="Arial" w:cs="Arial"/>
          <w:b/>
          <w:bCs/>
          <w:sz w:val="22"/>
          <w:szCs w:val="22"/>
        </w:rPr>
      </w:pPr>
    </w:p>
    <w:p w14:paraId="1C7E6E33" w14:textId="77777777" w:rsidR="004511C8" w:rsidRDefault="004511C8" w:rsidP="005F4984">
      <w:pPr>
        <w:jc w:val="center"/>
        <w:rPr>
          <w:rFonts w:ascii="Arial" w:hAnsi="Arial" w:cs="Arial"/>
          <w:b/>
          <w:bCs/>
          <w:sz w:val="22"/>
          <w:szCs w:val="22"/>
        </w:rPr>
      </w:pPr>
    </w:p>
    <w:p w14:paraId="3E51B5AA" w14:textId="77777777" w:rsidR="004511C8" w:rsidRDefault="004511C8" w:rsidP="005F4984">
      <w:pPr>
        <w:jc w:val="center"/>
        <w:rPr>
          <w:rFonts w:ascii="Arial" w:hAnsi="Arial" w:cs="Arial"/>
          <w:b/>
          <w:bCs/>
          <w:sz w:val="22"/>
          <w:szCs w:val="22"/>
        </w:rPr>
      </w:pPr>
    </w:p>
    <w:p w14:paraId="0A30A529" w14:textId="39564995" w:rsidR="00DD28A5" w:rsidRPr="004511C8" w:rsidRDefault="00DD28A5" w:rsidP="005F4984">
      <w:pPr>
        <w:jc w:val="center"/>
        <w:rPr>
          <w:rFonts w:ascii="Arial" w:hAnsi="Arial" w:cs="Arial"/>
          <w:b/>
          <w:bCs/>
          <w:sz w:val="22"/>
          <w:szCs w:val="22"/>
        </w:rPr>
      </w:pPr>
      <w:r w:rsidRPr="004511C8">
        <w:rPr>
          <w:rFonts w:ascii="Arial" w:hAnsi="Arial" w:cs="Arial"/>
          <w:b/>
          <w:bCs/>
          <w:sz w:val="22"/>
          <w:szCs w:val="22"/>
        </w:rPr>
        <w:lastRenderedPageBreak/>
        <w:t>Table 2: Themes and contributing studies</w:t>
      </w:r>
    </w:p>
    <w:tbl>
      <w:tblPr>
        <w:tblStyle w:val="GridTable1Light"/>
        <w:tblW w:w="0" w:type="auto"/>
        <w:tblLook w:val="04A0" w:firstRow="1" w:lastRow="0" w:firstColumn="1" w:lastColumn="0" w:noHBand="0" w:noVBand="1"/>
      </w:tblPr>
      <w:tblGrid>
        <w:gridCol w:w="3208"/>
        <w:gridCol w:w="5808"/>
      </w:tblGrid>
      <w:tr w:rsidR="00F554DE" w:rsidRPr="004511C8" w14:paraId="76DEBBAA" w14:textId="77777777" w:rsidTr="00F554DE">
        <w:trPr>
          <w:cnfStyle w:val="100000000000" w:firstRow="1" w:lastRow="0" w:firstColumn="0" w:lastColumn="0" w:oddVBand="0" w:evenVBand="0" w:oddHBand="0" w:evenHBand="0" w:firstRowFirstColumn="0" w:firstRowLastColumn="0" w:lastRowFirstColumn="0" w:lastRowLastColumn="0"/>
          <w:trHeight w:val="72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2BB3869" w14:textId="77777777" w:rsidR="00F554DE" w:rsidRPr="004511C8" w:rsidRDefault="00F554DE" w:rsidP="005F4984">
            <w:pPr>
              <w:jc w:val="center"/>
              <w:rPr>
                <w:rFonts w:ascii="Arial" w:eastAsia="Times New Roman" w:hAnsi="Arial" w:cs="Arial"/>
                <w:kern w:val="0"/>
                <w:sz w:val="22"/>
                <w:szCs w:val="22"/>
                <w:lang w:val="en-US"/>
                <w14:ligatures w14:val="none"/>
              </w:rPr>
            </w:pPr>
            <w:r w:rsidRPr="004511C8">
              <w:rPr>
                <w:rFonts w:ascii="Arial" w:eastAsia="Times New Roman" w:hAnsi="Arial" w:cs="Arial"/>
                <w:kern w:val="0"/>
                <w:sz w:val="22"/>
                <w:szCs w:val="22"/>
                <w:lang w:val="en-US"/>
                <w14:ligatures w14:val="none"/>
              </w:rPr>
              <w:t>Theme</w:t>
            </w:r>
          </w:p>
        </w:tc>
        <w:tc>
          <w:tcPr>
            <w:tcW w:w="0" w:type="auto"/>
            <w:vAlign w:val="center"/>
            <w:hideMark/>
          </w:tcPr>
          <w:p w14:paraId="036FE632" w14:textId="77777777" w:rsidR="00F554DE" w:rsidRPr="004511C8" w:rsidRDefault="00F554DE" w:rsidP="005F4984">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US"/>
                <w14:ligatures w14:val="none"/>
              </w:rPr>
            </w:pPr>
            <w:r w:rsidRPr="004511C8">
              <w:rPr>
                <w:rFonts w:ascii="Arial" w:eastAsia="Times New Roman" w:hAnsi="Arial" w:cs="Arial"/>
                <w:kern w:val="0"/>
                <w:sz w:val="22"/>
                <w:szCs w:val="22"/>
                <w:lang w:val="en-US"/>
                <w14:ligatures w14:val="none"/>
              </w:rPr>
              <w:t>Studies Contributing to Theme</w:t>
            </w:r>
          </w:p>
        </w:tc>
      </w:tr>
      <w:tr w:rsidR="00F554DE" w:rsidRPr="004511C8" w14:paraId="23A15EEE" w14:textId="77777777" w:rsidTr="00F554DE">
        <w:trPr>
          <w:trHeight w:val="72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9D26F1A" w14:textId="77777777" w:rsidR="00F554DE" w:rsidRPr="004511C8" w:rsidRDefault="00F554DE" w:rsidP="005F4984">
            <w:pPr>
              <w:jc w:val="left"/>
              <w:rPr>
                <w:rFonts w:ascii="Arial" w:eastAsia="Times New Roman" w:hAnsi="Arial" w:cs="Arial"/>
                <w:b w:val="0"/>
                <w:bCs w:val="0"/>
                <w:kern w:val="0"/>
                <w:sz w:val="22"/>
                <w:szCs w:val="22"/>
                <w:lang w:val="en-US"/>
                <w14:ligatures w14:val="none"/>
              </w:rPr>
            </w:pPr>
            <w:r w:rsidRPr="004511C8">
              <w:rPr>
                <w:rFonts w:ascii="Arial" w:eastAsia="Times New Roman" w:hAnsi="Arial" w:cs="Arial"/>
                <w:b w:val="0"/>
                <w:bCs w:val="0"/>
                <w:kern w:val="0"/>
                <w:sz w:val="22"/>
                <w:szCs w:val="22"/>
                <w:lang w:val="en-US"/>
                <w14:ligatures w14:val="none"/>
              </w:rPr>
              <w:t xml:space="preserve">Evolution of antimicrobial resistance in </w:t>
            </w:r>
            <w:proofErr w:type="spellStart"/>
            <w:r w:rsidRPr="004511C8">
              <w:rPr>
                <w:rFonts w:ascii="Arial" w:eastAsia="Times New Roman" w:hAnsi="Arial" w:cs="Arial"/>
                <w:b w:val="0"/>
                <w:bCs w:val="0"/>
                <w:kern w:val="0"/>
                <w:sz w:val="22"/>
                <w:szCs w:val="22"/>
                <w:lang w:val="en-US"/>
                <w14:ligatures w14:val="none"/>
              </w:rPr>
              <w:t>gonorrhoea</w:t>
            </w:r>
            <w:proofErr w:type="spellEnd"/>
          </w:p>
        </w:tc>
        <w:tc>
          <w:tcPr>
            <w:tcW w:w="0" w:type="auto"/>
            <w:vAlign w:val="center"/>
            <w:hideMark/>
          </w:tcPr>
          <w:p w14:paraId="78FD2C82" w14:textId="77777777" w:rsidR="00F554DE" w:rsidRPr="004511C8" w:rsidRDefault="00F554DE" w:rsidP="005F4984">
            <w:pPr>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US"/>
                <w14:ligatures w14:val="none"/>
              </w:rPr>
            </w:pPr>
            <w:proofErr w:type="spellStart"/>
            <w:r w:rsidRPr="004511C8">
              <w:rPr>
                <w:rFonts w:ascii="Arial" w:eastAsia="Times New Roman" w:hAnsi="Arial" w:cs="Arial"/>
                <w:kern w:val="0"/>
                <w:sz w:val="22"/>
                <w:szCs w:val="22"/>
                <w:lang w:val="fr-BE"/>
                <w14:ligatures w14:val="none"/>
              </w:rPr>
              <w:t>Aitolo</w:t>
            </w:r>
            <w:proofErr w:type="spellEnd"/>
            <w:r w:rsidRPr="004511C8">
              <w:rPr>
                <w:rFonts w:ascii="Arial" w:eastAsia="Times New Roman" w:hAnsi="Arial" w:cs="Arial"/>
                <w:kern w:val="0"/>
                <w:sz w:val="22"/>
                <w:szCs w:val="22"/>
                <w:lang w:val="fr-BE"/>
                <w14:ligatures w14:val="none"/>
              </w:rPr>
              <w:t xml:space="preserve"> et al. (2021</w:t>
            </w:r>
            <w:proofErr w:type="gramStart"/>
            <w:r w:rsidRPr="004511C8">
              <w:rPr>
                <w:rFonts w:ascii="Arial" w:eastAsia="Times New Roman" w:hAnsi="Arial" w:cs="Arial"/>
                <w:kern w:val="0"/>
                <w:sz w:val="22"/>
                <w:szCs w:val="22"/>
                <w:lang w:val="fr-BE"/>
                <w14:ligatures w14:val="none"/>
              </w:rPr>
              <w:t>);</w:t>
            </w:r>
            <w:proofErr w:type="gramEnd"/>
            <w:r w:rsidRPr="004511C8">
              <w:rPr>
                <w:rFonts w:ascii="Arial" w:eastAsia="Times New Roman" w:hAnsi="Arial" w:cs="Arial"/>
                <w:kern w:val="0"/>
                <w:sz w:val="22"/>
                <w:szCs w:val="22"/>
                <w:lang w:val="fr-BE"/>
                <w14:ligatures w14:val="none"/>
              </w:rPr>
              <w:t xml:space="preserve"> Fifer and Johnson (2025</w:t>
            </w:r>
            <w:proofErr w:type="gramStart"/>
            <w:r w:rsidRPr="004511C8">
              <w:rPr>
                <w:rFonts w:ascii="Arial" w:eastAsia="Times New Roman" w:hAnsi="Arial" w:cs="Arial"/>
                <w:kern w:val="0"/>
                <w:sz w:val="22"/>
                <w:szCs w:val="22"/>
                <w:lang w:val="fr-BE"/>
                <w14:ligatures w14:val="none"/>
              </w:rPr>
              <w:t>);</w:t>
            </w:r>
            <w:proofErr w:type="gramEnd"/>
            <w:r w:rsidRPr="004511C8">
              <w:rPr>
                <w:rFonts w:ascii="Arial" w:eastAsia="Times New Roman" w:hAnsi="Arial" w:cs="Arial"/>
                <w:kern w:val="0"/>
                <w:sz w:val="22"/>
                <w:szCs w:val="22"/>
                <w:lang w:val="fr-BE"/>
                <w14:ligatures w14:val="none"/>
              </w:rPr>
              <w:t xml:space="preserve"> Davis et al. </w:t>
            </w:r>
            <w:r w:rsidRPr="004511C8">
              <w:rPr>
                <w:rFonts w:ascii="Arial" w:eastAsia="Times New Roman" w:hAnsi="Arial" w:cs="Arial"/>
                <w:kern w:val="0"/>
                <w:sz w:val="22"/>
                <w:szCs w:val="22"/>
                <w:lang w:val="en-US"/>
                <w14:ligatures w14:val="none"/>
              </w:rPr>
              <w:t>(2025)</w:t>
            </w:r>
          </w:p>
        </w:tc>
      </w:tr>
      <w:tr w:rsidR="00F554DE" w:rsidRPr="004511C8" w14:paraId="0ED20E73" w14:textId="77777777" w:rsidTr="00F554DE">
        <w:trPr>
          <w:trHeight w:val="72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0C392ED" w14:textId="77777777" w:rsidR="00F554DE" w:rsidRPr="004511C8" w:rsidRDefault="00F554DE" w:rsidP="005F4984">
            <w:pPr>
              <w:jc w:val="left"/>
              <w:rPr>
                <w:rFonts w:ascii="Arial" w:eastAsia="Times New Roman" w:hAnsi="Arial" w:cs="Arial"/>
                <w:b w:val="0"/>
                <w:bCs w:val="0"/>
                <w:kern w:val="0"/>
                <w:sz w:val="22"/>
                <w:szCs w:val="22"/>
                <w:lang w:val="en-US"/>
                <w14:ligatures w14:val="none"/>
              </w:rPr>
            </w:pPr>
            <w:r w:rsidRPr="004511C8">
              <w:rPr>
                <w:rFonts w:ascii="Arial" w:eastAsia="Times New Roman" w:hAnsi="Arial" w:cs="Arial"/>
                <w:b w:val="0"/>
                <w:bCs w:val="0"/>
                <w:kern w:val="0"/>
                <w:sz w:val="22"/>
                <w:szCs w:val="22"/>
                <w:lang w:val="en-US"/>
                <w14:ligatures w14:val="none"/>
              </w:rPr>
              <w:t>Surveillance and detection of gonococcal resistance in the UK</w:t>
            </w:r>
          </w:p>
        </w:tc>
        <w:tc>
          <w:tcPr>
            <w:tcW w:w="0" w:type="auto"/>
            <w:vAlign w:val="center"/>
            <w:hideMark/>
          </w:tcPr>
          <w:p w14:paraId="69E845FE" w14:textId="77777777" w:rsidR="00F554DE" w:rsidRPr="004511C8" w:rsidRDefault="00F554DE" w:rsidP="005F4984">
            <w:pPr>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US"/>
                <w14:ligatures w14:val="none"/>
              </w:rPr>
            </w:pPr>
            <w:r w:rsidRPr="004511C8">
              <w:rPr>
                <w:rFonts w:ascii="Arial" w:eastAsia="Times New Roman" w:hAnsi="Arial" w:cs="Arial"/>
                <w:kern w:val="0"/>
                <w:sz w:val="22"/>
                <w:szCs w:val="22"/>
                <w:lang w:val="fr-BE"/>
                <w14:ligatures w14:val="none"/>
              </w:rPr>
              <w:t>Medland et al. (2022</w:t>
            </w:r>
            <w:proofErr w:type="gramStart"/>
            <w:r w:rsidRPr="004511C8">
              <w:rPr>
                <w:rFonts w:ascii="Arial" w:eastAsia="Times New Roman" w:hAnsi="Arial" w:cs="Arial"/>
                <w:kern w:val="0"/>
                <w:sz w:val="22"/>
                <w:szCs w:val="22"/>
                <w:lang w:val="fr-BE"/>
                <w14:ligatures w14:val="none"/>
              </w:rPr>
              <w:t>);</w:t>
            </w:r>
            <w:proofErr w:type="gramEnd"/>
            <w:r w:rsidRPr="004511C8">
              <w:rPr>
                <w:rFonts w:ascii="Arial" w:eastAsia="Times New Roman" w:hAnsi="Arial" w:cs="Arial"/>
                <w:kern w:val="0"/>
                <w:sz w:val="22"/>
                <w:szCs w:val="22"/>
                <w:lang w:val="fr-BE"/>
                <w14:ligatures w14:val="none"/>
              </w:rPr>
              <w:t xml:space="preserve"> Merrick et al. </w:t>
            </w:r>
            <w:r w:rsidRPr="004511C8">
              <w:rPr>
                <w:rFonts w:ascii="Arial" w:eastAsia="Times New Roman" w:hAnsi="Arial" w:cs="Arial"/>
                <w:kern w:val="0"/>
                <w:sz w:val="22"/>
                <w:szCs w:val="22"/>
                <w:lang w:val="en-US"/>
                <w14:ligatures w14:val="none"/>
              </w:rPr>
              <w:t>(2022); UK Health Security Agency (2025)</w:t>
            </w:r>
          </w:p>
        </w:tc>
      </w:tr>
      <w:tr w:rsidR="00F554DE" w:rsidRPr="004511C8" w14:paraId="3C5AE8C1" w14:textId="77777777" w:rsidTr="00F554DE">
        <w:trPr>
          <w:trHeight w:val="72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B81034E" w14:textId="77777777" w:rsidR="00F554DE" w:rsidRPr="004511C8" w:rsidRDefault="00F554DE" w:rsidP="005F4984">
            <w:pPr>
              <w:jc w:val="left"/>
              <w:rPr>
                <w:rFonts w:ascii="Arial" w:eastAsia="Times New Roman" w:hAnsi="Arial" w:cs="Arial"/>
                <w:b w:val="0"/>
                <w:bCs w:val="0"/>
                <w:kern w:val="0"/>
                <w:sz w:val="22"/>
                <w:szCs w:val="22"/>
                <w:lang w:val="en-US"/>
                <w14:ligatures w14:val="none"/>
              </w:rPr>
            </w:pPr>
            <w:r w:rsidRPr="004511C8">
              <w:rPr>
                <w:rFonts w:ascii="Arial" w:eastAsia="Times New Roman" w:hAnsi="Arial" w:cs="Arial"/>
                <w:b w:val="0"/>
                <w:bCs w:val="0"/>
                <w:kern w:val="0"/>
                <w:sz w:val="22"/>
                <w:szCs w:val="22"/>
                <w:lang w:val="en-US"/>
                <w14:ligatures w14:val="none"/>
              </w:rPr>
              <w:t>Emergence of multidrug-resistant strains</w:t>
            </w:r>
          </w:p>
        </w:tc>
        <w:tc>
          <w:tcPr>
            <w:tcW w:w="0" w:type="auto"/>
            <w:vAlign w:val="center"/>
            <w:hideMark/>
          </w:tcPr>
          <w:p w14:paraId="0F68A3A7" w14:textId="77777777" w:rsidR="00F554DE" w:rsidRPr="004511C8" w:rsidRDefault="00F554DE" w:rsidP="005F4984">
            <w:pPr>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US"/>
                <w14:ligatures w14:val="none"/>
              </w:rPr>
            </w:pPr>
            <w:r w:rsidRPr="004511C8">
              <w:rPr>
                <w:rFonts w:ascii="Arial" w:eastAsia="Times New Roman" w:hAnsi="Arial" w:cs="Arial"/>
                <w:kern w:val="0"/>
                <w:sz w:val="22"/>
                <w:szCs w:val="22"/>
                <w:lang w:val="en-US"/>
                <w14:ligatures w14:val="none"/>
              </w:rPr>
              <w:t>Day et al. (2022); Merrick et al. (2022); Fifer and Johnson (2025); UK Health Security Agency (2025)</w:t>
            </w:r>
          </w:p>
        </w:tc>
      </w:tr>
      <w:tr w:rsidR="00F554DE" w:rsidRPr="004511C8" w14:paraId="1C74C29E" w14:textId="77777777" w:rsidTr="00F554DE">
        <w:trPr>
          <w:trHeight w:val="72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69FF89A" w14:textId="77777777" w:rsidR="00F554DE" w:rsidRPr="004511C8" w:rsidRDefault="00F554DE" w:rsidP="005F4984">
            <w:pPr>
              <w:jc w:val="left"/>
              <w:rPr>
                <w:rFonts w:ascii="Arial" w:eastAsia="Times New Roman" w:hAnsi="Arial" w:cs="Arial"/>
                <w:b w:val="0"/>
                <w:bCs w:val="0"/>
                <w:kern w:val="0"/>
                <w:sz w:val="22"/>
                <w:szCs w:val="22"/>
                <w:lang w:val="en-US"/>
                <w14:ligatures w14:val="none"/>
              </w:rPr>
            </w:pPr>
            <w:r w:rsidRPr="004511C8">
              <w:rPr>
                <w:rFonts w:ascii="Arial" w:eastAsia="Times New Roman" w:hAnsi="Arial" w:cs="Arial"/>
                <w:b w:val="0"/>
                <w:bCs w:val="0"/>
                <w:kern w:val="0"/>
                <w:sz w:val="22"/>
                <w:szCs w:val="22"/>
                <w:lang w:val="en-US"/>
                <w14:ligatures w14:val="none"/>
              </w:rPr>
              <w:t>Treatment failure and reduced effectiveness of antibiotics</w:t>
            </w:r>
          </w:p>
        </w:tc>
        <w:tc>
          <w:tcPr>
            <w:tcW w:w="0" w:type="auto"/>
            <w:vAlign w:val="center"/>
            <w:hideMark/>
          </w:tcPr>
          <w:p w14:paraId="4210E02C" w14:textId="77777777" w:rsidR="00F554DE" w:rsidRPr="004511C8" w:rsidRDefault="00F554DE" w:rsidP="005F4984">
            <w:pPr>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US"/>
                <w14:ligatures w14:val="none"/>
              </w:rPr>
            </w:pPr>
            <w:r w:rsidRPr="004511C8">
              <w:rPr>
                <w:rFonts w:ascii="Arial" w:eastAsia="Times New Roman" w:hAnsi="Arial" w:cs="Arial"/>
                <w:kern w:val="0"/>
                <w:sz w:val="22"/>
                <w:szCs w:val="22"/>
                <w:lang w:val="fr-BE"/>
                <w14:ligatures w14:val="none"/>
              </w:rPr>
              <w:t>Day et al. (2022</w:t>
            </w:r>
            <w:proofErr w:type="gramStart"/>
            <w:r w:rsidRPr="004511C8">
              <w:rPr>
                <w:rFonts w:ascii="Arial" w:eastAsia="Times New Roman" w:hAnsi="Arial" w:cs="Arial"/>
                <w:kern w:val="0"/>
                <w:sz w:val="22"/>
                <w:szCs w:val="22"/>
                <w:lang w:val="fr-BE"/>
                <w14:ligatures w14:val="none"/>
              </w:rPr>
              <w:t>);</w:t>
            </w:r>
            <w:proofErr w:type="gramEnd"/>
            <w:r w:rsidRPr="004511C8">
              <w:rPr>
                <w:rFonts w:ascii="Arial" w:eastAsia="Times New Roman" w:hAnsi="Arial" w:cs="Arial"/>
                <w:kern w:val="0"/>
                <w:sz w:val="22"/>
                <w:szCs w:val="22"/>
                <w:lang w:val="fr-BE"/>
                <w14:ligatures w14:val="none"/>
              </w:rPr>
              <w:t xml:space="preserve"> Fifer et al. </w:t>
            </w:r>
            <w:r w:rsidRPr="004511C8">
              <w:rPr>
                <w:rFonts w:ascii="Arial" w:eastAsia="Times New Roman" w:hAnsi="Arial" w:cs="Arial"/>
                <w:kern w:val="0"/>
                <w:sz w:val="22"/>
                <w:szCs w:val="22"/>
                <w:lang w:val="en-US"/>
                <w14:ligatures w14:val="none"/>
              </w:rPr>
              <w:t>(2025); Fifer and Johnson (2025); UK Health Security Agency (2025); Allan-Blitz, Fifer and Klausner (2024)</w:t>
            </w:r>
          </w:p>
        </w:tc>
      </w:tr>
      <w:tr w:rsidR="00F554DE" w:rsidRPr="004511C8" w14:paraId="5FC7938F" w14:textId="77777777" w:rsidTr="00F554DE">
        <w:trPr>
          <w:trHeight w:val="72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65AD794" w14:textId="77777777" w:rsidR="00F554DE" w:rsidRPr="004511C8" w:rsidRDefault="00F554DE" w:rsidP="005F4984">
            <w:pPr>
              <w:jc w:val="left"/>
              <w:rPr>
                <w:rFonts w:ascii="Arial" w:eastAsia="Times New Roman" w:hAnsi="Arial" w:cs="Arial"/>
                <w:b w:val="0"/>
                <w:bCs w:val="0"/>
                <w:kern w:val="0"/>
                <w:sz w:val="22"/>
                <w:szCs w:val="22"/>
                <w:lang w:val="en-US"/>
                <w14:ligatures w14:val="none"/>
              </w:rPr>
            </w:pPr>
            <w:r w:rsidRPr="004511C8">
              <w:rPr>
                <w:rFonts w:ascii="Arial" w:eastAsia="Times New Roman" w:hAnsi="Arial" w:cs="Arial"/>
                <w:b w:val="0"/>
                <w:bCs w:val="0"/>
                <w:kern w:val="0"/>
                <w:sz w:val="22"/>
                <w:szCs w:val="22"/>
                <w:lang w:val="en-US"/>
                <w14:ligatures w14:val="none"/>
              </w:rPr>
              <w:t>Outbreak persistence and transmission networks</w:t>
            </w:r>
          </w:p>
        </w:tc>
        <w:tc>
          <w:tcPr>
            <w:tcW w:w="0" w:type="auto"/>
            <w:vAlign w:val="center"/>
            <w:hideMark/>
          </w:tcPr>
          <w:p w14:paraId="260D1ABD" w14:textId="77777777" w:rsidR="00F554DE" w:rsidRPr="004511C8" w:rsidRDefault="00F554DE" w:rsidP="005F4984">
            <w:pPr>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US"/>
                <w14:ligatures w14:val="none"/>
              </w:rPr>
            </w:pPr>
            <w:r w:rsidRPr="004511C8">
              <w:rPr>
                <w:rFonts w:ascii="Arial" w:eastAsia="Times New Roman" w:hAnsi="Arial" w:cs="Arial"/>
                <w:kern w:val="0"/>
                <w:sz w:val="22"/>
                <w:szCs w:val="22"/>
                <w:lang w:val="en-US"/>
                <w14:ligatures w14:val="none"/>
              </w:rPr>
              <w:t>Merrick et al. (2022); Day et al. (2022); UK Health Security Agency (2025)</w:t>
            </w:r>
          </w:p>
        </w:tc>
      </w:tr>
      <w:tr w:rsidR="00F554DE" w:rsidRPr="004511C8" w14:paraId="6AE1967E" w14:textId="77777777" w:rsidTr="00F554DE">
        <w:trPr>
          <w:trHeight w:val="72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674B90F" w14:textId="77777777" w:rsidR="00F554DE" w:rsidRPr="004511C8" w:rsidRDefault="00F554DE" w:rsidP="005F4984">
            <w:pPr>
              <w:jc w:val="left"/>
              <w:rPr>
                <w:rFonts w:ascii="Arial" w:eastAsia="Times New Roman" w:hAnsi="Arial" w:cs="Arial"/>
                <w:b w:val="0"/>
                <w:bCs w:val="0"/>
                <w:kern w:val="0"/>
                <w:sz w:val="22"/>
                <w:szCs w:val="22"/>
                <w:lang w:val="en-US"/>
                <w14:ligatures w14:val="none"/>
              </w:rPr>
            </w:pPr>
            <w:r w:rsidRPr="004511C8">
              <w:rPr>
                <w:rFonts w:ascii="Arial" w:eastAsia="Times New Roman" w:hAnsi="Arial" w:cs="Arial"/>
                <w:b w:val="0"/>
                <w:bCs w:val="0"/>
                <w:kern w:val="0"/>
                <w:sz w:val="22"/>
                <w:szCs w:val="22"/>
                <w:lang w:val="en-US"/>
                <w14:ligatures w14:val="none"/>
              </w:rPr>
              <w:t>Implications for young adults and sexual health services</w:t>
            </w:r>
          </w:p>
        </w:tc>
        <w:tc>
          <w:tcPr>
            <w:tcW w:w="0" w:type="auto"/>
            <w:vAlign w:val="center"/>
            <w:hideMark/>
          </w:tcPr>
          <w:p w14:paraId="46EC1B56" w14:textId="77777777" w:rsidR="00F554DE" w:rsidRPr="004511C8" w:rsidRDefault="00F554DE" w:rsidP="005F4984">
            <w:pPr>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US"/>
                <w14:ligatures w14:val="none"/>
              </w:rPr>
            </w:pPr>
            <w:r w:rsidRPr="004511C8">
              <w:rPr>
                <w:rFonts w:ascii="Arial" w:eastAsia="Times New Roman" w:hAnsi="Arial" w:cs="Arial"/>
                <w:kern w:val="0"/>
                <w:sz w:val="22"/>
                <w:szCs w:val="22"/>
                <w:lang w:val="en-US"/>
                <w14:ligatures w14:val="none"/>
              </w:rPr>
              <w:t>UK Health Security Agency (2024); UK Health Security Agency (2025); Merrick et al. (2022); Fifer et al. (2025)</w:t>
            </w:r>
          </w:p>
        </w:tc>
      </w:tr>
    </w:tbl>
    <w:p w14:paraId="297758BF" w14:textId="77777777" w:rsidR="00DD28A5" w:rsidRPr="004511C8" w:rsidRDefault="00DD28A5" w:rsidP="005F4984">
      <w:pPr>
        <w:rPr>
          <w:rFonts w:ascii="Arial" w:hAnsi="Arial" w:cs="Arial"/>
          <w:sz w:val="22"/>
          <w:szCs w:val="22"/>
        </w:rPr>
      </w:pPr>
    </w:p>
    <w:p w14:paraId="62945547" w14:textId="1360162D" w:rsidR="00DD28A5" w:rsidRPr="004511C8" w:rsidRDefault="00DD28A5" w:rsidP="005F4984">
      <w:pPr>
        <w:pStyle w:val="Heading3"/>
        <w:rPr>
          <w:rFonts w:ascii="Arial" w:hAnsi="Arial" w:cs="Arial"/>
          <w:b/>
          <w:bCs/>
          <w:color w:val="auto"/>
          <w:sz w:val="22"/>
          <w:szCs w:val="22"/>
        </w:rPr>
      </w:pPr>
      <w:bookmarkStart w:id="40" w:name="_Toc229082797"/>
      <w:r w:rsidRPr="004511C8">
        <w:rPr>
          <w:rFonts w:ascii="Arial" w:hAnsi="Arial" w:cs="Arial"/>
          <w:b/>
          <w:bCs/>
          <w:color w:val="auto"/>
          <w:sz w:val="22"/>
          <w:szCs w:val="22"/>
        </w:rPr>
        <w:t xml:space="preserve">Theme 1: Evolution Of Antimicrobial Resistance </w:t>
      </w:r>
      <w:r w:rsidR="000C32C7" w:rsidRPr="004511C8">
        <w:rPr>
          <w:rFonts w:ascii="Arial" w:hAnsi="Arial" w:cs="Arial"/>
          <w:b/>
          <w:bCs/>
          <w:color w:val="auto"/>
          <w:sz w:val="22"/>
          <w:szCs w:val="22"/>
        </w:rPr>
        <w:t>in</w:t>
      </w:r>
      <w:r w:rsidRPr="004511C8">
        <w:rPr>
          <w:rFonts w:ascii="Arial" w:hAnsi="Arial" w:cs="Arial"/>
          <w:b/>
          <w:bCs/>
          <w:color w:val="auto"/>
          <w:sz w:val="22"/>
          <w:szCs w:val="22"/>
        </w:rPr>
        <w:t xml:space="preserve"> Gonorrhoea</w:t>
      </w:r>
      <w:bookmarkEnd w:id="40"/>
    </w:p>
    <w:p w14:paraId="6F985FFA" w14:textId="24D4228E" w:rsidR="00DD28A5" w:rsidRPr="004511C8" w:rsidRDefault="00DD28A5" w:rsidP="005F4984">
      <w:pPr>
        <w:rPr>
          <w:rFonts w:ascii="Arial" w:hAnsi="Arial" w:cs="Arial"/>
          <w:sz w:val="22"/>
          <w:szCs w:val="22"/>
        </w:rPr>
      </w:pPr>
      <w:r w:rsidRPr="004511C8">
        <w:rPr>
          <w:rFonts w:ascii="Arial" w:hAnsi="Arial" w:cs="Arial"/>
          <w:sz w:val="22"/>
          <w:szCs w:val="22"/>
        </w:rPr>
        <w:t>Among the most evident themes that can be observed in the literature is the fact that antimicrobial resistance in gonorrhoea is not a sudden or isolated phenomenon but an evolutionary, cumulative and progressive one</w:t>
      </w:r>
      <w:r w:rsidR="00574DB7" w:rsidRPr="004511C8">
        <w:rPr>
          <w:rFonts w:ascii="Arial" w:hAnsi="Arial" w:cs="Arial"/>
          <w:sz w:val="22"/>
          <w:szCs w:val="22"/>
        </w:rPr>
        <w:t xml:space="preserve"> (Baquero et al.</w:t>
      </w:r>
      <w:r w:rsidR="00BF70D3" w:rsidRPr="004511C8">
        <w:rPr>
          <w:rFonts w:ascii="Arial" w:hAnsi="Arial" w:cs="Arial"/>
          <w:sz w:val="22"/>
          <w:szCs w:val="22"/>
        </w:rPr>
        <w:t xml:space="preserve"> </w:t>
      </w:r>
      <w:r w:rsidR="00574DB7" w:rsidRPr="004511C8">
        <w:rPr>
          <w:rFonts w:ascii="Arial" w:hAnsi="Arial" w:cs="Arial"/>
          <w:sz w:val="22"/>
          <w:szCs w:val="22"/>
        </w:rPr>
        <w:t>2021; Mohd and Kumar, 2023)</w:t>
      </w:r>
      <w:r w:rsidRPr="004511C8">
        <w:rPr>
          <w:rFonts w:ascii="Arial" w:hAnsi="Arial" w:cs="Arial"/>
          <w:sz w:val="22"/>
          <w:szCs w:val="22"/>
        </w:rPr>
        <w:t>. All the studies included confirm that Neisseria gonorrhoeae has evolved over the years to be resistant to multiple antimicrobial classes</w:t>
      </w:r>
      <w:r w:rsidR="00BF70D3" w:rsidRPr="004511C8">
        <w:rPr>
          <w:rFonts w:ascii="Arial" w:hAnsi="Arial" w:cs="Arial"/>
          <w:sz w:val="22"/>
          <w:szCs w:val="22"/>
        </w:rPr>
        <w:t>,</w:t>
      </w:r>
      <w:r w:rsidRPr="004511C8">
        <w:rPr>
          <w:rFonts w:ascii="Arial" w:hAnsi="Arial" w:cs="Arial"/>
          <w:sz w:val="22"/>
          <w:szCs w:val="22"/>
        </w:rPr>
        <w:t xml:space="preserve"> that is</w:t>
      </w:r>
      <w:r w:rsidR="00BF70D3" w:rsidRPr="004511C8">
        <w:rPr>
          <w:rFonts w:ascii="Arial" w:hAnsi="Arial" w:cs="Arial"/>
          <w:sz w:val="22"/>
          <w:szCs w:val="22"/>
        </w:rPr>
        <w:t>,</w:t>
      </w:r>
      <w:r w:rsidRPr="004511C8">
        <w:rPr>
          <w:rFonts w:ascii="Arial" w:hAnsi="Arial" w:cs="Arial"/>
          <w:sz w:val="22"/>
          <w:szCs w:val="22"/>
        </w:rPr>
        <w:t xml:space="preserve"> the current fears of </w:t>
      </w:r>
      <w:r w:rsidR="00E02A7F" w:rsidRPr="004511C8">
        <w:rPr>
          <w:rFonts w:ascii="Arial" w:hAnsi="Arial" w:cs="Arial"/>
          <w:sz w:val="22"/>
          <w:szCs w:val="22"/>
        </w:rPr>
        <w:t xml:space="preserve">cephalosporin </w:t>
      </w:r>
      <w:r w:rsidRPr="004511C8">
        <w:rPr>
          <w:rFonts w:ascii="Arial" w:hAnsi="Arial" w:cs="Arial"/>
          <w:sz w:val="22"/>
          <w:szCs w:val="22"/>
        </w:rPr>
        <w:t>resistance are not a new issue at all (</w:t>
      </w:r>
      <w:proofErr w:type="spellStart"/>
      <w:r w:rsidRPr="004511C8">
        <w:rPr>
          <w:rFonts w:ascii="Arial" w:hAnsi="Arial" w:cs="Arial"/>
          <w:sz w:val="22"/>
          <w:szCs w:val="22"/>
        </w:rPr>
        <w:t>Unemo</w:t>
      </w:r>
      <w:proofErr w:type="spellEnd"/>
      <w:r w:rsidRPr="004511C8">
        <w:rPr>
          <w:rFonts w:ascii="Arial" w:hAnsi="Arial" w:cs="Arial"/>
          <w:sz w:val="22"/>
          <w:szCs w:val="22"/>
        </w:rPr>
        <w:t xml:space="preserve"> and Shafer, 2014; </w:t>
      </w:r>
      <w:proofErr w:type="spellStart"/>
      <w:r w:rsidRPr="004511C8">
        <w:rPr>
          <w:rFonts w:ascii="Arial" w:hAnsi="Arial" w:cs="Arial"/>
          <w:sz w:val="22"/>
          <w:szCs w:val="22"/>
        </w:rPr>
        <w:t>Aitolo</w:t>
      </w:r>
      <w:proofErr w:type="spellEnd"/>
      <w:r w:rsidRPr="004511C8">
        <w:rPr>
          <w:rFonts w:ascii="Arial" w:hAnsi="Arial" w:cs="Arial"/>
          <w:sz w:val="22"/>
          <w:szCs w:val="22"/>
        </w:rPr>
        <w:t xml:space="preserve"> et al. 2021). This historical approach is significant in the sense that it </w:t>
      </w:r>
      <w:r w:rsidR="00BF70D3" w:rsidRPr="004511C8">
        <w:rPr>
          <w:rFonts w:ascii="Arial" w:hAnsi="Arial" w:cs="Arial"/>
          <w:sz w:val="22"/>
          <w:szCs w:val="22"/>
        </w:rPr>
        <w:t>contextualises</w:t>
      </w:r>
      <w:r w:rsidRPr="004511C8">
        <w:rPr>
          <w:rFonts w:ascii="Arial" w:hAnsi="Arial" w:cs="Arial"/>
          <w:sz w:val="22"/>
          <w:szCs w:val="22"/>
        </w:rPr>
        <w:t xml:space="preserve"> current trends of resistance in the UK as part of a wider trend of recurrent therapeutic erosion.</w:t>
      </w:r>
    </w:p>
    <w:p w14:paraId="43A6FC32" w14:textId="73500C7C" w:rsidR="00DD28A5" w:rsidRPr="004511C8" w:rsidRDefault="00DD28A5" w:rsidP="005F4984">
      <w:pPr>
        <w:rPr>
          <w:rFonts w:ascii="Arial" w:hAnsi="Arial" w:cs="Arial"/>
          <w:sz w:val="22"/>
          <w:szCs w:val="22"/>
        </w:rPr>
      </w:pPr>
      <w:r w:rsidRPr="004511C8">
        <w:rPr>
          <w:rFonts w:ascii="Arial" w:hAnsi="Arial" w:cs="Arial"/>
          <w:sz w:val="22"/>
          <w:szCs w:val="22"/>
        </w:rPr>
        <w:t>The literature reveals that the first agents to focus on the resistance were older agents</w:t>
      </w:r>
      <w:r w:rsidR="00BF70D3" w:rsidRPr="004511C8">
        <w:rPr>
          <w:rFonts w:ascii="Arial" w:hAnsi="Arial" w:cs="Arial"/>
          <w:sz w:val="22"/>
          <w:szCs w:val="22"/>
        </w:rPr>
        <w:t>,</w:t>
      </w:r>
      <w:r w:rsidRPr="004511C8">
        <w:rPr>
          <w:rFonts w:ascii="Arial" w:hAnsi="Arial" w:cs="Arial"/>
          <w:sz w:val="22"/>
          <w:szCs w:val="22"/>
        </w:rPr>
        <w:t xml:space="preserve"> including </w:t>
      </w:r>
      <w:r w:rsidR="00574DB7" w:rsidRPr="004511C8">
        <w:rPr>
          <w:rFonts w:ascii="Arial" w:hAnsi="Arial" w:cs="Arial"/>
          <w:sz w:val="22"/>
          <w:szCs w:val="22"/>
        </w:rPr>
        <w:t>sulphonamides</w:t>
      </w:r>
      <w:r w:rsidRPr="004511C8">
        <w:rPr>
          <w:rFonts w:ascii="Arial" w:hAnsi="Arial" w:cs="Arial"/>
          <w:sz w:val="22"/>
          <w:szCs w:val="22"/>
        </w:rPr>
        <w:t xml:space="preserve">, </w:t>
      </w:r>
      <w:r w:rsidR="00574DB7" w:rsidRPr="004511C8">
        <w:rPr>
          <w:rFonts w:ascii="Arial" w:hAnsi="Arial" w:cs="Arial"/>
          <w:sz w:val="22"/>
          <w:szCs w:val="22"/>
        </w:rPr>
        <w:t>penicillin</w:t>
      </w:r>
      <w:r w:rsidRPr="004511C8">
        <w:rPr>
          <w:rFonts w:ascii="Arial" w:hAnsi="Arial" w:cs="Arial"/>
          <w:sz w:val="22"/>
          <w:szCs w:val="22"/>
        </w:rPr>
        <w:t>, tetracyclines</w:t>
      </w:r>
      <w:r w:rsidR="00574DB7" w:rsidRPr="004511C8">
        <w:rPr>
          <w:rFonts w:ascii="Arial" w:hAnsi="Arial" w:cs="Arial"/>
          <w:sz w:val="22"/>
          <w:szCs w:val="22"/>
        </w:rPr>
        <w:t>,</w:t>
      </w:r>
      <w:r w:rsidRPr="004511C8">
        <w:rPr>
          <w:rFonts w:ascii="Arial" w:hAnsi="Arial" w:cs="Arial"/>
          <w:sz w:val="22"/>
          <w:szCs w:val="22"/>
        </w:rPr>
        <w:t xml:space="preserve"> and fluoroquinolones</w:t>
      </w:r>
      <w:r w:rsidR="00574DB7" w:rsidRPr="004511C8">
        <w:rPr>
          <w:rFonts w:ascii="Arial" w:hAnsi="Arial" w:cs="Arial"/>
          <w:sz w:val="22"/>
          <w:szCs w:val="22"/>
        </w:rPr>
        <w:t>,</w:t>
      </w:r>
      <w:r w:rsidRPr="004511C8">
        <w:rPr>
          <w:rFonts w:ascii="Arial" w:hAnsi="Arial" w:cs="Arial"/>
          <w:sz w:val="22"/>
          <w:szCs w:val="22"/>
        </w:rPr>
        <w:t xml:space="preserve"> and only then </w:t>
      </w:r>
      <w:r w:rsidR="00574DB7" w:rsidRPr="004511C8">
        <w:rPr>
          <w:rFonts w:ascii="Arial" w:hAnsi="Arial" w:cs="Arial"/>
          <w:sz w:val="22"/>
          <w:szCs w:val="22"/>
        </w:rPr>
        <w:t xml:space="preserve">did </w:t>
      </w:r>
      <w:r w:rsidRPr="004511C8">
        <w:rPr>
          <w:rFonts w:ascii="Arial" w:hAnsi="Arial" w:cs="Arial"/>
          <w:sz w:val="22"/>
          <w:szCs w:val="22"/>
        </w:rPr>
        <w:t xml:space="preserve">the attention </w:t>
      </w:r>
      <w:r w:rsidR="00574DB7" w:rsidRPr="004511C8">
        <w:rPr>
          <w:rFonts w:ascii="Arial" w:hAnsi="Arial" w:cs="Arial"/>
          <w:sz w:val="22"/>
          <w:szCs w:val="22"/>
        </w:rPr>
        <w:t>shift</w:t>
      </w:r>
      <w:r w:rsidRPr="004511C8">
        <w:rPr>
          <w:rFonts w:ascii="Arial" w:hAnsi="Arial" w:cs="Arial"/>
          <w:sz w:val="22"/>
          <w:szCs w:val="22"/>
        </w:rPr>
        <w:t xml:space="preserve"> to reduced susceptibility to cefixime, azithromycin</w:t>
      </w:r>
      <w:r w:rsidR="00574DB7" w:rsidRPr="004511C8">
        <w:rPr>
          <w:rFonts w:ascii="Arial" w:hAnsi="Arial" w:cs="Arial"/>
          <w:sz w:val="22"/>
          <w:szCs w:val="22"/>
        </w:rPr>
        <w:t>,</w:t>
      </w:r>
      <w:r w:rsidRPr="004511C8">
        <w:rPr>
          <w:rFonts w:ascii="Arial" w:hAnsi="Arial" w:cs="Arial"/>
          <w:sz w:val="22"/>
          <w:szCs w:val="22"/>
        </w:rPr>
        <w:t xml:space="preserve"> and ceftriaxone (</w:t>
      </w:r>
      <w:proofErr w:type="spellStart"/>
      <w:r w:rsidRPr="004511C8">
        <w:rPr>
          <w:rFonts w:ascii="Arial" w:hAnsi="Arial" w:cs="Arial"/>
          <w:sz w:val="22"/>
          <w:szCs w:val="22"/>
        </w:rPr>
        <w:t>Unemo</w:t>
      </w:r>
      <w:proofErr w:type="spellEnd"/>
      <w:r w:rsidRPr="004511C8">
        <w:rPr>
          <w:rFonts w:ascii="Arial" w:hAnsi="Arial" w:cs="Arial"/>
          <w:sz w:val="22"/>
          <w:szCs w:val="22"/>
        </w:rPr>
        <w:t xml:space="preserve"> and Shafer, 2014; </w:t>
      </w:r>
      <w:proofErr w:type="spellStart"/>
      <w:r w:rsidRPr="004511C8">
        <w:rPr>
          <w:rFonts w:ascii="Arial" w:hAnsi="Arial" w:cs="Arial"/>
          <w:sz w:val="22"/>
          <w:szCs w:val="22"/>
        </w:rPr>
        <w:t>Aitolo</w:t>
      </w:r>
      <w:proofErr w:type="spellEnd"/>
      <w:r w:rsidRPr="004511C8">
        <w:rPr>
          <w:rFonts w:ascii="Arial" w:hAnsi="Arial" w:cs="Arial"/>
          <w:sz w:val="22"/>
          <w:szCs w:val="22"/>
        </w:rPr>
        <w:t xml:space="preserve"> et al. 2021). Palmer, Leeming and Turner (2001) were the first in the UK to show that strains resistant to ciprofloxacin can propagate through domestic transmission networks. The importance of this study is that it shows that UK resistance was not just a reflection of global trends</w:t>
      </w:r>
      <w:r w:rsidR="00574DB7" w:rsidRPr="004511C8">
        <w:rPr>
          <w:rFonts w:ascii="Arial" w:hAnsi="Arial" w:cs="Arial"/>
          <w:sz w:val="22"/>
          <w:szCs w:val="22"/>
        </w:rPr>
        <w:t>,</w:t>
      </w:r>
      <w:r w:rsidRPr="004511C8">
        <w:rPr>
          <w:rFonts w:ascii="Arial" w:hAnsi="Arial" w:cs="Arial"/>
          <w:sz w:val="22"/>
          <w:szCs w:val="22"/>
        </w:rPr>
        <w:t xml:space="preserve"> but it also had a local epidemiological manifestation. Similarly, Chisholm et al. (2011) also ascertained the rise of a more resistant gonococcal clone in </w:t>
      </w:r>
      <w:r w:rsidRPr="004511C8">
        <w:rPr>
          <w:rFonts w:ascii="Arial" w:hAnsi="Arial" w:cs="Arial"/>
          <w:sz w:val="22"/>
          <w:szCs w:val="22"/>
        </w:rPr>
        <w:lastRenderedPageBreak/>
        <w:t>England and Wales, which was not resistant to cefixime but rather shifted resistance to older, discarded agents to resistance to drugs still in the focus of treatment</w:t>
      </w:r>
      <w:r w:rsidR="00574DB7" w:rsidRPr="004511C8">
        <w:rPr>
          <w:rFonts w:ascii="Arial" w:hAnsi="Arial" w:cs="Arial"/>
          <w:sz w:val="22"/>
          <w:szCs w:val="22"/>
        </w:rPr>
        <w:t xml:space="preserve"> (Fifer and Johnson, 2025; Sharratt, 2023)</w:t>
      </w:r>
      <w:r w:rsidRPr="004511C8">
        <w:rPr>
          <w:rFonts w:ascii="Arial" w:hAnsi="Arial" w:cs="Arial"/>
          <w:sz w:val="22"/>
          <w:szCs w:val="22"/>
        </w:rPr>
        <w:t>.</w:t>
      </w:r>
    </w:p>
    <w:p w14:paraId="7825E619" w14:textId="2AF238AF" w:rsidR="00DD28A5" w:rsidRPr="004511C8" w:rsidRDefault="00DD28A5" w:rsidP="005F4984">
      <w:pPr>
        <w:rPr>
          <w:rFonts w:ascii="Arial" w:hAnsi="Arial" w:cs="Arial"/>
          <w:sz w:val="22"/>
          <w:szCs w:val="22"/>
        </w:rPr>
      </w:pPr>
      <w:r w:rsidRPr="004511C8">
        <w:rPr>
          <w:rFonts w:ascii="Arial" w:hAnsi="Arial" w:cs="Arial"/>
          <w:sz w:val="22"/>
          <w:szCs w:val="22"/>
        </w:rPr>
        <w:t xml:space="preserve">The theme is reinforced by </w:t>
      </w:r>
      <w:r w:rsidR="00E02A7F" w:rsidRPr="004511C8">
        <w:rPr>
          <w:rFonts w:ascii="Arial" w:hAnsi="Arial" w:cs="Arial"/>
          <w:sz w:val="22"/>
          <w:szCs w:val="22"/>
        </w:rPr>
        <w:t>Whittles</w:t>
      </w:r>
      <w:r w:rsidRPr="004511C8">
        <w:rPr>
          <w:rFonts w:ascii="Arial" w:hAnsi="Arial" w:cs="Arial"/>
          <w:sz w:val="22"/>
          <w:szCs w:val="22"/>
        </w:rPr>
        <w:t xml:space="preserve"> et al. (2018)</w:t>
      </w:r>
      <w:r w:rsidR="00BF70D3" w:rsidRPr="004511C8">
        <w:rPr>
          <w:rFonts w:ascii="Arial" w:hAnsi="Arial" w:cs="Arial"/>
          <w:sz w:val="22"/>
          <w:szCs w:val="22"/>
        </w:rPr>
        <w:t>,</w:t>
      </w:r>
      <w:r w:rsidRPr="004511C8">
        <w:rPr>
          <w:rFonts w:ascii="Arial" w:hAnsi="Arial" w:cs="Arial"/>
          <w:sz w:val="22"/>
          <w:szCs w:val="22"/>
        </w:rPr>
        <w:t xml:space="preserve"> who demonstrate that the problem of antibiotic-resistant gonorrhoea in the UK is best considered as a dynamic epidemiological process, and not a group of isolated cases of resistance. They speculate that resistance is changing in relation to prescribing practice, sexual behaviour and broader transmission patterns. Microbiologically and socially, the development of resistance is, in this sense, both microbiological and social. The biologic alteration in the pathogen isn't fixed, yet the effects of said alterations are influenced by treatment </w:t>
      </w:r>
      <w:r w:rsidR="00BF70D3" w:rsidRPr="004511C8">
        <w:rPr>
          <w:rFonts w:ascii="Arial" w:hAnsi="Arial" w:cs="Arial"/>
          <w:sz w:val="22"/>
          <w:szCs w:val="22"/>
        </w:rPr>
        <w:t>utilisation</w:t>
      </w:r>
      <w:r w:rsidRPr="004511C8">
        <w:rPr>
          <w:rFonts w:ascii="Arial" w:hAnsi="Arial" w:cs="Arial"/>
          <w:sz w:val="22"/>
          <w:szCs w:val="22"/>
        </w:rPr>
        <w:t>, the response in the public health, and the sexual network.</w:t>
      </w:r>
    </w:p>
    <w:p w14:paraId="60F9486A" w14:textId="620EE11F" w:rsidR="00DD28A5" w:rsidRPr="004511C8" w:rsidRDefault="00DD28A5" w:rsidP="005F4984">
      <w:pPr>
        <w:rPr>
          <w:rFonts w:ascii="Arial" w:hAnsi="Arial" w:cs="Arial"/>
          <w:sz w:val="22"/>
          <w:szCs w:val="22"/>
        </w:rPr>
      </w:pPr>
      <w:r w:rsidRPr="004511C8">
        <w:rPr>
          <w:rFonts w:ascii="Arial" w:hAnsi="Arial" w:cs="Arial"/>
          <w:sz w:val="22"/>
          <w:szCs w:val="22"/>
        </w:rPr>
        <w:t xml:space="preserve">Combined, these papers indicate that progression of gonococcal AMR is cumulative rather than linear, and each subsequent developmental stage of resistance restricts the treatment options. The importance of this theme is that it shows that both </w:t>
      </w:r>
      <w:r w:rsidR="00A006D9" w:rsidRPr="004511C8">
        <w:rPr>
          <w:rFonts w:ascii="Arial" w:hAnsi="Arial" w:cs="Arial"/>
          <w:sz w:val="22"/>
          <w:szCs w:val="22"/>
        </w:rPr>
        <w:t xml:space="preserve">the </w:t>
      </w:r>
      <w:r w:rsidR="00574DB7" w:rsidRPr="004511C8">
        <w:rPr>
          <w:rFonts w:ascii="Arial" w:hAnsi="Arial" w:cs="Arial"/>
          <w:sz w:val="22"/>
          <w:szCs w:val="22"/>
        </w:rPr>
        <w:t>UK's</w:t>
      </w:r>
      <w:r w:rsidRPr="004511C8">
        <w:rPr>
          <w:rFonts w:ascii="Arial" w:hAnsi="Arial" w:cs="Arial"/>
          <w:sz w:val="22"/>
          <w:szCs w:val="22"/>
        </w:rPr>
        <w:t xml:space="preserve"> fears about multidrug resistance and ceftriaxone resistance are not entirely new in a long history. This implies that the existing practice cannot assume that the existing drugs will always be effective. Rather, the literature is indicative of the fact that further adaptation in surveillance, prescribing and prevention is required.</w:t>
      </w:r>
    </w:p>
    <w:p w14:paraId="565BE3BF" w14:textId="77777777" w:rsidR="00DD28A5" w:rsidRPr="004511C8" w:rsidRDefault="00DD28A5" w:rsidP="005F4984">
      <w:pPr>
        <w:rPr>
          <w:rFonts w:ascii="Arial" w:hAnsi="Arial" w:cs="Arial"/>
          <w:sz w:val="22"/>
          <w:szCs w:val="22"/>
        </w:rPr>
      </w:pPr>
    </w:p>
    <w:p w14:paraId="1E3CFD0A" w14:textId="0C11E8B1" w:rsidR="00DD28A5" w:rsidRPr="004511C8" w:rsidRDefault="00DD28A5" w:rsidP="005F4984">
      <w:pPr>
        <w:pStyle w:val="Heading3"/>
        <w:rPr>
          <w:rFonts w:ascii="Arial" w:hAnsi="Arial" w:cs="Arial"/>
          <w:b/>
          <w:bCs/>
          <w:color w:val="auto"/>
          <w:sz w:val="22"/>
          <w:szCs w:val="22"/>
        </w:rPr>
      </w:pPr>
      <w:bookmarkStart w:id="41" w:name="_Toc229082798"/>
      <w:r w:rsidRPr="004511C8">
        <w:rPr>
          <w:rFonts w:ascii="Arial" w:hAnsi="Arial" w:cs="Arial"/>
          <w:b/>
          <w:bCs/>
          <w:color w:val="auto"/>
          <w:sz w:val="22"/>
          <w:szCs w:val="22"/>
        </w:rPr>
        <w:t xml:space="preserve">Theme 2: Surveillance And Detection </w:t>
      </w:r>
      <w:r w:rsidR="000C32C7" w:rsidRPr="004511C8">
        <w:rPr>
          <w:rFonts w:ascii="Arial" w:hAnsi="Arial" w:cs="Arial"/>
          <w:b/>
          <w:bCs/>
          <w:color w:val="auto"/>
          <w:sz w:val="22"/>
          <w:szCs w:val="22"/>
        </w:rPr>
        <w:t>of</w:t>
      </w:r>
      <w:r w:rsidRPr="004511C8">
        <w:rPr>
          <w:rFonts w:ascii="Arial" w:hAnsi="Arial" w:cs="Arial"/>
          <w:b/>
          <w:bCs/>
          <w:color w:val="auto"/>
          <w:sz w:val="22"/>
          <w:szCs w:val="22"/>
        </w:rPr>
        <w:t xml:space="preserve"> Gonococcal Resistance </w:t>
      </w:r>
      <w:proofErr w:type="gramStart"/>
      <w:r w:rsidRPr="004511C8">
        <w:rPr>
          <w:rFonts w:ascii="Arial" w:hAnsi="Arial" w:cs="Arial"/>
          <w:b/>
          <w:bCs/>
          <w:color w:val="auto"/>
          <w:sz w:val="22"/>
          <w:szCs w:val="22"/>
        </w:rPr>
        <w:t>In</w:t>
      </w:r>
      <w:proofErr w:type="gramEnd"/>
      <w:r w:rsidRPr="004511C8">
        <w:rPr>
          <w:rFonts w:ascii="Arial" w:hAnsi="Arial" w:cs="Arial"/>
          <w:b/>
          <w:bCs/>
          <w:color w:val="auto"/>
          <w:sz w:val="22"/>
          <w:szCs w:val="22"/>
        </w:rPr>
        <w:t xml:space="preserve"> The UK</w:t>
      </w:r>
      <w:bookmarkEnd w:id="41"/>
    </w:p>
    <w:p w14:paraId="24C43CA1" w14:textId="3674746B" w:rsidR="00DD28A5" w:rsidRPr="004511C8" w:rsidRDefault="00DD28A5" w:rsidP="005F4984">
      <w:pPr>
        <w:rPr>
          <w:rFonts w:ascii="Arial" w:hAnsi="Arial" w:cs="Arial"/>
          <w:sz w:val="22"/>
          <w:szCs w:val="22"/>
        </w:rPr>
      </w:pPr>
      <w:r w:rsidRPr="004511C8">
        <w:rPr>
          <w:rFonts w:ascii="Arial" w:hAnsi="Arial" w:cs="Arial"/>
          <w:sz w:val="22"/>
          <w:szCs w:val="22"/>
        </w:rPr>
        <w:t xml:space="preserve">The second overarching theme is that central to the development of the UK evidence base is a comprehensive role played by surveillance and resistance detection systems. </w:t>
      </w:r>
      <w:r w:rsidR="00574DB7" w:rsidRPr="004511C8">
        <w:rPr>
          <w:rFonts w:ascii="Arial" w:hAnsi="Arial" w:cs="Arial"/>
          <w:sz w:val="22"/>
          <w:szCs w:val="22"/>
        </w:rPr>
        <w:t>A major</w:t>
      </w:r>
      <w:r w:rsidRPr="004511C8">
        <w:rPr>
          <w:rFonts w:ascii="Arial" w:hAnsi="Arial" w:cs="Arial"/>
          <w:sz w:val="22"/>
          <w:szCs w:val="22"/>
        </w:rPr>
        <w:t xml:space="preserve"> part of the literature is surveillance-based</w:t>
      </w:r>
      <w:r w:rsidR="00574DB7" w:rsidRPr="004511C8">
        <w:rPr>
          <w:rFonts w:ascii="Arial" w:hAnsi="Arial" w:cs="Arial"/>
          <w:sz w:val="22"/>
          <w:szCs w:val="22"/>
        </w:rPr>
        <w:t>,</w:t>
      </w:r>
      <w:r w:rsidRPr="004511C8">
        <w:rPr>
          <w:rFonts w:ascii="Arial" w:hAnsi="Arial" w:cs="Arial"/>
          <w:sz w:val="22"/>
          <w:szCs w:val="22"/>
        </w:rPr>
        <w:t xml:space="preserve"> i.e.</w:t>
      </w:r>
      <w:r w:rsidR="00574DB7" w:rsidRPr="004511C8">
        <w:rPr>
          <w:rFonts w:ascii="Arial" w:hAnsi="Arial" w:cs="Arial"/>
          <w:sz w:val="22"/>
          <w:szCs w:val="22"/>
        </w:rPr>
        <w:t>,</w:t>
      </w:r>
      <w:r w:rsidRPr="004511C8">
        <w:rPr>
          <w:rFonts w:ascii="Arial" w:hAnsi="Arial" w:cs="Arial"/>
          <w:sz w:val="22"/>
          <w:szCs w:val="22"/>
        </w:rPr>
        <w:t xml:space="preserve"> the existing information on gonococcal AMR in the UK relies heavily on routine surveillance and laboratory susceptibility testing and national reporting systems </w:t>
      </w:r>
      <w:r w:rsidR="00574DB7" w:rsidRPr="004511C8">
        <w:rPr>
          <w:rFonts w:ascii="Arial" w:hAnsi="Arial" w:cs="Arial"/>
          <w:sz w:val="22"/>
          <w:szCs w:val="22"/>
        </w:rPr>
        <w:t xml:space="preserve">(Davis et al. 2025; Radovanovic et al. 2022; </w:t>
      </w:r>
      <w:r w:rsidRPr="004511C8">
        <w:rPr>
          <w:rFonts w:ascii="Arial" w:hAnsi="Arial" w:cs="Arial"/>
          <w:sz w:val="22"/>
          <w:szCs w:val="22"/>
        </w:rPr>
        <w:t>Delpech et al.</w:t>
      </w:r>
      <w:r w:rsidR="000C32C7" w:rsidRPr="004511C8">
        <w:rPr>
          <w:rFonts w:ascii="Arial" w:hAnsi="Arial" w:cs="Arial"/>
          <w:sz w:val="22"/>
          <w:szCs w:val="22"/>
        </w:rPr>
        <w:t xml:space="preserve"> </w:t>
      </w:r>
      <w:r w:rsidRPr="004511C8">
        <w:rPr>
          <w:rFonts w:ascii="Arial" w:hAnsi="Arial" w:cs="Arial"/>
          <w:sz w:val="22"/>
          <w:szCs w:val="22"/>
        </w:rPr>
        <w:t>2009; Hughes, Nichols and Ison, 2011). This contrasts the field with the domains where the evidence is mainly interventional or experimental. Surveillance in the instance of gonorrhoea AMR is not only supportive, but it is also fundamental</w:t>
      </w:r>
      <w:r w:rsidR="00574DB7" w:rsidRPr="004511C8">
        <w:rPr>
          <w:rFonts w:ascii="Arial" w:hAnsi="Arial" w:cs="Arial"/>
          <w:sz w:val="22"/>
          <w:szCs w:val="22"/>
        </w:rPr>
        <w:t xml:space="preserve"> (</w:t>
      </w:r>
      <w:proofErr w:type="spellStart"/>
      <w:r w:rsidR="00574DB7" w:rsidRPr="004511C8">
        <w:rPr>
          <w:rFonts w:ascii="Arial" w:hAnsi="Arial" w:cs="Arial"/>
          <w:sz w:val="22"/>
          <w:szCs w:val="22"/>
        </w:rPr>
        <w:t>Tanasov</w:t>
      </w:r>
      <w:proofErr w:type="spellEnd"/>
      <w:r w:rsidR="00574DB7" w:rsidRPr="004511C8">
        <w:rPr>
          <w:rFonts w:ascii="Arial" w:hAnsi="Arial" w:cs="Arial"/>
          <w:sz w:val="22"/>
          <w:szCs w:val="22"/>
        </w:rPr>
        <w:t xml:space="preserve">, </w:t>
      </w:r>
      <w:proofErr w:type="spellStart"/>
      <w:r w:rsidR="00574DB7" w:rsidRPr="004511C8">
        <w:rPr>
          <w:rFonts w:ascii="Arial" w:hAnsi="Arial" w:cs="Arial"/>
          <w:sz w:val="22"/>
          <w:szCs w:val="22"/>
        </w:rPr>
        <w:t>Pastuszczak</w:t>
      </w:r>
      <w:proofErr w:type="spellEnd"/>
      <w:r w:rsidR="00574DB7" w:rsidRPr="004511C8">
        <w:rPr>
          <w:rFonts w:ascii="Arial" w:hAnsi="Arial" w:cs="Arial"/>
          <w:sz w:val="22"/>
          <w:szCs w:val="22"/>
        </w:rPr>
        <w:t xml:space="preserve"> and </w:t>
      </w:r>
      <w:proofErr w:type="spellStart"/>
      <w:r w:rsidR="00574DB7" w:rsidRPr="004511C8">
        <w:rPr>
          <w:rFonts w:ascii="Arial" w:hAnsi="Arial" w:cs="Arial"/>
          <w:sz w:val="22"/>
          <w:szCs w:val="22"/>
        </w:rPr>
        <w:t>Tiplica</w:t>
      </w:r>
      <w:proofErr w:type="spellEnd"/>
      <w:r w:rsidR="00574DB7" w:rsidRPr="004511C8">
        <w:rPr>
          <w:rFonts w:ascii="Arial" w:hAnsi="Arial" w:cs="Arial"/>
          <w:sz w:val="22"/>
          <w:szCs w:val="22"/>
        </w:rPr>
        <w:t xml:space="preserve">, 2025; </w:t>
      </w:r>
      <w:proofErr w:type="spellStart"/>
      <w:r w:rsidR="00574DB7" w:rsidRPr="004511C8">
        <w:rPr>
          <w:rFonts w:ascii="Arial" w:hAnsi="Arial" w:cs="Arial"/>
          <w:sz w:val="22"/>
          <w:szCs w:val="22"/>
        </w:rPr>
        <w:t>Unemo</w:t>
      </w:r>
      <w:proofErr w:type="spellEnd"/>
      <w:r w:rsidR="00574DB7" w:rsidRPr="004511C8">
        <w:rPr>
          <w:rFonts w:ascii="Arial" w:hAnsi="Arial" w:cs="Arial"/>
          <w:sz w:val="22"/>
          <w:szCs w:val="22"/>
        </w:rPr>
        <w:t xml:space="preserve"> et al. 2021)</w:t>
      </w:r>
      <w:r w:rsidRPr="004511C8">
        <w:rPr>
          <w:rFonts w:ascii="Arial" w:hAnsi="Arial" w:cs="Arial"/>
          <w:sz w:val="22"/>
          <w:szCs w:val="22"/>
        </w:rPr>
        <w:t>.</w:t>
      </w:r>
    </w:p>
    <w:p w14:paraId="1756B7B8" w14:textId="728E5616" w:rsidR="00DD28A5" w:rsidRPr="004511C8" w:rsidRDefault="000C32C7" w:rsidP="005F4984">
      <w:pPr>
        <w:rPr>
          <w:rFonts w:ascii="Arial" w:hAnsi="Arial" w:cs="Arial"/>
          <w:sz w:val="22"/>
          <w:szCs w:val="22"/>
        </w:rPr>
      </w:pPr>
      <w:r w:rsidRPr="004511C8">
        <w:rPr>
          <w:rFonts w:ascii="Arial" w:hAnsi="Arial" w:cs="Arial"/>
          <w:sz w:val="22"/>
          <w:szCs w:val="22"/>
        </w:rPr>
        <w:t xml:space="preserve">The </w:t>
      </w:r>
      <w:r w:rsidR="00DD28A5" w:rsidRPr="004511C8">
        <w:rPr>
          <w:rFonts w:ascii="Arial" w:hAnsi="Arial" w:cs="Arial"/>
          <w:sz w:val="22"/>
          <w:szCs w:val="22"/>
        </w:rPr>
        <w:t xml:space="preserve">Gonococcal Resistance to Antimicrobials Surveillance Programme is a recurrent surveillance structure on which UK evidence is based. GRASP data was </w:t>
      </w:r>
      <w:r w:rsidRPr="004511C8">
        <w:rPr>
          <w:rFonts w:ascii="Arial" w:hAnsi="Arial" w:cs="Arial"/>
          <w:sz w:val="22"/>
          <w:szCs w:val="22"/>
        </w:rPr>
        <w:t>utilised</w:t>
      </w:r>
      <w:r w:rsidR="00DD28A5" w:rsidRPr="004511C8">
        <w:rPr>
          <w:rFonts w:ascii="Arial" w:hAnsi="Arial" w:cs="Arial"/>
          <w:sz w:val="22"/>
          <w:szCs w:val="22"/>
        </w:rPr>
        <w:t xml:space="preserve"> by Delpech et al. (2009) to show that behavioural, demographic</w:t>
      </w:r>
      <w:r w:rsidR="00153DF7" w:rsidRPr="004511C8">
        <w:rPr>
          <w:rFonts w:ascii="Arial" w:hAnsi="Arial" w:cs="Arial"/>
          <w:sz w:val="22"/>
          <w:szCs w:val="22"/>
        </w:rPr>
        <w:t>,</w:t>
      </w:r>
      <w:r w:rsidR="00DD28A5" w:rsidRPr="004511C8">
        <w:rPr>
          <w:rFonts w:ascii="Arial" w:hAnsi="Arial" w:cs="Arial"/>
          <w:sz w:val="22"/>
          <w:szCs w:val="22"/>
        </w:rPr>
        <w:t xml:space="preserve"> and clinical factors patterned gonorrhoea cases in England and Wales, showing that resistance surveillance can also be used to enhance broader epidemiological knowledge. Hughes, Nichols and Ison (2011) also </w:t>
      </w:r>
      <w:r w:rsidR="00DD28A5" w:rsidRPr="004511C8">
        <w:rPr>
          <w:rFonts w:ascii="Arial" w:hAnsi="Arial" w:cs="Arial"/>
          <w:sz w:val="22"/>
          <w:szCs w:val="22"/>
        </w:rPr>
        <w:lastRenderedPageBreak/>
        <w:t xml:space="preserve">demonstrated that GRASP played a pivotal role in estimating </w:t>
      </w:r>
      <w:r w:rsidRPr="004511C8">
        <w:rPr>
          <w:rFonts w:ascii="Arial" w:hAnsi="Arial" w:cs="Arial"/>
          <w:sz w:val="22"/>
          <w:szCs w:val="22"/>
        </w:rPr>
        <w:t xml:space="preserve">the </w:t>
      </w:r>
      <w:r w:rsidR="00DD28A5" w:rsidRPr="004511C8">
        <w:rPr>
          <w:rFonts w:ascii="Arial" w:hAnsi="Arial" w:cs="Arial"/>
          <w:sz w:val="22"/>
          <w:szCs w:val="22"/>
        </w:rPr>
        <w:t>prevalence of antimicrobial resistance, thus aiding national policy on treatment. All these studies demonstrate that surveillance systems are not just about counting cases</w:t>
      </w:r>
      <w:r w:rsidRPr="004511C8">
        <w:rPr>
          <w:rFonts w:ascii="Arial" w:hAnsi="Arial" w:cs="Arial"/>
          <w:sz w:val="22"/>
          <w:szCs w:val="22"/>
        </w:rPr>
        <w:t>,</w:t>
      </w:r>
      <w:r w:rsidR="00DD28A5" w:rsidRPr="004511C8">
        <w:rPr>
          <w:rFonts w:ascii="Arial" w:hAnsi="Arial" w:cs="Arial"/>
          <w:sz w:val="22"/>
          <w:szCs w:val="22"/>
        </w:rPr>
        <w:t xml:space="preserve"> but the data they generate are the evidence required to manage resistance, gauge risks</w:t>
      </w:r>
      <w:r w:rsidRPr="004511C8">
        <w:rPr>
          <w:rFonts w:ascii="Arial" w:hAnsi="Arial" w:cs="Arial"/>
          <w:sz w:val="22"/>
          <w:szCs w:val="22"/>
        </w:rPr>
        <w:t>,</w:t>
      </w:r>
      <w:r w:rsidR="00DD28A5" w:rsidRPr="004511C8">
        <w:rPr>
          <w:rFonts w:ascii="Arial" w:hAnsi="Arial" w:cs="Arial"/>
          <w:sz w:val="22"/>
          <w:szCs w:val="22"/>
        </w:rPr>
        <w:t xml:space="preserve"> and modify policy.</w:t>
      </w:r>
    </w:p>
    <w:p w14:paraId="74D2CF67" w14:textId="1F8DABBA" w:rsidR="00DD28A5" w:rsidRPr="004511C8" w:rsidRDefault="00DD28A5" w:rsidP="005F4984">
      <w:pPr>
        <w:rPr>
          <w:rFonts w:ascii="Arial" w:hAnsi="Arial" w:cs="Arial"/>
          <w:sz w:val="22"/>
          <w:szCs w:val="22"/>
        </w:rPr>
      </w:pPr>
      <w:r w:rsidRPr="004511C8">
        <w:rPr>
          <w:rFonts w:ascii="Arial" w:hAnsi="Arial" w:cs="Arial"/>
          <w:sz w:val="22"/>
          <w:szCs w:val="22"/>
        </w:rPr>
        <w:t>Ison and Alexander (2011) believe that UK surveillance is necessary as resistance in gonorrhoea might develop slowly and only become apparent when laboratory and clinical data are correlated. This fact is supported by Medland et al. (2022)</w:t>
      </w:r>
      <w:r w:rsidR="00574DB7" w:rsidRPr="004511C8">
        <w:rPr>
          <w:rFonts w:ascii="Arial" w:hAnsi="Arial" w:cs="Arial"/>
          <w:sz w:val="22"/>
          <w:szCs w:val="22"/>
        </w:rPr>
        <w:t>, who</w:t>
      </w:r>
      <w:r w:rsidRPr="004511C8">
        <w:rPr>
          <w:rFonts w:ascii="Arial" w:hAnsi="Arial" w:cs="Arial"/>
          <w:sz w:val="22"/>
          <w:szCs w:val="22"/>
        </w:rPr>
        <w:t xml:space="preserve">, though they are global in their writing, stress that surveillance systems will play a central role in detecting gonococcal AMR due to the rapid distribution of the resistant strains among populations and </w:t>
      </w:r>
      <w:r w:rsidR="00574DB7" w:rsidRPr="004511C8">
        <w:rPr>
          <w:rFonts w:ascii="Arial" w:hAnsi="Arial" w:cs="Arial"/>
          <w:sz w:val="22"/>
          <w:szCs w:val="22"/>
        </w:rPr>
        <w:t>across</w:t>
      </w:r>
      <w:r w:rsidRPr="004511C8">
        <w:rPr>
          <w:rFonts w:ascii="Arial" w:hAnsi="Arial" w:cs="Arial"/>
          <w:sz w:val="22"/>
          <w:szCs w:val="22"/>
        </w:rPr>
        <w:t xml:space="preserve"> borders. Their findings confirm the methodological significance of UK studies that are intensive in surveillance.</w:t>
      </w:r>
    </w:p>
    <w:p w14:paraId="566BA026" w14:textId="51057F09" w:rsidR="00DD28A5" w:rsidRPr="004511C8" w:rsidRDefault="00DD28A5" w:rsidP="005F4984">
      <w:pPr>
        <w:rPr>
          <w:rFonts w:ascii="Arial" w:hAnsi="Arial" w:cs="Arial"/>
          <w:sz w:val="22"/>
          <w:szCs w:val="22"/>
        </w:rPr>
      </w:pPr>
      <w:r w:rsidRPr="004511C8">
        <w:rPr>
          <w:rFonts w:ascii="Arial" w:hAnsi="Arial" w:cs="Arial"/>
          <w:sz w:val="22"/>
          <w:szCs w:val="22"/>
        </w:rPr>
        <w:t xml:space="preserve">More recent evidence shows that surveillance </w:t>
      </w:r>
      <w:r w:rsidR="000C32C7" w:rsidRPr="004511C8">
        <w:rPr>
          <w:rFonts w:ascii="Arial" w:hAnsi="Arial" w:cs="Arial"/>
          <w:sz w:val="22"/>
          <w:szCs w:val="22"/>
        </w:rPr>
        <w:t>is also</w:t>
      </w:r>
      <w:r w:rsidRPr="004511C8">
        <w:rPr>
          <w:rFonts w:ascii="Arial" w:hAnsi="Arial" w:cs="Arial"/>
          <w:sz w:val="22"/>
          <w:szCs w:val="22"/>
        </w:rPr>
        <w:t xml:space="preserve"> closely connected with public health action</w:t>
      </w:r>
      <w:r w:rsidR="00574DB7" w:rsidRPr="004511C8">
        <w:rPr>
          <w:rFonts w:ascii="Arial" w:hAnsi="Arial" w:cs="Arial"/>
          <w:sz w:val="22"/>
          <w:szCs w:val="22"/>
        </w:rPr>
        <w:t xml:space="preserve"> (Aiello, Renson and </w:t>
      </w:r>
      <w:proofErr w:type="spellStart"/>
      <w:r w:rsidR="00574DB7" w:rsidRPr="004511C8">
        <w:rPr>
          <w:rFonts w:ascii="Arial" w:hAnsi="Arial" w:cs="Arial"/>
          <w:sz w:val="22"/>
          <w:szCs w:val="22"/>
        </w:rPr>
        <w:t>Zivich</w:t>
      </w:r>
      <w:proofErr w:type="spellEnd"/>
      <w:r w:rsidR="00574DB7" w:rsidRPr="004511C8">
        <w:rPr>
          <w:rFonts w:ascii="Arial" w:hAnsi="Arial" w:cs="Arial"/>
          <w:sz w:val="22"/>
          <w:szCs w:val="22"/>
        </w:rPr>
        <w:t>, 2020; Hong et al. 2020)</w:t>
      </w:r>
      <w:r w:rsidRPr="004511C8">
        <w:rPr>
          <w:rFonts w:ascii="Arial" w:hAnsi="Arial" w:cs="Arial"/>
          <w:sz w:val="22"/>
          <w:szCs w:val="22"/>
        </w:rPr>
        <w:t>. Merrick et al. (2022) explain the national response to antimicrobial-resistant gonorrhoea, which involves surveillance findings in England, and how findings should be translated into case investigation, interagency communication and outbreak control. The report by the UK Health Security Agency (2025) GRASP also shows that the current resistance monitoring is crucial to identifying the changes in susceptibility and the emerging threats. This establishes a close connection between surveillance and responsiveness: the only way to handle resistance is to detect and process it promptly and in the appropriate manner.</w:t>
      </w:r>
    </w:p>
    <w:p w14:paraId="79EBA3D9" w14:textId="7DA29D72" w:rsidR="00DD28A5" w:rsidRPr="004511C8" w:rsidRDefault="000C32C7" w:rsidP="005F4984">
      <w:pPr>
        <w:rPr>
          <w:rFonts w:ascii="Arial" w:hAnsi="Arial" w:cs="Arial"/>
          <w:sz w:val="22"/>
          <w:szCs w:val="22"/>
        </w:rPr>
      </w:pPr>
      <w:r w:rsidRPr="004511C8">
        <w:rPr>
          <w:rFonts w:ascii="Arial" w:hAnsi="Arial" w:cs="Arial"/>
          <w:sz w:val="22"/>
          <w:szCs w:val="22"/>
        </w:rPr>
        <w:t>Moreover</w:t>
      </w:r>
      <w:r w:rsidR="00DD28A5" w:rsidRPr="004511C8">
        <w:rPr>
          <w:rFonts w:ascii="Arial" w:hAnsi="Arial" w:cs="Arial"/>
          <w:sz w:val="22"/>
          <w:szCs w:val="22"/>
        </w:rPr>
        <w:t xml:space="preserve">, there are also some limitations to surveillance dependence as the literature proposes. Surveillance information </w:t>
      </w:r>
      <w:r w:rsidRPr="004511C8">
        <w:rPr>
          <w:rFonts w:ascii="Arial" w:hAnsi="Arial" w:cs="Arial"/>
          <w:sz w:val="22"/>
          <w:szCs w:val="22"/>
        </w:rPr>
        <w:t>is</w:t>
      </w:r>
      <w:r w:rsidR="00DD28A5" w:rsidRPr="004511C8">
        <w:rPr>
          <w:rFonts w:ascii="Arial" w:hAnsi="Arial" w:cs="Arial"/>
          <w:sz w:val="22"/>
          <w:szCs w:val="22"/>
        </w:rPr>
        <w:t xml:space="preserve"> effective in detecting trends but might not sufficiently measure patient behaviour, reinfection, </w:t>
      </w:r>
      <w:r w:rsidR="00574DB7" w:rsidRPr="004511C8">
        <w:rPr>
          <w:rFonts w:ascii="Arial" w:hAnsi="Arial" w:cs="Arial"/>
          <w:sz w:val="22"/>
          <w:szCs w:val="22"/>
        </w:rPr>
        <w:t>health-seeking</w:t>
      </w:r>
      <w:r w:rsidR="00DD28A5" w:rsidRPr="004511C8">
        <w:rPr>
          <w:rFonts w:ascii="Arial" w:hAnsi="Arial" w:cs="Arial"/>
          <w:sz w:val="22"/>
          <w:szCs w:val="22"/>
        </w:rPr>
        <w:t xml:space="preserve"> barriers or service access</w:t>
      </w:r>
      <w:r w:rsidR="00574DB7" w:rsidRPr="004511C8">
        <w:rPr>
          <w:rFonts w:ascii="Arial" w:hAnsi="Arial" w:cs="Arial"/>
          <w:sz w:val="22"/>
          <w:szCs w:val="22"/>
        </w:rPr>
        <w:t xml:space="preserve"> (Carter, Megnin-</w:t>
      </w:r>
      <w:proofErr w:type="spellStart"/>
      <w:r w:rsidR="00574DB7" w:rsidRPr="004511C8">
        <w:rPr>
          <w:rFonts w:ascii="Arial" w:hAnsi="Arial" w:cs="Arial"/>
          <w:sz w:val="22"/>
          <w:szCs w:val="22"/>
        </w:rPr>
        <w:t>Viggars</w:t>
      </w:r>
      <w:proofErr w:type="spellEnd"/>
      <w:r w:rsidR="00574DB7" w:rsidRPr="004511C8">
        <w:rPr>
          <w:rFonts w:ascii="Arial" w:hAnsi="Arial" w:cs="Arial"/>
          <w:sz w:val="22"/>
          <w:szCs w:val="22"/>
        </w:rPr>
        <w:t xml:space="preserve"> and Rubin, 2021; Hayward et al. 2021; Smith et al. 2021)</w:t>
      </w:r>
      <w:r w:rsidR="00DD28A5" w:rsidRPr="004511C8">
        <w:rPr>
          <w:rFonts w:ascii="Arial" w:hAnsi="Arial" w:cs="Arial"/>
          <w:sz w:val="22"/>
          <w:szCs w:val="22"/>
        </w:rPr>
        <w:t xml:space="preserve">. Consequently, surveillance provides scope and timeliness, yet a lack of depth in terms of lived experiences or contextual exegeses. </w:t>
      </w:r>
      <w:r w:rsidRPr="004511C8">
        <w:rPr>
          <w:rFonts w:ascii="Arial" w:hAnsi="Arial" w:cs="Arial"/>
          <w:sz w:val="22"/>
          <w:szCs w:val="22"/>
        </w:rPr>
        <w:t>However</w:t>
      </w:r>
      <w:r w:rsidR="00DD28A5" w:rsidRPr="004511C8">
        <w:rPr>
          <w:rFonts w:ascii="Arial" w:hAnsi="Arial" w:cs="Arial"/>
          <w:sz w:val="22"/>
          <w:szCs w:val="22"/>
        </w:rPr>
        <w:t>, the studies included lead to the conclusion that the UK would have a significantly worse idea about gonococcal AMR in the absence of surveillance. This motif thus affirms the fact that one of the key structural pillars of modern-day resistance management is surveillance.</w:t>
      </w:r>
    </w:p>
    <w:p w14:paraId="70383E0E" w14:textId="77777777" w:rsidR="00DA0AE7" w:rsidRPr="004511C8" w:rsidRDefault="00DA0AE7" w:rsidP="005F4984">
      <w:pPr>
        <w:pStyle w:val="Heading3"/>
        <w:rPr>
          <w:rFonts w:ascii="Arial" w:hAnsi="Arial" w:cs="Arial"/>
          <w:sz w:val="22"/>
          <w:szCs w:val="22"/>
        </w:rPr>
      </w:pPr>
      <w:bookmarkStart w:id="42" w:name="_Toc229082799"/>
    </w:p>
    <w:p w14:paraId="7ACA7AE4" w14:textId="6C68169C" w:rsidR="00DD28A5" w:rsidRPr="004511C8" w:rsidRDefault="00DD28A5" w:rsidP="005F4984">
      <w:pPr>
        <w:pStyle w:val="Heading3"/>
        <w:rPr>
          <w:rFonts w:ascii="Arial" w:hAnsi="Arial" w:cs="Arial"/>
          <w:b/>
          <w:bCs/>
          <w:color w:val="auto"/>
          <w:sz w:val="22"/>
          <w:szCs w:val="22"/>
        </w:rPr>
      </w:pPr>
      <w:r w:rsidRPr="004511C8">
        <w:rPr>
          <w:rFonts w:ascii="Arial" w:hAnsi="Arial" w:cs="Arial"/>
          <w:b/>
          <w:bCs/>
          <w:color w:val="auto"/>
          <w:sz w:val="22"/>
          <w:szCs w:val="22"/>
        </w:rPr>
        <w:t>Theme 3: Emergence Of Multidrug-Resistant Strains</w:t>
      </w:r>
      <w:bookmarkEnd w:id="42"/>
    </w:p>
    <w:p w14:paraId="44D97A09" w14:textId="2F9846EE" w:rsidR="00DD28A5" w:rsidRPr="004511C8" w:rsidRDefault="00DD28A5" w:rsidP="005F4984">
      <w:pPr>
        <w:rPr>
          <w:rFonts w:ascii="Arial" w:hAnsi="Arial" w:cs="Arial"/>
          <w:sz w:val="22"/>
          <w:szCs w:val="22"/>
        </w:rPr>
      </w:pPr>
      <w:r w:rsidRPr="004511C8">
        <w:rPr>
          <w:rFonts w:ascii="Arial" w:hAnsi="Arial" w:cs="Arial"/>
          <w:sz w:val="22"/>
          <w:szCs w:val="22"/>
        </w:rPr>
        <w:t xml:space="preserve">The third key theme is the emergence of multidrug-resistant gonorrhoea and the growing complexity that arises in terms of clinical and public health management. Although the early literature focused on the resistance to single antibiotics, the provided studies indicate that the </w:t>
      </w:r>
      <w:r w:rsidRPr="004511C8">
        <w:rPr>
          <w:rFonts w:ascii="Arial" w:hAnsi="Arial" w:cs="Arial"/>
          <w:sz w:val="22"/>
          <w:szCs w:val="22"/>
        </w:rPr>
        <w:lastRenderedPageBreak/>
        <w:t>more recent concern is centred on the strains with resistance or reduced susceptibility to numerous agents, thus restricting treatment options and causing an increase in uncertainty in their treatment (Clifton et al. 2017; Eyre et al. 2018).</w:t>
      </w:r>
    </w:p>
    <w:p w14:paraId="662B72D3" w14:textId="47EF7440" w:rsidR="00DD28A5" w:rsidRPr="004511C8" w:rsidRDefault="00DD28A5" w:rsidP="005F4984">
      <w:pPr>
        <w:rPr>
          <w:rFonts w:ascii="Arial" w:hAnsi="Arial" w:cs="Arial"/>
          <w:sz w:val="22"/>
          <w:szCs w:val="22"/>
        </w:rPr>
      </w:pPr>
      <w:r w:rsidRPr="004511C8">
        <w:rPr>
          <w:rFonts w:ascii="Arial" w:hAnsi="Arial" w:cs="Arial"/>
          <w:sz w:val="22"/>
          <w:szCs w:val="22"/>
        </w:rPr>
        <w:t xml:space="preserve">The especially significant ones are Clifton et al. (2017). They </w:t>
      </w:r>
      <w:r w:rsidR="00153DF7" w:rsidRPr="004511C8">
        <w:rPr>
          <w:rFonts w:ascii="Arial" w:hAnsi="Arial" w:cs="Arial"/>
          <w:sz w:val="22"/>
          <w:szCs w:val="22"/>
        </w:rPr>
        <w:t>analysed</w:t>
      </w:r>
      <w:r w:rsidRPr="004511C8">
        <w:rPr>
          <w:rFonts w:ascii="Arial" w:hAnsi="Arial" w:cs="Arial"/>
          <w:sz w:val="22"/>
          <w:szCs w:val="22"/>
        </w:rPr>
        <w:t xml:space="preserve"> multidrug-resistant Neisseria </w:t>
      </w:r>
      <w:r w:rsidR="00E02A7F" w:rsidRPr="004511C8">
        <w:rPr>
          <w:rFonts w:ascii="Arial" w:hAnsi="Arial" w:cs="Arial"/>
          <w:sz w:val="22"/>
          <w:szCs w:val="22"/>
        </w:rPr>
        <w:t xml:space="preserve">gonorrhoeae </w:t>
      </w:r>
      <w:r w:rsidRPr="004511C8">
        <w:rPr>
          <w:rFonts w:ascii="Arial" w:hAnsi="Arial" w:cs="Arial"/>
          <w:sz w:val="22"/>
          <w:szCs w:val="22"/>
        </w:rPr>
        <w:t>in England and Wales and found that MDR gonorrhoea was not a low-frequency or transient phenomenon, but a long-term problem with the population over the period</w:t>
      </w:r>
      <w:r w:rsidR="00153DF7" w:rsidRPr="004511C8">
        <w:rPr>
          <w:rFonts w:ascii="Arial" w:hAnsi="Arial" w:cs="Arial"/>
          <w:sz w:val="22"/>
          <w:szCs w:val="22"/>
        </w:rPr>
        <w:t xml:space="preserve"> (Krieger et al. 2020; Waters et al. 2025)</w:t>
      </w:r>
      <w:r w:rsidRPr="004511C8">
        <w:rPr>
          <w:rFonts w:ascii="Arial" w:hAnsi="Arial" w:cs="Arial"/>
          <w:sz w:val="22"/>
          <w:szCs w:val="22"/>
        </w:rPr>
        <w:t xml:space="preserve">. Another important aspect of the study is that it explored the factors </w:t>
      </w:r>
      <w:r w:rsidR="00153DF7" w:rsidRPr="004511C8">
        <w:rPr>
          <w:rFonts w:ascii="Arial" w:hAnsi="Arial" w:cs="Arial"/>
          <w:sz w:val="22"/>
          <w:szCs w:val="22"/>
        </w:rPr>
        <w:t>that</w:t>
      </w:r>
      <w:r w:rsidRPr="004511C8">
        <w:rPr>
          <w:rFonts w:ascii="Arial" w:hAnsi="Arial" w:cs="Arial"/>
          <w:sz w:val="22"/>
          <w:szCs w:val="22"/>
        </w:rPr>
        <w:t xml:space="preserve"> are related to MDR infection, which goes beyond descriptive microbiology and connects resistance to other epidemiological trends. This substantiates the </w:t>
      </w:r>
      <w:r w:rsidR="00DA0AE7" w:rsidRPr="004511C8">
        <w:rPr>
          <w:rFonts w:ascii="Arial" w:hAnsi="Arial" w:cs="Arial"/>
          <w:sz w:val="22"/>
          <w:szCs w:val="22"/>
        </w:rPr>
        <w:t>review</w:t>
      </w:r>
      <w:r w:rsidRPr="004511C8">
        <w:rPr>
          <w:rFonts w:ascii="Arial" w:hAnsi="Arial" w:cs="Arial"/>
          <w:sz w:val="22"/>
          <w:szCs w:val="22"/>
        </w:rPr>
        <w:t xml:space="preserve"> that MDR gonorrhoea is not only influenced by the adaptation of bacteria, but also population-level transmission and healthcare dynamics.</w:t>
      </w:r>
    </w:p>
    <w:p w14:paraId="2BE0F467" w14:textId="185291A2" w:rsidR="00DD28A5" w:rsidRPr="004511C8" w:rsidRDefault="00DD28A5" w:rsidP="005F4984">
      <w:pPr>
        <w:rPr>
          <w:rFonts w:ascii="Arial" w:hAnsi="Arial" w:cs="Arial"/>
          <w:sz w:val="22"/>
          <w:szCs w:val="22"/>
        </w:rPr>
      </w:pPr>
      <w:r w:rsidRPr="004511C8">
        <w:rPr>
          <w:rFonts w:ascii="Arial" w:hAnsi="Arial" w:cs="Arial"/>
          <w:sz w:val="22"/>
          <w:szCs w:val="22"/>
        </w:rPr>
        <w:t xml:space="preserve">Chisholm et al. (2011) add to this theme by reporting the appearance of a clone with reduced cefixime susceptibility in England and Wales. Though personally not presented strictly as MDR in the most general sense, this paper sheds light on how the loss of susceptibility to key treatment agents may serve as an antecedent in the development of higher-level resistance patterns. Eyre et al. (2018) </w:t>
      </w:r>
      <w:r w:rsidR="00153DF7" w:rsidRPr="004511C8">
        <w:rPr>
          <w:rFonts w:ascii="Arial" w:hAnsi="Arial" w:cs="Arial"/>
          <w:sz w:val="22"/>
          <w:szCs w:val="22"/>
        </w:rPr>
        <w:t>developed</w:t>
      </w:r>
      <w:r w:rsidRPr="004511C8">
        <w:rPr>
          <w:rFonts w:ascii="Arial" w:hAnsi="Arial" w:cs="Arial"/>
          <w:sz w:val="22"/>
          <w:szCs w:val="22"/>
        </w:rPr>
        <w:t xml:space="preserve"> the theme by determining a strain linked to ceftriaxone resistance and high-level azithromycin resistance. The case was especially frightening </w:t>
      </w:r>
      <w:r w:rsidR="00DA0AE7" w:rsidRPr="004511C8">
        <w:rPr>
          <w:rFonts w:ascii="Arial" w:hAnsi="Arial" w:cs="Arial"/>
          <w:sz w:val="22"/>
          <w:szCs w:val="22"/>
        </w:rPr>
        <w:t>because</w:t>
      </w:r>
      <w:r w:rsidRPr="004511C8">
        <w:rPr>
          <w:rFonts w:ascii="Arial" w:hAnsi="Arial" w:cs="Arial"/>
          <w:sz w:val="22"/>
          <w:szCs w:val="22"/>
        </w:rPr>
        <w:t xml:space="preserve"> it indicated that resistance was starting to impact drug combinations that became dependent on maintaining treatment efficacy.</w:t>
      </w:r>
    </w:p>
    <w:p w14:paraId="700CCE89" w14:textId="77777777" w:rsidR="00DD28A5" w:rsidRPr="004511C8" w:rsidRDefault="00DD28A5" w:rsidP="005F4984">
      <w:pPr>
        <w:rPr>
          <w:rFonts w:ascii="Arial" w:hAnsi="Arial" w:cs="Arial"/>
          <w:sz w:val="22"/>
          <w:szCs w:val="22"/>
        </w:rPr>
      </w:pPr>
      <w:r w:rsidRPr="004511C8">
        <w:rPr>
          <w:rFonts w:ascii="Arial" w:hAnsi="Arial" w:cs="Arial"/>
          <w:sz w:val="22"/>
          <w:szCs w:val="22"/>
        </w:rPr>
        <w:t>Day et al. (2022) support this trend by reporting 10 ceftriaxone-resistant gonorrhoea cases in the UK. Although not every such case is, of necessity, the same multidrug-resistant profiles, they indicate that clinically significant resistance is becoming more complicated and severe. Whittles et al. (2018) add to this by demonstrating that resistant gonorrhoea in the UK should be viewed epidemiologically, rather than microbiologically. They propose that multidrug resistance development is a result of the interplay between selection pressure in terms of treatment choice, national response planning, and the transmission networks.</w:t>
      </w:r>
    </w:p>
    <w:p w14:paraId="365C43AC" w14:textId="5A9A81BE" w:rsidR="00DD28A5" w:rsidRPr="004511C8" w:rsidRDefault="00DD28A5" w:rsidP="005F4984">
      <w:pPr>
        <w:rPr>
          <w:rFonts w:ascii="Arial" w:hAnsi="Arial" w:cs="Arial"/>
          <w:sz w:val="22"/>
          <w:szCs w:val="22"/>
        </w:rPr>
      </w:pPr>
      <w:r w:rsidRPr="004511C8">
        <w:rPr>
          <w:rFonts w:ascii="Arial" w:hAnsi="Arial" w:cs="Arial"/>
          <w:sz w:val="22"/>
          <w:szCs w:val="22"/>
        </w:rPr>
        <w:t xml:space="preserve">The theme has significant implications </w:t>
      </w:r>
      <w:r w:rsidR="00DA0AE7" w:rsidRPr="004511C8">
        <w:rPr>
          <w:rFonts w:ascii="Arial" w:hAnsi="Arial" w:cs="Arial"/>
          <w:sz w:val="22"/>
          <w:szCs w:val="22"/>
        </w:rPr>
        <w:t>for</w:t>
      </w:r>
      <w:r w:rsidRPr="004511C8">
        <w:rPr>
          <w:rFonts w:ascii="Arial" w:hAnsi="Arial" w:cs="Arial"/>
          <w:sz w:val="22"/>
          <w:szCs w:val="22"/>
        </w:rPr>
        <w:t xml:space="preserve"> the health of the people. Multidrug resistance negatively affects the belief in standard treatment courses, aggravates the necessity of susceptibility-based care</w:t>
      </w:r>
      <w:r w:rsidR="00DA0AE7" w:rsidRPr="004511C8">
        <w:rPr>
          <w:rFonts w:ascii="Arial" w:hAnsi="Arial" w:cs="Arial"/>
          <w:sz w:val="22"/>
          <w:szCs w:val="22"/>
        </w:rPr>
        <w:t>,</w:t>
      </w:r>
      <w:r w:rsidRPr="004511C8">
        <w:rPr>
          <w:rFonts w:ascii="Arial" w:hAnsi="Arial" w:cs="Arial"/>
          <w:sz w:val="22"/>
          <w:szCs w:val="22"/>
        </w:rPr>
        <w:t xml:space="preserve"> and exerts strain on the development of national guidelines. It also raises the question of the sustainability of the existing treatment options in the future. The incorporated articles thus indicate that MDR gonorrhoea is not a possibility, but an occurrence and a developing aspect of </w:t>
      </w:r>
      <w:r w:rsidR="00DA0AE7" w:rsidRPr="004511C8">
        <w:rPr>
          <w:rFonts w:ascii="Arial" w:hAnsi="Arial" w:cs="Arial"/>
          <w:sz w:val="22"/>
          <w:szCs w:val="22"/>
        </w:rPr>
        <w:t xml:space="preserve">the </w:t>
      </w:r>
      <w:r w:rsidRPr="004511C8">
        <w:rPr>
          <w:rFonts w:ascii="Arial" w:hAnsi="Arial" w:cs="Arial"/>
          <w:sz w:val="22"/>
          <w:szCs w:val="22"/>
        </w:rPr>
        <w:t xml:space="preserve">UK AMR </w:t>
      </w:r>
      <w:r w:rsidR="00DA0AE7" w:rsidRPr="004511C8">
        <w:rPr>
          <w:rFonts w:ascii="Arial" w:hAnsi="Arial" w:cs="Arial"/>
          <w:sz w:val="22"/>
          <w:szCs w:val="22"/>
        </w:rPr>
        <w:t>circumstances</w:t>
      </w:r>
      <w:r w:rsidRPr="004511C8">
        <w:rPr>
          <w:rFonts w:ascii="Arial" w:hAnsi="Arial" w:cs="Arial"/>
          <w:sz w:val="22"/>
          <w:szCs w:val="22"/>
        </w:rPr>
        <w:t>.</w:t>
      </w:r>
    </w:p>
    <w:p w14:paraId="0C9CF887" w14:textId="77777777" w:rsidR="00DD28A5" w:rsidRPr="004511C8" w:rsidRDefault="00DD28A5" w:rsidP="005F4984">
      <w:pPr>
        <w:rPr>
          <w:rFonts w:ascii="Arial" w:hAnsi="Arial" w:cs="Arial"/>
          <w:sz w:val="22"/>
          <w:szCs w:val="22"/>
        </w:rPr>
      </w:pPr>
    </w:p>
    <w:p w14:paraId="7CF6FAC0" w14:textId="4D3B8BDE" w:rsidR="00DD28A5" w:rsidRPr="004511C8" w:rsidRDefault="00DD28A5" w:rsidP="005F4984">
      <w:pPr>
        <w:pStyle w:val="Heading3"/>
        <w:rPr>
          <w:rFonts w:ascii="Arial" w:hAnsi="Arial" w:cs="Arial"/>
          <w:b/>
          <w:bCs/>
          <w:color w:val="000000" w:themeColor="text1"/>
          <w:sz w:val="22"/>
          <w:szCs w:val="22"/>
        </w:rPr>
      </w:pPr>
      <w:bookmarkStart w:id="43" w:name="_Toc229082800"/>
      <w:r w:rsidRPr="004511C8">
        <w:rPr>
          <w:rFonts w:ascii="Arial" w:hAnsi="Arial" w:cs="Arial"/>
          <w:b/>
          <w:bCs/>
          <w:color w:val="000000" w:themeColor="text1"/>
          <w:sz w:val="22"/>
          <w:szCs w:val="22"/>
        </w:rPr>
        <w:lastRenderedPageBreak/>
        <w:t xml:space="preserve">Theme 4: Treatment Failure </w:t>
      </w:r>
      <w:r w:rsidR="007D60CE" w:rsidRPr="004511C8">
        <w:rPr>
          <w:rFonts w:ascii="Arial" w:hAnsi="Arial" w:cs="Arial"/>
          <w:b/>
          <w:bCs/>
          <w:color w:val="000000" w:themeColor="text1"/>
          <w:sz w:val="22"/>
          <w:szCs w:val="22"/>
        </w:rPr>
        <w:t>and</w:t>
      </w:r>
      <w:r w:rsidRPr="004511C8">
        <w:rPr>
          <w:rFonts w:ascii="Arial" w:hAnsi="Arial" w:cs="Arial"/>
          <w:b/>
          <w:bCs/>
          <w:color w:val="000000" w:themeColor="text1"/>
          <w:sz w:val="22"/>
          <w:szCs w:val="22"/>
        </w:rPr>
        <w:t xml:space="preserve"> Reduced Effectiveness </w:t>
      </w:r>
      <w:r w:rsidR="007D60CE" w:rsidRPr="004511C8">
        <w:rPr>
          <w:rFonts w:ascii="Arial" w:hAnsi="Arial" w:cs="Arial"/>
          <w:b/>
          <w:bCs/>
          <w:color w:val="000000" w:themeColor="text1"/>
          <w:sz w:val="22"/>
          <w:szCs w:val="22"/>
        </w:rPr>
        <w:t>o</w:t>
      </w:r>
      <w:r w:rsidRPr="004511C8">
        <w:rPr>
          <w:rFonts w:ascii="Arial" w:hAnsi="Arial" w:cs="Arial"/>
          <w:b/>
          <w:bCs/>
          <w:color w:val="000000" w:themeColor="text1"/>
          <w:sz w:val="22"/>
          <w:szCs w:val="22"/>
        </w:rPr>
        <w:t>f Antibiotics</w:t>
      </w:r>
      <w:bookmarkEnd w:id="43"/>
    </w:p>
    <w:p w14:paraId="29FEA24B" w14:textId="6FFDF2B6" w:rsidR="00DD28A5" w:rsidRPr="004511C8" w:rsidRDefault="00153DF7" w:rsidP="005F4984">
      <w:pPr>
        <w:rPr>
          <w:rFonts w:ascii="Arial" w:hAnsi="Arial" w:cs="Arial"/>
          <w:sz w:val="22"/>
          <w:szCs w:val="22"/>
        </w:rPr>
      </w:pPr>
      <w:r w:rsidRPr="004511C8">
        <w:rPr>
          <w:rFonts w:ascii="Arial" w:hAnsi="Arial" w:cs="Arial"/>
          <w:sz w:val="22"/>
          <w:szCs w:val="22"/>
        </w:rPr>
        <w:t xml:space="preserve">Another </w:t>
      </w:r>
      <w:r w:rsidR="00DD28A5" w:rsidRPr="004511C8">
        <w:rPr>
          <w:rFonts w:ascii="Arial" w:hAnsi="Arial" w:cs="Arial"/>
          <w:sz w:val="22"/>
          <w:szCs w:val="22"/>
        </w:rPr>
        <w:t>good theme is the presence of treatment failure, the decreasing efficacy of the antibiotics that were previously used in the treatment of gonorrhoea</w:t>
      </w:r>
      <w:r w:rsidRPr="004511C8">
        <w:rPr>
          <w:rFonts w:ascii="Arial" w:hAnsi="Arial" w:cs="Arial"/>
          <w:sz w:val="22"/>
          <w:szCs w:val="22"/>
        </w:rPr>
        <w:t xml:space="preserve"> (Allan-Blitz, Fifer and Klausner, 2024; </w:t>
      </w:r>
      <w:proofErr w:type="spellStart"/>
      <w:r w:rsidRPr="004511C8">
        <w:rPr>
          <w:rFonts w:ascii="Arial" w:hAnsi="Arial" w:cs="Arial"/>
          <w:sz w:val="22"/>
          <w:szCs w:val="22"/>
        </w:rPr>
        <w:t>Raccagni</w:t>
      </w:r>
      <w:proofErr w:type="spellEnd"/>
      <w:r w:rsidRPr="004511C8">
        <w:rPr>
          <w:rFonts w:ascii="Arial" w:hAnsi="Arial" w:cs="Arial"/>
          <w:sz w:val="22"/>
          <w:szCs w:val="22"/>
        </w:rPr>
        <w:t xml:space="preserve"> et al.</w:t>
      </w:r>
      <w:r w:rsidR="007D60CE" w:rsidRPr="004511C8">
        <w:rPr>
          <w:rFonts w:ascii="Arial" w:hAnsi="Arial" w:cs="Arial"/>
          <w:sz w:val="22"/>
          <w:szCs w:val="22"/>
        </w:rPr>
        <w:t xml:space="preserve"> </w:t>
      </w:r>
      <w:r w:rsidRPr="004511C8">
        <w:rPr>
          <w:rFonts w:ascii="Arial" w:hAnsi="Arial" w:cs="Arial"/>
          <w:sz w:val="22"/>
          <w:szCs w:val="22"/>
        </w:rPr>
        <w:t>2023)</w:t>
      </w:r>
      <w:r w:rsidR="00DD28A5" w:rsidRPr="004511C8">
        <w:rPr>
          <w:rFonts w:ascii="Arial" w:hAnsi="Arial" w:cs="Arial"/>
          <w:sz w:val="22"/>
          <w:szCs w:val="22"/>
        </w:rPr>
        <w:t xml:space="preserve">. This is of particular importance, as treatment failure converts a laboratory discovery into a clinical issue. When resistance results in a failed treatment, it is not only a concern of microbiological surveillance but also </w:t>
      </w:r>
      <w:r w:rsidR="007D60CE" w:rsidRPr="004511C8">
        <w:rPr>
          <w:rFonts w:ascii="Arial" w:hAnsi="Arial" w:cs="Arial"/>
          <w:sz w:val="22"/>
          <w:szCs w:val="22"/>
        </w:rPr>
        <w:t>constant</w:t>
      </w:r>
      <w:r w:rsidR="00DD28A5" w:rsidRPr="004511C8">
        <w:rPr>
          <w:rFonts w:ascii="Arial" w:hAnsi="Arial" w:cs="Arial"/>
          <w:sz w:val="22"/>
          <w:szCs w:val="22"/>
        </w:rPr>
        <w:t xml:space="preserve"> infectivity, recurrent use of services, exposure of partners and loss of trust in conventional treatments (Ison et al. 2011; Eyre et al. 2018).</w:t>
      </w:r>
    </w:p>
    <w:p w14:paraId="28A4EB8B" w14:textId="2DDC2CB2" w:rsidR="00DD28A5" w:rsidRPr="004511C8" w:rsidRDefault="00DD28A5" w:rsidP="005F4984">
      <w:pPr>
        <w:rPr>
          <w:rFonts w:ascii="Arial" w:hAnsi="Arial" w:cs="Arial"/>
          <w:sz w:val="22"/>
          <w:szCs w:val="22"/>
        </w:rPr>
      </w:pPr>
      <w:r w:rsidRPr="004511C8">
        <w:rPr>
          <w:rFonts w:ascii="Arial" w:hAnsi="Arial" w:cs="Arial"/>
          <w:sz w:val="22"/>
          <w:szCs w:val="22"/>
        </w:rPr>
        <w:t>Ison et al. (2011) revolve around this theme. Direct evidence of the clinical impact of reduced susceptibility was provided by their report of gonorrhoea treatment failures to cefixime and azithromycin in England</w:t>
      </w:r>
      <w:r w:rsidR="00153DF7" w:rsidRPr="004511C8">
        <w:rPr>
          <w:rFonts w:ascii="Arial" w:hAnsi="Arial" w:cs="Arial"/>
          <w:sz w:val="22"/>
          <w:szCs w:val="22"/>
        </w:rPr>
        <w:t xml:space="preserve"> (Harding-Esch et al.</w:t>
      </w:r>
      <w:r w:rsidR="007D60CE" w:rsidRPr="004511C8">
        <w:rPr>
          <w:rFonts w:ascii="Arial" w:hAnsi="Arial" w:cs="Arial"/>
          <w:sz w:val="22"/>
          <w:szCs w:val="22"/>
        </w:rPr>
        <w:t xml:space="preserve"> </w:t>
      </w:r>
      <w:r w:rsidR="00153DF7" w:rsidRPr="004511C8">
        <w:rPr>
          <w:rFonts w:ascii="Arial" w:hAnsi="Arial" w:cs="Arial"/>
          <w:sz w:val="22"/>
          <w:szCs w:val="22"/>
        </w:rPr>
        <w:t>2020)</w:t>
      </w:r>
      <w:r w:rsidRPr="004511C8">
        <w:rPr>
          <w:rFonts w:ascii="Arial" w:hAnsi="Arial" w:cs="Arial"/>
          <w:sz w:val="22"/>
          <w:szCs w:val="22"/>
        </w:rPr>
        <w:t xml:space="preserve">. This was a significant change in the UK literature as it demonstrated that resistance could </w:t>
      </w:r>
      <w:r w:rsidR="00153DF7" w:rsidRPr="004511C8">
        <w:rPr>
          <w:rFonts w:ascii="Arial" w:hAnsi="Arial" w:cs="Arial"/>
          <w:sz w:val="22"/>
          <w:szCs w:val="22"/>
        </w:rPr>
        <w:t>not only be</w:t>
      </w:r>
      <w:r w:rsidRPr="004511C8">
        <w:rPr>
          <w:rFonts w:ascii="Arial" w:hAnsi="Arial" w:cs="Arial"/>
          <w:sz w:val="22"/>
          <w:szCs w:val="22"/>
        </w:rPr>
        <w:t xml:space="preserve"> evident in laboratory profiles but </w:t>
      </w:r>
      <w:r w:rsidR="00153DF7" w:rsidRPr="004511C8">
        <w:rPr>
          <w:rFonts w:ascii="Arial" w:hAnsi="Arial" w:cs="Arial"/>
          <w:sz w:val="22"/>
          <w:szCs w:val="22"/>
        </w:rPr>
        <w:t>could also</w:t>
      </w:r>
      <w:r w:rsidRPr="004511C8">
        <w:rPr>
          <w:rFonts w:ascii="Arial" w:hAnsi="Arial" w:cs="Arial"/>
          <w:sz w:val="22"/>
          <w:szCs w:val="22"/>
        </w:rPr>
        <w:t xml:space="preserve"> compromise treatment outcomes in practice as well. Concern was then increased when Eyre et al. (2018) reported the failure to treat a case of one with a combination of ceftriaxone resistance and high-level azithromycin resistance. This research was of special relevance as ceftriaxone is among the most valuable remaining interventions </w:t>
      </w:r>
      <w:r w:rsidR="007D60CE" w:rsidRPr="004511C8">
        <w:rPr>
          <w:rFonts w:ascii="Arial" w:hAnsi="Arial" w:cs="Arial"/>
          <w:sz w:val="22"/>
          <w:szCs w:val="22"/>
        </w:rPr>
        <w:t>for</w:t>
      </w:r>
      <w:r w:rsidRPr="004511C8">
        <w:rPr>
          <w:rFonts w:ascii="Arial" w:hAnsi="Arial" w:cs="Arial"/>
          <w:sz w:val="22"/>
          <w:szCs w:val="22"/>
        </w:rPr>
        <w:t xml:space="preserve"> </w:t>
      </w:r>
      <w:r w:rsidR="00153DF7" w:rsidRPr="004511C8">
        <w:rPr>
          <w:rFonts w:ascii="Arial" w:hAnsi="Arial" w:cs="Arial"/>
          <w:sz w:val="22"/>
          <w:szCs w:val="22"/>
        </w:rPr>
        <w:t>gonorrhoea</w:t>
      </w:r>
      <w:r w:rsidRPr="004511C8">
        <w:rPr>
          <w:rFonts w:ascii="Arial" w:hAnsi="Arial" w:cs="Arial"/>
          <w:sz w:val="22"/>
          <w:szCs w:val="22"/>
        </w:rPr>
        <w:t>.</w:t>
      </w:r>
    </w:p>
    <w:p w14:paraId="59ECF43C" w14:textId="40787F4F" w:rsidR="00DD28A5" w:rsidRPr="004511C8" w:rsidRDefault="00DD28A5" w:rsidP="005F4984">
      <w:pPr>
        <w:rPr>
          <w:rFonts w:ascii="Arial" w:hAnsi="Arial" w:cs="Arial"/>
          <w:sz w:val="22"/>
          <w:szCs w:val="22"/>
        </w:rPr>
      </w:pPr>
      <w:r w:rsidRPr="004511C8">
        <w:rPr>
          <w:rFonts w:ascii="Arial" w:hAnsi="Arial" w:cs="Arial"/>
          <w:sz w:val="22"/>
          <w:szCs w:val="22"/>
        </w:rPr>
        <w:t xml:space="preserve">Day et al. (2022) build on this theme by reporting several cases of ceftriaxone resistance in a brief time span in the United Kingdom. </w:t>
      </w:r>
      <w:r w:rsidR="007D60CE" w:rsidRPr="004511C8">
        <w:rPr>
          <w:rFonts w:ascii="Arial" w:hAnsi="Arial" w:cs="Arial"/>
          <w:sz w:val="22"/>
          <w:szCs w:val="22"/>
        </w:rPr>
        <w:t>Even though</w:t>
      </w:r>
      <w:r w:rsidRPr="004511C8">
        <w:rPr>
          <w:rFonts w:ascii="Arial" w:hAnsi="Arial" w:cs="Arial"/>
          <w:sz w:val="22"/>
          <w:szCs w:val="22"/>
        </w:rPr>
        <w:t xml:space="preserve"> not all resistant cases inevitably induce confirmed treatment failure, the occurrence of such resistance greatly enhances the chances that treatment pathways will become less dependable. This concern is also supported by the recent surveillance report by the UK Health Security Agency (2025), which underlines constant monitoring of the vulnerability to key agents.</w:t>
      </w:r>
    </w:p>
    <w:p w14:paraId="7262793C" w14:textId="4E8D4D7B" w:rsidR="00DD28A5" w:rsidRPr="004511C8" w:rsidRDefault="00DD28A5" w:rsidP="005F4984">
      <w:pPr>
        <w:rPr>
          <w:rFonts w:ascii="Arial" w:hAnsi="Arial" w:cs="Arial"/>
          <w:sz w:val="22"/>
          <w:szCs w:val="22"/>
        </w:rPr>
      </w:pPr>
      <w:r w:rsidRPr="004511C8">
        <w:rPr>
          <w:rFonts w:ascii="Arial" w:hAnsi="Arial" w:cs="Arial"/>
          <w:sz w:val="22"/>
          <w:szCs w:val="22"/>
        </w:rPr>
        <w:t xml:space="preserve">Fifer et al. (2019) demonstrate that treatment guidance </w:t>
      </w:r>
      <w:r w:rsidR="007D60CE" w:rsidRPr="004511C8">
        <w:rPr>
          <w:rFonts w:ascii="Arial" w:hAnsi="Arial" w:cs="Arial"/>
          <w:sz w:val="22"/>
          <w:szCs w:val="22"/>
        </w:rPr>
        <w:t xml:space="preserve">is </w:t>
      </w:r>
      <w:r w:rsidRPr="004511C8">
        <w:rPr>
          <w:rFonts w:ascii="Arial" w:hAnsi="Arial" w:cs="Arial"/>
          <w:sz w:val="22"/>
          <w:szCs w:val="22"/>
        </w:rPr>
        <w:t xml:space="preserve">needed to react to this changing landscape of resistance. Their national guideline states that clinical management </w:t>
      </w:r>
      <w:r w:rsidR="007D60CE" w:rsidRPr="004511C8">
        <w:rPr>
          <w:rFonts w:ascii="Arial" w:hAnsi="Arial" w:cs="Arial"/>
          <w:sz w:val="22"/>
          <w:szCs w:val="22"/>
        </w:rPr>
        <w:t>must</w:t>
      </w:r>
      <w:r w:rsidRPr="004511C8">
        <w:rPr>
          <w:rFonts w:ascii="Arial" w:hAnsi="Arial" w:cs="Arial"/>
          <w:sz w:val="22"/>
          <w:szCs w:val="22"/>
        </w:rPr>
        <w:t xml:space="preserve"> be well-integrated with the current resistance evidence, implying that treatment guidance is becoming </w:t>
      </w:r>
      <w:r w:rsidR="003417A7" w:rsidRPr="004511C8">
        <w:rPr>
          <w:rFonts w:ascii="Arial" w:hAnsi="Arial" w:cs="Arial"/>
          <w:sz w:val="22"/>
          <w:szCs w:val="22"/>
        </w:rPr>
        <w:t>increasingly</w:t>
      </w:r>
      <w:r w:rsidRPr="004511C8">
        <w:rPr>
          <w:rFonts w:ascii="Arial" w:hAnsi="Arial" w:cs="Arial"/>
          <w:sz w:val="22"/>
          <w:szCs w:val="22"/>
        </w:rPr>
        <w:t xml:space="preserve"> </w:t>
      </w:r>
      <w:proofErr w:type="gramStart"/>
      <w:r w:rsidR="003417A7" w:rsidRPr="004511C8">
        <w:rPr>
          <w:rFonts w:ascii="Arial" w:hAnsi="Arial" w:cs="Arial"/>
          <w:sz w:val="22"/>
          <w:szCs w:val="22"/>
        </w:rPr>
        <w:t>surveillance-based</w:t>
      </w:r>
      <w:proofErr w:type="gramEnd"/>
      <w:r w:rsidRPr="004511C8">
        <w:rPr>
          <w:rFonts w:ascii="Arial" w:hAnsi="Arial" w:cs="Arial"/>
          <w:sz w:val="22"/>
          <w:szCs w:val="22"/>
        </w:rPr>
        <w:t xml:space="preserve">. This is significant in the sense that </w:t>
      </w:r>
      <w:r w:rsidR="003417A7" w:rsidRPr="004511C8">
        <w:rPr>
          <w:rFonts w:ascii="Arial" w:hAnsi="Arial" w:cs="Arial"/>
          <w:sz w:val="22"/>
          <w:szCs w:val="22"/>
        </w:rPr>
        <w:t>it</w:t>
      </w:r>
      <w:r w:rsidRPr="004511C8">
        <w:rPr>
          <w:rFonts w:ascii="Arial" w:hAnsi="Arial" w:cs="Arial"/>
          <w:sz w:val="22"/>
          <w:szCs w:val="22"/>
        </w:rPr>
        <w:t xml:space="preserve"> proves that failure of treatment does not just affect individual patients</w:t>
      </w:r>
      <w:r w:rsidR="003417A7" w:rsidRPr="004511C8">
        <w:rPr>
          <w:rFonts w:ascii="Arial" w:hAnsi="Arial" w:cs="Arial"/>
          <w:sz w:val="22"/>
          <w:szCs w:val="22"/>
        </w:rPr>
        <w:t>,</w:t>
      </w:r>
      <w:r w:rsidRPr="004511C8">
        <w:rPr>
          <w:rFonts w:ascii="Arial" w:hAnsi="Arial" w:cs="Arial"/>
          <w:sz w:val="22"/>
          <w:szCs w:val="22"/>
        </w:rPr>
        <w:t xml:space="preserve"> </w:t>
      </w:r>
      <w:r w:rsidR="003417A7" w:rsidRPr="004511C8">
        <w:rPr>
          <w:rFonts w:ascii="Arial" w:hAnsi="Arial" w:cs="Arial"/>
          <w:sz w:val="22"/>
          <w:szCs w:val="22"/>
        </w:rPr>
        <w:t xml:space="preserve">but </w:t>
      </w:r>
      <w:r w:rsidRPr="004511C8">
        <w:rPr>
          <w:rFonts w:ascii="Arial" w:hAnsi="Arial" w:cs="Arial"/>
          <w:sz w:val="22"/>
          <w:szCs w:val="22"/>
        </w:rPr>
        <w:t xml:space="preserve">it </w:t>
      </w:r>
      <w:r w:rsidR="003417A7" w:rsidRPr="004511C8">
        <w:rPr>
          <w:rFonts w:ascii="Arial" w:hAnsi="Arial" w:cs="Arial"/>
          <w:sz w:val="22"/>
          <w:szCs w:val="22"/>
        </w:rPr>
        <w:t xml:space="preserve">also </w:t>
      </w:r>
      <w:r w:rsidRPr="004511C8">
        <w:rPr>
          <w:rFonts w:ascii="Arial" w:hAnsi="Arial" w:cs="Arial"/>
          <w:sz w:val="22"/>
          <w:szCs w:val="22"/>
        </w:rPr>
        <w:t>influences the practice in the country</w:t>
      </w:r>
      <w:r w:rsidR="003417A7" w:rsidRPr="004511C8">
        <w:rPr>
          <w:rFonts w:ascii="Arial" w:hAnsi="Arial" w:cs="Arial"/>
          <w:sz w:val="22"/>
          <w:szCs w:val="22"/>
        </w:rPr>
        <w:t xml:space="preserve"> (</w:t>
      </w:r>
      <w:r w:rsidR="003417A7" w:rsidRPr="004511C8">
        <w:rPr>
          <w:rFonts w:ascii="Arial" w:hAnsi="Arial" w:cs="Arial"/>
          <w:sz w:val="22"/>
          <w:szCs w:val="22"/>
        </w:rPr>
        <w:t xml:space="preserve">Fifer et al. 2019) </w:t>
      </w:r>
    </w:p>
    <w:p w14:paraId="46D1F206" w14:textId="65997B54" w:rsidR="00DD28A5" w:rsidRPr="004511C8" w:rsidRDefault="00DD28A5" w:rsidP="005F4984">
      <w:pPr>
        <w:rPr>
          <w:rFonts w:ascii="Arial" w:hAnsi="Arial" w:cs="Arial"/>
          <w:sz w:val="22"/>
          <w:szCs w:val="22"/>
        </w:rPr>
      </w:pPr>
      <w:r w:rsidRPr="004511C8">
        <w:rPr>
          <w:rFonts w:ascii="Arial" w:hAnsi="Arial" w:cs="Arial"/>
          <w:sz w:val="22"/>
          <w:szCs w:val="22"/>
        </w:rPr>
        <w:t xml:space="preserve">The health implications of this theme are important. The decrease in efficacy </w:t>
      </w:r>
      <w:r w:rsidR="003417A7" w:rsidRPr="004511C8">
        <w:rPr>
          <w:rFonts w:ascii="Arial" w:hAnsi="Arial" w:cs="Arial"/>
          <w:sz w:val="22"/>
          <w:szCs w:val="22"/>
        </w:rPr>
        <w:t xml:space="preserve">of antimicrobial </w:t>
      </w:r>
      <w:r w:rsidRPr="004511C8">
        <w:rPr>
          <w:rFonts w:ascii="Arial" w:hAnsi="Arial" w:cs="Arial"/>
          <w:sz w:val="22"/>
          <w:szCs w:val="22"/>
        </w:rPr>
        <w:t>elevates the chances of chronic infection and further spreading. It also introduces the potential of more complex follow-up, recurrent treatment and possible service load increments</w:t>
      </w:r>
      <w:r w:rsidR="003417A7" w:rsidRPr="004511C8">
        <w:rPr>
          <w:rFonts w:ascii="Arial" w:hAnsi="Arial" w:cs="Arial"/>
          <w:sz w:val="22"/>
          <w:szCs w:val="22"/>
        </w:rPr>
        <w:t xml:space="preserve"> (</w:t>
      </w:r>
      <w:r w:rsidR="003417A7" w:rsidRPr="004511C8">
        <w:rPr>
          <w:rFonts w:ascii="Arial" w:hAnsi="Arial" w:cs="Arial"/>
          <w:sz w:val="22"/>
          <w:szCs w:val="22"/>
        </w:rPr>
        <w:t>Fifer et al. 2019)</w:t>
      </w:r>
      <w:r w:rsidR="003417A7" w:rsidRPr="004511C8">
        <w:rPr>
          <w:rFonts w:ascii="Arial" w:hAnsi="Arial" w:cs="Arial"/>
          <w:sz w:val="22"/>
          <w:szCs w:val="22"/>
        </w:rPr>
        <w:t xml:space="preserve">. </w:t>
      </w:r>
      <w:r w:rsidRPr="004511C8">
        <w:rPr>
          <w:rFonts w:ascii="Arial" w:hAnsi="Arial" w:cs="Arial"/>
          <w:sz w:val="22"/>
          <w:szCs w:val="22"/>
        </w:rPr>
        <w:t>Generally, the literature reveals that one of the most crucial warning signs in the gonorrhoea literature in the UK is treatment failure</w:t>
      </w:r>
      <w:r w:rsidR="003417A7" w:rsidRPr="004511C8">
        <w:rPr>
          <w:rFonts w:ascii="Arial" w:hAnsi="Arial" w:cs="Arial"/>
          <w:sz w:val="22"/>
          <w:szCs w:val="22"/>
        </w:rPr>
        <w:t>,</w:t>
      </w:r>
      <w:r w:rsidRPr="004511C8">
        <w:rPr>
          <w:rFonts w:ascii="Arial" w:hAnsi="Arial" w:cs="Arial"/>
          <w:sz w:val="22"/>
          <w:szCs w:val="22"/>
        </w:rPr>
        <w:t xml:space="preserve"> since it illustrates the practical implications of AMR</w:t>
      </w:r>
      <w:r w:rsidR="003417A7" w:rsidRPr="004511C8">
        <w:rPr>
          <w:rFonts w:ascii="Arial" w:hAnsi="Arial" w:cs="Arial"/>
          <w:sz w:val="22"/>
          <w:szCs w:val="22"/>
        </w:rPr>
        <w:t xml:space="preserve"> (Security Agency, 2025). </w:t>
      </w:r>
      <w:r w:rsidR="003417A7" w:rsidRPr="004511C8">
        <w:rPr>
          <w:rFonts w:ascii="Arial" w:hAnsi="Arial" w:cs="Arial"/>
          <w:sz w:val="22"/>
          <w:szCs w:val="22"/>
        </w:rPr>
        <w:t xml:space="preserve"> </w:t>
      </w:r>
    </w:p>
    <w:p w14:paraId="7F3EBA80" w14:textId="77777777" w:rsidR="00DD28A5" w:rsidRPr="004511C8" w:rsidRDefault="00DD28A5" w:rsidP="005F4984">
      <w:pPr>
        <w:rPr>
          <w:rFonts w:ascii="Arial" w:hAnsi="Arial" w:cs="Arial"/>
          <w:sz w:val="22"/>
          <w:szCs w:val="22"/>
        </w:rPr>
      </w:pPr>
    </w:p>
    <w:p w14:paraId="2485B70A" w14:textId="609F8D89" w:rsidR="00DD28A5" w:rsidRPr="004511C8" w:rsidRDefault="00DD28A5" w:rsidP="005F4984">
      <w:pPr>
        <w:pStyle w:val="Heading3"/>
        <w:rPr>
          <w:rFonts w:ascii="Arial" w:hAnsi="Arial" w:cs="Arial"/>
          <w:b/>
          <w:bCs/>
          <w:color w:val="000000" w:themeColor="text1"/>
          <w:sz w:val="22"/>
          <w:szCs w:val="22"/>
        </w:rPr>
      </w:pPr>
      <w:bookmarkStart w:id="44" w:name="_Toc229082801"/>
      <w:r w:rsidRPr="004511C8">
        <w:rPr>
          <w:rFonts w:ascii="Arial" w:hAnsi="Arial" w:cs="Arial"/>
          <w:b/>
          <w:bCs/>
          <w:color w:val="000000" w:themeColor="text1"/>
          <w:sz w:val="22"/>
          <w:szCs w:val="22"/>
        </w:rPr>
        <w:t xml:space="preserve">Theme 5: Outbreak Persistence </w:t>
      </w:r>
      <w:r w:rsidR="003417A7" w:rsidRPr="004511C8">
        <w:rPr>
          <w:rFonts w:ascii="Arial" w:hAnsi="Arial" w:cs="Arial"/>
          <w:b/>
          <w:bCs/>
          <w:color w:val="000000" w:themeColor="text1"/>
          <w:sz w:val="22"/>
          <w:szCs w:val="22"/>
        </w:rPr>
        <w:t>and</w:t>
      </w:r>
      <w:r w:rsidRPr="004511C8">
        <w:rPr>
          <w:rFonts w:ascii="Arial" w:hAnsi="Arial" w:cs="Arial"/>
          <w:b/>
          <w:bCs/>
          <w:color w:val="000000" w:themeColor="text1"/>
          <w:sz w:val="22"/>
          <w:szCs w:val="22"/>
        </w:rPr>
        <w:t xml:space="preserve"> Transmission Networks</w:t>
      </w:r>
      <w:bookmarkEnd w:id="44"/>
    </w:p>
    <w:p w14:paraId="38CBBBE5" w14:textId="458E250D" w:rsidR="00DD28A5" w:rsidRPr="004511C8" w:rsidRDefault="00DD28A5" w:rsidP="005F4984">
      <w:pPr>
        <w:rPr>
          <w:rFonts w:ascii="Arial" w:hAnsi="Arial" w:cs="Arial"/>
          <w:sz w:val="22"/>
          <w:szCs w:val="22"/>
        </w:rPr>
      </w:pPr>
      <w:r w:rsidRPr="004511C8">
        <w:rPr>
          <w:rFonts w:ascii="Arial" w:hAnsi="Arial" w:cs="Arial"/>
          <w:sz w:val="22"/>
          <w:szCs w:val="22"/>
        </w:rPr>
        <w:t xml:space="preserve">The fifth common theme is the continuity of resistant outbreaks and the relevance of networks of transmission in maintaining gonococcal AMR. The literature does not portray the resistant gonorrhoea as an issue of isolated individuals. Rather, </w:t>
      </w:r>
      <w:r w:rsidR="003417A7" w:rsidRPr="004511C8">
        <w:rPr>
          <w:rFonts w:ascii="Arial" w:hAnsi="Arial" w:cs="Arial"/>
          <w:sz w:val="22"/>
          <w:szCs w:val="22"/>
        </w:rPr>
        <w:t>many</w:t>
      </w:r>
      <w:r w:rsidRPr="004511C8">
        <w:rPr>
          <w:rFonts w:ascii="Arial" w:hAnsi="Arial" w:cs="Arial"/>
          <w:sz w:val="22"/>
          <w:szCs w:val="22"/>
        </w:rPr>
        <w:t xml:space="preserve"> studies indicate that resistant strains may be maintained in sexual networks over time, posing localised and possibly broader transmission issues (Palmer, Leeming and Turner, 2001; </w:t>
      </w:r>
      <w:proofErr w:type="spellStart"/>
      <w:r w:rsidRPr="004511C8">
        <w:rPr>
          <w:rFonts w:ascii="Arial" w:hAnsi="Arial" w:cs="Arial"/>
          <w:sz w:val="22"/>
          <w:szCs w:val="22"/>
        </w:rPr>
        <w:t>Smolarchuk</w:t>
      </w:r>
      <w:proofErr w:type="spellEnd"/>
      <w:r w:rsidRPr="004511C8">
        <w:rPr>
          <w:rFonts w:ascii="Arial" w:hAnsi="Arial" w:cs="Arial"/>
          <w:sz w:val="22"/>
          <w:szCs w:val="22"/>
        </w:rPr>
        <w:t xml:space="preserve"> et al. 2018).</w:t>
      </w:r>
    </w:p>
    <w:p w14:paraId="7AF4220B" w14:textId="77777777" w:rsidR="00DD28A5" w:rsidRPr="004511C8" w:rsidRDefault="00DD28A5" w:rsidP="005F4984">
      <w:pPr>
        <w:rPr>
          <w:rFonts w:ascii="Arial" w:hAnsi="Arial" w:cs="Arial"/>
          <w:sz w:val="22"/>
          <w:szCs w:val="22"/>
        </w:rPr>
      </w:pPr>
      <w:r w:rsidRPr="004511C8">
        <w:rPr>
          <w:rFonts w:ascii="Arial" w:hAnsi="Arial" w:cs="Arial"/>
          <w:sz w:val="22"/>
          <w:szCs w:val="22"/>
        </w:rPr>
        <w:t xml:space="preserve">According to Palmer, Leeming and Turner (2001), there were early indications of ciprofloxacin-resistant gonorrhoea, which could be transmitted via interconnected networks in the UK. This work is valuable as it shows that even such initial issues as resistance were socially rooted and not an individual problem. </w:t>
      </w:r>
      <w:proofErr w:type="spellStart"/>
      <w:r w:rsidRPr="004511C8">
        <w:rPr>
          <w:rFonts w:ascii="Arial" w:hAnsi="Arial" w:cs="Arial"/>
          <w:sz w:val="22"/>
          <w:szCs w:val="22"/>
        </w:rPr>
        <w:t>Smolarchuk</w:t>
      </w:r>
      <w:proofErr w:type="spellEnd"/>
      <w:r w:rsidRPr="004511C8">
        <w:rPr>
          <w:rFonts w:ascii="Arial" w:hAnsi="Arial" w:cs="Arial"/>
          <w:sz w:val="22"/>
          <w:szCs w:val="22"/>
        </w:rPr>
        <w:t xml:space="preserve"> et al. (2018) perhaps present the best evidence of persistence of the outbreak by reporting a sustained outbreak of high-level azithromycin-resistant gonorrhoea in England between 2014 and 2018. This is relevant since it demonstrates that the strains that are resistant may be active within a span of many years, implying that resistance may be sustained within the current sexual networks unless detection and control are effective enough.</w:t>
      </w:r>
    </w:p>
    <w:p w14:paraId="02CB08BF" w14:textId="42E1AA98" w:rsidR="00DD28A5" w:rsidRPr="004511C8" w:rsidRDefault="00DD28A5" w:rsidP="005F4984">
      <w:pPr>
        <w:rPr>
          <w:rFonts w:ascii="Arial" w:hAnsi="Arial" w:cs="Arial"/>
          <w:sz w:val="22"/>
          <w:szCs w:val="22"/>
        </w:rPr>
      </w:pPr>
      <w:r w:rsidRPr="004511C8">
        <w:rPr>
          <w:rFonts w:ascii="Arial" w:hAnsi="Arial" w:cs="Arial"/>
          <w:sz w:val="22"/>
          <w:szCs w:val="22"/>
        </w:rPr>
        <w:t xml:space="preserve">Merrick et al. (2022) also add to this theme, as they outline that the response to antimicrobial-resistant gonorrhoea in England by the public health sector entailed coordinated outbreak investigation and communication between services and laboratories. According to their work, the continuing resistant transmission </w:t>
      </w:r>
      <w:r w:rsidR="003417A7" w:rsidRPr="004511C8">
        <w:rPr>
          <w:rFonts w:ascii="Arial" w:hAnsi="Arial" w:cs="Arial"/>
          <w:sz w:val="22"/>
          <w:szCs w:val="22"/>
        </w:rPr>
        <w:t>cannot</w:t>
      </w:r>
      <w:r w:rsidRPr="004511C8">
        <w:rPr>
          <w:rFonts w:ascii="Arial" w:hAnsi="Arial" w:cs="Arial"/>
          <w:sz w:val="22"/>
          <w:szCs w:val="22"/>
        </w:rPr>
        <w:t xml:space="preserve"> be controlled by </w:t>
      </w:r>
      <w:r w:rsidR="003417A7" w:rsidRPr="004511C8">
        <w:rPr>
          <w:rFonts w:ascii="Arial" w:hAnsi="Arial" w:cs="Arial"/>
          <w:sz w:val="22"/>
          <w:szCs w:val="22"/>
        </w:rPr>
        <w:t>individual-level</w:t>
      </w:r>
      <w:r w:rsidRPr="004511C8">
        <w:rPr>
          <w:rFonts w:ascii="Arial" w:hAnsi="Arial" w:cs="Arial"/>
          <w:sz w:val="22"/>
          <w:szCs w:val="22"/>
        </w:rPr>
        <w:t xml:space="preserve"> treatment only. It involves active monitoring, early notification and intervention by the public health. This has been strengthened by Day et al. (2022)</w:t>
      </w:r>
      <w:r w:rsidR="003417A7" w:rsidRPr="004511C8">
        <w:rPr>
          <w:rFonts w:ascii="Arial" w:hAnsi="Arial" w:cs="Arial"/>
          <w:sz w:val="22"/>
          <w:szCs w:val="22"/>
        </w:rPr>
        <w:t>,</w:t>
      </w:r>
      <w:r w:rsidRPr="004511C8">
        <w:rPr>
          <w:rFonts w:ascii="Arial" w:hAnsi="Arial" w:cs="Arial"/>
          <w:sz w:val="22"/>
          <w:szCs w:val="22"/>
        </w:rPr>
        <w:t xml:space="preserve"> who demonstrate that resistant gonorrhoea is still presenting in </w:t>
      </w:r>
      <w:r w:rsidR="002F482B" w:rsidRPr="004511C8">
        <w:rPr>
          <w:rFonts w:ascii="Arial" w:hAnsi="Arial" w:cs="Arial"/>
          <w:sz w:val="22"/>
          <w:szCs w:val="22"/>
        </w:rPr>
        <w:t>C</w:t>
      </w:r>
      <w:r w:rsidRPr="004511C8">
        <w:rPr>
          <w:rFonts w:ascii="Arial" w:hAnsi="Arial" w:cs="Arial"/>
          <w:sz w:val="22"/>
          <w:szCs w:val="22"/>
        </w:rPr>
        <w:t>lusters which need to be monitored urgently.</w:t>
      </w:r>
    </w:p>
    <w:p w14:paraId="421B2788" w14:textId="7C60D1CC" w:rsidR="00DD28A5" w:rsidRPr="004511C8" w:rsidRDefault="00DD28A5" w:rsidP="005F4984">
      <w:pPr>
        <w:rPr>
          <w:rFonts w:ascii="Arial" w:hAnsi="Arial" w:cs="Arial"/>
          <w:sz w:val="22"/>
          <w:szCs w:val="22"/>
        </w:rPr>
      </w:pPr>
      <w:r w:rsidRPr="004511C8">
        <w:rPr>
          <w:rFonts w:ascii="Arial" w:hAnsi="Arial" w:cs="Arial"/>
          <w:sz w:val="22"/>
          <w:szCs w:val="22"/>
        </w:rPr>
        <w:t xml:space="preserve">The local and national ramifications of this theme are enormous. Resistant outbreaks, at </w:t>
      </w:r>
      <w:r w:rsidR="00D61458" w:rsidRPr="004511C8">
        <w:rPr>
          <w:rFonts w:ascii="Arial" w:hAnsi="Arial" w:cs="Arial"/>
          <w:sz w:val="22"/>
          <w:szCs w:val="22"/>
        </w:rPr>
        <w:t xml:space="preserve">the </w:t>
      </w:r>
      <w:r w:rsidRPr="004511C8">
        <w:rPr>
          <w:rFonts w:ascii="Arial" w:hAnsi="Arial" w:cs="Arial"/>
          <w:sz w:val="22"/>
          <w:szCs w:val="22"/>
        </w:rPr>
        <w:t xml:space="preserve">local level, strain sexual health services, laboratory capacity and partner notification processes. National level AMR has </w:t>
      </w:r>
      <w:r w:rsidR="00D61458" w:rsidRPr="004511C8">
        <w:rPr>
          <w:rFonts w:ascii="Arial" w:hAnsi="Arial" w:cs="Arial"/>
          <w:sz w:val="22"/>
          <w:szCs w:val="22"/>
        </w:rPr>
        <w:t xml:space="preserve">been </w:t>
      </w:r>
      <w:r w:rsidRPr="004511C8">
        <w:rPr>
          <w:rFonts w:ascii="Arial" w:hAnsi="Arial" w:cs="Arial"/>
          <w:sz w:val="22"/>
          <w:szCs w:val="22"/>
        </w:rPr>
        <w:t xml:space="preserve">shown to be not only an imported or sporadic issue, but one that can become </w:t>
      </w:r>
      <w:r w:rsidR="00D61458" w:rsidRPr="004511C8">
        <w:rPr>
          <w:rFonts w:ascii="Arial" w:hAnsi="Arial" w:cs="Arial"/>
          <w:sz w:val="22"/>
          <w:szCs w:val="22"/>
        </w:rPr>
        <w:t>permanent</w:t>
      </w:r>
      <w:r w:rsidRPr="004511C8">
        <w:rPr>
          <w:rFonts w:ascii="Arial" w:hAnsi="Arial" w:cs="Arial"/>
          <w:sz w:val="22"/>
          <w:szCs w:val="22"/>
        </w:rPr>
        <w:t xml:space="preserve"> in the UK transmission networks. This makes the case of increased involvement of outbreak management in AMR strategy stronger</w:t>
      </w:r>
      <w:r w:rsidR="002F482B" w:rsidRPr="004511C8">
        <w:rPr>
          <w:rFonts w:ascii="Arial" w:hAnsi="Arial" w:cs="Arial"/>
          <w:sz w:val="22"/>
          <w:szCs w:val="22"/>
        </w:rPr>
        <w:t xml:space="preserve"> (Clusters et al. 2022). </w:t>
      </w:r>
    </w:p>
    <w:p w14:paraId="26C86354" w14:textId="77777777" w:rsidR="00DD28A5" w:rsidRPr="004511C8" w:rsidRDefault="00DD28A5" w:rsidP="005F4984">
      <w:pPr>
        <w:rPr>
          <w:rFonts w:ascii="Arial" w:hAnsi="Arial" w:cs="Arial"/>
          <w:sz w:val="22"/>
          <w:szCs w:val="22"/>
        </w:rPr>
      </w:pPr>
    </w:p>
    <w:p w14:paraId="70974C9A" w14:textId="7570286F" w:rsidR="00DD28A5" w:rsidRPr="004511C8" w:rsidRDefault="00DD28A5" w:rsidP="005F4984">
      <w:pPr>
        <w:pStyle w:val="Heading3"/>
        <w:rPr>
          <w:rFonts w:ascii="Arial" w:hAnsi="Arial" w:cs="Arial"/>
          <w:b/>
          <w:bCs/>
          <w:color w:val="000000" w:themeColor="text1"/>
          <w:sz w:val="22"/>
          <w:szCs w:val="22"/>
        </w:rPr>
      </w:pPr>
      <w:bookmarkStart w:id="45" w:name="_Toc229082802"/>
      <w:r w:rsidRPr="004511C8">
        <w:rPr>
          <w:rFonts w:ascii="Arial" w:hAnsi="Arial" w:cs="Arial"/>
          <w:b/>
          <w:bCs/>
          <w:color w:val="000000" w:themeColor="text1"/>
          <w:sz w:val="22"/>
          <w:szCs w:val="22"/>
        </w:rPr>
        <w:t xml:space="preserve">Theme 6: Implications For Young Adults </w:t>
      </w:r>
      <w:r w:rsidR="000B2270" w:rsidRPr="004511C8">
        <w:rPr>
          <w:rFonts w:ascii="Arial" w:hAnsi="Arial" w:cs="Arial"/>
          <w:b/>
          <w:bCs/>
          <w:color w:val="000000" w:themeColor="text1"/>
          <w:sz w:val="22"/>
          <w:szCs w:val="22"/>
        </w:rPr>
        <w:t>and</w:t>
      </w:r>
      <w:r w:rsidRPr="004511C8">
        <w:rPr>
          <w:rFonts w:ascii="Arial" w:hAnsi="Arial" w:cs="Arial"/>
          <w:b/>
          <w:bCs/>
          <w:color w:val="000000" w:themeColor="text1"/>
          <w:sz w:val="22"/>
          <w:szCs w:val="22"/>
        </w:rPr>
        <w:t xml:space="preserve"> Sexual Health Services</w:t>
      </w:r>
      <w:bookmarkEnd w:id="45"/>
    </w:p>
    <w:p w14:paraId="7762ADE6" w14:textId="754E4963" w:rsidR="00DD28A5" w:rsidRPr="004511C8" w:rsidRDefault="00DD28A5" w:rsidP="005F4984">
      <w:pPr>
        <w:rPr>
          <w:rFonts w:ascii="Arial" w:hAnsi="Arial" w:cs="Arial"/>
          <w:sz w:val="22"/>
          <w:szCs w:val="22"/>
        </w:rPr>
      </w:pPr>
      <w:r w:rsidRPr="004511C8">
        <w:rPr>
          <w:rFonts w:ascii="Arial" w:hAnsi="Arial" w:cs="Arial"/>
          <w:sz w:val="22"/>
          <w:szCs w:val="22"/>
        </w:rPr>
        <w:t xml:space="preserve">The last theme is how the evidence reviewed relates to the implications </w:t>
      </w:r>
      <w:r w:rsidR="000B2270" w:rsidRPr="004511C8">
        <w:rPr>
          <w:rFonts w:ascii="Arial" w:hAnsi="Arial" w:cs="Arial"/>
          <w:sz w:val="22"/>
          <w:szCs w:val="22"/>
        </w:rPr>
        <w:t>for</w:t>
      </w:r>
      <w:r w:rsidRPr="004511C8">
        <w:rPr>
          <w:rFonts w:ascii="Arial" w:hAnsi="Arial" w:cs="Arial"/>
          <w:sz w:val="22"/>
          <w:szCs w:val="22"/>
        </w:rPr>
        <w:t xml:space="preserve"> young adults and sexual health services, in general. Though the majority of the included studies did not primarily involve studies only covering the age group of 18 to 21, they are still very relevant to younger </w:t>
      </w:r>
      <w:r w:rsidRPr="004511C8">
        <w:rPr>
          <w:rFonts w:ascii="Arial" w:hAnsi="Arial" w:cs="Arial"/>
          <w:sz w:val="22"/>
          <w:szCs w:val="22"/>
        </w:rPr>
        <w:lastRenderedPageBreak/>
        <w:t>age groups since gonorrhoea is influenced by behavioural,</w:t>
      </w:r>
      <w:r w:rsidR="000B2270" w:rsidRPr="004511C8">
        <w:rPr>
          <w:rFonts w:ascii="Arial" w:hAnsi="Arial" w:cs="Arial"/>
          <w:sz w:val="22"/>
          <w:szCs w:val="22"/>
        </w:rPr>
        <w:t xml:space="preserve"> </w:t>
      </w:r>
      <w:r w:rsidRPr="004511C8">
        <w:rPr>
          <w:rFonts w:ascii="Arial" w:hAnsi="Arial" w:cs="Arial"/>
          <w:sz w:val="22"/>
          <w:szCs w:val="22"/>
        </w:rPr>
        <w:t>epidemiological, and service-related trends that tend to disproportionately impact younger adults (Delpech et al.</w:t>
      </w:r>
      <w:r w:rsidR="000B2270" w:rsidRPr="004511C8">
        <w:rPr>
          <w:rFonts w:ascii="Arial" w:hAnsi="Arial" w:cs="Arial"/>
          <w:sz w:val="22"/>
          <w:szCs w:val="22"/>
        </w:rPr>
        <w:t xml:space="preserve"> </w:t>
      </w:r>
      <w:r w:rsidRPr="004511C8">
        <w:rPr>
          <w:rFonts w:ascii="Arial" w:hAnsi="Arial" w:cs="Arial"/>
          <w:sz w:val="22"/>
          <w:szCs w:val="22"/>
        </w:rPr>
        <w:t xml:space="preserve">2009; UK Health Security Agency, 2024). The literature thus indicates that the importance of gonococcal AMR to young adults is both in the direct epidemiological importance and the </w:t>
      </w:r>
      <w:r w:rsidR="000B2270" w:rsidRPr="004511C8">
        <w:rPr>
          <w:rFonts w:ascii="Arial" w:hAnsi="Arial" w:cs="Arial"/>
          <w:sz w:val="22"/>
          <w:szCs w:val="22"/>
        </w:rPr>
        <w:t>consequences</w:t>
      </w:r>
      <w:r w:rsidRPr="004511C8">
        <w:rPr>
          <w:rFonts w:ascii="Arial" w:hAnsi="Arial" w:cs="Arial"/>
          <w:sz w:val="22"/>
          <w:szCs w:val="22"/>
        </w:rPr>
        <w:t xml:space="preserve"> of resistance on service delivery and prevention.</w:t>
      </w:r>
    </w:p>
    <w:p w14:paraId="1FB6376F" w14:textId="40B48E47" w:rsidR="00DD28A5" w:rsidRPr="004511C8" w:rsidRDefault="00DD28A5" w:rsidP="005F4984">
      <w:pPr>
        <w:rPr>
          <w:rFonts w:ascii="Arial" w:hAnsi="Arial" w:cs="Arial"/>
          <w:sz w:val="22"/>
          <w:szCs w:val="22"/>
        </w:rPr>
      </w:pPr>
      <w:r w:rsidRPr="004511C8">
        <w:rPr>
          <w:rFonts w:ascii="Arial" w:hAnsi="Arial" w:cs="Arial"/>
          <w:sz w:val="22"/>
          <w:szCs w:val="22"/>
        </w:rPr>
        <w:t xml:space="preserve">Both Delpech et al. (2009) and </w:t>
      </w:r>
      <w:proofErr w:type="gramStart"/>
      <w:r w:rsidRPr="004511C8">
        <w:rPr>
          <w:rFonts w:ascii="Arial" w:hAnsi="Arial" w:cs="Arial"/>
          <w:sz w:val="22"/>
          <w:szCs w:val="22"/>
        </w:rPr>
        <w:t>Whittles</w:t>
      </w:r>
      <w:proofErr w:type="gramEnd"/>
      <w:r w:rsidRPr="004511C8">
        <w:rPr>
          <w:rFonts w:ascii="Arial" w:hAnsi="Arial" w:cs="Arial"/>
          <w:sz w:val="22"/>
          <w:szCs w:val="22"/>
        </w:rPr>
        <w:t xml:space="preserve"> et al. (2018) indicate that gonorrhoea and resistant gonorrhoea are entrenched in the context of demographics and behaviour. This has definite implications </w:t>
      </w:r>
      <w:r w:rsidR="000B2270" w:rsidRPr="004511C8">
        <w:rPr>
          <w:rFonts w:ascii="Arial" w:hAnsi="Arial" w:cs="Arial"/>
          <w:sz w:val="22"/>
          <w:szCs w:val="22"/>
        </w:rPr>
        <w:t>for</w:t>
      </w:r>
      <w:r w:rsidRPr="004511C8">
        <w:rPr>
          <w:rFonts w:ascii="Arial" w:hAnsi="Arial" w:cs="Arial"/>
          <w:sz w:val="22"/>
          <w:szCs w:val="22"/>
        </w:rPr>
        <w:t xml:space="preserve"> younger adults, who tend to be </w:t>
      </w:r>
      <w:r w:rsidR="000B2270" w:rsidRPr="004511C8">
        <w:rPr>
          <w:rFonts w:ascii="Arial" w:hAnsi="Arial" w:cs="Arial"/>
          <w:sz w:val="22"/>
          <w:szCs w:val="22"/>
        </w:rPr>
        <w:t>at</w:t>
      </w:r>
      <w:r w:rsidRPr="004511C8">
        <w:rPr>
          <w:rFonts w:ascii="Arial" w:hAnsi="Arial" w:cs="Arial"/>
          <w:sz w:val="22"/>
          <w:szCs w:val="22"/>
        </w:rPr>
        <w:t xml:space="preserve"> the </w:t>
      </w:r>
      <w:r w:rsidR="009D510C" w:rsidRPr="004511C8">
        <w:rPr>
          <w:rFonts w:ascii="Arial" w:hAnsi="Arial" w:cs="Arial"/>
          <w:sz w:val="22"/>
          <w:szCs w:val="22"/>
        </w:rPr>
        <w:t>centre</w:t>
      </w:r>
      <w:r w:rsidRPr="004511C8">
        <w:rPr>
          <w:rFonts w:ascii="Arial" w:hAnsi="Arial" w:cs="Arial"/>
          <w:sz w:val="22"/>
          <w:szCs w:val="22"/>
        </w:rPr>
        <w:t xml:space="preserve"> stage of the STI epidemiology. Although the literature does not specifically focus on ages 18 to 21, it suggests that younger adults belong to the essential populations impacted by gonorrhoea transmission, testing behaviour and service use. Surveillance data by </w:t>
      </w:r>
      <w:r w:rsidR="000B2270" w:rsidRPr="004511C8">
        <w:rPr>
          <w:rFonts w:ascii="Arial" w:hAnsi="Arial" w:cs="Arial"/>
          <w:sz w:val="22"/>
          <w:szCs w:val="22"/>
        </w:rPr>
        <w:t xml:space="preserve">the </w:t>
      </w:r>
      <w:r w:rsidRPr="004511C8">
        <w:rPr>
          <w:rFonts w:ascii="Arial" w:hAnsi="Arial" w:cs="Arial"/>
          <w:sz w:val="22"/>
          <w:szCs w:val="22"/>
        </w:rPr>
        <w:t>UK Health Security Agency (2024) also indicate that gonorrhoea continues to be an issue of public health concern within younger populations in England.</w:t>
      </w:r>
    </w:p>
    <w:p w14:paraId="2C795FF0" w14:textId="15722EA5" w:rsidR="00DD28A5" w:rsidRPr="004511C8" w:rsidRDefault="00DD28A5" w:rsidP="005F4984">
      <w:pPr>
        <w:rPr>
          <w:rFonts w:ascii="Arial" w:hAnsi="Arial" w:cs="Arial"/>
          <w:sz w:val="22"/>
          <w:szCs w:val="22"/>
        </w:rPr>
      </w:pPr>
      <w:r w:rsidRPr="004511C8">
        <w:rPr>
          <w:rFonts w:ascii="Arial" w:hAnsi="Arial" w:cs="Arial"/>
          <w:sz w:val="22"/>
          <w:szCs w:val="22"/>
        </w:rPr>
        <w:t xml:space="preserve">Implications </w:t>
      </w:r>
      <w:r w:rsidR="000B2270" w:rsidRPr="004511C8">
        <w:rPr>
          <w:rFonts w:ascii="Arial" w:hAnsi="Arial" w:cs="Arial"/>
          <w:sz w:val="22"/>
          <w:szCs w:val="22"/>
        </w:rPr>
        <w:t>for</w:t>
      </w:r>
      <w:r w:rsidRPr="004511C8">
        <w:rPr>
          <w:rFonts w:ascii="Arial" w:hAnsi="Arial" w:cs="Arial"/>
          <w:sz w:val="22"/>
          <w:szCs w:val="22"/>
        </w:rPr>
        <w:t xml:space="preserve"> sexual health services are also mentioned in the literature. Fifer et al. (2019) demonstrate that clinical guidance </w:t>
      </w:r>
      <w:r w:rsidR="000B2270" w:rsidRPr="004511C8">
        <w:rPr>
          <w:rFonts w:ascii="Arial" w:hAnsi="Arial" w:cs="Arial"/>
          <w:sz w:val="22"/>
          <w:szCs w:val="22"/>
        </w:rPr>
        <w:t>must</w:t>
      </w:r>
      <w:r w:rsidRPr="004511C8">
        <w:rPr>
          <w:rFonts w:ascii="Arial" w:hAnsi="Arial" w:cs="Arial"/>
          <w:sz w:val="22"/>
          <w:szCs w:val="22"/>
        </w:rPr>
        <w:t xml:space="preserve"> develop along with the evidence of resistance</w:t>
      </w:r>
      <w:r w:rsidR="000B2270" w:rsidRPr="004511C8">
        <w:rPr>
          <w:rFonts w:ascii="Arial" w:hAnsi="Arial" w:cs="Arial"/>
          <w:sz w:val="22"/>
          <w:szCs w:val="22"/>
        </w:rPr>
        <w:t>,</w:t>
      </w:r>
      <w:r w:rsidRPr="004511C8">
        <w:rPr>
          <w:rFonts w:ascii="Arial" w:hAnsi="Arial" w:cs="Arial"/>
          <w:sz w:val="22"/>
          <w:szCs w:val="22"/>
        </w:rPr>
        <w:t xml:space="preserve"> that is, sexual health services should be responsive and </w:t>
      </w:r>
      <w:r w:rsidR="000B2270" w:rsidRPr="004511C8">
        <w:rPr>
          <w:rFonts w:ascii="Arial" w:hAnsi="Arial" w:cs="Arial"/>
          <w:sz w:val="22"/>
          <w:szCs w:val="22"/>
        </w:rPr>
        <w:t>up to date</w:t>
      </w:r>
      <w:r w:rsidRPr="004511C8">
        <w:rPr>
          <w:rFonts w:ascii="Arial" w:hAnsi="Arial" w:cs="Arial"/>
          <w:sz w:val="22"/>
          <w:szCs w:val="22"/>
        </w:rPr>
        <w:t xml:space="preserve">. Merrick et al. (2022) show that resistant gonorrhoea needs a concerted effort on the part of the public health, including not only laboratory and surveillance efforts but also inter-service communications. The necessity of continuous monitoring and early identification of new resistance is also highlighted by </w:t>
      </w:r>
      <w:r w:rsidR="000B2270" w:rsidRPr="004511C8">
        <w:rPr>
          <w:rFonts w:ascii="Arial" w:hAnsi="Arial" w:cs="Arial"/>
          <w:sz w:val="22"/>
          <w:szCs w:val="22"/>
        </w:rPr>
        <w:t xml:space="preserve">the </w:t>
      </w:r>
      <w:r w:rsidRPr="004511C8">
        <w:rPr>
          <w:rFonts w:ascii="Arial" w:hAnsi="Arial" w:cs="Arial"/>
          <w:sz w:val="22"/>
          <w:szCs w:val="22"/>
        </w:rPr>
        <w:t>UK Health Security Agency (2025).</w:t>
      </w:r>
    </w:p>
    <w:p w14:paraId="47624005" w14:textId="22065534" w:rsidR="00DD28A5" w:rsidRPr="004511C8" w:rsidRDefault="00DD28A5" w:rsidP="005F4984">
      <w:pPr>
        <w:rPr>
          <w:rFonts w:ascii="Arial" w:hAnsi="Arial" w:cs="Arial"/>
          <w:sz w:val="22"/>
          <w:szCs w:val="22"/>
        </w:rPr>
      </w:pPr>
      <w:r w:rsidRPr="004511C8">
        <w:rPr>
          <w:rFonts w:ascii="Arial" w:hAnsi="Arial" w:cs="Arial"/>
          <w:sz w:val="22"/>
          <w:szCs w:val="22"/>
        </w:rPr>
        <w:t xml:space="preserve">In the case of young adults, these implications may involve the necessity of more effective prevention messages, access to timely testing, proper follow-up and enhanced partner notification channels. Resistant gonorrhoea can be of </w:t>
      </w:r>
      <w:proofErr w:type="gramStart"/>
      <w:r w:rsidRPr="004511C8">
        <w:rPr>
          <w:rFonts w:ascii="Arial" w:hAnsi="Arial" w:cs="Arial"/>
          <w:sz w:val="22"/>
          <w:szCs w:val="22"/>
        </w:rPr>
        <w:t>particular relevance</w:t>
      </w:r>
      <w:proofErr w:type="gramEnd"/>
      <w:r w:rsidRPr="004511C8">
        <w:rPr>
          <w:rFonts w:ascii="Arial" w:hAnsi="Arial" w:cs="Arial"/>
          <w:sz w:val="22"/>
          <w:szCs w:val="22"/>
        </w:rPr>
        <w:t xml:space="preserve"> to younger groups where the risk perception, stigma or delayed care-seeking influence service </w:t>
      </w:r>
      <w:r w:rsidR="00C8220D" w:rsidRPr="004511C8">
        <w:rPr>
          <w:rFonts w:ascii="Arial" w:hAnsi="Arial" w:cs="Arial"/>
          <w:sz w:val="22"/>
          <w:szCs w:val="22"/>
        </w:rPr>
        <w:t>utilisation</w:t>
      </w:r>
      <w:r w:rsidR="009D510C" w:rsidRPr="004511C8">
        <w:rPr>
          <w:rFonts w:ascii="Arial" w:hAnsi="Arial" w:cs="Arial"/>
          <w:sz w:val="22"/>
          <w:szCs w:val="22"/>
        </w:rPr>
        <w:t xml:space="preserve"> (Talley, 2020; Yusuf, 2025)</w:t>
      </w:r>
      <w:r w:rsidRPr="004511C8">
        <w:rPr>
          <w:rFonts w:ascii="Arial" w:hAnsi="Arial" w:cs="Arial"/>
          <w:sz w:val="22"/>
          <w:szCs w:val="22"/>
        </w:rPr>
        <w:t xml:space="preserve">. Although the existing literature may not directly determine </w:t>
      </w:r>
      <w:r w:rsidR="00C8220D" w:rsidRPr="004511C8">
        <w:rPr>
          <w:rFonts w:ascii="Arial" w:hAnsi="Arial" w:cs="Arial"/>
          <w:sz w:val="22"/>
          <w:szCs w:val="22"/>
        </w:rPr>
        <w:t>all</w:t>
      </w:r>
      <w:r w:rsidRPr="004511C8">
        <w:rPr>
          <w:rFonts w:ascii="Arial" w:hAnsi="Arial" w:cs="Arial"/>
          <w:sz w:val="22"/>
          <w:szCs w:val="22"/>
        </w:rPr>
        <w:t xml:space="preserve"> these problems, it is highly indicative that sexual health services should be ready to address them.</w:t>
      </w:r>
    </w:p>
    <w:p w14:paraId="1F3EE4BF" w14:textId="5ECD219D" w:rsidR="00DD28A5" w:rsidRPr="004511C8" w:rsidRDefault="00DD28A5" w:rsidP="005F4984">
      <w:pPr>
        <w:rPr>
          <w:rFonts w:ascii="Arial" w:hAnsi="Arial" w:cs="Arial"/>
          <w:sz w:val="22"/>
          <w:szCs w:val="22"/>
        </w:rPr>
      </w:pPr>
      <w:r w:rsidRPr="004511C8">
        <w:rPr>
          <w:rFonts w:ascii="Arial" w:hAnsi="Arial" w:cs="Arial"/>
          <w:sz w:val="22"/>
          <w:szCs w:val="22"/>
        </w:rPr>
        <w:t>This theme thus unveils one of the key gaps in the evidence base: the literature is very robust on surveillance and microbiological detection, but less robust on practical exploration of how resistant gonorrhoea impacts younger adults. This indicates the value of the present review and indicates the necessity of future studies that would be age-specific and service-focused.</w:t>
      </w:r>
    </w:p>
    <w:p w14:paraId="4ADA4090" w14:textId="67FF77A4" w:rsidR="00DD28A5" w:rsidRPr="004511C8" w:rsidRDefault="00DD28A5" w:rsidP="005F4984">
      <w:pPr>
        <w:rPr>
          <w:rFonts w:ascii="Arial" w:hAnsi="Arial" w:cs="Arial"/>
          <w:sz w:val="22"/>
          <w:szCs w:val="22"/>
        </w:rPr>
      </w:pPr>
      <w:proofErr w:type="gramStart"/>
      <w:r w:rsidRPr="004511C8">
        <w:rPr>
          <w:rFonts w:ascii="Arial" w:hAnsi="Arial" w:cs="Arial"/>
          <w:sz w:val="22"/>
          <w:szCs w:val="22"/>
        </w:rPr>
        <w:t>On the whole</w:t>
      </w:r>
      <w:proofErr w:type="gramEnd"/>
      <w:r w:rsidRPr="004511C8">
        <w:rPr>
          <w:rFonts w:ascii="Arial" w:hAnsi="Arial" w:cs="Arial"/>
          <w:sz w:val="22"/>
          <w:szCs w:val="22"/>
        </w:rPr>
        <w:t xml:space="preserve">, the thematic synthesis shows that gonococcal antimicrobial resistance in the UK is a complex issue that is influenced by the evolution of history, surveillance systems, </w:t>
      </w:r>
      <w:r w:rsidR="009D510C" w:rsidRPr="004511C8">
        <w:rPr>
          <w:rFonts w:ascii="Arial" w:hAnsi="Arial" w:cs="Arial"/>
          <w:sz w:val="22"/>
          <w:szCs w:val="22"/>
        </w:rPr>
        <w:t>multidrug resistance</w:t>
      </w:r>
      <w:r w:rsidRPr="004511C8">
        <w:rPr>
          <w:rFonts w:ascii="Arial" w:hAnsi="Arial" w:cs="Arial"/>
          <w:sz w:val="22"/>
          <w:szCs w:val="22"/>
        </w:rPr>
        <w:t>, treatment failure, ongoing transmission networks</w:t>
      </w:r>
      <w:r w:rsidR="009D510C" w:rsidRPr="004511C8">
        <w:rPr>
          <w:rFonts w:ascii="Arial" w:hAnsi="Arial" w:cs="Arial"/>
          <w:sz w:val="22"/>
          <w:szCs w:val="22"/>
        </w:rPr>
        <w:t>,</w:t>
      </w:r>
      <w:r w:rsidRPr="004511C8">
        <w:rPr>
          <w:rFonts w:ascii="Arial" w:hAnsi="Arial" w:cs="Arial"/>
          <w:sz w:val="22"/>
          <w:szCs w:val="22"/>
        </w:rPr>
        <w:t xml:space="preserve"> and </w:t>
      </w:r>
      <w:r w:rsidR="00C8220D" w:rsidRPr="004511C8">
        <w:rPr>
          <w:rFonts w:ascii="Arial" w:hAnsi="Arial" w:cs="Arial"/>
          <w:sz w:val="22"/>
          <w:szCs w:val="22"/>
        </w:rPr>
        <w:t xml:space="preserve">the </w:t>
      </w:r>
      <w:r w:rsidRPr="004511C8">
        <w:rPr>
          <w:rFonts w:ascii="Arial" w:hAnsi="Arial" w:cs="Arial"/>
          <w:sz w:val="22"/>
          <w:szCs w:val="22"/>
        </w:rPr>
        <w:t xml:space="preserve">implication of sexual health services. These themes are interrelated and cumulatively demonstrate how </w:t>
      </w:r>
      <w:r w:rsidRPr="004511C8">
        <w:rPr>
          <w:rFonts w:ascii="Arial" w:hAnsi="Arial" w:cs="Arial"/>
          <w:sz w:val="22"/>
          <w:szCs w:val="22"/>
        </w:rPr>
        <w:lastRenderedPageBreak/>
        <w:t>resistant gonorrhoea is not a lab or prescribing problem in isolation, but a broader societal issue whose significance has been increasingly important to young demographics.</w:t>
      </w:r>
    </w:p>
    <w:p w14:paraId="3A0919E4" w14:textId="77777777" w:rsidR="00DD28A5" w:rsidRPr="004511C8" w:rsidRDefault="00DD28A5" w:rsidP="005F4984">
      <w:pPr>
        <w:rPr>
          <w:rFonts w:ascii="Arial" w:hAnsi="Arial" w:cs="Arial"/>
          <w:sz w:val="22"/>
          <w:szCs w:val="22"/>
        </w:rPr>
      </w:pPr>
    </w:p>
    <w:p w14:paraId="0A331B78" w14:textId="77777777" w:rsidR="00DD28A5" w:rsidRPr="004511C8" w:rsidRDefault="00DD28A5" w:rsidP="005F4984">
      <w:pPr>
        <w:pStyle w:val="Heading2"/>
        <w:rPr>
          <w:rFonts w:ascii="Arial" w:hAnsi="Arial" w:cs="Arial"/>
          <w:sz w:val="22"/>
          <w:szCs w:val="22"/>
        </w:rPr>
      </w:pPr>
      <w:bookmarkStart w:id="46" w:name="_Toc229082803"/>
      <w:r w:rsidRPr="004511C8">
        <w:rPr>
          <w:rFonts w:ascii="Arial" w:hAnsi="Arial" w:cs="Arial"/>
          <w:sz w:val="22"/>
          <w:szCs w:val="22"/>
        </w:rPr>
        <w:t>5.6 Chapter Summary</w:t>
      </w:r>
      <w:bookmarkEnd w:id="46"/>
    </w:p>
    <w:p w14:paraId="6615E082" w14:textId="748332FF" w:rsidR="00DD28A5" w:rsidRPr="004511C8" w:rsidRDefault="00DD28A5" w:rsidP="005F4984">
      <w:pPr>
        <w:rPr>
          <w:rFonts w:ascii="Arial" w:hAnsi="Arial" w:cs="Arial"/>
          <w:sz w:val="22"/>
          <w:szCs w:val="22"/>
        </w:rPr>
      </w:pPr>
      <w:r w:rsidRPr="004511C8">
        <w:rPr>
          <w:rFonts w:ascii="Arial" w:hAnsi="Arial" w:cs="Arial"/>
          <w:sz w:val="22"/>
          <w:szCs w:val="22"/>
        </w:rPr>
        <w:t xml:space="preserve">The chapter has summarised the contained research into six broad themes: evolution of antimicrobial resistance, surveillance and detection in the UK, emergence of multidrug-resistant strains, treatment failure and diminished antibiotic efficacy, outbreak persistence and transmission networks and implications towards the young adult and sexual health services. Broadly, the results indicate that gonococcal antimicrobial resistance in the UK is a complex and dynamic public health issue that is influenced by microbiological evolution, capacity to monitor and clinical impact. The following chapter provides a deeper interpretation of these findings by giving </w:t>
      </w:r>
      <w:r w:rsidR="009D510C" w:rsidRPr="004511C8">
        <w:rPr>
          <w:rFonts w:ascii="Arial" w:hAnsi="Arial" w:cs="Arial"/>
          <w:sz w:val="22"/>
          <w:szCs w:val="22"/>
        </w:rPr>
        <w:t xml:space="preserve">a </w:t>
      </w:r>
      <w:r w:rsidRPr="004511C8">
        <w:rPr>
          <w:rFonts w:ascii="Arial" w:hAnsi="Arial" w:cs="Arial"/>
          <w:sz w:val="22"/>
          <w:szCs w:val="22"/>
        </w:rPr>
        <w:t xml:space="preserve">discussion of the same in the context of broader literature, public health priorities and the </w:t>
      </w:r>
      <w:r w:rsidR="009D510C" w:rsidRPr="004511C8">
        <w:rPr>
          <w:rFonts w:ascii="Arial" w:hAnsi="Arial" w:cs="Arial"/>
          <w:sz w:val="22"/>
          <w:szCs w:val="22"/>
        </w:rPr>
        <w:t>implications</w:t>
      </w:r>
      <w:r w:rsidRPr="004511C8">
        <w:rPr>
          <w:rFonts w:ascii="Arial" w:hAnsi="Arial" w:cs="Arial"/>
          <w:sz w:val="22"/>
          <w:szCs w:val="22"/>
        </w:rPr>
        <w:t xml:space="preserve"> of the same on sexual health practice in the UK.</w:t>
      </w:r>
    </w:p>
    <w:p w14:paraId="0E00A0B1" w14:textId="77777777" w:rsidR="003F51B7" w:rsidRPr="004511C8" w:rsidRDefault="003F51B7" w:rsidP="005F4984">
      <w:pPr>
        <w:jc w:val="left"/>
        <w:rPr>
          <w:rFonts w:ascii="Arial" w:hAnsi="Arial" w:cs="Arial"/>
          <w:sz w:val="22"/>
          <w:szCs w:val="22"/>
        </w:rPr>
      </w:pPr>
      <w:r w:rsidRPr="004511C8">
        <w:rPr>
          <w:rFonts w:ascii="Arial" w:hAnsi="Arial" w:cs="Arial"/>
          <w:sz w:val="22"/>
          <w:szCs w:val="22"/>
        </w:rPr>
        <w:br w:type="page"/>
      </w:r>
    </w:p>
    <w:p w14:paraId="7052D8CE" w14:textId="2C0319C7" w:rsidR="00DD28A5" w:rsidRPr="004511C8" w:rsidRDefault="00DD28A5" w:rsidP="005F4984">
      <w:pPr>
        <w:pStyle w:val="Heading1"/>
        <w:rPr>
          <w:rFonts w:ascii="Arial" w:hAnsi="Arial" w:cs="Arial"/>
          <w:sz w:val="22"/>
          <w:szCs w:val="22"/>
        </w:rPr>
      </w:pPr>
      <w:bookmarkStart w:id="47" w:name="_Toc229082804"/>
      <w:r w:rsidRPr="004511C8">
        <w:rPr>
          <w:rFonts w:ascii="Arial" w:hAnsi="Arial" w:cs="Arial"/>
          <w:sz w:val="22"/>
          <w:szCs w:val="22"/>
        </w:rPr>
        <w:lastRenderedPageBreak/>
        <w:t>CHAPTER 6: DISCUSSION</w:t>
      </w:r>
      <w:bookmarkEnd w:id="47"/>
    </w:p>
    <w:p w14:paraId="20472FEA" w14:textId="77777777" w:rsidR="003F51B7" w:rsidRPr="004511C8" w:rsidRDefault="003F51B7" w:rsidP="005F4984">
      <w:pPr>
        <w:rPr>
          <w:rFonts w:ascii="Arial" w:hAnsi="Arial" w:cs="Arial"/>
          <w:sz w:val="22"/>
          <w:szCs w:val="22"/>
        </w:rPr>
      </w:pPr>
    </w:p>
    <w:p w14:paraId="35544129" w14:textId="49215F05" w:rsidR="00DD28A5" w:rsidRPr="004511C8" w:rsidRDefault="00DD28A5" w:rsidP="005F4984">
      <w:pPr>
        <w:pStyle w:val="Heading2"/>
        <w:rPr>
          <w:rFonts w:ascii="Arial" w:hAnsi="Arial" w:cs="Arial"/>
          <w:sz w:val="22"/>
          <w:szCs w:val="22"/>
        </w:rPr>
      </w:pPr>
      <w:bookmarkStart w:id="48" w:name="_Toc229082805"/>
      <w:r w:rsidRPr="004511C8">
        <w:rPr>
          <w:rFonts w:ascii="Arial" w:hAnsi="Arial" w:cs="Arial"/>
          <w:sz w:val="22"/>
          <w:szCs w:val="22"/>
        </w:rPr>
        <w:t>6.1 Introduction to Chapter</w:t>
      </w:r>
      <w:bookmarkEnd w:id="48"/>
    </w:p>
    <w:p w14:paraId="7C549224" w14:textId="088794FA" w:rsidR="00DD28A5" w:rsidRPr="004511C8" w:rsidRDefault="009D510C" w:rsidP="005F4984">
      <w:pPr>
        <w:rPr>
          <w:rFonts w:ascii="Arial" w:hAnsi="Arial" w:cs="Arial"/>
          <w:sz w:val="22"/>
          <w:szCs w:val="22"/>
        </w:rPr>
      </w:pPr>
      <w:r w:rsidRPr="004511C8">
        <w:rPr>
          <w:rFonts w:ascii="Arial" w:hAnsi="Arial" w:cs="Arial"/>
          <w:sz w:val="22"/>
          <w:szCs w:val="22"/>
        </w:rPr>
        <w:t>T</w:t>
      </w:r>
      <w:r w:rsidR="00DD28A5" w:rsidRPr="004511C8">
        <w:rPr>
          <w:rFonts w:ascii="Arial" w:hAnsi="Arial" w:cs="Arial"/>
          <w:sz w:val="22"/>
          <w:szCs w:val="22"/>
        </w:rPr>
        <w:t>his chapter</w:t>
      </w:r>
      <w:r w:rsidRPr="004511C8">
        <w:rPr>
          <w:rFonts w:ascii="Arial" w:hAnsi="Arial" w:cs="Arial"/>
          <w:sz w:val="22"/>
          <w:szCs w:val="22"/>
        </w:rPr>
        <w:t xml:space="preserve"> </w:t>
      </w:r>
      <w:r w:rsidR="00DD28A5" w:rsidRPr="004511C8">
        <w:rPr>
          <w:rFonts w:ascii="Arial" w:hAnsi="Arial" w:cs="Arial"/>
          <w:sz w:val="22"/>
          <w:szCs w:val="22"/>
        </w:rPr>
        <w:t>presents the main findings of the review</w:t>
      </w:r>
      <w:r w:rsidR="00D84441" w:rsidRPr="004511C8">
        <w:rPr>
          <w:rFonts w:ascii="Arial" w:hAnsi="Arial" w:cs="Arial"/>
          <w:sz w:val="22"/>
          <w:szCs w:val="22"/>
        </w:rPr>
        <w:t>, compares them with the broader literature, and discusses their</w:t>
      </w:r>
      <w:r w:rsidR="00DD28A5" w:rsidRPr="004511C8">
        <w:rPr>
          <w:rFonts w:ascii="Arial" w:hAnsi="Arial" w:cs="Arial"/>
          <w:sz w:val="22"/>
          <w:szCs w:val="22"/>
        </w:rPr>
        <w:t xml:space="preserve"> implications </w:t>
      </w:r>
      <w:r w:rsidRPr="004511C8">
        <w:rPr>
          <w:rFonts w:ascii="Arial" w:hAnsi="Arial" w:cs="Arial"/>
          <w:sz w:val="22"/>
          <w:szCs w:val="22"/>
        </w:rPr>
        <w:t>for</w:t>
      </w:r>
      <w:r w:rsidR="00DD28A5" w:rsidRPr="004511C8">
        <w:rPr>
          <w:rFonts w:ascii="Arial" w:hAnsi="Arial" w:cs="Arial"/>
          <w:sz w:val="22"/>
          <w:szCs w:val="22"/>
        </w:rPr>
        <w:t xml:space="preserve"> the practice of public health and sexual health in the United Kingdom. Although Chapter 5 has provided the themes that came out of studies that have been included, this chapter goes beyond describing them to give a meaning of those themes in the wider academic and practical context (Popay et al. 2006). The development of resistance, the significance of surveillance, multidrug-resistant strain development, treatment failure, and </w:t>
      </w:r>
      <w:r w:rsidRPr="004511C8">
        <w:rPr>
          <w:rFonts w:ascii="Arial" w:hAnsi="Arial" w:cs="Arial"/>
          <w:sz w:val="22"/>
          <w:szCs w:val="22"/>
        </w:rPr>
        <w:t xml:space="preserve">the </w:t>
      </w:r>
      <w:r w:rsidR="00DD28A5" w:rsidRPr="004511C8">
        <w:rPr>
          <w:rFonts w:ascii="Arial" w:hAnsi="Arial" w:cs="Arial"/>
          <w:sz w:val="22"/>
          <w:szCs w:val="22"/>
        </w:rPr>
        <w:t>applicability of findings to young adults are discussed. It also reflects on the implications of the findings on the UK public health priorities, service delivery</w:t>
      </w:r>
      <w:r w:rsidRPr="004511C8">
        <w:rPr>
          <w:rFonts w:ascii="Arial" w:hAnsi="Arial" w:cs="Arial"/>
          <w:sz w:val="22"/>
          <w:szCs w:val="22"/>
        </w:rPr>
        <w:t>,</w:t>
      </w:r>
      <w:r w:rsidR="00DD28A5" w:rsidRPr="004511C8">
        <w:rPr>
          <w:rFonts w:ascii="Arial" w:hAnsi="Arial" w:cs="Arial"/>
          <w:sz w:val="22"/>
          <w:szCs w:val="22"/>
        </w:rPr>
        <w:t xml:space="preserve"> and future research.</w:t>
      </w:r>
    </w:p>
    <w:p w14:paraId="53775D86" w14:textId="77777777" w:rsidR="00DD28A5" w:rsidRPr="004511C8" w:rsidRDefault="00DD28A5" w:rsidP="005F4984">
      <w:pPr>
        <w:rPr>
          <w:rFonts w:ascii="Arial" w:hAnsi="Arial" w:cs="Arial"/>
          <w:sz w:val="22"/>
          <w:szCs w:val="22"/>
        </w:rPr>
      </w:pPr>
    </w:p>
    <w:p w14:paraId="254BADA1" w14:textId="77777777" w:rsidR="00DD28A5" w:rsidRPr="004511C8" w:rsidRDefault="00DD28A5" w:rsidP="005F4984">
      <w:pPr>
        <w:pStyle w:val="Heading2"/>
        <w:rPr>
          <w:rFonts w:ascii="Arial" w:hAnsi="Arial" w:cs="Arial"/>
          <w:sz w:val="22"/>
          <w:szCs w:val="22"/>
        </w:rPr>
      </w:pPr>
      <w:bookmarkStart w:id="49" w:name="_Toc229082806"/>
      <w:r w:rsidRPr="004511C8">
        <w:rPr>
          <w:rFonts w:ascii="Arial" w:hAnsi="Arial" w:cs="Arial"/>
          <w:sz w:val="22"/>
          <w:szCs w:val="22"/>
        </w:rPr>
        <w:t>6.2 Discussion of Key Findings</w:t>
      </w:r>
      <w:bookmarkEnd w:id="49"/>
    </w:p>
    <w:p w14:paraId="6350CC0F" w14:textId="6D7F84B5" w:rsidR="00DD28A5" w:rsidRPr="004511C8" w:rsidRDefault="00DD28A5" w:rsidP="005F4984">
      <w:pPr>
        <w:rPr>
          <w:rFonts w:ascii="Arial" w:hAnsi="Arial" w:cs="Arial"/>
          <w:sz w:val="22"/>
          <w:szCs w:val="22"/>
        </w:rPr>
      </w:pPr>
      <w:r w:rsidRPr="004511C8">
        <w:rPr>
          <w:rFonts w:ascii="Arial" w:hAnsi="Arial" w:cs="Arial"/>
          <w:sz w:val="22"/>
          <w:szCs w:val="22"/>
        </w:rPr>
        <w:t>Among the key results of this review, it is important to point out that the concept of antimicrobial resistance in gonorrhoea is more of a developing process than a set of events. The studies reviewed all demonstrate that Neisseria gonorrhoeae has evolved over the years to resist older generations of antimicrobials, shifting to resistance to newer agents like cefixime, azithromycin and ceftriaxone (</w:t>
      </w:r>
      <w:proofErr w:type="spellStart"/>
      <w:r w:rsidRPr="004511C8">
        <w:rPr>
          <w:rFonts w:ascii="Arial" w:hAnsi="Arial" w:cs="Arial"/>
          <w:sz w:val="22"/>
          <w:szCs w:val="22"/>
        </w:rPr>
        <w:t>Unemo</w:t>
      </w:r>
      <w:proofErr w:type="spellEnd"/>
      <w:r w:rsidRPr="004511C8">
        <w:rPr>
          <w:rFonts w:ascii="Arial" w:hAnsi="Arial" w:cs="Arial"/>
          <w:sz w:val="22"/>
          <w:szCs w:val="22"/>
        </w:rPr>
        <w:t xml:space="preserve"> and Shafer, 2014; </w:t>
      </w:r>
      <w:proofErr w:type="spellStart"/>
      <w:r w:rsidRPr="004511C8">
        <w:rPr>
          <w:rFonts w:ascii="Arial" w:hAnsi="Arial" w:cs="Arial"/>
          <w:sz w:val="22"/>
          <w:szCs w:val="22"/>
        </w:rPr>
        <w:t>Aitolo</w:t>
      </w:r>
      <w:proofErr w:type="spellEnd"/>
      <w:r w:rsidRPr="004511C8">
        <w:rPr>
          <w:rFonts w:ascii="Arial" w:hAnsi="Arial" w:cs="Arial"/>
          <w:sz w:val="22"/>
          <w:szCs w:val="22"/>
        </w:rPr>
        <w:t xml:space="preserve"> et al.</w:t>
      </w:r>
      <w:r w:rsidR="00D84441" w:rsidRPr="004511C8">
        <w:rPr>
          <w:rFonts w:ascii="Arial" w:hAnsi="Arial" w:cs="Arial"/>
          <w:sz w:val="22"/>
          <w:szCs w:val="22"/>
        </w:rPr>
        <w:t xml:space="preserve"> </w:t>
      </w:r>
      <w:r w:rsidRPr="004511C8">
        <w:rPr>
          <w:rFonts w:ascii="Arial" w:hAnsi="Arial" w:cs="Arial"/>
          <w:sz w:val="22"/>
          <w:szCs w:val="22"/>
        </w:rPr>
        <w:t xml:space="preserve">2021). This attests to the point that gonococcal AMR is not merely a recent crisis, but the most recent phase in a years-long history of </w:t>
      </w:r>
      <w:r w:rsidR="00D84441" w:rsidRPr="004511C8">
        <w:rPr>
          <w:rFonts w:ascii="Arial" w:hAnsi="Arial" w:cs="Arial"/>
          <w:sz w:val="22"/>
          <w:szCs w:val="22"/>
        </w:rPr>
        <w:t>loss</w:t>
      </w:r>
      <w:r w:rsidRPr="004511C8">
        <w:rPr>
          <w:rFonts w:ascii="Arial" w:hAnsi="Arial" w:cs="Arial"/>
          <w:sz w:val="22"/>
          <w:szCs w:val="22"/>
        </w:rPr>
        <w:t xml:space="preserve"> in treatment. This is also evident in British literature</w:t>
      </w:r>
      <w:r w:rsidR="00D84441" w:rsidRPr="004511C8">
        <w:rPr>
          <w:rFonts w:ascii="Arial" w:hAnsi="Arial" w:cs="Arial"/>
          <w:sz w:val="22"/>
          <w:szCs w:val="22"/>
        </w:rPr>
        <w:t>,</w:t>
      </w:r>
      <w:r w:rsidRPr="004511C8">
        <w:rPr>
          <w:rFonts w:ascii="Arial" w:hAnsi="Arial" w:cs="Arial"/>
          <w:sz w:val="22"/>
          <w:szCs w:val="22"/>
        </w:rPr>
        <w:t xml:space="preserve"> as the trend in UK research like Palmer, Leeming and Turner (2001) and Chisholm et al. (2011) indicates that the shift in older treatment issues to more recent cephalosporin threats was well established in the UK literature. What this finding means is that it puts in question any belief that the current effectiveness of treatment can be assumed. Rather, the history of gonococcal resistance is that the organism responds to treatment pressure repeatedly, i.e. that the current success in management may be as tenuous as at present.</w:t>
      </w:r>
    </w:p>
    <w:p w14:paraId="2DB13BBC" w14:textId="459DCDAB" w:rsidR="00DD28A5" w:rsidRPr="004511C8" w:rsidRDefault="00DD28A5" w:rsidP="005F4984">
      <w:pPr>
        <w:rPr>
          <w:rFonts w:ascii="Arial" w:hAnsi="Arial" w:cs="Arial"/>
          <w:sz w:val="22"/>
          <w:szCs w:val="22"/>
        </w:rPr>
      </w:pPr>
      <w:r w:rsidRPr="004511C8">
        <w:rPr>
          <w:rFonts w:ascii="Arial" w:hAnsi="Arial" w:cs="Arial"/>
          <w:sz w:val="22"/>
          <w:szCs w:val="22"/>
        </w:rPr>
        <w:t xml:space="preserve">This evolution trend aligns with the broader body of literature on antimicrobial resistance on a broader basis. Resistance is commonly interpreted as an outcome of a selection pressure, recurrent antimicrobial exposure and microbial adaptation through time </w:t>
      </w:r>
      <w:r w:rsidR="009D510C" w:rsidRPr="004511C8">
        <w:rPr>
          <w:rFonts w:ascii="Arial" w:hAnsi="Arial" w:cs="Arial"/>
          <w:sz w:val="22"/>
          <w:szCs w:val="22"/>
        </w:rPr>
        <w:t>(</w:t>
      </w:r>
      <w:proofErr w:type="spellStart"/>
      <w:r w:rsidR="009D510C" w:rsidRPr="004511C8">
        <w:rPr>
          <w:rFonts w:ascii="Arial" w:hAnsi="Arial" w:cs="Arial"/>
          <w:sz w:val="22"/>
          <w:szCs w:val="22"/>
        </w:rPr>
        <w:t>Bakkeren</w:t>
      </w:r>
      <w:proofErr w:type="spellEnd"/>
      <w:r w:rsidR="009D510C" w:rsidRPr="004511C8">
        <w:rPr>
          <w:rFonts w:ascii="Arial" w:hAnsi="Arial" w:cs="Arial"/>
          <w:sz w:val="22"/>
          <w:szCs w:val="22"/>
        </w:rPr>
        <w:t xml:space="preserve">, </w:t>
      </w:r>
      <w:proofErr w:type="spellStart"/>
      <w:r w:rsidR="009D510C" w:rsidRPr="004511C8">
        <w:rPr>
          <w:rFonts w:ascii="Arial" w:hAnsi="Arial" w:cs="Arial"/>
          <w:sz w:val="22"/>
          <w:szCs w:val="22"/>
        </w:rPr>
        <w:t>Diard</w:t>
      </w:r>
      <w:proofErr w:type="spellEnd"/>
      <w:r w:rsidR="009D510C" w:rsidRPr="004511C8">
        <w:rPr>
          <w:rFonts w:ascii="Arial" w:hAnsi="Arial" w:cs="Arial"/>
          <w:sz w:val="22"/>
          <w:szCs w:val="22"/>
        </w:rPr>
        <w:t xml:space="preserve"> and Hardt, 2020; </w:t>
      </w:r>
      <w:proofErr w:type="spellStart"/>
      <w:r w:rsidR="009D510C" w:rsidRPr="004511C8">
        <w:rPr>
          <w:rFonts w:ascii="Arial" w:hAnsi="Arial" w:cs="Arial"/>
          <w:sz w:val="22"/>
          <w:szCs w:val="22"/>
        </w:rPr>
        <w:t>Christaki</w:t>
      </w:r>
      <w:proofErr w:type="spellEnd"/>
      <w:r w:rsidR="009D510C" w:rsidRPr="004511C8">
        <w:rPr>
          <w:rFonts w:ascii="Arial" w:hAnsi="Arial" w:cs="Arial"/>
          <w:sz w:val="22"/>
          <w:szCs w:val="22"/>
        </w:rPr>
        <w:t xml:space="preserve">, Marcou and </w:t>
      </w:r>
      <w:proofErr w:type="spellStart"/>
      <w:r w:rsidR="009D510C" w:rsidRPr="004511C8">
        <w:rPr>
          <w:rFonts w:ascii="Arial" w:hAnsi="Arial" w:cs="Arial"/>
          <w:sz w:val="22"/>
          <w:szCs w:val="22"/>
        </w:rPr>
        <w:t>Tofarides</w:t>
      </w:r>
      <w:proofErr w:type="spellEnd"/>
      <w:r w:rsidR="009D510C" w:rsidRPr="004511C8">
        <w:rPr>
          <w:rFonts w:ascii="Arial" w:hAnsi="Arial" w:cs="Arial"/>
          <w:sz w:val="22"/>
          <w:szCs w:val="22"/>
        </w:rPr>
        <w:t xml:space="preserve">, 2019; </w:t>
      </w:r>
      <w:r w:rsidRPr="004511C8">
        <w:rPr>
          <w:rFonts w:ascii="Arial" w:hAnsi="Arial" w:cs="Arial"/>
          <w:sz w:val="22"/>
          <w:szCs w:val="22"/>
        </w:rPr>
        <w:t xml:space="preserve">Baquero et al. 2021). Nevertheless, the current review implies that gonorrhoea is particularly alarming </w:t>
      </w:r>
      <w:r w:rsidR="00D84441" w:rsidRPr="004511C8">
        <w:rPr>
          <w:rFonts w:ascii="Arial" w:hAnsi="Arial" w:cs="Arial"/>
          <w:sz w:val="22"/>
          <w:szCs w:val="22"/>
        </w:rPr>
        <w:t>since</w:t>
      </w:r>
      <w:r w:rsidRPr="004511C8">
        <w:rPr>
          <w:rFonts w:ascii="Arial" w:hAnsi="Arial" w:cs="Arial"/>
          <w:sz w:val="22"/>
          <w:szCs w:val="22"/>
        </w:rPr>
        <w:t xml:space="preserve"> there is already a lack of therapy, and the resistance to one of the drug categories can have direct implications on the national treatment policies</w:t>
      </w:r>
      <w:r w:rsidR="00526742" w:rsidRPr="004511C8">
        <w:rPr>
          <w:rFonts w:ascii="Arial" w:hAnsi="Arial" w:cs="Arial"/>
          <w:sz w:val="22"/>
          <w:szCs w:val="22"/>
        </w:rPr>
        <w:t xml:space="preserve"> (Howes, </w:t>
      </w:r>
      <w:proofErr w:type="spellStart"/>
      <w:r w:rsidR="00526742" w:rsidRPr="004511C8">
        <w:rPr>
          <w:rFonts w:ascii="Arial" w:hAnsi="Arial" w:cs="Arial"/>
          <w:sz w:val="22"/>
          <w:szCs w:val="22"/>
        </w:rPr>
        <w:t>Thase</w:t>
      </w:r>
      <w:proofErr w:type="spellEnd"/>
      <w:r w:rsidR="00526742" w:rsidRPr="004511C8">
        <w:rPr>
          <w:rFonts w:ascii="Arial" w:hAnsi="Arial" w:cs="Arial"/>
          <w:sz w:val="22"/>
          <w:szCs w:val="22"/>
        </w:rPr>
        <w:t xml:space="preserve"> and Pillinger, 2021; </w:t>
      </w:r>
      <w:proofErr w:type="spellStart"/>
      <w:r w:rsidR="00526742" w:rsidRPr="004511C8">
        <w:rPr>
          <w:rFonts w:ascii="Arial" w:hAnsi="Arial" w:cs="Arial"/>
          <w:sz w:val="22"/>
          <w:szCs w:val="22"/>
        </w:rPr>
        <w:t>Muteeb</w:t>
      </w:r>
      <w:proofErr w:type="spellEnd"/>
      <w:r w:rsidR="00526742" w:rsidRPr="004511C8">
        <w:rPr>
          <w:rFonts w:ascii="Arial" w:hAnsi="Arial" w:cs="Arial"/>
          <w:sz w:val="22"/>
          <w:szCs w:val="22"/>
        </w:rPr>
        <w:t xml:space="preserve"> et al. 2023)</w:t>
      </w:r>
      <w:r w:rsidRPr="004511C8">
        <w:rPr>
          <w:rFonts w:ascii="Arial" w:hAnsi="Arial" w:cs="Arial"/>
          <w:sz w:val="22"/>
          <w:szCs w:val="22"/>
        </w:rPr>
        <w:t xml:space="preserve">. </w:t>
      </w:r>
      <w:r w:rsidRPr="004511C8">
        <w:rPr>
          <w:rFonts w:ascii="Arial" w:hAnsi="Arial" w:cs="Arial"/>
          <w:sz w:val="22"/>
          <w:szCs w:val="22"/>
        </w:rPr>
        <w:lastRenderedPageBreak/>
        <w:t>Gonococcal resistance leaves instant doubt in comparison to some other resistant organisms</w:t>
      </w:r>
      <w:r w:rsidR="00D84441" w:rsidRPr="004511C8">
        <w:rPr>
          <w:rFonts w:ascii="Arial" w:hAnsi="Arial" w:cs="Arial"/>
          <w:sz w:val="22"/>
          <w:szCs w:val="22"/>
        </w:rPr>
        <w:t>,</w:t>
      </w:r>
      <w:r w:rsidRPr="004511C8">
        <w:rPr>
          <w:rFonts w:ascii="Arial" w:hAnsi="Arial" w:cs="Arial"/>
          <w:sz w:val="22"/>
          <w:szCs w:val="22"/>
        </w:rPr>
        <w:t xml:space="preserve"> in which there might still be </w:t>
      </w:r>
      <w:r w:rsidR="00D84441" w:rsidRPr="004511C8">
        <w:rPr>
          <w:rFonts w:ascii="Arial" w:hAnsi="Arial" w:cs="Arial"/>
          <w:sz w:val="22"/>
          <w:szCs w:val="22"/>
        </w:rPr>
        <w:t>some</w:t>
      </w:r>
      <w:r w:rsidRPr="004511C8">
        <w:rPr>
          <w:rFonts w:ascii="Arial" w:hAnsi="Arial" w:cs="Arial"/>
          <w:sz w:val="22"/>
          <w:szCs w:val="22"/>
        </w:rPr>
        <w:t xml:space="preserve"> alternative therapies. This renders the treatment threat detected in the </w:t>
      </w:r>
      <w:r w:rsidR="00D84441" w:rsidRPr="004511C8">
        <w:rPr>
          <w:rFonts w:ascii="Arial" w:hAnsi="Arial" w:cs="Arial"/>
          <w:sz w:val="22"/>
          <w:szCs w:val="22"/>
        </w:rPr>
        <w:t>research</w:t>
      </w:r>
      <w:r w:rsidRPr="004511C8">
        <w:rPr>
          <w:rFonts w:ascii="Arial" w:hAnsi="Arial" w:cs="Arial"/>
          <w:sz w:val="22"/>
          <w:szCs w:val="22"/>
        </w:rPr>
        <w:t xml:space="preserve"> reviewed particularly critical. The results thus support the claim by </w:t>
      </w:r>
      <w:proofErr w:type="spellStart"/>
      <w:r w:rsidRPr="004511C8">
        <w:rPr>
          <w:rFonts w:ascii="Arial" w:hAnsi="Arial" w:cs="Arial"/>
          <w:sz w:val="22"/>
          <w:szCs w:val="22"/>
        </w:rPr>
        <w:t>Unemo</w:t>
      </w:r>
      <w:proofErr w:type="spellEnd"/>
      <w:r w:rsidRPr="004511C8">
        <w:rPr>
          <w:rFonts w:ascii="Arial" w:hAnsi="Arial" w:cs="Arial"/>
          <w:sz w:val="22"/>
          <w:szCs w:val="22"/>
        </w:rPr>
        <w:t xml:space="preserve"> and Shafer (2014) that gonorrhoea represents one of the most pressing cases of antimicrobial resistance in modern sexual health.</w:t>
      </w:r>
    </w:p>
    <w:p w14:paraId="034D5E70" w14:textId="535EB02F" w:rsidR="00DD28A5" w:rsidRPr="004511C8" w:rsidRDefault="00DD28A5" w:rsidP="005F4984">
      <w:pPr>
        <w:rPr>
          <w:rFonts w:ascii="Arial" w:hAnsi="Arial" w:cs="Arial"/>
          <w:sz w:val="22"/>
          <w:szCs w:val="22"/>
        </w:rPr>
      </w:pPr>
      <w:r w:rsidRPr="004511C8">
        <w:rPr>
          <w:rFonts w:ascii="Arial" w:hAnsi="Arial" w:cs="Arial"/>
          <w:sz w:val="22"/>
          <w:szCs w:val="22"/>
        </w:rPr>
        <w:t>The second important finding is that surveillance and the monitoring of health in the centre stage, can be seen in the formation of the evidence base and the practical response to the AMR of gonococcal in the UK. A significant part of the literature was the surveillance data, particularly</w:t>
      </w:r>
      <w:r w:rsidR="00D84441" w:rsidRPr="004511C8">
        <w:rPr>
          <w:rFonts w:ascii="Arial" w:hAnsi="Arial" w:cs="Arial"/>
          <w:sz w:val="22"/>
          <w:szCs w:val="22"/>
        </w:rPr>
        <w:t xml:space="preserve"> </w:t>
      </w:r>
      <w:r w:rsidRPr="004511C8">
        <w:rPr>
          <w:rFonts w:ascii="Arial" w:hAnsi="Arial" w:cs="Arial"/>
          <w:sz w:val="22"/>
          <w:szCs w:val="22"/>
        </w:rPr>
        <w:t>the systems like Gonococcal Resistance to Antimicrobials Surveillance Programme (Delpech et al.</w:t>
      </w:r>
      <w:r w:rsidR="00D84441" w:rsidRPr="004511C8">
        <w:rPr>
          <w:rFonts w:ascii="Arial" w:hAnsi="Arial" w:cs="Arial"/>
          <w:sz w:val="22"/>
          <w:szCs w:val="22"/>
        </w:rPr>
        <w:t xml:space="preserve"> </w:t>
      </w:r>
      <w:r w:rsidRPr="004511C8">
        <w:rPr>
          <w:rFonts w:ascii="Arial" w:hAnsi="Arial" w:cs="Arial"/>
          <w:sz w:val="22"/>
          <w:szCs w:val="22"/>
        </w:rPr>
        <w:t xml:space="preserve">2009; Hughes, Nichols and Ison, 2011). This is the reality of the fact that gonococcal AMR cannot be easily interpreted without constant surveillance of the resistance trends, susceptibility data and epidemiological change. The literature review shows that surveillance </w:t>
      </w:r>
      <w:r w:rsidR="003F51B7" w:rsidRPr="004511C8">
        <w:rPr>
          <w:rFonts w:ascii="Arial" w:hAnsi="Arial" w:cs="Arial"/>
          <w:sz w:val="22"/>
          <w:szCs w:val="22"/>
        </w:rPr>
        <w:t>fulfils</w:t>
      </w:r>
      <w:r w:rsidRPr="004511C8">
        <w:rPr>
          <w:rFonts w:ascii="Arial" w:hAnsi="Arial" w:cs="Arial"/>
          <w:sz w:val="22"/>
          <w:szCs w:val="22"/>
        </w:rPr>
        <w:t xml:space="preserve"> multiple roles simultaneously: it not only identifies new resistance but also monitors the trend of prevalence, aids the detection of outbreaks and the policy of treatment decisions (Ison and Alexander, 2011; Merrick et al.</w:t>
      </w:r>
      <w:r w:rsidR="00D84441" w:rsidRPr="004511C8">
        <w:rPr>
          <w:rFonts w:ascii="Arial" w:hAnsi="Arial" w:cs="Arial"/>
          <w:sz w:val="22"/>
          <w:szCs w:val="22"/>
        </w:rPr>
        <w:t xml:space="preserve"> </w:t>
      </w:r>
      <w:r w:rsidRPr="004511C8">
        <w:rPr>
          <w:rFonts w:ascii="Arial" w:hAnsi="Arial" w:cs="Arial"/>
          <w:sz w:val="22"/>
          <w:szCs w:val="22"/>
        </w:rPr>
        <w:t>2022). This is very important to the practice of public health as it indicates that surveillance is not a peripheral process but one of the primary processes by which resistant gonorrhoea can be dealt with.</w:t>
      </w:r>
    </w:p>
    <w:p w14:paraId="4A2C9892" w14:textId="6CA58633" w:rsidR="00DD28A5" w:rsidRPr="004511C8" w:rsidRDefault="00DD28A5" w:rsidP="005F4984">
      <w:pPr>
        <w:rPr>
          <w:rFonts w:ascii="Arial" w:hAnsi="Arial" w:cs="Arial"/>
          <w:sz w:val="22"/>
          <w:szCs w:val="22"/>
        </w:rPr>
      </w:pPr>
      <w:r w:rsidRPr="004511C8">
        <w:rPr>
          <w:rFonts w:ascii="Arial" w:hAnsi="Arial" w:cs="Arial"/>
          <w:sz w:val="22"/>
          <w:szCs w:val="22"/>
        </w:rPr>
        <w:t xml:space="preserve">Compared to the broader literature, the given finding aligns with the claim that infectious disease surveillance is a pillar of effective public health response, particularly in an environment where resistance may develop swiftly and circulate through networks (Medland et al. 2022). </w:t>
      </w:r>
      <w:r w:rsidR="00D84441" w:rsidRPr="004511C8">
        <w:rPr>
          <w:rFonts w:ascii="Arial" w:hAnsi="Arial" w:cs="Arial"/>
          <w:sz w:val="22"/>
          <w:szCs w:val="22"/>
        </w:rPr>
        <w:t>Still</w:t>
      </w:r>
      <w:r w:rsidRPr="004511C8">
        <w:rPr>
          <w:rFonts w:ascii="Arial" w:hAnsi="Arial" w:cs="Arial"/>
          <w:sz w:val="22"/>
          <w:szCs w:val="22"/>
        </w:rPr>
        <w:t xml:space="preserve">, the current review also indicates that there are limitations to surveillance. Though it is good </w:t>
      </w:r>
      <w:r w:rsidR="00526742" w:rsidRPr="004511C8">
        <w:rPr>
          <w:rFonts w:ascii="Arial" w:hAnsi="Arial" w:cs="Arial"/>
          <w:sz w:val="22"/>
          <w:szCs w:val="22"/>
        </w:rPr>
        <w:t>at</w:t>
      </w:r>
      <w:r w:rsidRPr="004511C8">
        <w:rPr>
          <w:rFonts w:ascii="Arial" w:hAnsi="Arial" w:cs="Arial"/>
          <w:sz w:val="22"/>
          <w:szCs w:val="22"/>
        </w:rPr>
        <w:t xml:space="preserve"> determining what is going on</w:t>
      </w:r>
      <w:r w:rsidR="00526742" w:rsidRPr="004511C8">
        <w:rPr>
          <w:rFonts w:ascii="Arial" w:hAnsi="Arial" w:cs="Arial"/>
          <w:sz w:val="22"/>
          <w:szCs w:val="22"/>
        </w:rPr>
        <w:t>,</w:t>
      </w:r>
      <w:r w:rsidRPr="004511C8">
        <w:rPr>
          <w:rFonts w:ascii="Arial" w:hAnsi="Arial" w:cs="Arial"/>
          <w:sz w:val="22"/>
          <w:szCs w:val="22"/>
        </w:rPr>
        <w:t xml:space="preserve"> it is not always good at explaining why it is going on at </w:t>
      </w:r>
      <w:r w:rsidR="00526742" w:rsidRPr="004511C8">
        <w:rPr>
          <w:rFonts w:ascii="Arial" w:hAnsi="Arial" w:cs="Arial"/>
          <w:sz w:val="22"/>
          <w:szCs w:val="22"/>
        </w:rPr>
        <w:t xml:space="preserve">the </w:t>
      </w:r>
      <w:r w:rsidRPr="004511C8">
        <w:rPr>
          <w:rFonts w:ascii="Arial" w:hAnsi="Arial" w:cs="Arial"/>
          <w:sz w:val="22"/>
          <w:szCs w:val="22"/>
        </w:rPr>
        <w:t xml:space="preserve">behavioural or service level. Patterns in resistance and prevalence may be uncovered through surveillance studies, although they are not always able to capture treatment adherence, barriers to service access, stigma, risk of reinfection or patient choice. This is particularly applicable to the current review since these broader contextual concerns can be of great significance to younger people. Thus, on the one hand, the literature proves the necessity of surveillance, whereas, on the other hand, it implies that </w:t>
      </w:r>
      <w:proofErr w:type="gramStart"/>
      <w:r w:rsidRPr="004511C8">
        <w:rPr>
          <w:rFonts w:ascii="Arial" w:hAnsi="Arial" w:cs="Arial"/>
          <w:sz w:val="22"/>
          <w:szCs w:val="22"/>
        </w:rPr>
        <w:t>in order to</w:t>
      </w:r>
      <w:proofErr w:type="gramEnd"/>
      <w:r w:rsidRPr="004511C8">
        <w:rPr>
          <w:rFonts w:ascii="Arial" w:hAnsi="Arial" w:cs="Arial"/>
          <w:sz w:val="22"/>
          <w:szCs w:val="22"/>
        </w:rPr>
        <w:t xml:space="preserve"> understand resistant gonorrhoea, one should rely on surveillance only.</w:t>
      </w:r>
    </w:p>
    <w:p w14:paraId="2BE6077D" w14:textId="5E24F458" w:rsidR="00DD28A5" w:rsidRPr="004511C8" w:rsidRDefault="00DD28A5" w:rsidP="005F4984">
      <w:pPr>
        <w:rPr>
          <w:rFonts w:ascii="Arial" w:hAnsi="Arial" w:cs="Arial"/>
          <w:sz w:val="22"/>
          <w:szCs w:val="22"/>
        </w:rPr>
      </w:pPr>
      <w:r w:rsidRPr="004511C8">
        <w:rPr>
          <w:rFonts w:ascii="Arial" w:hAnsi="Arial" w:cs="Arial"/>
          <w:sz w:val="22"/>
          <w:szCs w:val="22"/>
        </w:rPr>
        <w:t>The other significant discovery is the development of multidrug-resistant strains and the growing complexity that this is posing to the health of the population and clinical care. The reviewed studies indicate that MDR gonorrhoea has turned into a persistent and not sporadic issue in the UK (Clifton et al.</w:t>
      </w:r>
      <w:r w:rsidR="00D84441" w:rsidRPr="004511C8">
        <w:rPr>
          <w:rFonts w:ascii="Arial" w:hAnsi="Arial" w:cs="Arial"/>
          <w:sz w:val="22"/>
          <w:szCs w:val="22"/>
        </w:rPr>
        <w:t xml:space="preserve"> </w:t>
      </w:r>
      <w:r w:rsidRPr="004511C8">
        <w:rPr>
          <w:rFonts w:ascii="Arial" w:hAnsi="Arial" w:cs="Arial"/>
          <w:sz w:val="22"/>
          <w:szCs w:val="22"/>
        </w:rPr>
        <w:t xml:space="preserve">2017; Whittles et al. 2018). Clifton et al. (2017) </w:t>
      </w:r>
      <w:r w:rsidR="00D84441" w:rsidRPr="004511C8">
        <w:rPr>
          <w:rFonts w:ascii="Arial" w:hAnsi="Arial" w:cs="Arial"/>
          <w:sz w:val="22"/>
          <w:szCs w:val="22"/>
        </w:rPr>
        <w:t>played</w:t>
      </w:r>
      <w:r w:rsidRPr="004511C8">
        <w:rPr>
          <w:rFonts w:ascii="Arial" w:hAnsi="Arial" w:cs="Arial"/>
          <w:sz w:val="22"/>
          <w:szCs w:val="22"/>
        </w:rPr>
        <w:t xml:space="preserve"> a crucial role in showing that multidrug-resistant N. gonorrhoeae was linked to even more general demographic and behavioural trends, which implies that MDR is not only a laboratory term but </w:t>
      </w:r>
      <w:r w:rsidRPr="004511C8">
        <w:rPr>
          <w:rFonts w:ascii="Arial" w:hAnsi="Arial" w:cs="Arial"/>
          <w:sz w:val="22"/>
          <w:szCs w:val="22"/>
        </w:rPr>
        <w:lastRenderedPageBreak/>
        <w:t>a community health issue that is also influenced by the transmission mechanisms. This is in line with the broader knowledge that resistance is frequently magnified in social and sexual networks as opposed to being born in a vacuum. This suggests that MDR gonorrhoea cannot be regarded as a microbiological issue. It is also an epidemiological and service issue which may exert pressure on prescribing, case management and outbreak control.</w:t>
      </w:r>
    </w:p>
    <w:p w14:paraId="32BA06DA" w14:textId="528EDA36" w:rsidR="00DD28A5" w:rsidRPr="004511C8" w:rsidRDefault="00DD28A5" w:rsidP="005F4984">
      <w:pPr>
        <w:rPr>
          <w:rFonts w:ascii="Arial" w:hAnsi="Arial" w:cs="Arial"/>
          <w:sz w:val="22"/>
          <w:szCs w:val="22"/>
        </w:rPr>
      </w:pPr>
      <w:r w:rsidRPr="004511C8">
        <w:rPr>
          <w:rFonts w:ascii="Arial" w:hAnsi="Arial" w:cs="Arial"/>
          <w:sz w:val="22"/>
          <w:szCs w:val="22"/>
        </w:rPr>
        <w:t>This discovery also relates closely to the theme of outbreaks. According to the literature reviewed, multidrug resistance and persistence of outbreaks are mutually supporting. Strains that become resistant and spread within the transmission networks are harder to control</w:t>
      </w:r>
      <w:r w:rsidR="0014693B" w:rsidRPr="004511C8">
        <w:rPr>
          <w:rFonts w:ascii="Arial" w:hAnsi="Arial" w:cs="Arial"/>
          <w:sz w:val="22"/>
          <w:szCs w:val="22"/>
        </w:rPr>
        <w:t>,</w:t>
      </w:r>
      <w:r w:rsidRPr="004511C8">
        <w:rPr>
          <w:rFonts w:ascii="Arial" w:hAnsi="Arial" w:cs="Arial"/>
          <w:sz w:val="22"/>
          <w:szCs w:val="22"/>
        </w:rPr>
        <w:t xml:space="preserve"> and extended outbreaks provide more chances of continuous spread. Research like </w:t>
      </w:r>
      <w:proofErr w:type="spellStart"/>
      <w:r w:rsidRPr="004511C8">
        <w:rPr>
          <w:rFonts w:ascii="Arial" w:hAnsi="Arial" w:cs="Arial"/>
          <w:sz w:val="22"/>
          <w:szCs w:val="22"/>
        </w:rPr>
        <w:t>Smolarchuk</w:t>
      </w:r>
      <w:proofErr w:type="spellEnd"/>
      <w:r w:rsidRPr="004511C8">
        <w:rPr>
          <w:rFonts w:ascii="Arial" w:hAnsi="Arial" w:cs="Arial"/>
          <w:sz w:val="22"/>
          <w:szCs w:val="22"/>
        </w:rPr>
        <w:t xml:space="preserve"> et al. (2018) and Day et al. (2022) explains how resistance may be incorporated into the transmission systems over time, thus making it a greater burden on the public health response. By doing so, the review </w:t>
      </w:r>
      <w:r w:rsidR="00D84441" w:rsidRPr="004511C8">
        <w:rPr>
          <w:rFonts w:ascii="Arial" w:hAnsi="Arial" w:cs="Arial"/>
          <w:sz w:val="22"/>
          <w:szCs w:val="22"/>
        </w:rPr>
        <w:t>confirms</w:t>
      </w:r>
      <w:r w:rsidRPr="004511C8">
        <w:rPr>
          <w:rFonts w:ascii="Arial" w:hAnsi="Arial" w:cs="Arial"/>
          <w:sz w:val="22"/>
          <w:szCs w:val="22"/>
        </w:rPr>
        <w:t xml:space="preserve"> the </w:t>
      </w:r>
      <w:r w:rsidR="00D84441" w:rsidRPr="004511C8">
        <w:rPr>
          <w:rFonts w:ascii="Arial" w:hAnsi="Arial" w:cs="Arial"/>
          <w:sz w:val="22"/>
          <w:szCs w:val="22"/>
        </w:rPr>
        <w:t>review</w:t>
      </w:r>
      <w:r w:rsidRPr="004511C8">
        <w:rPr>
          <w:rFonts w:ascii="Arial" w:hAnsi="Arial" w:cs="Arial"/>
          <w:sz w:val="22"/>
          <w:szCs w:val="22"/>
        </w:rPr>
        <w:t xml:space="preserve"> that epidemic management and AMR control cannot be considered distinct sexual health policy concerns.</w:t>
      </w:r>
    </w:p>
    <w:p w14:paraId="25A594C4" w14:textId="2F00B7BA" w:rsidR="00DD28A5" w:rsidRPr="004511C8" w:rsidRDefault="00DD28A5" w:rsidP="005F4984">
      <w:pPr>
        <w:rPr>
          <w:rFonts w:ascii="Arial" w:hAnsi="Arial" w:cs="Arial"/>
          <w:sz w:val="22"/>
          <w:szCs w:val="22"/>
        </w:rPr>
      </w:pPr>
      <w:r w:rsidRPr="004511C8">
        <w:rPr>
          <w:rFonts w:ascii="Arial" w:hAnsi="Arial" w:cs="Arial"/>
          <w:sz w:val="22"/>
          <w:szCs w:val="22"/>
        </w:rPr>
        <w:t xml:space="preserve">Another important clinical warning sign appeared in the </w:t>
      </w:r>
      <w:r w:rsidR="00131AC6" w:rsidRPr="004511C8">
        <w:rPr>
          <w:rFonts w:ascii="Arial" w:hAnsi="Arial" w:cs="Arial"/>
          <w:sz w:val="22"/>
          <w:szCs w:val="22"/>
        </w:rPr>
        <w:t>literature</w:t>
      </w:r>
      <w:r w:rsidR="00131AC6">
        <w:rPr>
          <w:rFonts w:ascii="Arial" w:hAnsi="Arial" w:cs="Arial"/>
          <w:sz w:val="22"/>
          <w:szCs w:val="22"/>
        </w:rPr>
        <w:t xml:space="preserve"> and</w:t>
      </w:r>
      <w:r w:rsidRPr="004511C8">
        <w:rPr>
          <w:rFonts w:ascii="Arial" w:hAnsi="Arial" w:cs="Arial"/>
          <w:sz w:val="22"/>
          <w:szCs w:val="22"/>
        </w:rPr>
        <w:t xml:space="preserve"> was treatment failure. The </w:t>
      </w:r>
      <w:r w:rsidR="0060431B" w:rsidRPr="004511C8">
        <w:rPr>
          <w:rFonts w:ascii="Arial" w:hAnsi="Arial" w:cs="Arial"/>
          <w:sz w:val="22"/>
          <w:szCs w:val="22"/>
        </w:rPr>
        <w:t>analysed</w:t>
      </w:r>
      <w:r w:rsidRPr="004511C8">
        <w:rPr>
          <w:rFonts w:ascii="Arial" w:hAnsi="Arial" w:cs="Arial"/>
          <w:sz w:val="22"/>
          <w:szCs w:val="22"/>
        </w:rPr>
        <w:t xml:space="preserve"> literature shows that in </w:t>
      </w:r>
      <w:r w:rsidR="0035193A" w:rsidRPr="004511C8">
        <w:rPr>
          <w:rFonts w:ascii="Arial" w:hAnsi="Arial" w:cs="Arial"/>
          <w:sz w:val="22"/>
          <w:szCs w:val="22"/>
        </w:rPr>
        <w:t xml:space="preserve">the </w:t>
      </w:r>
      <w:r w:rsidRPr="004511C8">
        <w:rPr>
          <w:rFonts w:ascii="Arial" w:hAnsi="Arial" w:cs="Arial"/>
          <w:sz w:val="22"/>
          <w:szCs w:val="22"/>
        </w:rPr>
        <w:t xml:space="preserve">case of treatment failure due to reduced </w:t>
      </w:r>
      <w:r w:rsidR="00131AC6" w:rsidRPr="004511C8">
        <w:rPr>
          <w:rFonts w:ascii="Arial" w:hAnsi="Arial" w:cs="Arial"/>
          <w:sz w:val="22"/>
          <w:szCs w:val="22"/>
        </w:rPr>
        <w:t>susceptibility</w:t>
      </w:r>
      <w:r w:rsidR="00131AC6">
        <w:rPr>
          <w:rFonts w:ascii="Arial" w:hAnsi="Arial" w:cs="Arial"/>
          <w:sz w:val="22"/>
          <w:szCs w:val="22"/>
        </w:rPr>
        <w:t>,</w:t>
      </w:r>
      <w:r w:rsidR="0035193A" w:rsidRPr="004511C8">
        <w:rPr>
          <w:rFonts w:ascii="Arial" w:hAnsi="Arial" w:cs="Arial"/>
          <w:sz w:val="22"/>
          <w:szCs w:val="22"/>
        </w:rPr>
        <w:t xml:space="preserve"> </w:t>
      </w:r>
      <w:r w:rsidRPr="004511C8">
        <w:rPr>
          <w:rFonts w:ascii="Arial" w:hAnsi="Arial" w:cs="Arial"/>
          <w:sz w:val="22"/>
          <w:szCs w:val="22"/>
        </w:rPr>
        <w:t xml:space="preserve">the outcomes are immediately palpable both </w:t>
      </w:r>
      <w:r w:rsidR="0035193A" w:rsidRPr="004511C8">
        <w:rPr>
          <w:rFonts w:ascii="Arial" w:hAnsi="Arial" w:cs="Arial"/>
          <w:sz w:val="22"/>
          <w:szCs w:val="22"/>
        </w:rPr>
        <w:t>for</w:t>
      </w:r>
      <w:r w:rsidRPr="004511C8">
        <w:rPr>
          <w:rFonts w:ascii="Arial" w:hAnsi="Arial" w:cs="Arial"/>
          <w:sz w:val="22"/>
          <w:szCs w:val="22"/>
        </w:rPr>
        <w:t xml:space="preserve"> the patients and on the health systems in general (Ison et al. 2011; Eyre et al. 2018). This is a key aspect as it turns the resistance into a laboratory or surveillance issue </w:t>
      </w:r>
      <w:r w:rsidR="0035193A" w:rsidRPr="004511C8">
        <w:rPr>
          <w:rFonts w:ascii="Arial" w:hAnsi="Arial" w:cs="Arial"/>
          <w:sz w:val="22"/>
          <w:szCs w:val="22"/>
        </w:rPr>
        <w:t>into</w:t>
      </w:r>
      <w:r w:rsidRPr="004511C8">
        <w:rPr>
          <w:rFonts w:ascii="Arial" w:hAnsi="Arial" w:cs="Arial"/>
          <w:sz w:val="22"/>
          <w:szCs w:val="22"/>
        </w:rPr>
        <w:t xml:space="preserve"> a direct clinical issue. Failure to treat leads to prolonged infectivity, potential further transmission, and heightens anxiety about treatment efficacy and may necessitate more </w:t>
      </w:r>
      <w:r w:rsidR="0035193A" w:rsidRPr="004511C8">
        <w:rPr>
          <w:rFonts w:ascii="Arial" w:hAnsi="Arial" w:cs="Arial"/>
          <w:sz w:val="22"/>
          <w:szCs w:val="22"/>
        </w:rPr>
        <w:t>active</w:t>
      </w:r>
      <w:r w:rsidRPr="004511C8">
        <w:rPr>
          <w:rFonts w:ascii="Arial" w:hAnsi="Arial" w:cs="Arial"/>
          <w:sz w:val="22"/>
          <w:szCs w:val="22"/>
        </w:rPr>
        <w:t xml:space="preserve"> follow-up and re-treatment. Eyre et al. (2018) are especially notable in this matter as their research has shown resistance to ceftriaxone and high-level azithromycin, which </w:t>
      </w:r>
      <w:r w:rsidR="0035193A" w:rsidRPr="004511C8">
        <w:rPr>
          <w:rFonts w:ascii="Arial" w:hAnsi="Arial" w:cs="Arial"/>
          <w:sz w:val="22"/>
          <w:szCs w:val="22"/>
        </w:rPr>
        <w:t>casts</w:t>
      </w:r>
      <w:r w:rsidRPr="004511C8">
        <w:rPr>
          <w:rFonts w:ascii="Arial" w:hAnsi="Arial" w:cs="Arial"/>
          <w:sz w:val="22"/>
          <w:szCs w:val="22"/>
        </w:rPr>
        <w:t xml:space="preserve"> doubt on the effectiveness of the rest of the most important treatments.</w:t>
      </w:r>
    </w:p>
    <w:p w14:paraId="5C48E630" w14:textId="0100D5DF" w:rsidR="00DD28A5" w:rsidRPr="004511C8" w:rsidRDefault="00DD28A5" w:rsidP="005F4984">
      <w:pPr>
        <w:rPr>
          <w:rFonts w:ascii="Arial" w:hAnsi="Arial" w:cs="Arial"/>
          <w:sz w:val="22"/>
          <w:szCs w:val="22"/>
        </w:rPr>
      </w:pPr>
      <w:r w:rsidRPr="004511C8">
        <w:rPr>
          <w:rFonts w:ascii="Arial" w:hAnsi="Arial" w:cs="Arial"/>
          <w:sz w:val="22"/>
          <w:szCs w:val="22"/>
        </w:rPr>
        <w:t xml:space="preserve">Treatment failure is frequently defined as one of the gravest signs of antimicrobial resistance in the broader literature since it shows that microbiological change has acquired practical clinical implications. This is confirmed in the current review in the UK. It also demonstrates that the policy has relevance in treatment failure. Fifer et al. (2019) show that the treatment guidance has had to adapt to </w:t>
      </w:r>
      <w:r w:rsidR="0035193A" w:rsidRPr="004511C8">
        <w:rPr>
          <w:rFonts w:ascii="Arial" w:hAnsi="Arial" w:cs="Arial"/>
          <w:sz w:val="22"/>
          <w:szCs w:val="22"/>
        </w:rPr>
        <w:t>resistance</w:t>
      </w:r>
      <w:r w:rsidRPr="004511C8">
        <w:rPr>
          <w:rFonts w:ascii="Arial" w:hAnsi="Arial" w:cs="Arial"/>
          <w:sz w:val="22"/>
          <w:szCs w:val="22"/>
        </w:rPr>
        <w:t xml:space="preserve"> evidence, as the UKHSA surveillance reporting has been promoting the value of identifying new ceftriaxone resistance (UK Health Security Agency, 2025). Therefore, treatment failure serves as a clinical warning and policy initiator. It forces a change of guidelines, more vigilance and closer interaction of laboratory evidence with clinical practice.</w:t>
      </w:r>
    </w:p>
    <w:p w14:paraId="73B3A81C" w14:textId="4BBCAE2D" w:rsidR="00DD28A5" w:rsidRPr="004511C8" w:rsidRDefault="00DD28A5" w:rsidP="005F4984">
      <w:pPr>
        <w:rPr>
          <w:rFonts w:ascii="Arial" w:hAnsi="Arial" w:cs="Arial"/>
          <w:sz w:val="22"/>
          <w:szCs w:val="22"/>
        </w:rPr>
      </w:pPr>
      <w:r w:rsidRPr="004511C8">
        <w:rPr>
          <w:rFonts w:ascii="Arial" w:hAnsi="Arial" w:cs="Arial"/>
          <w:sz w:val="22"/>
          <w:szCs w:val="22"/>
        </w:rPr>
        <w:t xml:space="preserve">Another valuable result of the review is that the literature is still not much focused directly on young adults, despite the </w:t>
      </w:r>
      <w:r w:rsidR="0035193A" w:rsidRPr="004511C8">
        <w:rPr>
          <w:rFonts w:ascii="Arial" w:hAnsi="Arial" w:cs="Arial"/>
          <w:sz w:val="22"/>
          <w:szCs w:val="22"/>
        </w:rPr>
        <w:t>obvious</w:t>
      </w:r>
      <w:r w:rsidRPr="004511C8">
        <w:rPr>
          <w:rFonts w:ascii="Arial" w:hAnsi="Arial" w:cs="Arial"/>
          <w:sz w:val="22"/>
          <w:szCs w:val="22"/>
        </w:rPr>
        <w:t xml:space="preserve"> relevance of gonococcal AMR to young people. </w:t>
      </w:r>
      <w:r w:rsidR="0060431B" w:rsidRPr="004511C8">
        <w:rPr>
          <w:rFonts w:ascii="Arial" w:hAnsi="Arial" w:cs="Arial"/>
          <w:sz w:val="22"/>
          <w:szCs w:val="22"/>
        </w:rPr>
        <w:t>Most</w:t>
      </w:r>
      <w:r w:rsidRPr="004511C8">
        <w:rPr>
          <w:rFonts w:ascii="Arial" w:hAnsi="Arial" w:cs="Arial"/>
          <w:sz w:val="22"/>
          <w:szCs w:val="22"/>
        </w:rPr>
        <w:t xml:space="preserve"> studies considered were based on larger clinic or surveillance groups instead of the specific age </w:t>
      </w:r>
      <w:r w:rsidRPr="004511C8">
        <w:rPr>
          <w:rFonts w:ascii="Arial" w:hAnsi="Arial" w:cs="Arial"/>
          <w:sz w:val="22"/>
          <w:szCs w:val="22"/>
        </w:rPr>
        <w:lastRenderedPageBreak/>
        <w:t>groups, which implies that the conclusions about young adults will have to be drawn based on the general trends in epidemiology (Delpech et al. 2009; Whittles et al. 2018). This is a significant gap as young adults are still very pertinent to sexual health epidemiology and planning of services. The evidence reviewed indicates that the younger age groups probably play a significant role concerning transmission, prevention, follow-up and public health messages, but the exact interaction between AMR and the younger age group (18 to 21 years) is not well established in the literature.</w:t>
      </w:r>
    </w:p>
    <w:p w14:paraId="4E4530DC" w14:textId="05920B95" w:rsidR="00DD28A5" w:rsidRPr="004511C8" w:rsidRDefault="00DD28A5" w:rsidP="005F4984">
      <w:pPr>
        <w:rPr>
          <w:rFonts w:ascii="Arial" w:hAnsi="Arial" w:cs="Arial"/>
          <w:sz w:val="22"/>
          <w:szCs w:val="22"/>
        </w:rPr>
      </w:pPr>
      <w:r w:rsidRPr="004511C8">
        <w:rPr>
          <w:rFonts w:ascii="Arial" w:hAnsi="Arial" w:cs="Arial"/>
          <w:sz w:val="22"/>
          <w:szCs w:val="22"/>
        </w:rPr>
        <w:t xml:space="preserve">This gap is important since </w:t>
      </w:r>
      <w:r w:rsidR="00BD41FB" w:rsidRPr="004511C8">
        <w:rPr>
          <w:rFonts w:ascii="Arial" w:hAnsi="Arial" w:cs="Arial"/>
          <w:sz w:val="22"/>
          <w:szCs w:val="22"/>
        </w:rPr>
        <w:t>population-sensitive</w:t>
      </w:r>
      <w:r w:rsidRPr="004511C8">
        <w:rPr>
          <w:rFonts w:ascii="Arial" w:hAnsi="Arial" w:cs="Arial"/>
          <w:sz w:val="22"/>
          <w:szCs w:val="22"/>
        </w:rPr>
        <w:t xml:space="preserve"> and targeted interventions are more likely to be effective in terms of public health. Unless the literature provides adequate differentiation of the impact of resistant gonorrhoea upon young adults, then there may be missed chances to design prevention strategies, methods of communication or service delivery designed to suit young adults. The review thus confirms the perception of the young adult population as both the focal point of the public health importance of gonorrhoea and its inappropriate focus in the AMR-specific evidence base. This is indicative of a larger concern in the literature where surveillance and microbiology have been privileged over patient-centred analysis and age-specific analysis.</w:t>
      </w:r>
    </w:p>
    <w:p w14:paraId="4F7036F8" w14:textId="1F0CE2E4" w:rsidR="00DD28A5" w:rsidRPr="004511C8" w:rsidRDefault="00DD28A5" w:rsidP="005F4984">
      <w:pPr>
        <w:rPr>
          <w:rFonts w:ascii="Arial" w:hAnsi="Arial" w:cs="Arial"/>
          <w:sz w:val="22"/>
          <w:szCs w:val="22"/>
        </w:rPr>
      </w:pPr>
      <w:r w:rsidRPr="004511C8">
        <w:rPr>
          <w:rFonts w:ascii="Arial" w:hAnsi="Arial" w:cs="Arial"/>
          <w:sz w:val="22"/>
          <w:szCs w:val="22"/>
        </w:rPr>
        <w:t xml:space="preserve">The review findings align with and are specific to the broader literature. The review is consistent with the rest of the world literature in </w:t>
      </w:r>
      <w:r w:rsidR="00BD41FB" w:rsidRPr="004511C8">
        <w:rPr>
          <w:rFonts w:ascii="Arial" w:hAnsi="Arial" w:cs="Arial"/>
          <w:sz w:val="22"/>
          <w:szCs w:val="22"/>
        </w:rPr>
        <w:t>prioritising</w:t>
      </w:r>
      <w:r w:rsidRPr="004511C8">
        <w:rPr>
          <w:rFonts w:ascii="Arial" w:hAnsi="Arial" w:cs="Arial"/>
          <w:sz w:val="22"/>
          <w:szCs w:val="22"/>
        </w:rPr>
        <w:t xml:space="preserve"> the message that gonococcal AMR is a significant and growing issue, surveillance is essential, and treatment is becoming more limited (</w:t>
      </w:r>
      <w:proofErr w:type="spellStart"/>
      <w:r w:rsidRPr="004511C8">
        <w:rPr>
          <w:rFonts w:ascii="Arial" w:hAnsi="Arial" w:cs="Arial"/>
          <w:sz w:val="22"/>
          <w:szCs w:val="22"/>
        </w:rPr>
        <w:t>Unemo</w:t>
      </w:r>
      <w:proofErr w:type="spellEnd"/>
      <w:r w:rsidRPr="004511C8">
        <w:rPr>
          <w:rFonts w:ascii="Arial" w:hAnsi="Arial" w:cs="Arial"/>
          <w:sz w:val="22"/>
          <w:szCs w:val="22"/>
        </w:rPr>
        <w:t xml:space="preserve"> and Shafer, 2014; </w:t>
      </w:r>
      <w:proofErr w:type="spellStart"/>
      <w:r w:rsidRPr="004511C8">
        <w:rPr>
          <w:rFonts w:ascii="Arial" w:hAnsi="Arial" w:cs="Arial"/>
          <w:sz w:val="22"/>
          <w:szCs w:val="22"/>
        </w:rPr>
        <w:t>Aitolo</w:t>
      </w:r>
      <w:proofErr w:type="spellEnd"/>
      <w:r w:rsidRPr="004511C8">
        <w:rPr>
          <w:rFonts w:ascii="Arial" w:hAnsi="Arial" w:cs="Arial"/>
          <w:sz w:val="22"/>
          <w:szCs w:val="22"/>
        </w:rPr>
        <w:t xml:space="preserve"> et al. 2021; Medland et al.</w:t>
      </w:r>
      <w:r w:rsidR="0060431B" w:rsidRPr="004511C8">
        <w:rPr>
          <w:rFonts w:ascii="Arial" w:hAnsi="Arial" w:cs="Arial"/>
          <w:sz w:val="22"/>
          <w:szCs w:val="22"/>
        </w:rPr>
        <w:t xml:space="preserve"> </w:t>
      </w:r>
      <w:r w:rsidRPr="004511C8">
        <w:rPr>
          <w:rFonts w:ascii="Arial" w:hAnsi="Arial" w:cs="Arial"/>
          <w:sz w:val="22"/>
          <w:szCs w:val="22"/>
        </w:rPr>
        <w:t>2022). Nonetheless, the UK evidence has its peculiarities, too. It particularly excels in surveillance infrastructure, coordination of public health and reporting of clinically significant resistance incidents. The UK literature hence adds in-depth evidence of how a national health situation has tracked and acted in resistant gonorrhoea. Meanwhile, the review also notes that despite the relatively well-developed setting, there are gaps in terms of younger adults, lived experience and service level knowledge.</w:t>
      </w:r>
    </w:p>
    <w:p w14:paraId="1EF9BA23" w14:textId="45A463C6" w:rsidR="00DD28A5" w:rsidRPr="004511C8" w:rsidRDefault="00DD28A5" w:rsidP="005F4984">
      <w:pPr>
        <w:rPr>
          <w:rFonts w:ascii="Arial" w:hAnsi="Arial" w:cs="Arial"/>
          <w:sz w:val="22"/>
          <w:szCs w:val="22"/>
        </w:rPr>
      </w:pPr>
      <w:r w:rsidRPr="004511C8">
        <w:rPr>
          <w:rFonts w:ascii="Arial" w:hAnsi="Arial" w:cs="Arial"/>
          <w:sz w:val="22"/>
          <w:szCs w:val="22"/>
        </w:rPr>
        <w:t xml:space="preserve">Combined, the results of this review imply </w:t>
      </w:r>
      <w:r w:rsidR="0060431B" w:rsidRPr="004511C8">
        <w:rPr>
          <w:rFonts w:ascii="Arial" w:hAnsi="Arial" w:cs="Arial"/>
          <w:sz w:val="22"/>
          <w:szCs w:val="22"/>
        </w:rPr>
        <w:t>several</w:t>
      </w:r>
      <w:r w:rsidRPr="004511C8">
        <w:rPr>
          <w:rFonts w:ascii="Arial" w:hAnsi="Arial" w:cs="Arial"/>
          <w:sz w:val="22"/>
          <w:szCs w:val="22"/>
        </w:rPr>
        <w:t xml:space="preserve"> implications </w:t>
      </w:r>
      <w:r w:rsidR="00BD41FB" w:rsidRPr="004511C8">
        <w:rPr>
          <w:rFonts w:ascii="Arial" w:hAnsi="Arial" w:cs="Arial"/>
          <w:sz w:val="22"/>
          <w:szCs w:val="22"/>
        </w:rPr>
        <w:t>for</w:t>
      </w:r>
      <w:r w:rsidRPr="004511C8">
        <w:rPr>
          <w:rFonts w:ascii="Arial" w:hAnsi="Arial" w:cs="Arial"/>
          <w:sz w:val="22"/>
          <w:szCs w:val="22"/>
        </w:rPr>
        <w:t xml:space="preserve"> UK public health and sexual health services. To begin with, it is necessary to continue investing in surveillance. In the absence of effective surveillance, resistance patterns can be detected when it is too late to act to counter them. Second, guidance on treatment should be flexible and evidence-based due to the current risk of antibiotic resistance. Third, the resistance monitoring should be included in the public health response, as the outbreak investigation and prevention work are obviously related. Fourth, sexual health services must </w:t>
      </w:r>
      <w:r w:rsidR="0060431B" w:rsidRPr="004511C8">
        <w:rPr>
          <w:rFonts w:ascii="Arial" w:hAnsi="Arial" w:cs="Arial"/>
          <w:sz w:val="22"/>
          <w:szCs w:val="22"/>
        </w:rPr>
        <w:t>consider</w:t>
      </w:r>
      <w:r w:rsidRPr="004511C8">
        <w:rPr>
          <w:rFonts w:ascii="Arial" w:hAnsi="Arial" w:cs="Arial"/>
          <w:sz w:val="22"/>
          <w:szCs w:val="22"/>
        </w:rPr>
        <w:t xml:space="preserve"> how gonorrhoea resistance is communicated and managed by the younger population, especially with barriers to access, stigma or low risk perception affecting access. Lastly, it can be proposed based on the findings </w:t>
      </w:r>
      <w:r w:rsidRPr="004511C8">
        <w:rPr>
          <w:rFonts w:ascii="Arial" w:hAnsi="Arial" w:cs="Arial"/>
          <w:sz w:val="22"/>
          <w:szCs w:val="22"/>
        </w:rPr>
        <w:lastRenderedPageBreak/>
        <w:t>that the public health strategies towards gonococcal AMR need to be more holistic, integrating microbiological vigilance with behavioural, service and population-based strategies.</w:t>
      </w:r>
    </w:p>
    <w:p w14:paraId="6D6695B9" w14:textId="77777777" w:rsidR="00DD28A5" w:rsidRPr="004511C8" w:rsidRDefault="00DD28A5" w:rsidP="005F4984">
      <w:pPr>
        <w:rPr>
          <w:rFonts w:ascii="Arial" w:hAnsi="Arial" w:cs="Arial"/>
          <w:sz w:val="22"/>
          <w:szCs w:val="22"/>
        </w:rPr>
      </w:pPr>
      <w:r w:rsidRPr="004511C8">
        <w:rPr>
          <w:rFonts w:ascii="Arial" w:hAnsi="Arial" w:cs="Arial"/>
          <w:sz w:val="22"/>
          <w:szCs w:val="22"/>
        </w:rPr>
        <w:t>Altogether, the discourse proves that the issue of gonococcal antimicrobial resistance in the UK cannot be reduced to the issue of resistant organisms. It is a broader issue of surveillance, treatment, policy, service delivery and population health. The evidence reviewed demonstrates that the UK has worked out a robust surveillance-oriented response, yet also that there are still gaps in evidence of significance. Specifically, younger adults and the social aspects of resistant infection should be addressed more directly in case the reaction to gonococcal AMR is to be more comprehensive and efficient.</w:t>
      </w:r>
    </w:p>
    <w:p w14:paraId="75DACE0B" w14:textId="77777777" w:rsidR="00DD28A5" w:rsidRPr="004511C8" w:rsidRDefault="00DD28A5" w:rsidP="005F4984">
      <w:pPr>
        <w:rPr>
          <w:rFonts w:ascii="Arial" w:hAnsi="Arial" w:cs="Arial"/>
          <w:sz w:val="22"/>
          <w:szCs w:val="22"/>
        </w:rPr>
      </w:pPr>
    </w:p>
    <w:p w14:paraId="661F7A79" w14:textId="77777777" w:rsidR="00DD28A5" w:rsidRPr="004511C8" w:rsidRDefault="00DD28A5" w:rsidP="005F4984">
      <w:pPr>
        <w:pStyle w:val="Heading2"/>
        <w:rPr>
          <w:rFonts w:ascii="Arial" w:hAnsi="Arial" w:cs="Arial"/>
          <w:sz w:val="22"/>
          <w:szCs w:val="22"/>
        </w:rPr>
      </w:pPr>
      <w:bookmarkStart w:id="50" w:name="_Toc229082807"/>
      <w:r w:rsidRPr="004511C8">
        <w:rPr>
          <w:rFonts w:ascii="Arial" w:hAnsi="Arial" w:cs="Arial"/>
          <w:sz w:val="22"/>
          <w:szCs w:val="22"/>
        </w:rPr>
        <w:t>6.3 Strengths and Limitations</w:t>
      </w:r>
      <w:bookmarkEnd w:id="50"/>
    </w:p>
    <w:p w14:paraId="60AA652C" w14:textId="19B248D5" w:rsidR="00DD28A5" w:rsidRPr="004511C8" w:rsidRDefault="00DD28A5" w:rsidP="005F4984">
      <w:pPr>
        <w:rPr>
          <w:rFonts w:ascii="Arial" w:hAnsi="Arial" w:cs="Arial"/>
          <w:sz w:val="22"/>
          <w:szCs w:val="22"/>
        </w:rPr>
      </w:pPr>
      <w:r w:rsidRPr="004511C8">
        <w:rPr>
          <w:rFonts w:ascii="Arial" w:hAnsi="Arial" w:cs="Arial"/>
          <w:sz w:val="22"/>
          <w:szCs w:val="22"/>
        </w:rPr>
        <w:t xml:space="preserve">This review has </w:t>
      </w:r>
      <w:proofErr w:type="gramStart"/>
      <w:r w:rsidRPr="004511C8">
        <w:rPr>
          <w:rFonts w:ascii="Arial" w:hAnsi="Arial" w:cs="Arial"/>
          <w:sz w:val="22"/>
          <w:szCs w:val="22"/>
        </w:rPr>
        <w:t>a number of</w:t>
      </w:r>
      <w:proofErr w:type="gramEnd"/>
      <w:r w:rsidRPr="004511C8">
        <w:rPr>
          <w:rFonts w:ascii="Arial" w:hAnsi="Arial" w:cs="Arial"/>
          <w:sz w:val="22"/>
          <w:szCs w:val="22"/>
        </w:rPr>
        <w:t xml:space="preserve"> strengths. It employed a systematic literature review, firstly, which enhanced transparency, consistency and reproducibility in identifying, selecting and </w:t>
      </w:r>
      <w:r w:rsidR="00BD41FB" w:rsidRPr="004511C8">
        <w:rPr>
          <w:rFonts w:ascii="Arial" w:hAnsi="Arial" w:cs="Arial"/>
          <w:sz w:val="22"/>
          <w:szCs w:val="22"/>
        </w:rPr>
        <w:t>synthesising</w:t>
      </w:r>
      <w:r w:rsidRPr="004511C8">
        <w:rPr>
          <w:rFonts w:ascii="Arial" w:hAnsi="Arial" w:cs="Arial"/>
          <w:sz w:val="22"/>
          <w:szCs w:val="22"/>
        </w:rPr>
        <w:t xml:space="preserve"> the relevant evidence (Page et al. 2021; Higgins and Thomas, 2024). Second, the review was UK-</w:t>
      </w:r>
      <w:r w:rsidR="0060431B" w:rsidRPr="004511C8">
        <w:rPr>
          <w:rFonts w:ascii="Arial" w:hAnsi="Arial" w:cs="Arial"/>
          <w:sz w:val="22"/>
          <w:szCs w:val="22"/>
        </w:rPr>
        <w:t>specific,</w:t>
      </w:r>
      <w:r w:rsidRPr="004511C8">
        <w:rPr>
          <w:rFonts w:ascii="Arial" w:hAnsi="Arial" w:cs="Arial"/>
          <w:sz w:val="22"/>
          <w:szCs w:val="22"/>
        </w:rPr>
        <w:t xml:space="preserve"> and this made the review more relevant to national sexual health services, surveillance systems and public health policy. Third, the focus on the recent evidence reinforced the modern importance of the review, particularly concerning the current-day resistance issues such as ceftriaxone resistance and continuous surveillance response (Day et al. 2022; UK Health Security Agency, 2025). Lastly, the review is also explicitly relevant to public health since it connects microbiological resistance to treatment efficacy, consequences of outbreaks and service to control.</w:t>
      </w:r>
    </w:p>
    <w:p w14:paraId="03F8346F" w14:textId="59C59F92" w:rsidR="00DD28A5" w:rsidRPr="004511C8" w:rsidRDefault="00DD28A5" w:rsidP="005F4984">
      <w:pPr>
        <w:rPr>
          <w:rFonts w:ascii="Arial" w:hAnsi="Arial" w:cs="Arial"/>
          <w:sz w:val="22"/>
          <w:szCs w:val="22"/>
        </w:rPr>
      </w:pPr>
      <w:r w:rsidRPr="004511C8">
        <w:rPr>
          <w:rFonts w:ascii="Arial" w:hAnsi="Arial" w:cs="Arial"/>
          <w:sz w:val="22"/>
          <w:szCs w:val="22"/>
        </w:rPr>
        <w:t xml:space="preserve">Nevertheless, there are </w:t>
      </w:r>
      <w:r w:rsidR="00BD41FB" w:rsidRPr="004511C8">
        <w:rPr>
          <w:rFonts w:ascii="Arial" w:hAnsi="Arial" w:cs="Arial"/>
          <w:sz w:val="22"/>
          <w:szCs w:val="22"/>
        </w:rPr>
        <w:t>several</w:t>
      </w:r>
      <w:r w:rsidRPr="004511C8">
        <w:rPr>
          <w:rFonts w:ascii="Arial" w:hAnsi="Arial" w:cs="Arial"/>
          <w:sz w:val="22"/>
          <w:szCs w:val="22"/>
        </w:rPr>
        <w:t xml:space="preserve"> limitations to be taken into consideration. The new evidence base in the UK alone was not very large, thus narrowing down the scope of the eligible studies. Moreover, there were hardly any studies that concentrated on the ages of 18-21, which implied that the implications on young adults were most of the time to be inferred, as opposed to being directly confirmed. Surveillance and observational studies were also used extensively in the review, and these designs are good at tracking trends, but not at describing behavioural or experiential aspects. There was a dearth of qualitative evidence, diminishing the understanding of patient-centred and service-level problems. Lastly, the available evidence might have been biased by publication bias</w:t>
      </w:r>
      <w:r w:rsidR="00BD41FB" w:rsidRPr="004511C8">
        <w:rPr>
          <w:rFonts w:ascii="Arial" w:hAnsi="Arial" w:cs="Arial"/>
          <w:sz w:val="22"/>
          <w:szCs w:val="22"/>
        </w:rPr>
        <w:t>,</w:t>
      </w:r>
      <w:r w:rsidRPr="004511C8">
        <w:rPr>
          <w:rFonts w:ascii="Arial" w:hAnsi="Arial" w:cs="Arial"/>
          <w:sz w:val="22"/>
          <w:szCs w:val="22"/>
        </w:rPr>
        <w:t xml:space="preserve"> whereby unusual cases, resistant cases or those of clinical importance are more likely to be published than otherwise.</w:t>
      </w:r>
    </w:p>
    <w:p w14:paraId="64004BEE" w14:textId="77777777" w:rsidR="00DD28A5" w:rsidRPr="004511C8" w:rsidRDefault="00DD28A5" w:rsidP="005F4984">
      <w:pPr>
        <w:rPr>
          <w:rFonts w:ascii="Arial" w:hAnsi="Arial" w:cs="Arial"/>
          <w:sz w:val="22"/>
          <w:szCs w:val="22"/>
        </w:rPr>
      </w:pPr>
    </w:p>
    <w:p w14:paraId="7A6DDFD8" w14:textId="77777777" w:rsidR="00DD28A5" w:rsidRPr="004511C8" w:rsidRDefault="00DD28A5" w:rsidP="005F4984">
      <w:pPr>
        <w:pStyle w:val="Heading2"/>
        <w:rPr>
          <w:rFonts w:ascii="Arial" w:hAnsi="Arial" w:cs="Arial"/>
          <w:sz w:val="22"/>
          <w:szCs w:val="22"/>
        </w:rPr>
      </w:pPr>
      <w:bookmarkStart w:id="51" w:name="_Toc229082808"/>
      <w:r w:rsidRPr="004511C8">
        <w:rPr>
          <w:rFonts w:ascii="Arial" w:hAnsi="Arial" w:cs="Arial"/>
          <w:sz w:val="22"/>
          <w:szCs w:val="22"/>
        </w:rPr>
        <w:t>6.4 Chapter Summary</w:t>
      </w:r>
      <w:bookmarkEnd w:id="51"/>
    </w:p>
    <w:p w14:paraId="6431615F" w14:textId="0F016697" w:rsidR="00DD28A5" w:rsidRPr="004511C8" w:rsidRDefault="00DD28A5" w:rsidP="005F4984">
      <w:pPr>
        <w:rPr>
          <w:rFonts w:ascii="Arial" w:hAnsi="Arial" w:cs="Arial"/>
          <w:sz w:val="22"/>
          <w:szCs w:val="22"/>
        </w:rPr>
      </w:pPr>
      <w:r w:rsidRPr="004511C8">
        <w:rPr>
          <w:rFonts w:ascii="Arial" w:hAnsi="Arial" w:cs="Arial"/>
          <w:sz w:val="22"/>
          <w:szCs w:val="22"/>
        </w:rPr>
        <w:lastRenderedPageBreak/>
        <w:t xml:space="preserve">The key findings of the review have been interpreted in this chapter in connection </w:t>
      </w:r>
      <w:r w:rsidR="00BD41FB" w:rsidRPr="004511C8">
        <w:rPr>
          <w:rFonts w:ascii="Arial" w:hAnsi="Arial" w:cs="Arial"/>
          <w:sz w:val="22"/>
          <w:szCs w:val="22"/>
        </w:rPr>
        <w:t>with</w:t>
      </w:r>
      <w:r w:rsidRPr="004511C8">
        <w:rPr>
          <w:rFonts w:ascii="Arial" w:hAnsi="Arial" w:cs="Arial"/>
          <w:sz w:val="22"/>
          <w:szCs w:val="22"/>
        </w:rPr>
        <w:t xml:space="preserve"> the broader literature and the UK practice </w:t>
      </w:r>
      <w:r w:rsidR="00BD41FB" w:rsidRPr="004511C8">
        <w:rPr>
          <w:rFonts w:ascii="Arial" w:hAnsi="Arial" w:cs="Arial"/>
          <w:sz w:val="22"/>
          <w:szCs w:val="22"/>
        </w:rPr>
        <w:t>around</w:t>
      </w:r>
      <w:r w:rsidRPr="004511C8">
        <w:rPr>
          <w:rFonts w:ascii="Arial" w:hAnsi="Arial" w:cs="Arial"/>
          <w:sz w:val="22"/>
          <w:szCs w:val="22"/>
        </w:rPr>
        <w:t xml:space="preserve"> public health. It has </w:t>
      </w:r>
      <w:r w:rsidR="00BD41FB" w:rsidRPr="004511C8">
        <w:rPr>
          <w:rFonts w:ascii="Arial" w:hAnsi="Arial" w:cs="Arial"/>
          <w:sz w:val="22"/>
          <w:szCs w:val="22"/>
        </w:rPr>
        <w:t xml:space="preserve">been </w:t>
      </w:r>
      <w:r w:rsidRPr="004511C8">
        <w:rPr>
          <w:rFonts w:ascii="Arial" w:hAnsi="Arial" w:cs="Arial"/>
          <w:sz w:val="22"/>
          <w:szCs w:val="22"/>
        </w:rPr>
        <w:t>indicated that gonococcal antimicrobial resistance is a dynamic issue that is determined by surveillance, multidrug resistance, failure to treat and continue its spread in networks. These implications of such findings to the younger populations and sexual health services, as well as the strengths and limitations of the review</w:t>
      </w:r>
      <w:r w:rsidR="00BD41FB" w:rsidRPr="004511C8">
        <w:rPr>
          <w:rFonts w:ascii="Arial" w:hAnsi="Arial" w:cs="Arial"/>
          <w:sz w:val="22"/>
          <w:szCs w:val="22"/>
        </w:rPr>
        <w:t>,</w:t>
      </w:r>
      <w:r w:rsidRPr="004511C8">
        <w:rPr>
          <w:rFonts w:ascii="Arial" w:hAnsi="Arial" w:cs="Arial"/>
          <w:sz w:val="22"/>
          <w:szCs w:val="22"/>
        </w:rPr>
        <w:t xml:space="preserve"> were also discussed. In general, the data indicate that resistant gonorrhoea is a serious social problem in the UK and should be monitored. In the following chapter, the implications and recommendations are given</w:t>
      </w:r>
      <w:r w:rsidR="00BD41FB" w:rsidRPr="004511C8">
        <w:rPr>
          <w:rFonts w:ascii="Arial" w:hAnsi="Arial" w:cs="Arial"/>
          <w:sz w:val="22"/>
          <w:szCs w:val="22"/>
        </w:rPr>
        <w:t>,</w:t>
      </w:r>
      <w:r w:rsidRPr="004511C8">
        <w:rPr>
          <w:rFonts w:ascii="Arial" w:hAnsi="Arial" w:cs="Arial"/>
          <w:sz w:val="22"/>
          <w:szCs w:val="22"/>
        </w:rPr>
        <w:t xml:space="preserve"> and the overall conclusion of the study </w:t>
      </w:r>
      <w:r w:rsidR="00BD41FB" w:rsidRPr="004511C8">
        <w:rPr>
          <w:rFonts w:ascii="Arial" w:hAnsi="Arial" w:cs="Arial"/>
          <w:sz w:val="22"/>
          <w:szCs w:val="22"/>
        </w:rPr>
        <w:t xml:space="preserve">is </w:t>
      </w:r>
      <w:r w:rsidRPr="004511C8">
        <w:rPr>
          <w:rFonts w:ascii="Arial" w:hAnsi="Arial" w:cs="Arial"/>
          <w:sz w:val="22"/>
          <w:szCs w:val="22"/>
        </w:rPr>
        <w:t>made.</w:t>
      </w:r>
    </w:p>
    <w:p w14:paraId="557155BF" w14:textId="77777777" w:rsidR="00DD28A5" w:rsidRPr="004511C8" w:rsidRDefault="00DD28A5" w:rsidP="005F4984">
      <w:pPr>
        <w:rPr>
          <w:rFonts w:ascii="Arial" w:hAnsi="Arial" w:cs="Arial"/>
          <w:sz w:val="22"/>
          <w:szCs w:val="22"/>
        </w:rPr>
      </w:pPr>
    </w:p>
    <w:p w14:paraId="77F3713A" w14:textId="77777777" w:rsidR="00DD28A5" w:rsidRPr="004511C8" w:rsidRDefault="00DD28A5" w:rsidP="005F4984">
      <w:pPr>
        <w:rPr>
          <w:rFonts w:ascii="Arial" w:hAnsi="Arial" w:cs="Arial"/>
          <w:sz w:val="22"/>
          <w:szCs w:val="22"/>
        </w:rPr>
      </w:pPr>
    </w:p>
    <w:p w14:paraId="66B38D76" w14:textId="77777777" w:rsidR="003F51B7" w:rsidRPr="004511C8" w:rsidRDefault="003F51B7" w:rsidP="005F4984">
      <w:pPr>
        <w:jc w:val="left"/>
        <w:rPr>
          <w:rFonts w:ascii="Arial" w:hAnsi="Arial" w:cs="Arial"/>
          <w:sz w:val="22"/>
          <w:szCs w:val="22"/>
        </w:rPr>
      </w:pPr>
      <w:r w:rsidRPr="004511C8">
        <w:rPr>
          <w:rFonts w:ascii="Arial" w:hAnsi="Arial" w:cs="Arial"/>
          <w:sz w:val="22"/>
          <w:szCs w:val="22"/>
        </w:rPr>
        <w:br w:type="page"/>
      </w:r>
    </w:p>
    <w:p w14:paraId="514BAD0A" w14:textId="2E82B056" w:rsidR="00DD28A5" w:rsidRPr="004511C8" w:rsidRDefault="00DD28A5" w:rsidP="005F4984">
      <w:pPr>
        <w:pStyle w:val="Heading1"/>
        <w:rPr>
          <w:rFonts w:ascii="Arial" w:hAnsi="Arial" w:cs="Arial"/>
          <w:sz w:val="22"/>
          <w:szCs w:val="22"/>
        </w:rPr>
      </w:pPr>
      <w:bookmarkStart w:id="52" w:name="_Toc229082809"/>
      <w:r w:rsidRPr="004511C8">
        <w:rPr>
          <w:rFonts w:ascii="Arial" w:hAnsi="Arial" w:cs="Arial"/>
          <w:sz w:val="22"/>
          <w:szCs w:val="22"/>
        </w:rPr>
        <w:lastRenderedPageBreak/>
        <w:t>CHAPTER 7: RECOMMENDATIONS AND CONCLUSION</w:t>
      </w:r>
      <w:bookmarkEnd w:id="52"/>
    </w:p>
    <w:p w14:paraId="63486580" w14:textId="77777777" w:rsidR="003F51B7" w:rsidRPr="004511C8" w:rsidRDefault="003F51B7" w:rsidP="005F4984">
      <w:pPr>
        <w:rPr>
          <w:rFonts w:ascii="Arial" w:hAnsi="Arial" w:cs="Arial"/>
          <w:sz w:val="22"/>
          <w:szCs w:val="22"/>
        </w:rPr>
      </w:pPr>
    </w:p>
    <w:p w14:paraId="5F3A32EB" w14:textId="1146C6E1" w:rsidR="00DD28A5" w:rsidRPr="004511C8" w:rsidRDefault="00DD28A5" w:rsidP="005F4984">
      <w:pPr>
        <w:pStyle w:val="Heading2"/>
        <w:rPr>
          <w:rFonts w:ascii="Arial" w:hAnsi="Arial" w:cs="Arial"/>
          <w:sz w:val="22"/>
          <w:szCs w:val="22"/>
        </w:rPr>
      </w:pPr>
      <w:bookmarkStart w:id="53" w:name="_Toc229082810"/>
      <w:r w:rsidRPr="004511C8">
        <w:rPr>
          <w:rFonts w:ascii="Arial" w:hAnsi="Arial" w:cs="Arial"/>
          <w:sz w:val="22"/>
          <w:szCs w:val="22"/>
        </w:rPr>
        <w:t>7.1 Introduction to Chapter</w:t>
      </w:r>
      <w:bookmarkEnd w:id="53"/>
    </w:p>
    <w:p w14:paraId="56C05CDA" w14:textId="0B5E3A5D" w:rsidR="00DD28A5" w:rsidRPr="004511C8" w:rsidRDefault="00DD28A5" w:rsidP="005F4984">
      <w:pPr>
        <w:rPr>
          <w:rFonts w:ascii="Arial" w:hAnsi="Arial" w:cs="Arial"/>
          <w:sz w:val="22"/>
          <w:szCs w:val="22"/>
        </w:rPr>
      </w:pPr>
      <w:r w:rsidRPr="004511C8">
        <w:rPr>
          <w:rFonts w:ascii="Arial" w:hAnsi="Arial" w:cs="Arial"/>
          <w:sz w:val="22"/>
          <w:szCs w:val="22"/>
        </w:rPr>
        <w:t xml:space="preserve">The last chapter </w:t>
      </w:r>
      <w:r w:rsidR="0060431B" w:rsidRPr="004511C8">
        <w:rPr>
          <w:rFonts w:ascii="Arial" w:hAnsi="Arial" w:cs="Arial"/>
          <w:sz w:val="22"/>
          <w:szCs w:val="22"/>
        </w:rPr>
        <w:t>presents the implications of the review's findings, recommendations for practice,</w:t>
      </w:r>
      <w:r w:rsidRPr="004511C8">
        <w:rPr>
          <w:rFonts w:ascii="Arial" w:hAnsi="Arial" w:cs="Arial"/>
          <w:sz w:val="22"/>
          <w:szCs w:val="22"/>
        </w:rPr>
        <w:t xml:space="preserve"> future research, and the general conclusion of the study. </w:t>
      </w:r>
      <w:r w:rsidR="0060431B" w:rsidRPr="004511C8">
        <w:rPr>
          <w:rFonts w:ascii="Arial" w:hAnsi="Arial" w:cs="Arial"/>
          <w:sz w:val="22"/>
          <w:szCs w:val="22"/>
        </w:rPr>
        <w:t>The chapter aims</w:t>
      </w:r>
      <w:r w:rsidRPr="004511C8">
        <w:rPr>
          <w:rFonts w:ascii="Arial" w:hAnsi="Arial" w:cs="Arial"/>
          <w:sz w:val="22"/>
          <w:szCs w:val="22"/>
        </w:rPr>
        <w:t xml:space="preserve"> to shift the analysis and discussion into practical and academic implementation. Relying on the reviewed evidence, the chapter deliberates on gonococcal antimicrobial resistance implications on sexual health services, surveillance systems, antimicrobial stewardship and interventions based on young adult people in the United Kingdom. It also determines the areas that need additional research to enhance the evidence base. The chapter finishes by </w:t>
      </w:r>
      <w:r w:rsidR="00BD41FB" w:rsidRPr="004511C8">
        <w:rPr>
          <w:rFonts w:ascii="Arial" w:hAnsi="Arial" w:cs="Arial"/>
          <w:sz w:val="22"/>
          <w:szCs w:val="22"/>
        </w:rPr>
        <w:t>summarising</w:t>
      </w:r>
      <w:r w:rsidRPr="004511C8">
        <w:rPr>
          <w:rFonts w:ascii="Arial" w:hAnsi="Arial" w:cs="Arial"/>
          <w:sz w:val="22"/>
          <w:szCs w:val="22"/>
        </w:rPr>
        <w:t xml:space="preserve"> the key findings of the review and rephrasing their importance to the practice of public health and sexual health.</w:t>
      </w:r>
    </w:p>
    <w:p w14:paraId="2CB6FE39" w14:textId="77777777" w:rsidR="00DD28A5" w:rsidRPr="004511C8" w:rsidRDefault="00DD28A5" w:rsidP="005F4984">
      <w:pPr>
        <w:rPr>
          <w:rFonts w:ascii="Arial" w:hAnsi="Arial" w:cs="Arial"/>
          <w:sz w:val="22"/>
          <w:szCs w:val="22"/>
        </w:rPr>
      </w:pPr>
    </w:p>
    <w:p w14:paraId="0343A12F" w14:textId="77777777" w:rsidR="00DD28A5" w:rsidRPr="004511C8" w:rsidRDefault="00DD28A5" w:rsidP="005F4984">
      <w:pPr>
        <w:pStyle w:val="Heading2"/>
        <w:rPr>
          <w:rFonts w:ascii="Arial" w:hAnsi="Arial" w:cs="Arial"/>
          <w:sz w:val="22"/>
          <w:szCs w:val="22"/>
        </w:rPr>
      </w:pPr>
      <w:bookmarkStart w:id="54" w:name="_Toc229082811"/>
      <w:r w:rsidRPr="004511C8">
        <w:rPr>
          <w:rFonts w:ascii="Arial" w:hAnsi="Arial" w:cs="Arial"/>
          <w:sz w:val="22"/>
          <w:szCs w:val="22"/>
        </w:rPr>
        <w:t>7.2 Implications of Findings</w:t>
      </w:r>
      <w:bookmarkEnd w:id="54"/>
    </w:p>
    <w:p w14:paraId="548B3EB2" w14:textId="087B12AD" w:rsidR="00DD28A5" w:rsidRPr="004511C8" w:rsidRDefault="00DD28A5" w:rsidP="005F4984">
      <w:pPr>
        <w:rPr>
          <w:rFonts w:ascii="Arial" w:hAnsi="Arial" w:cs="Arial"/>
          <w:sz w:val="22"/>
          <w:szCs w:val="22"/>
        </w:rPr>
      </w:pPr>
      <w:r w:rsidRPr="004511C8">
        <w:rPr>
          <w:rFonts w:ascii="Arial" w:hAnsi="Arial" w:cs="Arial"/>
          <w:sz w:val="22"/>
          <w:szCs w:val="22"/>
        </w:rPr>
        <w:t xml:space="preserve">There are various implications of the findings of this review </w:t>
      </w:r>
      <w:r w:rsidR="00BD41FB" w:rsidRPr="004511C8">
        <w:rPr>
          <w:rFonts w:ascii="Arial" w:hAnsi="Arial" w:cs="Arial"/>
          <w:sz w:val="22"/>
          <w:szCs w:val="22"/>
        </w:rPr>
        <w:t>for</w:t>
      </w:r>
      <w:r w:rsidRPr="004511C8">
        <w:rPr>
          <w:rFonts w:ascii="Arial" w:hAnsi="Arial" w:cs="Arial"/>
          <w:sz w:val="22"/>
          <w:szCs w:val="22"/>
        </w:rPr>
        <w:t xml:space="preserve"> sexual health services in the UK. To start with, they demonstrate that gonococcal antimicrobial resistance is not just a microbiological problem but also a service delivery one, due to the impact of resistance on diagnosis, treatment routes, follow-up and outbreak management (Merrick et al. 2022; Fifer et al. 2019). Second, the review supports the significance of surveillance, especially the GRASP systems, since the early identification of resistance is the key to the timely reaction to the situation and the provision of treatment instructions to people (Delpech et al. 2009; Hughes, Nichols and Ison, 2011; UK Health Security Agency, 2025). Third, the results further </w:t>
      </w:r>
      <w:r w:rsidR="0060431B" w:rsidRPr="004511C8">
        <w:rPr>
          <w:rFonts w:ascii="Arial" w:hAnsi="Arial" w:cs="Arial"/>
          <w:sz w:val="22"/>
          <w:szCs w:val="22"/>
        </w:rPr>
        <w:t>emphasise</w:t>
      </w:r>
      <w:r w:rsidRPr="004511C8">
        <w:rPr>
          <w:rFonts w:ascii="Arial" w:hAnsi="Arial" w:cs="Arial"/>
          <w:sz w:val="22"/>
          <w:szCs w:val="22"/>
        </w:rPr>
        <w:t xml:space="preserve"> that antimicrobial stewardship is crucial because the rate of preservation of the actively used treatments is determined by the careful use of the remaining ones and continuous monitoring of drug resistance (</w:t>
      </w:r>
      <w:proofErr w:type="spellStart"/>
      <w:r w:rsidRPr="004511C8">
        <w:rPr>
          <w:rFonts w:ascii="Arial" w:hAnsi="Arial" w:cs="Arial"/>
          <w:sz w:val="22"/>
          <w:szCs w:val="22"/>
        </w:rPr>
        <w:t>Unemo</w:t>
      </w:r>
      <w:proofErr w:type="spellEnd"/>
      <w:r w:rsidRPr="004511C8">
        <w:rPr>
          <w:rFonts w:ascii="Arial" w:hAnsi="Arial" w:cs="Arial"/>
          <w:sz w:val="22"/>
          <w:szCs w:val="22"/>
        </w:rPr>
        <w:t xml:space="preserve"> and Shafer, 2014; Fifer et al.</w:t>
      </w:r>
      <w:r w:rsidR="0060431B" w:rsidRPr="004511C8">
        <w:rPr>
          <w:rFonts w:ascii="Arial" w:hAnsi="Arial" w:cs="Arial"/>
          <w:sz w:val="22"/>
          <w:szCs w:val="22"/>
        </w:rPr>
        <w:t xml:space="preserve"> </w:t>
      </w:r>
      <w:r w:rsidRPr="004511C8">
        <w:rPr>
          <w:rFonts w:ascii="Arial" w:hAnsi="Arial" w:cs="Arial"/>
          <w:sz w:val="22"/>
          <w:szCs w:val="22"/>
        </w:rPr>
        <w:t xml:space="preserve">2019). Lastly, the review indicates that sexual health interventions targeting young adults are still highly relevant, as </w:t>
      </w:r>
      <w:r w:rsidR="0060431B" w:rsidRPr="004511C8">
        <w:rPr>
          <w:rFonts w:ascii="Arial" w:hAnsi="Arial" w:cs="Arial"/>
          <w:sz w:val="22"/>
          <w:szCs w:val="22"/>
        </w:rPr>
        <w:t>even though</w:t>
      </w:r>
      <w:r w:rsidRPr="004511C8">
        <w:rPr>
          <w:rFonts w:ascii="Arial" w:hAnsi="Arial" w:cs="Arial"/>
          <w:sz w:val="22"/>
          <w:szCs w:val="22"/>
        </w:rPr>
        <w:t xml:space="preserve"> the literature seldom specifically addresses the ages of 18 to 21, younger populations still play an important role in gonorrhoea epidemiology and prevention planning (Whittles et al. 2018; UK Health Security Agency, 2024).</w:t>
      </w:r>
    </w:p>
    <w:p w14:paraId="7CF11C76" w14:textId="77777777" w:rsidR="00DD28A5" w:rsidRPr="004511C8" w:rsidRDefault="00DD28A5" w:rsidP="005F4984">
      <w:pPr>
        <w:rPr>
          <w:rFonts w:ascii="Arial" w:hAnsi="Arial" w:cs="Arial"/>
          <w:sz w:val="22"/>
          <w:szCs w:val="22"/>
        </w:rPr>
      </w:pPr>
    </w:p>
    <w:p w14:paraId="48DDDDFE" w14:textId="77777777" w:rsidR="00DD28A5" w:rsidRPr="004511C8" w:rsidRDefault="00DD28A5" w:rsidP="005F4984">
      <w:pPr>
        <w:pStyle w:val="Heading2"/>
        <w:rPr>
          <w:rFonts w:ascii="Arial" w:hAnsi="Arial" w:cs="Arial"/>
          <w:sz w:val="22"/>
          <w:szCs w:val="22"/>
        </w:rPr>
      </w:pPr>
      <w:bookmarkStart w:id="55" w:name="_Toc229082812"/>
      <w:r w:rsidRPr="004511C8">
        <w:rPr>
          <w:rFonts w:ascii="Arial" w:hAnsi="Arial" w:cs="Arial"/>
          <w:sz w:val="22"/>
          <w:szCs w:val="22"/>
        </w:rPr>
        <w:t>7.3 Recommendations for Practice</w:t>
      </w:r>
      <w:bookmarkEnd w:id="55"/>
    </w:p>
    <w:p w14:paraId="029A2E52" w14:textId="1092D296" w:rsidR="00DD28A5" w:rsidRPr="004511C8" w:rsidRDefault="00DD28A5" w:rsidP="005F4984">
      <w:pPr>
        <w:rPr>
          <w:rFonts w:ascii="Arial" w:hAnsi="Arial" w:cs="Arial"/>
          <w:sz w:val="22"/>
          <w:szCs w:val="22"/>
        </w:rPr>
      </w:pPr>
      <w:r w:rsidRPr="004511C8">
        <w:rPr>
          <w:rFonts w:ascii="Arial" w:hAnsi="Arial" w:cs="Arial"/>
          <w:sz w:val="22"/>
          <w:szCs w:val="22"/>
        </w:rPr>
        <w:t xml:space="preserve">Some practice recommendations come out of this review. To begin with, the surveillance of antimicrobial resistance to gonorrhoea needs to be reinforced throughout the UK, and the </w:t>
      </w:r>
      <w:r w:rsidRPr="004511C8">
        <w:rPr>
          <w:rFonts w:ascii="Arial" w:hAnsi="Arial" w:cs="Arial"/>
          <w:sz w:val="22"/>
          <w:szCs w:val="22"/>
        </w:rPr>
        <w:lastRenderedPageBreak/>
        <w:t>long-term monitoring of the laboratory-confirmed susceptibility and the national reporting systems should be maintained. This will be critical in detecting evolutionary changes in the patterns of resistance before they become more prevalent (Merrick et al. 2022; UK Health Security Agency, 2025). Second, sexual health services must enhance the prompt identification and investigation of resistant strains, especially where there is the suspicion of treatment failure or outbreak clustering. Third, sex education and prevention among young adults should be reinforced</w:t>
      </w:r>
      <w:r w:rsidR="004E6260" w:rsidRPr="004511C8">
        <w:rPr>
          <w:rFonts w:ascii="Arial" w:hAnsi="Arial" w:cs="Arial"/>
          <w:sz w:val="22"/>
          <w:szCs w:val="22"/>
        </w:rPr>
        <w:t>,</w:t>
      </w:r>
      <w:r w:rsidRPr="004511C8">
        <w:rPr>
          <w:rFonts w:ascii="Arial" w:hAnsi="Arial" w:cs="Arial"/>
          <w:sz w:val="22"/>
          <w:szCs w:val="22"/>
        </w:rPr>
        <w:t xml:space="preserve"> and communications over testing, </w:t>
      </w:r>
      <w:r w:rsidR="004E6260" w:rsidRPr="004511C8">
        <w:rPr>
          <w:rFonts w:ascii="Arial" w:hAnsi="Arial" w:cs="Arial"/>
          <w:sz w:val="22"/>
          <w:szCs w:val="22"/>
        </w:rPr>
        <w:t>treatment adherence</w:t>
      </w:r>
      <w:r w:rsidRPr="004511C8">
        <w:rPr>
          <w:rFonts w:ascii="Arial" w:hAnsi="Arial" w:cs="Arial"/>
          <w:sz w:val="22"/>
          <w:szCs w:val="22"/>
        </w:rPr>
        <w:t xml:space="preserve">, risk of reinfection and partner notification </w:t>
      </w:r>
      <w:r w:rsidR="004E6260" w:rsidRPr="004511C8">
        <w:rPr>
          <w:rFonts w:ascii="Arial" w:hAnsi="Arial" w:cs="Arial"/>
          <w:sz w:val="22"/>
          <w:szCs w:val="22"/>
        </w:rPr>
        <w:t xml:space="preserve">should be </w:t>
      </w:r>
      <w:r w:rsidRPr="004511C8">
        <w:rPr>
          <w:rFonts w:ascii="Arial" w:hAnsi="Arial" w:cs="Arial"/>
          <w:sz w:val="22"/>
          <w:szCs w:val="22"/>
        </w:rPr>
        <w:t xml:space="preserve">made clear. Fourth, effective partner notification and </w:t>
      </w:r>
      <w:r w:rsidR="004E6260" w:rsidRPr="004511C8">
        <w:rPr>
          <w:rFonts w:ascii="Arial" w:hAnsi="Arial" w:cs="Arial"/>
          <w:sz w:val="22"/>
          <w:szCs w:val="22"/>
        </w:rPr>
        <w:t>follow-up</w:t>
      </w:r>
      <w:r w:rsidRPr="004511C8">
        <w:rPr>
          <w:rFonts w:ascii="Arial" w:hAnsi="Arial" w:cs="Arial"/>
          <w:sz w:val="22"/>
          <w:szCs w:val="22"/>
        </w:rPr>
        <w:t xml:space="preserve"> should be a focus of services, as both are core to curbing onward transmission. Lastly, clinical practice must be well in line with the evidence-based treatment pathways, with the prescribing decisions based on the most updated national guidelines and surveillance evidence (Fifer et al. 2019; Fifer et al.</w:t>
      </w:r>
      <w:r w:rsidR="004E6260" w:rsidRPr="004511C8">
        <w:rPr>
          <w:rFonts w:ascii="Arial" w:hAnsi="Arial" w:cs="Arial"/>
          <w:sz w:val="22"/>
          <w:szCs w:val="22"/>
        </w:rPr>
        <w:t xml:space="preserve"> </w:t>
      </w:r>
      <w:r w:rsidRPr="004511C8">
        <w:rPr>
          <w:rFonts w:ascii="Arial" w:hAnsi="Arial" w:cs="Arial"/>
          <w:sz w:val="22"/>
          <w:szCs w:val="22"/>
        </w:rPr>
        <w:t>2025).</w:t>
      </w:r>
      <w:r w:rsidR="004E6260" w:rsidRPr="004511C8">
        <w:rPr>
          <w:rFonts w:ascii="Arial" w:hAnsi="Arial" w:cs="Arial"/>
          <w:sz w:val="22"/>
          <w:szCs w:val="22"/>
        </w:rPr>
        <w:t xml:space="preserve"> </w:t>
      </w:r>
    </w:p>
    <w:p w14:paraId="6FEFB97B" w14:textId="77777777" w:rsidR="00DD28A5" w:rsidRPr="004511C8" w:rsidRDefault="00DD28A5" w:rsidP="005F4984">
      <w:pPr>
        <w:rPr>
          <w:rFonts w:ascii="Arial" w:hAnsi="Arial" w:cs="Arial"/>
          <w:sz w:val="22"/>
          <w:szCs w:val="22"/>
        </w:rPr>
      </w:pPr>
    </w:p>
    <w:p w14:paraId="5AAB9EA4" w14:textId="77777777" w:rsidR="00DD28A5" w:rsidRPr="004511C8" w:rsidRDefault="00DD28A5" w:rsidP="005F4984">
      <w:pPr>
        <w:pStyle w:val="Heading2"/>
        <w:rPr>
          <w:rFonts w:ascii="Arial" w:hAnsi="Arial" w:cs="Arial"/>
          <w:sz w:val="22"/>
          <w:szCs w:val="22"/>
        </w:rPr>
      </w:pPr>
      <w:bookmarkStart w:id="56" w:name="_Toc229082813"/>
      <w:r w:rsidRPr="004511C8">
        <w:rPr>
          <w:rFonts w:ascii="Arial" w:hAnsi="Arial" w:cs="Arial"/>
          <w:sz w:val="22"/>
          <w:szCs w:val="22"/>
        </w:rPr>
        <w:t>7.4 Recommendations for Future Research</w:t>
      </w:r>
      <w:bookmarkEnd w:id="56"/>
    </w:p>
    <w:p w14:paraId="04F1ED32" w14:textId="0AD935FF" w:rsidR="00DD28A5" w:rsidRPr="004511C8" w:rsidRDefault="00DD28A5" w:rsidP="005F4984">
      <w:pPr>
        <w:rPr>
          <w:rFonts w:ascii="Arial" w:hAnsi="Arial" w:cs="Arial"/>
          <w:sz w:val="22"/>
          <w:szCs w:val="22"/>
        </w:rPr>
      </w:pPr>
      <w:r w:rsidRPr="004511C8">
        <w:rPr>
          <w:rFonts w:ascii="Arial" w:hAnsi="Arial" w:cs="Arial"/>
          <w:sz w:val="22"/>
          <w:szCs w:val="22"/>
        </w:rPr>
        <w:t xml:space="preserve">This review also establishes some priorities in future research. To begin with, the </w:t>
      </w:r>
      <w:r w:rsidR="004E6260" w:rsidRPr="004511C8">
        <w:rPr>
          <w:rFonts w:ascii="Arial" w:hAnsi="Arial" w:cs="Arial"/>
          <w:sz w:val="22"/>
          <w:szCs w:val="22"/>
        </w:rPr>
        <w:t>UK-based</w:t>
      </w:r>
      <w:r w:rsidRPr="004511C8">
        <w:rPr>
          <w:rFonts w:ascii="Arial" w:hAnsi="Arial" w:cs="Arial"/>
          <w:sz w:val="22"/>
          <w:szCs w:val="22"/>
        </w:rPr>
        <w:t xml:space="preserve"> research that specifically targets young adults, especially the age range 18-21 years, is in need because these individuals are frequently referred to as the </w:t>
      </w:r>
      <w:r w:rsidR="004E6260" w:rsidRPr="004511C8">
        <w:rPr>
          <w:rFonts w:ascii="Arial" w:hAnsi="Arial" w:cs="Arial"/>
          <w:sz w:val="22"/>
          <w:szCs w:val="22"/>
        </w:rPr>
        <w:t>ones</w:t>
      </w:r>
      <w:r w:rsidRPr="004511C8">
        <w:rPr>
          <w:rFonts w:ascii="Arial" w:hAnsi="Arial" w:cs="Arial"/>
          <w:sz w:val="22"/>
          <w:szCs w:val="22"/>
        </w:rPr>
        <w:t xml:space="preserve"> that is to be discussed, yet never directly addressed in gonorrhoea AMR literature. Second, more qualitative research on patient experiences and service use, treatment follow-up and implications of resistant gonorrhoea as lived is clearly necessary. This would assist in dealing with the existing supremacy of surveillance and observational evidence. Third, the existing UK empirical studies should be more recent to enable greater reinforcement of the evidence base of surveillance summaries and case reports. Fourth, the prevention, service access and barriers to engagement should be studied in the future, particularly in the context of younger populations and sexual health disparities. Lastly, additional research on behavioural and social factors of transmission and resistance needs to be conducted because the existing evidence base is more robust in the field of microbiological detection rather than the overall determinants of resistant infection.</w:t>
      </w:r>
    </w:p>
    <w:p w14:paraId="5025550E" w14:textId="77777777" w:rsidR="00DD28A5" w:rsidRPr="004511C8" w:rsidRDefault="00DD28A5" w:rsidP="005F4984">
      <w:pPr>
        <w:rPr>
          <w:rFonts w:ascii="Arial" w:hAnsi="Arial" w:cs="Arial"/>
          <w:sz w:val="22"/>
          <w:szCs w:val="22"/>
        </w:rPr>
      </w:pPr>
    </w:p>
    <w:p w14:paraId="433CD546" w14:textId="77777777" w:rsidR="00DD28A5" w:rsidRPr="004511C8" w:rsidRDefault="00DD28A5" w:rsidP="005F4984">
      <w:pPr>
        <w:pStyle w:val="Heading2"/>
        <w:rPr>
          <w:rFonts w:ascii="Arial" w:hAnsi="Arial" w:cs="Arial"/>
          <w:sz w:val="22"/>
          <w:szCs w:val="22"/>
        </w:rPr>
      </w:pPr>
      <w:bookmarkStart w:id="57" w:name="_Toc229082814"/>
      <w:r w:rsidRPr="004511C8">
        <w:rPr>
          <w:rFonts w:ascii="Arial" w:hAnsi="Arial" w:cs="Arial"/>
          <w:sz w:val="22"/>
          <w:szCs w:val="22"/>
        </w:rPr>
        <w:t>7.5 Conclusion</w:t>
      </w:r>
      <w:bookmarkEnd w:id="57"/>
    </w:p>
    <w:p w14:paraId="0FCEBA72" w14:textId="68F69789" w:rsidR="00DD28A5" w:rsidRPr="004511C8" w:rsidRDefault="00DD28A5" w:rsidP="005F4984">
      <w:pPr>
        <w:rPr>
          <w:rFonts w:ascii="Arial" w:hAnsi="Arial" w:cs="Arial"/>
          <w:sz w:val="22"/>
          <w:szCs w:val="22"/>
        </w:rPr>
      </w:pPr>
      <w:r w:rsidRPr="004511C8">
        <w:rPr>
          <w:rFonts w:ascii="Arial" w:hAnsi="Arial" w:cs="Arial"/>
          <w:sz w:val="22"/>
          <w:szCs w:val="22"/>
        </w:rPr>
        <w:t xml:space="preserve">In this dissertation, the researchers looked at the issue of antimicrobial resistance in gonorrhoea in the United Kingdom and its implications </w:t>
      </w:r>
      <w:r w:rsidR="004E6260" w:rsidRPr="004511C8">
        <w:rPr>
          <w:rFonts w:ascii="Arial" w:hAnsi="Arial" w:cs="Arial"/>
          <w:sz w:val="22"/>
          <w:szCs w:val="22"/>
        </w:rPr>
        <w:t>for</w:t>
      </w:r>
      <w:r w:rsidRPr="004511C8">
        <w:rPr>
          <w:rFonts w:ascii="Arial" w:hAnsi="Arial" w:cs="Arial"/>
          <w:sz w:val="22"/>
          <w:szCs w:val="22"/>
        </w:rPr>
        <w:t xml:space="preserve"> young adults. The question that informed the review is the following: </w:t>
      </w:r>
      <w:r w:rsidR="00905EA5" w:rsidRPr="004511C8">
        <w:rPr>
          <w:rFonts w:ascii="Arial" w:hAnsi="Arial" w:cs="Arial"/>
          <w:sz w:val="22"/>
          <w:szCs w:val="22"/>
        </w:rPr>
        <w:t xml:space="preserve">what is known from UK-based literature </w:t>
      </w:r>
      <w:r w:rsidRPr="004511C8">
        <w:rPr>
          <w:rFonts w:ascii="Arial" w:hAnsi="Arial" w:cs="Arial"/>
          <w:sz w:val="22"/>
          <w:szCs w:val="22"/>
        </w:rPr>
        <w:t xml:space="preserve">about antimicrobial resistance in gonorrhoea, and what does it mean to young adults? The literature </w:t>
      </w:r>
      <w:r w:rsidRPr="004511C8">
        <w:rPr>
          <w:rFonts w:ascii="Arial" w:hAnsi="Arial" w:cs="Arial"/>
          <w:sz w:val="22"/>
          <w:szCs w:val="22"/>
        </w:rPr>
        <w:lastRenderedPageBreak/>
        <w:t>review conducted on the topic in a systematic way explored the way resistance has changed, its surveillance, the emergence of multidrug-resistant strains and treatment failures, and the impact of such changes on the health of the population and sexual health services.</w:t>
      </w:r>
    </w:p>
    <w:p w14:paraId="08D35CFE" w14:textId="5DA7D9C8" w:rsidR="00DD28A5" w:rsidRPr="004511C8" w:rsidRDefault="00DD28A5" w:rsidP="005F4984">
      <w:pPr>
        <w:rPr>
          <w:rFonts w:ascii="Arial" w:hAnsi="Arial" w:cs="Arial"/>
          <w:sz w:val="22"/>
          <w:szCs w:val="22"/>
        </w:rPr>
      </w:pPr>
      <w:r w:rsidRPr="004511C8">
        <w:rPr>
          <w:rFonts w:ascii="Arial" w:hAnsi="Arial" w:cs="Arial"/>
          <w:sz w:val="22"/>
          <w:szCs w:val="22"/>
        </w:rPr>
        <w:t xml:space="preserve">The results indicate that the antimicrobial resistance in gonococcal is a critical and dynamic national health issue. The resistance to Neisseria </w:t>
      </w:r>
      <w:r w:rsidR="00DF73D1" w:rsidRPr="004511C8">
        <w:rPr>
          <w:rFonts w:ascii="Arial" w:hAnsi="Arial" w:cs="Arial"/>
          <w:sz w:val="22"/>
          <w:szCs w:val="22"/>
        </w:rPr>
        <w:t>gonorrhoea</w:t>
      </w:r>
      <w:r w:rsidRPr="004511C8">
        <w:rPr>
          <w:rFonts w:ascii="Arial" w:hAnsi="Arial" w:cs="Arial"/>
          <w:sz w:val="22"/>
          <w:szCs w:val="22"/>
        </w:rPr>
        <w:t xml:space="preserve"> has evolved with time, shifting </w:t>
      </w:r>
      <w:r w:rsidR="00F36DDA" w:rsidRPr="004511C8">
        <w:rPr>
          <w:rFonts w:ascii="Arial" w:hAnsi="Arial" w:cs="Arial"/>
          <w:sz w:val="22"/>
          <w:szCs w:val="22"/>
        </w:rPr>
        <w:t>from</w:t>
      </w:r>
      <w:r w:rsidRPr="004511C8">
        <w:rPr>
          <w:rFonts w:ascii="Arial" w:hAnsi="Arial" w:cs="Arial"/>
          <w:sz w:val="22"/>
          <w:szCs w:val="22"/>
        </w:rPr>
        <w:t xml:space="preserve"> the older antibiotics to more recent issues of cefixime, azithromycin and ceftriaxone (</w:t>
      </w:r>
      <w:proofErr w:type="spellStart"/>
      <w:r w:rsidRPr="004511C8">
        <w:rPr>
          <w:rFonts w:ascii="Arial" w:hAnsi="Arial" w:cs="Arial"/>
          <w:sz w:val="22"/>
          <w:szCs w:val="22"/>
        </w:rPr>
        <w:t>Unemo</w:t>
      </w:r>
      <w:proofErr w:type="spellEnd"/>
      <w:r w:rsidRPr="004511C8">
        <w:rPr>
          <w:rFonts w:ascii="Arial" w:hAnsi="Arial" w:cs="Arial"/>
          <w:sz w:val="22"/>
          <w:szCs w:val="22"/>
        </w:rPr>
        <w:t xml:space="preserve"> and Shafer, 2014; </w:t>
      </w:r>
      <w:proofErr w:type="spellStart"/>
      <w:r w:rsidRPr="004511C8">
        <w:rPr>
          <w:rFonts w:ascii="Arial" w:hAnsi="Arial" w:cs="Arial"/>
          <w:sz w:val="22"/>
          <w:szCs w:val="22"/>
        </w:rPr>
        <w:t>Aitolo</w:t>
      </w:r>
      <w:proofErr w:type="spellEnd"/>
      <w:r w:rsidRPr="004511C8">
        <w:rPr>
          <w:rFonts w:ascii="Arial" w:hAnsi="Arial" w:cs="Arial"/>
          <w:sz w:val="22"/>
          <w:szCs w:val="22"/>
        </w:rPr>
        <w:t xml:space="preserve"> et al. 2021). GRASP and other surveillance systems have been at the forefront in the UK to help identify trends of resistance and guide treatment policy (Delpech et al. 2009; Hughes, Nichols and Ison, 2011; UK Health Security Agency, 2025). It is also evident in the review that there is strong evidence of multidrug resistance, persistence of outbreaks, and treatment failure, all of which indicate that resistant gonorrhoea is not a hypothetical threat but a practical and clinical and public health issue (Clifton et al.</w:t>
      </w:r>
      <w:r w:rsidR="00F36DDA" w:rsidRPr="004511C8">
        <w:rPr>
          <w:rFonts w:ascii="Arial" w:hAnsi="Arial" w:cs="Arial"/>
          <w:sz w:val="22"/>
          <w:szCs w:val="22"/>
        </w:rPr>
        <w:t xml:space="preserve"> </w:t>
      </w:r>
      <w:r w:rsidRPr="004511C8">
        <w:rPr>
          <w:rFonts w:ascii="Arial" w:hAnsi="Arial" w:cs="Arial"/>
          <w:sz w:val="22"/>
          <w:szCs w:val="22"/>
        </w:rPr>
        <w:t>2017; Eyre et al. 2018; Day et al. 2022</w:t>
      </w:r>
      <w:r w:rsidR="00E02A7F" w:rsidRPr="004511C8">
        <w:rPr>
          <w:rFonts w:ascii="Arial" w:hAnsi="Arial" w:cs="Arial"/>
          <w:sz w:val="22"/>
          <w:szCs w:val="22"/>
        </w:rPr>
        <w:t>).</w:t>
      </w:r>
    </w:p>
    <w:p w14:paraId="2FA32AE1" w14:textId="6023A195" w:rsidR="00DD28A5" w:rsidRPr="004511C8" w:rsidRDefault="00DD28A5" w:rsidP="005F4984">
      <w:pPr>
        <w:rPr>
          <w:rFonts w:ascii="Arial" w:hAnsi="Arial" w:cs="Arial"/>
          <w:sz w:val="22"/>
          <w:szCs w:val="22"/>
        </w:rPr>
      </w:pPr>
      <w:r w:rsidRPr="004511C8">
        <w:rPr>
          <w:rFonts w:ascii="Arial" w:hAnsi="Arial" w:cs="Arial"/>
          <w:sz w:val="22"/>
          <w:szCs w:val="22"/>
        </w:rPr>
        <w:t xml:space="preserve">Meanwhile, the review has identified significant literature gaps. </w:t>
      </w:r>
      <w:proofErr w:type="gramStart"/>
      <w:r w:rsidR="00F36DDA" w:rsidRPr="004511C8">
        <w:rPr>
          <w:rFonts w:ascii="Arial" w:hAnsi="Arial" w:cs="Arial"/>
          <w:sz w:val="22"/>
          <w:szCs w:val="22"/>
        </w:rPr>
        <w:t>The majority</w:t>
      </w:r>
      <w:r w:rsidRPr="004511C8">
        <w:rPr>
          <w:rFonts w:ascii="Arial" w:hAnsi="Arial" w:cs="Arial"/>
          <w:sz w:val="22"/>
          <w:szCs w:val="22"/>
        </w:rPr>
        <w:t xml:space="preserve"> of</w:t>
      </w:r>
      <w:proofErr w:type="gramEnd"/>
      <w:r w:rsidRPr="004511C8">
        <w:rPr>
          <w:rFonts w:ascii="Arial" w:hAnsi="Arial" w:cs="Arial"/>
          <w:sz w:val="22"/>
          <w:szCs w:val="22"/>
        </w:rPr>
        <w:t xml:space="preserve"> studies in the UK are surveillance-based or observational and not limited to the age group of 18-21, but on a broader population of clinics. This implies that the relevance of gonococcal AMR to young adults is obvious, although in most cases, indirect. Consequently, the existing evidence base is robust in surveillance of resistance and observing emerging threats, less so in exploring lived experiences, service barriers and the unique needs of younger populations. This is a significant drawback as the role of gonorrhoea in younger age groups in </w:t>
      </w:r>
      <w:r w:rsidR="00F36DDA" w:rsidRPr="004511C8">
        <w:rPr>
          <w:rFonts w:ascii="Arial" w:hAnsi="Arial" w:cs="Arial"/>
          <w:sz w:val="22"/>
          <w:szCs w:val="22"/>
        </w:rPr>
        <w:t xml:space="preserve">the </w:t>
      </w:r>
      <w:r w:rsidRPr="004511C8">
        <w:rPr>
          <w:rFonts w:ascii="Arial" w:hAnsi="Arial" w:cs="Arial"/>
          <w:sz w:val="22"/>
          <w:szCs w:val="22"/>
        </w:rPr>
        <w:t>UK sexual health continues to be significant.</w:t>
      </w:r>
    </w:p>
    <w:p w14:paraId="21B0D2D5" w14:textId="32308DC4" w:rsidR="00DD28A5" w:rsidRPr="004511C8" w:rsidRDefault="00DD28A5" w:rsidP="005F4984">
      <w:pPr>
        <w:rPr>
          <w:rFonts w:ascii="Arial" w:hAnsi="Arial" w:cs="Arial"/>
          <w:sz w:val="22"/>
          <w:szCs w:val="22"/>
        </w:rPr>
      </w:pPr>
      <w:r w:rsidRPr="004511C8">
        <w:rPr>
          <w:rFonts w:ascii="Arial" w:hAnsi="Arial" w:cs="Arial"/>
          <w:sz w:val="22"/>
          <w:szCs w:val="22"/>
        </w:rPr>
        <w:t xml:space="preserve">In general, this paper finds that antimicrobial resistance of gonorrhoea is a significant issue </w:t>
      </w:r>
      <w:r w:rsidR="00F36DDA" w:rsidRPr="004511C8">
        <w:rPr>
          <w:rFonts w:ascii="Arial" w:hAnsi="Arial" w:cs="Arial"/>
          <w:sz w:val="22"/>
          <w:szCs w:val="22"/>
        </w:rPr>
        <w:t>for</w:t>
      </w:r>
      <w:r w:rsidRPr="004511C8">
        <w:rPr>
          <w:rFonts w:ascii="Arial" w:hAnsi="Arial" w:cs="Arial"/>
          <w:sz w:val="22"/>
          <w:szCs w:val="22"/>
        </w:rPr>
        <w:t xml:space="preserve"> UK public health, sexual health services and antimicrobial stewardship. This evidence reveals that sustained surveillance, responsive clinical advice and more robust prevention measures are all needed to contain resistant gonorrhoea. It also shows that the younger populations and service-level experience should be studied more closely. Finally, the issue of gonococcal antimicrobial resistance must be interpreted beyond just microbiological hazard, but as an immediate and dynamic social health problem that needs the concerted, evidence-based and population-responsive intervention.</w:t>
      </w:r>
    </w:p>
    <w:p w14:paraId="1794E7BC" w14:textId="77777777" w:rsidR="00DD28A5" w:rsidRPr="004511C8" w:rsidRDefault="00DD28A5" w:rsidP="005F4984">
      <w:pPr>
        <w:rPr>
          <w:rFonts w:ascii="Arial" w:hAnsi="Arial" w:cs="Arial"/>
          <w:sz w:val="22"/>
          <w:szCs w:val="22"/>
        </w:rPr>
      </w:pPr>
    </w:p>
    <w:p w14:paraId="468ACD2C" w14:textId="77777777" w:rsidR="00DD28A5" w:rsidRPr="004511C8" w:rsidRDefault="00DD28A5" w:rsidP="005F4984">
      <w:pPr>
        <w:rPr>
          <w:rFonts w:ascii="Arial" w:hAnsi="Arial" w:cs="Arial"/>
          <w:sz w:val="22"/>
          <w:szCs w:val="22"/>
        </w:rPr>
      </w:pPr>
    </w:p>
    <w:p w14:paraId="0CB467DE" w14:textId="549EF28B" w:rsidR="00096E52" w:rsidRPr="004511C8" w:rsidRDefault="00096E52" w:rsidP="005F4984">
      <w:pPr>
        <w:rPr>
          <w:rFonts w:ascii="Arial" w:hAnsi="Arial" w:cs="Arial"/>
          <w:sz w:val="22"/>
          <w:szCs w:val="22"/>
        </w:rPr>
      </w:pPr>
    </w:p>
    <w:p w14:paraId="28A86EA1" w14:textId="77777777" w:rsidR="00096E52" w:rsidRPr="004511C8" w:rsidRDefault="00096E52" w:rsidP="005F4984">
      <w:pPr>
        <w:jc w:val="left"/>
        <w:rPr>
          <w:rFonts w:ascii="Arial" w:hAnsi="Arial" w:cs="Arial"/>
          <w:b/>
          <w:bCs/>
          <w:sz w:val="22"/>
          <w:szCs w:val="22"/>
        </w:rPr>
      </w:pPr>
      <w:r w:rsidRPr="004511C8">
        <w:rPr>
          <w:rFonts w:ascii="Arial" w:hAnsi="Arial" w:cs="Arial"/>
          <w:sz w:val="22"/>
          <w:szCs w:val="22"/>
        </w:rPr>
        <w:br w:type="page"/>
      </w:r>
    </w:p>
    <w:p w14:paraId="4DDDEB20" w14:textId="5FE54EF2" w:rsidR="000A0F50" w:rsidRPr="004511C8" w:rsidRDefault="00C76201" w:rsidP="005F4984">
      <w:pPr>
        <w:pStyle w:val="Heading1"/>
        <w:rPr>
          <w:rFonts w:ascii="Arial" w:hAnsi="Arial" w:cs="Arial"/>
          <w:sz w:val="22"/>
          <w:szCs w:val="22"/>
        </w:rPr>
      </w:pPr>
      <w:bookmarkStart w:id="58" w:name="_Toc229082815"/>
      <w:r w:rsidRPr="004511C8">
        <w:rPr>
          <w:rFonts w:ascii="Arial" w:hAnsi="Arial" w:cs="Arial"/>
          <w:sz w:val="22"/>
          <w:szCs w:val="22"/>
        </w:rPr>
        <w:lastRenderedPageBreak/>
        <w:t>REFERENCES</w:t>
      </w:r>
      <w:bookmarkEnd w:id="58"/>
    </w:p>
    <w:p w14:paraId="0CE1B636" w14:textId="77777777" w:rsidR="0060431B" w:rsidRPr="004511C8" w:rsidRDefault="0060431B" w:rsidP="005F4984">
      <w:pPr>
        <w:rPr>
          <w:rFonts w:ascii="Arial" w:hAnsi="Arial" w:cs="Arial"/>
          <w:sz w:val="22"/>
          <w:szCs w:val="22"/>
        </w:rPr>
      </w:pPr>
    </w:p>
    <w:p w14:paraId="4A17F5FB" w14:textId="77777777" w:rsidR="0060431B" w:rsidRPr="004511C8" w:rsidRDefault="0060431B" w:rsidP="00F36DDA">
      <w:pPr>
        <w:pStyle w:val="NormalWeb"/>
        <w:spacing w:before="0" w:beforeAutospacing="0" w:after="240" w:afterAutospacing="0" w:line="360" w:lineRule="auto"/>
        <w:rPr>
          <w:rFonts w:ascii="Arial" w:hAnsi="Arial" w:cs="Arial"/>
          <w:sz w:val="22"/>
          <w:szCs w:val="22"/>
          <w:lang w:val="fr-BE"/>
        </w:rPr>
      </w:pPr>
      <w:r w:rsidRPr="004511C8">
        <w:rPr>
          <w:rFonts w:ascii="Arial" w:hAnsi="Arial" w:cs="Arial"/>
          <w:sz w:val="22"/>
          <w:szCs w:val="22"/>
        </w:rPr>
        <w:t xml:space="preserve">Aarestrup, F.M. and Woolhouse, M.E.J. (2020). Using sewage for surveillance of antimicrobial resistance. </w:t>
      </w:r>
      <w:r w:rsidRPr="004511C8">
        <w:rPr>
          <w:rFonts w:ascii="Arial" w:hAnsi="Arial" w:cs="Arial"/>
          <w:i/>
          <w:iCs/>
          <w:sz w:val="22"/>
          <w:szCs w:val="22"/>
          <w:lang w:val="fr-BE"/>
        </w:rPr>
        <w:t>Science</w:t>
      </w:r>
      <w:r w:rsidRPr="004511C8">
        <w:rPr>
          <w:rFonts w:ascii="Arial" w:hAnsi="Arial" w:cs="Arial"/>
          <w:sz w:val="22"/>
          <w:szCs w:val="22"/>
          <w:lang w:val="fr-BE"/>
        </w:rPr>
        <w:t xml:space="preserve">, 367(6478), pp.630–632. </w:t>
      </w:r>
      <w:proofErr w:type="spellStart"/>
      <w:proofErr w:type="gramStart"/>
      <w:r w:rsidRPr="004511C8">
        <w:rPr>
          <w:rFonts w:ascii="Arial" w:hAnsi="Arial" w:cs="Arial"/>
          <w:sz w:val="22"/>
          <w:szCs w:val="22"/>
          <w:lang w:val="fr-BE"/>
        </w:rPr>
        <w:t>doi:https</w:t>
      </w:r>
      <w:proofErr w:type="spellEnd"/>
      <w:r w:rsidRPr="004511C8">
        <w:rPr>
          <w:rFonts w:ascii="Arial" w:hAnsi="Arial" w:cs="Arial"/>
          <w:sz w:val="22"/>
          <w:szCs w:val="22"/>
          <w:lang w:val="fr-BE"/>
        </w:rPr>
        <w:t>://doi.org/10.1126/science.aba3432</w:t>
      </w:r>
      <w:proofErr w:type="gramEnd"/>
      <w:r w:rsidRPr="004511C8">
        <w:rPr>
          <w:rFonts w:ascii="Arial" w:hAnsi="Arial" w:cs="Arial"/>
          <w:sz w:val="22"/>
          <w:szCs w:val="22"/>
          <w:lang w:val="fr-BE"/>
        </w:rPr>
        <w:t>.</w:t>
      </w:r>
    </w:p>
    <w:p w14:paraId="14447926"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lang w:val="fr-BE"/>
        </w:rPr>
        <w:t xml:space="preserve">Adam, W. (2023). </w:t>
      </w:r>
      <w:r w:rsidRPr="004511C8">
        <w:rPr>
          <w:rFonts w:ascii="Arial" w:hAnsi="Arial" w:cs="Arial"/>
          <w:sz w:val="22"/>
          <w:szCs w:val="22"/>
        </w:rPr>
        <w:t xml:space="preserve">Understanding the relationship between HIV pre-exposure prophylaxis, sexually transmitted infections, and antimicrobial resistance -ORCA. </w:t>
      </w:r>
      <w:r w:rsidRPr="004511C8">
        <w:rPr>
          <w:rFonts w:ascii="Arial" w:hAnsi="Arial" w:cs="Arial"/>
          <w:i/>
          <w:iCs/>
          <w:sz w:val="22"/>
          <w:szCs w:val="22"/>
        </w:rPr>
        <w:t>Cardiff.ac.uk</w:t>
      </w:r>
      <w:r w:rsidRPr="004511C8">
        <w:rPr>
          <w:rFonts w:ascii="Arial" w:hAnsi="Arial" w:cs="Arial"/>
          <w:sz w:val="22"/>
          <w:szCs w:val="22"/>
        </w:rPr>
        <w:t xml:space="preserve">. [online] </w:t>
      </w:r>
      <w:proofErr w:type="gramStart"/>
      <w:r w:rsidRPr="004511C8">
        <w:rPr>
          <w:rFonts w:ascii="Arial" w:hAnsi="Arial" w:cs="Arial"/>
          <w:sz w:val="22"/>
          <w:szCs w:val="22"/>
        </w:rPr>
        <w:t>doi:https://orca.cardiff.ac.uk/id/eprint/165851/3/2024NWilliamsADN%20PhD.pdf</w:t>
      </w:r>
      <w:proofErr w:type="gramEnd"/>
      <w:r w:rsidRPr="004511C8">
        <w:rPr>
          <w:rFonts w:ascii="Arial" w:hAnsi="Arial" w:cs="Arial"/>
          <w:sz w:val="22"/>
          <w:szCs w:val="22"/>
        </w:rPr>
        <w:t>.</w:t>
      </w:r>
    </w:p>
    <w:p w14:paraId="21E86DEA"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t xml:space="preserve">Ahmed, S.K., Mohammed, R.A., Nashwan, A.J., Ibrahim, R.H., Abdalla, A.Q., Ameen, B.M.M. and </w:t>
      </w:r>
      <w:proofErr w:type="spellStart"/>
      <w:r w:rsidRPr="004511C8">
        <w:rPr>
          <w:rFonts w:ascii="Arial" w:hAnsi="Arial" w:cs="Arial"/>
          <w:sz w:val="22"/>
          <w:szCs w:val="22"/>
        </w:rPr>
        <w:t>Khidhir</w:t>
      </w:r>
      <w:proofErr w:type="spellEnd"/>
      <w:r w:rsidRPr="004511C8">
        <w:rPr>
          <w:rFonts w:ascii="Arial" w:hAnsi="Arial" w:cs="Arial"/>
          <w:sz w:val="22"/>
          <w:szCs w:val="22"/>
        </w:rPr>
        <w:t xml:space="preserve">, R.M. (2025). Using Thematic Analysis in Qualitative Research. </w:t>
      </w:r>
      <w:r w:rsidRPr="004511C8">
        <w:rPr>
          <w:rFonts w:ascii="Arial" w:hAnsi="Arial" w:cs="Arial"/>
          <w:i/>
          <w:iCs/>
          <w:sz w:val="22"/>
          <w:szCs w:val="22"/>
        </w:rPr>
        <w:t>Journal of Medicine, Surgery, and Public Health</w:t>
      </w:r>
      <w:r w:rsidRPr="004511C8">
        <w:rPr>
          <w:rFonts w:ascii="Arial" w:hAnsi="Arial" w:cs="Arial"/>
          <w:sz w:val="22"/>
          <w:szCs w:val="22"/>
        </w:rPr>
        <w:t xml:space="preserve">, [online] 6(6), p.100198.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://doi.org/10.1016/j.glmedi.2025.100198</w:t>
      </w:r>
      <w:proofErr w:type="gramEnd"/>
      <w:r w:rsidRPr="004511C8">
        <w:rPr>
          <w:rFonts w:ascii="Arial" w:hAnsi="Arial" w:cs="Arial"/>
          <w:sz w:val="22"/>
          <w:szCs w:val="22"/>
        </w:rPr>
        <w:t>.</w:t>
      </w:r>
    </w:p>
    <w:p w14:paraId="6CCD6BF1"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t xml:space="preserve">Aiello, A.E., Renson, A. and </w:t>
      </w:r>
      <w:proofErr w:type="spellStart"/>
      <w:r w:rsidRPr="004511C8">
        <w:rPr>
          <w:rFonts w:ascii="Arial" w:hAnsi="Arial" w:cs="Arial"/>
          <w:sz w:val="22"/>
          <w:szCs w:val="22"/>
        </w:rPr>
        <w:t>Zivich</w:t>
      </w:r>
      <w:proofErr w:type="spellEnd"/>
      <w:r w:rsidRPr="004511C8">
        <w:rPr>
          <w:rFonts w:ascii="Arial" w:hAnsi="Arial" w:cs="Arial"/>
          <w:sz w:val="22"/>
          <w:szCs w:val="22"/>
        </w:rPr>
        <w:t xml:space="preserve">, P.N. (2020). Social Media– and Internet-Based Disease Surveillance for Public Health. </w:t>
      </w:r>
      <w:r w:rsidRPr="004511C8">
        <w:rPr>
          <w:rFonts w:ascii="Arial" w:hAnsi="Arial" w:cs="Arial"/>
          <w:i/>
          <w:iCs/>
          <w:sz w:val="22"/>
          <w:szCs w:val="22"/>
        </w:rPr>
        <w:t>Annual Review of Public Health</w:t>
      </w:r>
      <w:r w:rsidRPr="004511C8">
        <w:rPr>
          <w:rFonts w:ascii="Arial" w:hAnsi="Arial" w:cs="Arial"/>
          <w:sz w:val="22"/>
          <w:szCs w:val="22"/>
        </w:rPr>
        <w:t xml:space="preserve">, 41(1).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://doi.org/10.1146/annurev-publhealth-040119-094402</w:t>
      </w:r>
      <w:proofErr w:type="gramEnd"/>
      <w:r w:rsidRPr="004511C8">
        <w:rPr>
          <w:rFonts w:ascii="Arial" w:hAnsi="Arial" w:cs="Arial"/>
          <w:sz w:val="22"/>
          <w:szCs w:val="22"/>
        </w:rPr>
        <w:t>.</w:t>
      </w:r>
    </w:p>
    <w:p w14:paraId="1FB2F6C3" w14:textId="77777777" w:rsidR="0060431B" w:rsidRPr="004511C8" w:rsidRDefault="0060431B" w:rsidP="00F36DDA">
      <w:pPr>
        <w:jc w:val="left"/>
        <w:rPr>
          <w:rFonts w:ascii="Arial" w:hAnsi="Arial" w:cs="Arial"/>
          <w:sz w:val="22"/>
          <w:szCs w:val="22"/>
        </w:rPr>
      </w:pPr>
      <w:proofErr w:type="spellStart"/>
      <w:r w:rsidRPr="004511C8">
        <w:rPr>
          <w:rFonts w:ascii="Arial" w:hAnsi="Arial" w:cs="Arial"/>
          <w:sz w:val="22"/>
          <w:szCs w:val="22"/>
        </w:rPr>
        <w:t>Aitolo</w:t>
      </w:r>
      <w:proofErr w:type="spellEnd"/>
      <w:r w:rsidRPr="004511C8">
        <w:rPr>
          <w:rFonts w:ascii="Arial" w:hAnsi="Arial" w:cs="Arial"/>
          <w:sz w:val="22"/>
          <w:szCs w:val="22"/>
        </w:rPr>
        <w:t xml:space="preserve">, G.L., Adeyemi, O.S., Afolabi, B.L. and Owolabi, A.O. (2021). Neisseria gonorrhoeae Antimicrobial Resistance: Past to Present to Future. </w:t>
      </w:r>
      <w:r w:rsidRPr="004511C8">
        <w:rPr>
          <w:rFonts w:ascii="Arial" w:hAnsi="Arial" w:cs="Arial"/>
          <w:i/>
          <w:iCs/>
          <w:sz w:val="22"/>
          <w:szCs w:val="22"/>
        </w:rPr>
        <w:t>Current Microbiology</w:t>
      </w:r>
      <w:r w:rsidRPr="004511C8">
        <w:rPr>
          <w:rFonts w:ascii="Arial" w:hAnsi="Arial" w:cs="Arial"/>
          <w:sz w:val="22"/>
          <w:szCs w:val="22"/>
        </w:rPr>
        <w:t xml:space="preserve">.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://doi.org/10.1007/s00284-021-02353-8</w:t>
      </w:r>
      <w:proofErr w:type="gramEnd"/>
      <w:r w:rsidRPr="004511C8">
        <w:rPr>
          <w:rFonts w:ascii="Arial" w:hAnsi="Arial" w:cs="Arial"/>
          <w:sz w:val="22"/>
          <w:szCs w:val="22"/>
        </w:rPr>
        <w:t>.</w:t>
      </w:r>
    </w:p>
    <w:p w14:paraId="2FB15435" w14:textId="77777777" w:rsidR="0060431B" w:rsidRPr="004511C8" w:rsidRDefault="0060431B" w:rsidP="00F36DDA">
      <w:pPr>
        <w:jc w:val="left"/>
        <w:rPr>
          <w:rFonts w:ascii="Arial" w:hAnsi="Arial" w:cs="Arial"/>
          <w:sz w:val="22"/>
          <w:szCs w:val="22"/>
        </w:rPr>
      </w:pPr>
      <w:r w:rsidRPr="004511C8">
        <w:rPr>
          <w:rFonts w:ascii="Arial" w:hAnsi="Arial" w:cs="Arial"/>
          <w:sz w:val="22"/>
          <w:szCs w:val="22"/>
        </w:rPr>
        <w:t xml:space="preserve">Ajmal, M., Zamir, A., Rehman, A.U., Imran, I., Saeed, H., Majeed, A., Aziz, M., Alqahtani, F. and Rasool, M.F. (2023). Clinical pharmacokinetics of cefixime: a systematic review. </w:t>
      </w:r>
      <w:proofErr w:type="spellStart"/>
      <w:r w:rsidRPr="004511C8">
        <w:rPr>
          <w:rFonts w:ascii="Arial" w:hAnsi="Arial" w:cs="Arial"/>
          <w:i/>
          <w:iCs/>
          <w:sz w:val="22"/>
          <w:szCs w:val="22"/>
        </w:rPr>
        <w:t>Xenobiotica</w:t>
      </w:r>
      <w:proofErr w:type="spellEnd"/>
      <w:r w:rsidRPr="004511C8">
        <w:rPr>
          <w:rFonts w:ascii="Arial" w:hAnsi="Arial" w:cs="Arial"/>
          <w:i/>
          <w:iCs/>
          <w:sz w:val="22"/>
          <w:szCs w:val="22"/>
        </w:rPr>
        <w:t>; the fate of foreign compounds in biological systems</w:t>
      </w:r>
      <w:r w:rsidRPr="004511C8">
        <w:rPr>
          <w:rFonts w:ascii="Arial" w:hAnsi="Arial" w:cs="Arial"/>
          <w:sz w:val="22"/>
          <w:szCs w:val="22"/>
        </w:rPr>
        <w:t xml:space="preserve">, [online] 53(3), pp.149–162.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://doi.org/10.1080/00498254.2023.2217265</w:t>
      </w:r>
      <w:proofErr w:type="gramEnd"/>
      <w:r w:rsidRPr="004511C8">
        <w:rPr>
          <w:rFonts w:ascii="Arial" w:hAnsi="Arial" w:cs="Arial"/>
          <w:sz w:val="22"/>
          <w:szCs w:val="22"/>
        </w:rPr>
        <w:t>.</w:t>
      </w:r>
    </w:p>
    <w:p w14:paraId="40F84607" w14:textId="77777777" w:rsidR="0060431B" w:rsidRPr="004511C8" w:rsidRDefault="0060431B" w:rsidP="00F36DDA">
      <w:pPr>
        <w:jc w:val="left"/>
        <w:rPr>
          <w:rFonts w:ascii="Arial" w:hAnsi="Arial" w:cs="Arial"/>
          <w:sz w:val="22"/>
          <w:szCs w:val="22"/>
        </w:rPr>
      </w:pPr>
      <w:r w:rsidRPr="004511C8">
        <w:rPr>
          <w:rFonts w:ascii="Arial" w:hAnsi="Arial" w:cs="Arial"/>
          <w:sz w:val="22"/>
          <w:szCs w:val="22"/>
        </w:rPr>
        <w:t xml:space="preserve">Aliabadi, A., </w:t>
      </w:r>
      <w:proofErr w:type="spellStart"/>
      <w:r w:rsidRPr="004511C8">
        <w:rPr>
          <w:rFonts w:ascii="Arial" w:hAnsi="Arial" w:cs="Arial"/>
          <w:sz w:val="22"/>
          <w:szCs w:val="22"/>
        </w:rPr>
        <w:t>Sheikhtaheri</w:t>
      </w:r>
      <w:proofErr w:type="spellEnd"/>
      <w:r w:rsidRPr="004511C8">
        <w:rPr>
          <w:rFonts w:ascii="Arial" w:hAnsi="Arial" w:cs="Arial"/>
          <w:sz w:val="22"/>
          <w:szCs w:val="22"/>
        </w:rPr>
        <w:t xml:space="preserve">, A. and Ansari, H. (2020). Electronic health record–based disease surveillance systems: A systematic literature review on challenges and solutions. </w:t>
      </w:r>
      <w:r w:rsidRPr="004511C8">
        <w:rPr>
          <w:rFonts w:ascii="Arial" w:hAnsi="Arial" w:cs="Arial"/>
          <w:i/>
          <w:iCs/>
          <w:sz w:val="22"/>
          <w:szCs w:val="22"/>
        </w:rPr>
        <w:t>Journal of the American Medical Informatics Association</w:t>
      </w:r>
      <w:r w:rsidRPr="004511C8">
        <w:rPr>
          <w:rFonts w:ascii="Arial" w:hAnsi="Arial" w:cs="Arial"/>
          <w:sz w:val="22"/>
          <w:szCs w:val="22"/>
        </w:rPr>
        <w:t xml:space="preserve">, 27(12), pp.1977–1986.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://doi.org/10.1093/</w:t>
      </w:r>
      <w:proofErr w:type="spellStart"/>
      <w:r w:rsidRPr="004511C8">
        <w:rPr>
          <w:rFonts w:ascii="Arial" w:hAnsi="Arial" w:cs="Arial"/>
          <w:sz w:val="22"/>
          <w:szCs w:val="22"/>
        </w:rPr>
        <w:t>jamia</w:t>
      </w:r>
      <w:proofErr w:type="spellEnd"/>
      <w:r w:rsidRPr="004511C8">
        <w:rPr>
          <w:rFonts w:ascii="Arial" w:hAnsi="Arial" w:cs="Arial"/>
          <w:sz w:val="22"/>
          <w:szCs w:val="22"/>
        </w:rPr>
        <w:t>/ocaa186</w:t>
      </w:r>
      <w:proofErr w:type="gramEnd"/>
      <w:r w:rsidRPr="004511C8">
        <w:rPr>
          <w:rFonts w:ascii="Arial" w:hAnsi="Arial" w:cs="Arial"/>
          <w:sz w:val="22"/>
          <w:szCs w:val="22"/>
        </w:rPr>
        <w:t>.</w:t>
      </w:r>
    </w:p>
    <w:p w14:paraId="0FA34D0B"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t xml:space="preserve">Allan-Blitz, L.-T., Fifer, H. and Klausner, J.D. (2024). Managing treatment failure in </w:t>
      </w:r>
      <w:proofErr w:type="spellStart"/>
      <w:r w:rsidRPr="004511C8">
        <w:rPr>
          <w:rFonts w:ascii="Arial" w:hAnsi="Arial" w:cs="Arial"/>
          <w:sz w:val="22"/>
          <w:szCs w:val="22"/>
        </w:rPr>
        <w:t>neisseria</w:t>
      </w:r>
      <w:proofErr w:type="spellEnd"/>
      <w:r w:rsidRPr="004511C8">
        <w:rPr>
          <w:rFonts w:ascii="Arial" w:hAnsi="Arial" w:cs="Arial"/>
          <w:sz w:val="22"/>
          <w:szCs w:val="22"/>
        </w:rPr>
        <w:t xml:space="preserve"> gonorrhoeae infection: Current guidelines and future directions. </w:t>
      </w:r>
      <w:r w:rsidRPr="004511C8">
        <w:rPr>
          <w:rFonts w:ascii="Arial" w:hAnsi="Arial" w:cs="Arial"/>
          <w:i/>
          <w:iCs/>
          <w:sz w:val="22"/>
          <w:szCs w:val="22"/>
        </w:rPr>
        <w:t>The Lancet Infectious Diseases</w:t>
      </w:r>
      <w:r w:rsidRPr="004511C8">
        <w:rPr>
          <w:rFonts w:ascii="Arial" w:hAnsi="Arial" w:cs="Arial"/>
          <w:sz w:val="22"/>
          <w:szCs w:val="22"/>
        </w:rPr>
        <w:t xml:space="preserve">, [online] 24(8).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://doi.org/10.1016/s1473-3099(24)00001-x</w:t>
      </w:r>
      <w:proofErr w:type="gramEnd"/>
      <w:r w:rsidRPr="004511C8">
        <w:rPr>
          <w:rFonts w:ascii="Arial" w:hAnsi="Arial" w:cs="Arial"/>
          <w:sz w:val="22"/>
          <w:szCs w:val="22"/>
        </w:rPr>
        <w:t>.</w:t>
      </w:r>
    </w:p>
    <w:p w14:paraId="06CF51F3"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proofErr w:type="spellStart"/>
      <w:r w:rsidRPr="004511C8">
        <w:rPr>
          <w:rFonts w:ascii="Arial" w:hAnsi="Arial" w:cs="Arial"/>
          <w:sz w:val="22"/>
          <w:szCs w:val="22"/>
        </w:rPr>
        <w:lastRenderedPageBreak/>
        <w:t>Bakkeren</w:t>
      </w:r>
      <w:proofErr w:type="spellEnd"/>
      <w:r w:rsidRPr="004511C8">
        <w:rPr>
          <w:rFonts w:ascii="Arial" w:hAnsi="Arial" w:cs="Arial"/>
          <w:sz w:val="22"/>
          <w:szCs w:val="22"/>
        </w:rPr>
        <w:t xml:space="preserve">, E., </w:t>
      </w:r>
      <w:proofErr w:type="spellStart"/>
      <w:r w:rsidRPr="004511C8">
        <w:rPr>
          <w:rFonts w:ascii="Arial" w:hAnsi="Arial" w:cs="Arial"/>
          <w:sz w:val="22"/>
          <w:szCs w:val="22"/>
        </w:rPr>
        <w:t>Diard</w:t>
      </w:r>
      <w:proofErr w:type="spellEnd"/>
      <w:r w:rsidRPr="004511C8">
        <w:rPr>
          <w:rFonts w:ascii="Arial" w:hAnsi="Arial" w:cs="Arial"/>
          <w:sz w:val="22"/>
          <w:szCs w:val="22"/>
        </w:rPr>
        <w:t xml:space="preserve">, M. and Hardt, W.-D. (2020). Evolutionary causes and consequences of bacterial antibiotic persistence. </w:t>
      </w:r>
      <w:r w:rsidRPr="004511C8">
        <w:rPr>
          <w:rFonts w:ascii="Arial" w:hAnsi="Arial" w:cs="Arial"/>
          <w:i/>
          <w:iCs/>
          <w:sz w:val="22"/>
          <w:szCs w:val="22"/>
        </w:rPr>
        <w:t>Nature Reviews Microbiology</w:t>
      </w:r>
      <w:r w:rsidRPr="004511C8">
        <w:rPr>
          <w:rFonts w:ascii="Arial" w:hAnsi="Arial" w:cs="Arial"/>
          <w:sz w:val="22"/>
          <w:szCs w:val="22"/>
        </w:rPr>
        <w:t xml:space="preserve">, 18.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://doi.org/10.1038/s41579-020-0378-z</w:t>
      </w:r>
      <w:proofErr w:type="gramEnd"/>
      <w:r w:rsidRPr="004511C8">
        <w:rPr>
          <w:rFonts w:ascii="Arial" w:hAnsi="Arial" w:cs="Arial"/>
          <w:sz w:val="22"/>
          <w:szCs w:val="22"/>
        </w:rPr>
        <w:t>.</w:t>
      </w:r>
    </w:p>
    <w:p w14:paraId="5A879E88"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t xml:space="preserve">Baquero, F., Martínez, J.L., F. Lanza, V., Rodríguez-Beltrán, J., Galán, J.C., San Millán, A., </w:t>
      </w:r>
      <w:proofErr w:type="spellStart"/>
      <w:r w:rsidRPr="004511C8">
        <w:rPr>
          <w:rFonts w:ascii="Arial" w:hAnsi="Arial" w:cs="Arial"/>
          <w:sz w:val="22"/>
          <w:szCs w:val="22"/>
        </w:rPr>
        <w:t>Cantón</w:t>
      </w:r>
      <w:proofErr w:type="spellEnd"/>
      <w:r w:rsidRPr="004511C8">
        <w:rPr>
          <w:rFonts w:ascii="Arial" w:hAnsi="Arial" w:cs="Arial"/>
          <w:sz w:val="22"/>
          <w:szCs w:val="22"/>
        </w:rPr>
        <w:t xml:space="preserve">, R. and Coque, T.M. (2021). Evolutionary Pathways and Trajectories in Antibiotic Resistance. </w:t>
      </w:r>
      <w:r w:rsidRPr="004511C8">
        <w:rPr>
          <w:rFonts w:ascii="Arial" w:hAnsi="Arial" w:cs="Arial"/>
          <w:i/>
          <w:iCs/>
          <w:sz w:val="22"/>
          <w:szCs w:val="22"/>
        </w:rPr>
        <w:t>Clinical Microbiology Reviews</w:t>
      </w:r>
      <w:r w:rsidRPr="004511C8">
        <w:rPr>
          <w:rFonts w:ascii="Arial" w:hAnsi="Arial" w:cs="Arial"/>
          <w:sz w:val="22"/>
          <w:szCs w:val="22"/>
        </w:rPr>
        <w:t xml:space="preserve">, 34(4).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://doi.org/10.1128/cmr.00050-19</w:t>
      </w:r>
      <w:proofErr w:type="gramEnd"/>
      <w:r w:rsidRPr="004511C8">
        <w:rPr>
          <w:rFonts w:ascii="Arial" w:hAnsi="Arial" w:cs="Arial"/>
          <w:sz w:val="22"/>
          <w:szCs w:val="22"/>
        </w:rPr>
        <w:t>.</w:t>
      </w:r>
    </w:p>
    <w:p w14:paraId="1FD9BDA5" w14:textId="77777777" w:rsidR="0060431B" w:rsidRPr="004511C8" w:rsidRDefault="0060431B" w:rsidP="00F36DDA">
      <w:pPr>
        <w:jc w:val="left"/>
        <w:rPr>
          <w:rFonts w:ascii="Arial" w:hAnsi="Arial" w:cs="Arial"/>
          <w:sz w:val="22"/>
          <w:szCs w:val="22"/>
        </w:rPr>
      </w:pPr>
      <w:r w:rsidRPr="004511C8">
        <w:rPr>
          <w:rFonts w:ascii="Arial" w:hAnsi="Arial" w:cs="Arial"/>
          <w:sz w:val="22"/>
          <w:szCs w:val="22"/>
        </w:rPr>
        <w:t>Booth, A., Papaioannou, D. and Sutton, A. (2016). Systematic approaches to a successful literature review. 2nd ed. Los Angeles: SAGE.</w:t>
      </w:r>
    </w:p>
    <w:p w14:paraId="7F4D2E8A" w14:textId="77777777" w:rsidR="0060431B" w:rsidRPr="004511C8" w:rsidRDefault="0060431B" w:rsidP="00F36DDA">
      <w:pPr>
        <w:jc w:val="left"/>
        <w:rPr>
          <w:rFonts w:ascii="Arial" w:hAnsi="Arial" w:cs="Arial"/>
          <w:sz w:val="22"/>
          <w:szCs w:val="22"/>
        </w:rPr>
      </w:pPr>
      <w:r w:rsidRPr="004511C8">
        <w:rPr>
          <w:rFonts w:ascii="Arial" w:hAnsi="Arial" w:cs="Arial"/>
          <w:sz w:val="22"/>
          <w:szCs w:val="22"/>
        </w:rPr>
        <w:t xml:space="preserve">Bramer, W.M., </w:t>
      </w:r>
      <w:proofErr w:type="spellStart"/>
      <w:r w:rsidRPr="004511C8">
        <w:rPr>
          <w:rFonts w:ascii="Arial" w:hAnsi="Arial" w:cs="Arial"/>
          <w:sz w:val="22"/>
          <w:szCs w:val="22"/>
        </w:rPr>
        <w:t>Rethlefsen</w:t>
      </w:r>
      <w:proofErr w:type="spellEnd"/>
      <w:r w:rsidRPr="004511C8">
        <w:rPr>
          <w:rFonts w:ascii="Arial" w:hAnsi="Arial" w:cs="Arial"/>
          <w:sz w:val="22"/>
          <w:szCs w:val="22"/>
        </w:rPr>
        <w:t xml:space="preserve">, M.L., Kleijnen, J. and Franco, O.H. (2017). Optimal Database Combinations for Literature Searches in Systematic reviews: a Prospective Exploratory Study. Systematic Reviews, [online] 6(1), p.245.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://doi.org/10.1186/s13643-017-0644-y</w:t>
      </w:r>
      <w:proofErr w:type="gramEnd"/>
      <w:r w:rsidRPr="004511C8">
        <w:rPr>
          <w:rFonts w:ascii="Arial" w:hAnsi="Arial" w:cs="Arial"/>
          <w:sz w:val="22"/>
          <w:szCs w:val="22"/>
        </w:rPr>
        <w:t>.</w:t>
      </w:r>
    </w:p>
    <w:p w14:paraId="4EFF6EE6" w14:textId="77777777" w:rsidR="0060431B" w:rsidRPr="004511C8" w:rsidRDefault="0060431B" w:rsidP="00F36DDA">
      <w:pPr>
        <w:jc w:val="left"/>
        <w:rPr>
          <w:rFonts w:ascii="Arial" w:hAnsi="Arial" w:cs="Arial"/>
          <w:sz w:val="22"/>
          <w:szCs w:val="22"/>
        </w:rPr>
      </w:pPr>
      <w:r w:rsidRPr="004511C8">
        <w:rPr>
          <w:rFonts w:ascii="Arial" w:hAnsi="Arial" w:cs="Arial"/>
          <w:sz w:val="22"/>
          <w:szCs w:val="22"/>
        </w:rPr>
        <w:t xml:space="preserve">Brown, E., Lo Monaco, S., O’Donoghue, B., Nolan, H., Hughes, E., Graham, M., Simmons, M. and Gray, R. (2021). Improving the Sexual Health of Young People (under 25) in High-Risk Populations: A Systematic Review of Behavioural and Psychosocial Interventions. </w:t>
      </w:r>
      <w:r w:rsidRPr="004511C8">
        <w:rPr>
          <w:rFonts w:ascii="Arial" w:hAnsi="Arial" w:cs="Arial"/>
          <w:i/>
          <w:iCs/>
          <w:sz w:val="22"/>
          <w:szCs w:val="22"/>
        </w:rPr>
        <w:t>International Journal of Environmental Research and Public Health</w:t>
      </w:r>
      <w:r w:rsidRPr="004511C8">
        <w:rPr>
          <w:rFonts w:ascii="Arial" w:hAnsi="Arial" w:cs="Arial"/>
          <w:sz w:val="22"/>
          <w:szCs w:val="22"/>
        </w:rPr>
        <w:t xml:space="preserve">, [online] 18(17), p.9063.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://doi.org/10.3390/ijerph18179063</w:t>
      </w:r>
      <w:proofErr w:type="gramEnd"/>
      <w:r w:rsidRPr="004511C8">
        <w:rPr>
          <w:rFonts w:ascii="Arial" w:hAnsi="Arial" w:cs="Arial"/>
          <w:sz w:val="22"/>
          <w:szCs w:val="22"/>
        </w:rPr>
        <w:t>.</w:t>
      </w:r>
    </w:p>
    <w:p w14:paraId="384E56AE"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proofErr w:type="spellStart"/>
      <w:r w:rsidRPr="004511C8">
        <w:rPr>
          <w:rFonts w:ascii="Arial" w:hAnsi="Arial" w:cs="Arial"/>
          <w:sz w:val="22"/>
          <w:szCs w:val="22"/>
        </w:rPr>
        <w:t>Büchter</w:t>
      </w:r>
      <w:proofErr w:type="spellEnd"/>
      <w:r w:rsidRPr="004511C8">
        <w:rPr>
          <w:rFonts w:ascii="Arial" w:hAnsi="Arial" w:cs="Arial"/>
          <w:sz w:val="22"/>
          <w:szCs w:val="22"/>
        </w:rPr>
        <w:t xml:space="preserve">, R.B., Weise, A. and Pieper, D. (2020). Development, Testing and Use of Data Extraction Forms in Systematic reviews: a Review of Methodological Guidance. </w:t>
      </w:r>
      <w:r w:rsidRPr="004511C8">
        <w:rPr>
          <w:rFonts w:ascii="Arial" w:hAnsi="Arial" w:cs="Arial"/>
          <w:i/>
          <w:iCs/>
          <w:sz w:val="22"/>
          <w:szCs w:val="22"/>
        </w:rPr>
        <w:t>BMC Medical Research Methodology</w:t>
      </w:r>
      <w:r w:rsidRPr="004511C8">
        <w:rPr>
          <w:rFonts w:ascii="Arial" w:hAnsi="Arial" w:cs="Arial"/>
          <w:sz w:val="22"/>
          <w:szCs w:val="22"/>
        </w:rPr>
        <w:t>, [online] 20(1), pp.1–14. Available at: https://bmcmedresmethodol.biomedcentral.com/articles/10.1186/s12874-020-01143-3.</w:t>
      </w:r>
    </w:p>
    <w:p w14:paraId="306024FB"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t>Carter, P., Megnin-</w:t>
      </w:r>
      <w:proofErr w:type="spellStart"/>
      <w:r w:rsidRPr="004511C8">
        <w:rPr>
          <w:rFonts w:ascii="Arial" w:hAnsi="Arial" w:cs="Arial"/>
          <w:sz w:val="22"/>
          <w:szCs w:val="22"/>
        </w:rPr>
        <w:t>Viggars</w:t>
      </w:r>
      <w:proofErr w:type="spellEnd"/>
      <w:r w:rsidRPr="004511C8">
        <w:rPr>
          <w:rFonts w:ascii="Arial" w:hAnsi="Arial" w:cs="Arial"/>
          <w:sz w:val="22"/>
          <w:szCs w:val="22"/>
        </w:rPr>
        <w:t xml:space="preserve">, O. and Rubin, G.J. (2021). What Factors Influence Symptom Reporting and Access to Healthcare During an Emerging Infectious Disease Outbreak? A Rapid Review of the Evidence. </w:t>
      </w:r>
      <w:r w:rsidRPr="004511C8">
        <w:rPr>
          <w:rFonts w:ascii="Arial" w:hAnsi="Arial" w:cs="Arial"/>
          <w:i/>
          <w:iCs/>
          <w:sz w:val="22"/>
          <w:szCs w:val="22"/>
        </w:rPr>
        <w:t>Health Security</w:t>
      </w:r>
      <w:r w:rsidRPr="004511C8">
        <w:rPr>
          <w:rFonts w:ascii="Arial" w:hAnsi="Arial" w:cs="Arial"/>
          <w:sz w:val="22"/>
          <w:szCs w:val="22"/>
        </w:rPr>
        <w:t xml:space="preserve">.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://doi.org/10.1089/hs.2020.0126</w:t>
      </w:r>
      <w:proofErr w:type="gramEnd"/>
      <w:r w:rsidRPr="004511C8">
        <w:rPr>
          <w:rFonts w:ascii="Arial" w:hAnsi="Arial" w:cs="Arial"/>
          <w:sz w:val="22"/>
          <w:szCs w:val="22"/>
        </w:rPr>
        <w:t>.</w:t>
      </w:r>
    </w:p>
    <w:p w14:paraId="73778DDE" w14:textId="77777777" w:rsidR="0060431B" w:rsidRPr="004511C8" w:rsidRDefault="0060431B" w:rsidP="00F36DDA">
      <w:pPr>
        <w:jc w:val="left"/>
        <w:rPr>
          <w:rFonts w:ascii="Arial" w:hAnsi="Arial" w:cs="Arial"/>
          <w:sz w:val="22"/>
          <w:szCs w:val="22"/>
        </w:rPr>
      </w:pPr>
      <w:r w:rsidRPr="004511C8">
        <w:rPr>
          <w:rFonts w:ascii="Arial" w:hAnsi="Arial" w:cs="Arial"/>
          <w:sz w:val="22"/>
          <w:szCs w:val="22"/>
        </w:rPr>
        <w:t xml:space="preserve">Chisholm, S.A., Alexander, S., Desouza-Thomas, L., Maclure-Webster, E., Anderson, J., Nichols, T., Lowndes, C.M. and Ison, C.A. (2011). Emergence of a Neisseria gonorrhoeae clone showing decreased susceptibility to cefixime in England and Wales. </w:t>
      </w:r>
      <w:r w:rsidRPr="004511C8">
        <w:rPr>
          <w:rFonts w:ascii="Arial" w:hAnsi="Arial" w:cs="Arial"/>
          <w:i/>
          <w:iCs/>
          <w:sz w:val="22"/>
          <w:szCs w:val="22"/>
        </w:rPr>
        <w:t>The Journal of antimicrobial chemotherapy</w:t>
      </w:r>
      <w:r w:rsidRPr="004511C8">
        <w:rPr>
          <w:rFonts w:ascii="Arial" w:hAnsi="Arial" w:cs="Arial"/>
          <w:sz w:val="22"/>
          <w:szCs w:val="22"/>
        </w:rPr>
        <w:t xml:space="preserve">, [online] 66(11), pp.2509–12.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://doi.org/10.1093/</w:t>
      </w:r>
      <w:proofErr w:type="spellStart"/>
      <w:r w:rsidRPr="004511C8">
        <w:rPr>
          <w:rFonts w:ascii="Arial" w:hAnsi="Arial" w:cs="Arial"/>
          <w:sz w:val="22"/>
          <w:szCs w:val="22"/>
        </w:rPr>
        <w:t>jac</w:t>
      </w:r>
      <w:proofErr w:type="spellEnd"/>
      <w:r w:rsidRPr="004511C8">
        <w:rPr>
          <w:rFonts w:ascii="Arial" w:hAnsi="Arial" w:cs="Arial"/>
          <w:sz w:val="22"/>
          <w:szCs w:val="22"/>
        </w:rPr>
        <w:t>/dkr332</w:t>
      </w:r>
      <w:proofErr w:type="gramEnd"/>
      <w:r w:rsidRPr="004511C8">
        <w:rPr>
          <w:rFonts w:ascii="Arial" w:hAnsi="Arial" w:cs="Arial"/>
          <w:sz w:val="22"/>
          <w:szCs w:val="22"/>
        </w:rPr>
        <w:t>.</w:t>
      </w:r>
    </w:p>
    <w:p w14:paraId="4C8A71F0"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proofErr w:type="spellStart"/>
      <w:r w:rsidRPr="004511C8">
        <w:rPr>
          <w:rFonts w:ascii="Arial" w:hAnsi="Arial" w:cs="Arial"/>
          <w:sz w:val="22"/>
          <w:szCs w:val="22"/>
        </w:rPr>
        <w:t>Christaki</w:t>
      </w:r>
      <w:proofErr w:type="spellEnd"/>
      <w:r w:rsidRPr="004511C8">
        <w:rPr>
          <w:rFonts w:ascii="Arial" w:hAnsi="Arial" w:cs="Arial"/>
          <w:sz w:val="22"/>
          <w:szCs w:val="22"/>
        </w:rPr>
        <w:t xml:space="preserve">, E., Marcou, M. and </w:t>
      </w:r>
      <w:proofErr w:type="spellStart"/>
      <w:r w:rsidRPr="004511C8">
        <w:rPr>
          <w:rFonts w:ascii="Arial" w:hAnsi="Arial" w:cs="Arial"/>
          <w:sz w:val="22"/>
          <w:szCs w:val="22"/>
        </w:rPr>
        <w:t>Tofarides</w:t>
      </w:r>
      <w:proofErr w:type="spellEnd"/>
      <w:r w:rsidRPr="004511C8">
        <w:rPr>
          <w:rFonts w:ascii="Arial" w:hAnsi="Arial" w:cs="Arial"/>
          <w:sz w:val="22"/>
          <w:szCs w:val="22"/>
        </w:rPr>
        <w:t xml:space="preserve">, A. (2019). Antimicrobial Resistance in Bacteria: Mechanisms, Evolution, and Persistence. </w:t>
      </w:r>
      <w:r w:rsidRPr="004511C8">
        <w:rPr>
          <w:rFonts w:ascii="Arial" w:hAnsi="Arial" w:cs="Arial"/>
          <w:i/>
          <w:iCs/>
          <w:sz w:val="22"/>
          <w:szCs w:val="22"/>
        </w:rPr>
        <w:t>Journal of Molecular Evolution</w:t>
      </w:r>
      <w:r w:rsidRPr="004511C8">
        <w:rPr>
          <w:rFonts w:ascii="Arial" w:hAnsi="Arial" w:cs="Arial"/>
          <w:sz w:val="22"/>
          <w:szCs w:val="22"/>
        </w:rPr>
        <w:t xml:space="preserve">, 88(1).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://doi.org/10.1007/s00239-019-09914-3</w:t>
      </w:r>
      <w:proofErr w:type="gramEnd"/>
      <w:r w:rsidRPr="004511C8">
        <w:rPr>
          <w:rFonts w:ascii="Arial" w:hAnsi="Arial" w:cs="Arial"/>
          <w:sz w:val="22"/>
          <w:szCs w:val="22"/>
        </w:rPr>
        <w:t>.</w:t>
      </w:r>
    </w:p>
    <w:p w14:paraId="7641DA6D"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lastRenderedPageBreak/>
        <w:t xml:space="preserve">Christou, P.A. (2022). How to Use Thematic Analysis in Qualitative Research. </w:t>
      </w:r>
      <w:r w:rsidRPr="004511C8">
        <w:rPr>
          <w:rFonts w:ascii="Arial" w:hAnsi="Arial" w:cs="Arial"/>
          <w:i/>
          <w:iCs/>
          <w:sz w:val="22"/>
          <w:szCs w:val="22"/>
        </w:rPr>
        <w:t>Journal of Qualitative Research in Tourism</w:t>
      </w:r>
      <w:r w:rsidRPr="004511C8">
        <w:rPr>
          <w:rFonts w:ascii="Arial" w:hAnsi="Arial" w:cs="Arial"/>
          <w:sz w:val="22"/>
          <w:szCs w:val="22"/>
        </w:rPr>
        <w:t xml:space="preserve">, 3(2), pp.79–95.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://doi.org/10.4337/jqrt.2023.0006</w:t>
      </w:r>
      <w:proofErr w:type="gramEnd"/>
      <w:r w:rsidRPr="004511C8">
        <w:rPr>
          <w:rFonts w:ascii="Arial" w:hAnsi="Arial" w:cs="Arial"/>
          <w:sz w:val="22"/>
          <w:szCs w:val="22"/>
        </w:rPr>
        <w:t>.</w:t>
      </w:r>
    </w:p>
    <w:p w14:paraId="57658A6C" w14:textId="77777777" w:rsidR="0060431B" w:rsidRPr="004511C8" w:rsidRDefault="0060431B" w:rsidP="00F36DDA">
      <w:pPr>
        <w:jc w:val="left"/>
        <w:rPr>
          <w:rFonts w:ascii="Arial" w:hAnsi="Arial" w:cs="Arial"/>
          <w:sz w:val="22"/>
          <w:szCs w:val="22"/>
        </w:rPr>
      </w:pPr>
      <w:r w:rsidRPr="004511C8">
        <w:rPr>
          <w:rFonts w:ascii="Arial" w:hAnsi="Arial" w:cs="Arial"/>
          <w:sz w:val="22"/>
          <w:szCs w:val="22"/>
        </w:rPr>
        <w:t xml:space="preserve">Clifton, S., Bolt, H., Mohammed, H., Town, K., </w:t>
      </w:r>
      <w:proofErr w:type="spellStart"/>
      <w:r w:rsidRPr="004511C8">
        <w:rPr>
          <w:rFonts w:ascii="Arial" w:hAnsi="Arial" w:cs="Arial"/>
          <w:sz w:val="22"/>
          <w:szCs w:val="22"/>
        </w:rPr>
        <w:t>Furegato</w:t>
      </w:r>
      <w:proofErr w:type="spellEnd"/>
      <w:r w:rsidRPr="004511C8">
        <w:rPr>
          <w:rFonts w:ascii="Arial" w:hAnsi="Arial" w:cs="Arial"/>
          <w:sz w:val="22"/>
          <w:szCs w:val="22"/>
        </w:rPr>
        <w:t xml:space="preserve">, M., Cole, M., Campbell, O., Fifer, H. and Hughes, G. (2017). Prevalence of and factors associated with MDR Neisseria gonorrhoeae in England and Wales between 2004 and 2015: analysis of annual cross-sectional surveillance surveys. </w:t>
      </w:r>
      <w:r w:rsidRPr="004511C8">
        <w:rPr>
          <w:rFonts w:ascii="Arial" w:hAnsi="Arial" w:cs="Arial"/>
          <w:i/>
          <w:iCs/>
          <w:sz w:val="22"/>
          <w:szCs w:val="22"/>
        </w:rPr>
        <w:t>Journal of Antimicrobial Chemotherapy</w:t>
      </w:r>
      <w:r w:rsidRPr="004511C8">
        <w:rPr>
          <w:rFonts w:ascii="Arial" w:hAnsi="Arial" w:cs="Arial"/>
          <w:sz w:val="22"/>
          <w:szCs w:val="22"/>
        </w:rPr>
        <w:t xml:space="preserve">, [online] 73(4), pp.923–932.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://doi.org/10.1093/</w:t>
      </w:r>
      <w:proofErr w:type="spellStart"/>
      <w:r w:rsidRPr="004511C8">
        <w:rPr>
          <w:rFonts w:ascii="Arial" w:hAnsi="Arial" w:cs="Arial"/>
          <w:sz w:val="22"/>
          <w:szCs w:val="22"/>
        </w:rPr>
        <w:t>jac</w:t>
      </w:r>
      <w:proofErr w:type="spellEnd"/>
      <w:r w:rsidRPr="004511C8">
        <w:rPr>
          <w:rFonts w:ascii="Arial" w:hAnsi="Arial" w:cs="Arial"/>
          <w:sz w:val="22"/>
          <w:szCs w:val="22"/>
        </w:rPr>
        <w:t>/dkx520</w:t>
      </w:r>
      <w:proofErr w:type="gramEnd"/>
      <w:r w:rsidRPr="004511C8">
        <w:rPr>
          <w:rFonts w:ascii="Arial" w:hAnsi="Arial" w:cs="Arial"/>
          <w:sz w:val="22"/>
          <w:szCs w:val="22"/>
        </w:rPr>
        <w:t>.</w:t>
      </w:r>
    </w:p>
    <w:p w14:paraId="6D7C30C4" w14:textId="77777777" w:rsidR="0060431B" w:rsidRPr="004511C8" w:rsidRDefault="0060431B" w:rsidP="00F36DDA">
      <w:pPr>
        <w:jc w:val="left"/>
        <w:rPr>
          <w:rFonts w:ascii="Arial" w:hAnsi="Arial" w:cs="Arial"/>
          <w:sz w:val="22"/>
          <w:szCs w:val="22"/>
        </w:rPr>
      </w:pPr>
      <w:r w:rsidRPr="004511C8">
        <w:rPr>
          <w:rFonts w:ascii="Arial" w:hAnsi="Arial" w:cs="Arial"/>
          <w:sz w:val="22"/>
          <w:szCs w:val="22"/>
        </w:rPr>
        <w:t xml:space="preserve">Cooke, A., Smith, D. and Booth, A. (2012). Beyond PICO: the SPIDER Tool for Qualitative Evidence Synthesis. Qualitative Health Research, [online] 22(10), pp.1435–1443.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://doi.org/10.1177/1049732312452938</w:t>
      </w:r>
      <w:proofErr w:type="gramEnd"/>
      <w:r w:rsidRPr="004511C8">
        <w:rPr>
          <w:rFonts w:ascii="Arial" w:hAnsi="Arial" w:cs="Arial"/>
          <w:sz w:val="22"/>
          <w:szCs w:val="22"/>
        </w:rPr>
        <w:t>.</w:t>
      </w:r>
    </w:p>
    <w:p w14:paraId="5067BFBF"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t xml:space="preserve">Davis, P., Williams, E., Andersson, M.I., Harrison, O.B. and Hodgson, S.H. (2025). Gonorrhoea: rising cases and antimicrobial resistance. </w:t>
      </w:r>
      <w:r w:rsidRPr="004511C8">
        <w:rPr>
          <w:rFonts w:ascii="Arial" w:hAnsi="Arial" w:cs="Arial"/>
          <w:i/>
          <w:iCs/>
          <w:sz w:val="22"/>
          <w:szCs w:val="22"/>
        </w:rPr>
        <w:t>BMJ</w:t>
      </w:r>
      <w:r w:rsidRPr="004511C8">
        <w:rPr>
          <w:rFonts w:ascii="Arial" w:hAnsi="Arial" w:cs="Arial"/>
          <w:sz w:val="22"/>
          <w:szCs w:val="22"/>
        </w:rPr>
        <w:t xml:space="preserve">, [online] 389, </w:t>
      </w:r>
      <w:proofErr w:type="gramStart"/>
      <w:r w:rsidRPr="004511C8">
        <w:rPr>
          <w:rFonts w:ascii="Arial" w:hAnsi="Arial" w:cs="Arial"/>
          <w:sz w:val="22"/>
          <w:szCs w:val="22"/>
        </w:rPr>
        <w:t>pp.r</w:t>
      </w:r>
      <w:proofErr w:type="gramEnd"/>
      <w:r w:rsidRPr="004511C8">
        <w:rPr>
          <w:rFonts w:ascii="Arial" w:hAnsi="Arial" w:cs="Arial"/>
          <w:sz w:val="22"/>
          <w:szCs w:val="22"/>
        </w:rPr>
        <w:t xml:space="preserve">1001–r1001.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://doi.org/10.1136/bmj.r1001</w:t>
      </w:r>
      <w:proofErr w:type="gramEnd"/>
      <w:r w:rsidRPr="004511C8">
        <w:rPr>
          <w:rFonts w:ascii="Arial" w:hAnsi="Arial" w:cs="Arial"/>
          <w:sz w:val="22"/>
          <w:szCs w:val="22"/>
        </w:rPr>
        <w:t>.</w:t>
      </w:r>
    </w:p>
    <w:p w14:paraId="3733D5A2" w14:textId="77777777" w:rsidR="0060431B" w:rsidRPr="004511C8" w:rsidRDefault="0060431B" w:rsidP="00F36DDA">
      <w:pPr>
        <w:jc w:val="left"/>
        <w:rPr>
          <w:rFonts w:ascii="Arial" w:hAnsi="Arial" w:cs="Arial"/>
          <w:sz w:val="22"/>
          <w:szCs w:val="22"/>
        </w:rPr>
      </w:pPr>
      <w:r w:rsidRPr="004511C8">
        <w:rPr>
          <w:rFonts w:ascii="Arial" w:hAnsi="Arial" w:cs="Arial"/>
          <w:sz w:val="22"/>
          <w:szCs w:val="22"/>
        </w:rPr>
        <w:t xml:space="preserve">Day, M., Pitt, R., Mody, N., Saunders, J., Rai, R., Nori, A., Church, H., </w:t>
      </w:r>
      <w:proofErr w:type="spellStart"/>
      <w:r w:rsidRPr="004511C8">
        <w:rPr>
          <w:rFonts w:ascii="Arial" w:hAnsi="Arial" w:cs="Arial"/>
          <w:sz w:val="22"/>
          <w:szCs w:val="22"/>
        </w:rPr>
        <w:t>Mensforth</w:t>
      </w:r>
      <w:proofErr w:type="spellEnd"/>
      <w:r w:rsidRPr="004511C8">
        <w:rPr>
          <w:rFonts w:ascii="Arial" w:hAnsi="Arial" w:cs="Arial"/>
          <w:sz w:val="22"/>
          <w:szCs w:val="22"/>
        </w:rPr>
        <w:t xml:space="preserve">, S., Corkin, H., Jones, J., Naicker, P., Khan, W.M., Thomson Glover, R., Mortimer, K., Hylton, C., Moss, E., </w:t>
      </w:r>
      <w:proofErr w:type="spellStart"/>
      <w:r w:rsidRPr="004511C8">
        <w:rPr>
          <w:rFonts w:ascii="Arial" w:hAnsi="Arial" w:cs="Arial"/>
          <w:sz w:val="22"/>
          <w:szCs w:val="22"/>
        </w:rPr>
        <w:t>Pasvol</w:t>
      </w:r>
      <w:proofErr w:type="spellEnd"/>
      <w:r w:rsidRPr="004511C8">
        <w:rPr>
          <w:rFonts w:ascii="Arial" w:hAnsi="Arial" w:cs="Arial"/>
          <w:sz w:val="22"/>
          <w:szCs w:val="22"/>
        </w:rPr>
        <w:t xml:space="preserve">, T.J., Richardson, A., Sun, S. and Woodford, N. (2022). Detection of 10 cases of ceftriaxone-resistant Neisseria gonorrhoeae in the United Kingdom, December 2021 to June 2022. </w:t>
      </w:r>
      <w:r w:rsidRPr="004511C8">
        <w:rPr>
          <w:rFonts w:ascii="Arial" w:hAnsi="Arial" w:cs="Arial"/>
          <w:i/>
          <w:iCs/>
          <w:sz w:val="22"/>
          <w:szCs w:val="22"/>
        </w:rPr>
        <w:t>Eurosurveillance</w:t>
      </w:r>
      <w:r w:rsidRPr="004511C8">
        <w:rPr>
          <w:rFonts w:ascii="Arial" w:hAnsi="Arial" w:cs="Arial"/>
          <w:sz w:val="22"/>
          <w:szCs w:val="22"/>
        </w:rPr>
        <w:t xml:space="preserve">, [online] 27(46).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://doi.org/10.2807/1560-7917.es.2022.27.46.2200803</w:t>
      </w:r>
      <w:proofErr w:type="gramEnd"/>
      <w:r w:rsidRPr="004511C8">
        <w:rPr>
          <w:rFonts w:ascii="Arial" w:hAnsi="Arial" w:cs="Arial"/>
          <w:sz w:val="22"/>
          <w:szCs w:val="22"/>
        </w:rPr>
        <w:t>.</w:t>
      </w:r>
    </w:p>
    <w:p w14:paraId="5A977A1F" w14:textId="77777777" w:rsidR="0060431B" w:rsidRPr="004511C8" w:rsidRDefault="0060431B" w:rsidP="00F36DDA">
      <w:pPr>
        <w:jc w:val="left"/>
        <w:rPr>
          <w:rFonts w:ascii="Arial" w:hAnsi="Arial" w:cs="Arial"/>
          <w:sz w:val="22"/>
          <w:szCs w:val="22"/>
        </w:rPr>
      </w:pPr>
      <w:r w:rsidRPr="004511C8">
        <w:rPr>
          <w:rFonts w:ascii="Arial" w:hAnsi="Arial" w:cs="Arial"/>
          <w:sz w:val="22"/>
          <w:szCs w:val="22"/>
        </w:rPr>
        <w:t xml:space="preserve">Delpech, V., Martin, I.M.C., Hughes, G., Nichols, T., James, L. and Ison, C.A. (2009). Epidemiology and clinical presentation of gonorrhoea in England and Wales: findings from the Gonococcal Resistance to Antimicrobials Surveillance Programme 2001-2006. </w:t>
      </w:r>
      <w:r w:rsidRPr="004511C8">
        <w:rPr>
          <w:rFonts w:ascii="Arial" w:hAnsi="Arial" w:cs="Arial"/>
          <w:i/>
          <w:iCs/>
          <w:sz w:val="22"/>
          <w:szCs w:val="22"/>
        </w:rPr>
        <w:t>Sexually Transmitted Infections</w:t>
      </w:r>
      <w:r w:rsidRPr="004511C8">
        <w:rPr>
          <w:rFonts w:ascii="Arial" w:hAnsi="Arial" w:cs="Arial"/>
          <w:sz w:val="22"/>
          <w:szCs w:val="22"/>
        </w:rPr>
        <w:t xml:space="preserve">, 85(5), pp.317–321.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://doi.org/10.1136/sti.2008.034843</w:t>
      </w:r>
      <w:proofErr w:type="gramEnd"/>
      <w:r w:rsidRPr="004511C8">
        <w:rPr>
          <w:rFonts w:ascii="Arial" w:hAnsi="Arial" w:cs="Arial"/>
          <w:sz w:val="22"/>
          <w:szCs w:val="22"/>
        </w:rPr>
        <w:t>.</w:t>
      </w:r>
    </w:p>
    <w:p w14:paraId="0034E20A"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t xml:space="preserve">Diallo, O.O., Baron, S.A., Abat, C., Colson, P., Chaudet, H. and Rolain, J.-M. (2020). Antibiotic resistance surveillance systems: A review. </w:t>
      </w:r>
      <w:r w:rsidRPr="004511C8">
        <w:rPr>
          <w:rFonts w:ascii="Arial" w:hAnsi="Arial" w:cs="Arial"/>
          <w:i/>
          <w:iCs/>
          <w:sz w:val="22"/>
          <w:szCs w:val="22"/>
        </w:rPr>
        <w:t>Journal of Global Antimicrobial Resistance</w:t>
      </w:r>
      <w:r w:rsidRPr="004511C8">
        <w:rPr>
          <w:rFonts w:ascii="Arial" w:hAnsi="Arial" w:cs="Arial"/>
          <w:sz w:val="22"/>
          <w:szCs w:val="22"/>
        </w:rPr>
        <w:t xml:space="preserve">, 23, pp.430–438.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://doi.org/10.1016/j.jgar.2020.10.009</w:t>
      </w:r>
      <w:proofErr w:type="gramEnd"/>
      <w:r w:rsidRPr="004511C8">
        <w:rPr>
          <w:rFonts w:ascii="Arial" w:hAnsi="Arial" w:cs="Arial"/>
          <w:sz w:val="22"/>
          <w:szCs w:val="22"/>
        </w:rPr>
        <w:t>.</w:t>
      </w:r>
    </w:p>
    <w:p w14:paraId="07D046E5" w14:textId="77777777" w:rsidR="0060431B" w:rsidRPr="004511C8" w:rsidRDefault="0060431B" w:rsidP="00F36DDA">
      <w:pPr>
        <w:jc w:val="left"/>
        <w:rPr>
          <w:rFonts w:ascii="Arial" w:hAnsi="Arial" w:cs="Arial"/>
          <w:sz w:val="22"/>
          <w:szCs w:val="22"/>
        </w:rPr>
      </w:pPr>
      <w:r w:rsidRPr="004511C8">
        <w:rPr>
          <w:rFonts w:ascii="Arial" w:hAnsi="Arial" w:cs="Arial"/>
          <w:sz w:val="22"/>
          <w:szCs w:val="22"/>
        </w:rPr>
        <w:t xml:space="preserve">Eriksen, M.B. and Frandsen, T.F. (2018). The Impact of Patient, Intervention, Comparison, Outcome (PICO) as a Search Strategy Tool on Literature Search Quality: </w:t>
      </w:r>
      <w:proofErr w:type="gramStart"/>
      <w:r w:rsidRPr="004511C8">
        <w:rPr>
          <w:rFonts w:ascii="Arial" w:hAnsi="Arial" w:cs="Arial"/>
          <w:sz w:val="22"/>
          <w:szCs w:val="22"/>
        </w:rPr>
        <w:t>a</w:t>
      </w:r>
      <w:proofErr w:type="gramEnd"/>
      <w:r w:rsidRPr="004511C8">
        <w:rPr>
          <w:rFonts w:ascii="Arial" w:hAnsi="Arial" w:cs="Arial"/>
          <w:sz w:val="22"/>
          <w:szCs w:val="22"/>
        </w:rPr>
        <w:t xml:space="preserve"> Systematic Review. Journal of the Medical Library Association, [online] 106(4), pp.420–431.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://doi.org/10.5195/jmla.2018.345</w:t>
      </w:r>
      <w:proofErr w:type="gramEnd"/>
      <w:r w:rsidRPr="004511C8">
        <w:rPr>
          <w:rFonts w:ascii="Arial" w:hAnsi="Arial" w:cs="Arial"/>
          <w:sz w:val="22"/>
          <w:szCs w:val="22"/>
        </w:rPr>
        <w:t>.</w:t>
      </w:r>
    </w:p>
    <w:p w14:paraId="5C3C6794"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t xml:space="preserve">Evans, M.I. and Britt, D.W. (2022). Resistance to Change. </w:t>
      </w:r>
      <w:r w:rsidRPr="004511C8">
        <w:rPr>
          <w:rFonts w:ascii="Arial" w:hAnsi="Arial" w:cs="Arial"/>
          <w:i/>
          <w:iCs/>
          <w:sz w:val="22"/>
          <w:szCs w:val="22"/>
        </w:rPr>
        <w:t>Reproductive Sciences</w:t>
      </w:r>
      <w:r w:rsidRPr="004511C8">
        <w:rPr>
          <w:rFonts w:ascii="Arial" w:hAnsi="Arial" w:cs="Arial"/>
          <w:sz w:val="22"/>
          <w:szCs w:val="22"/>
        </w:rPr>
        <w:t xml:space="preserve">, 30(3), pp.835–853.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://doi.org/10.1007/s43032-022-01015-9</w:t>
      </w:r>
      <w:proofErr w:type="gramEnd"/>
      <w:r w:rsidRPr="004511C8">
        <w:rPr>
          <w:rFonts w:ascii="Arial" w:hAnsi="Arial" w:cs="Arial"/>
          <w:sz w:val="22"/>
          <w:szCs w:val="22"/>
        </w:rPr>
        <w:t>.</w:t>
      </w:r>
    </w:p>
    <w:p w14:paraId="6A5219B0" w14:textId="0D73E44C" w:rsidR="0060431B" w:rsidRPr="004511C8" w:rsidRDefault="0060431B" w:rsidP="00F36DDA">
      <w:pPr>
        <w:jc w:val="left"/>
        <w:rPr>
          <w:rFonts w:ascii="Arial" w:hAnsi="Arial" w:cs="Arial"/>
          <w:sz w:val="22"/>
          <w:szCs w:val="22"/>
        </w:rPr>
      </w:pPr>
      <w:r w:rsidRPr="004511C8">
        <w:rPr>
          <w:rFonts w:ascii="Arial" w:hAnsi="Arial" w:cs="Arial"/>
          <w:sz w:val="22"/>
          <w:szCs w:val="22"/>
        </w:rPr>
        <w:lastRenderedPageBreak/>
        <w:t xml:space="preserve">Eyre, D.W., Sanderson, N.D., Lord, E., </w:t>
      </w:r>
      <w:proofErr w:type="spellStart"/>
      <w:r w:rsidRPr="004511C8">
        <w:rPr>
          <w:rFonts w:ascii="Arial" w:hAnsi="Arial" w:cs="Arial"/>
          <w:sz w:val="22"/>
          <w:szCs w:val="22"/>
        </w:rPr>
        <w:t>Regisford</w:t>
      </w:r>
      <w:proofErr w:type="spellEnd"/>
      <w:r w:rsidRPr="004511C8">
        <w:rPr>
          <w:rFonts w:ascii="Arial" w:hAnsi="Arial" w:cs="Arial"/>
          <w:sz w:val="22"/>
          <w:szCs w:val="22"/>
        </w:rPr>
        <w:t xml:space="preserve">-Reimmer, N., Chau, K., Barker, L., Morgan, M., Newnham, R., </w:t>
      </w:r>
      <w:proofErr w:type="spellStart"/>
      <w:r w:rsidRPr="004511C8">
        <w:rPr>
          <w:rFonts w:ascii="Arial" w:hAnsi="Arial" w:cs="Arial"/>
          <w:sz w:val="22"/>
          <w:szCs w:val="22"/>
        </w:rPr>
        <w:t>Golparian</w:t>
      </w:r>
      <w:proofErr w:type="spellEnd"/>
      <w:r w:rsidRPr="004511C8">
        <w:rPr>
          <w:rFonts w:ascii="Arial" w:hAnsi="Arial" w:cs="Arial"/>
          <w:sz w:val="22"/>
          <w:szCs w:val="22"/>
        </w:rPr>
        <w:t xml:space="preserve">, D., </w:t>
      </w:r>
      <w:proofErr w:type="spellStart"/>
      <w:r w:rsidRPr="004511C8">
        <w:rPr>
          <w:rFonts w:ascii="Arial" w:hAnsi="Arial" w:cs="Arial"/>
          <w:sz w:val="22"/>
          <w:szCs w:val="22"/>
        </w:rPr>
        <w:t>Unemo</w:t>
      </w:r>
      <w:proofErr w:type="spellEnd"/>
      <w:r w:rsidRPr="004511C8">
        <w:rPr>
          <w:rFonts w:ascii="Arial" w:hAnsi="Arial" w:cs="Arial"/>
          <w:sz w:val="22"/>
          <w:szCs w:val="22"/>
        </w:rPr>
        <w:t xml:space="preserve">, M., Crook, D.W., Peto, T.E., Hughes, G., Cole, M.J., Fifer, H., Edwards, A. and Andersson, M.I. (2018). Gonorrhoea treatment failure caused by a Neisseria gonorrhoeae strain with combined ceftriaxone and high-level azithromycin resistance, England, February 2018. </w:t>
      </w:r>
      <w:r w:rsidRPr="004511C8">
        <w:rPr>
          <w:rFonts w:ascii="Arial" w:hAnsi="Arial" w:cs="Arial"/>
          <w:i/>
          <w:iCs/>
          <w:sz w:val="22"/>
          <w:szCs w:val="22"/>
        </w:rPr>
        <w:t>Eurosurveillance</w:t>
      </w:r>
      <w:r w:rsidRPr="004511C8">
        <w:rPr>
          <w:rFonts w:ascii="Arial" w:hAnsi="Arial" w:cs="Arial"/>
          <w:sz w:val="22"/>
          <w:szCs w:val="22"/>
        </w:rPr>
        <w:t xml:space="preserve">, 23(27).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://doi.org/10.2807/1560-7917.es.2018.23.27.1800323</w:t>
      </w:r>
      <w:proofErr w:type="gramEnd"/>
      <w:r w:rsidRPr="004511C8">
        <w:rPr>
          <w:rFonts w:ascii="Arial" w:hAnsi="Arial" w:cs="Arial"/>
          <w:sz w:val="22"/>
          <w:szCs w:val="22"/>
        </w:rPr>
        <w:t>.</w:t>
      </w:r>
    </w:p>
    <w:p w14:paraId="07FA277B" w14:textId="77777777" w:rsidR="0060431B" w:rsidRPr="004511C8" w:rsidRDefault="0060431B" w:rsidP="00F36DDA">
      <w:pPr>
        <w:jc w:val="left"/>
        <w:rPr>
          <w:rFonts w:ascii="Arial" w:hAnsi="Arial" w:cs="Arial"/>
          <w:sz w:val="22"/>
          <w:szCs w:val="22"/>
        </w:rPr>
      </w:pPr>
      <w:r w:rsidRPr="004511C8">
        <w:rPr>
          <w:rFonts w:ascii="Arial" w:hAnsi="Arial" w:cs="Arial"/>
          <w:sz w:val="22"/>
          <w:szCs w:val="22"/>
        </w:rPr>
        <w:t xml:space="preserve">Fifer, H. and Johnson, A. (2025). The continuing evolution of antibiotic resistance in Neisseria gonorrhoeae: past, present and future threats to effective treatment. </w:t>
      </w:r>
      <w:r w:rsidRPr="004511C8">
        <w:rPr>
          <w:rFonts w:ascii="Arial" w:hAnsi="Arial" w:cs="Arial"/>
          <w:i/>
          <w:iCs/>
          <w:sz w:val="22"/>
          <w:szCs w:val="22"/>
        </w:rPr>
        <w:t>PubMed</w:t>
      </w:r>
      <w:r w:rsidRPr="004511C8">
        <w:rPr>
          <w:rFonts w:ascii="Arial" w:hAnsi="Arial" w:cs="Arial"/>
          <w:sz w:val="22"/>
          <w:szCs w:val="22"/>
        </w:rPr>
        <w:t xml:space="preserve">, [online] 80(5).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://doi.org/10.1093/</w:t>
      </w:r>
      <w:proofErr w:type="spellStart"/>
      <w:r w:rsidRPr="004511C8">
        <w:rPr>
          <w:rFonts w:ascii="Arial" w:hAnsi="Arial" w:cs="Arial"/>
          <w:sz w:val="22"/>
          <w:szCs w:val="22"/>
        </w:rPr>
        <w:t>jac</w:t>
      </w:r>
      <w:proofErr w:type="spellEnd"/>
      <w:r w:rsidRPr="004511C8">
        <w:rPr>
          <w:rFonts w:ascii="Arial" w:hAnsi="Arial" w:cs="Arial"/>
          <w:sz w:val="22"/>
          <w:szCs w:val="22"/>
        </w:rPr>
        <w:t>/dkaf109</w:t>
      </w:r>
      <w:proofErr w:type="gramEnd"/>
      <w:r w:rsidRPr="004511C8">
        <w:rPr>
          <w:rFonts w:ascii="Arial" w:hAnsi="Arial" w:cs="Arial"/>
          <w:sz w:val="22"/>
          <w:szCs w:val="22"/>
        </w:rPr>
        <w:t>.</w:t>
      </w:r>
    </w:p>
    <w:p w14:paraId="22C93CC1" w14:textId="77777777" w:rsidR="0060431B" w:rsidRPr="004511C8" w:rsidRDefault="0060431B" w:rsidP="00F36DDA">
      <w:pPr>
        <w:jc w:val="left"/>
        <w:rPr>
          <w:rFonts w:ascii="Arial" w:hAnsi="Arial" w:cs="Arial"/>
          <w:sz w:val="22"/>
          <w:szCs w:val="22"/>
        </w:rPr>
      </w:pPr>
      <w:r w:rsidRPr="004511C8">
        <w:rPr>
          <w:rFonts w:ascii="Arial" w:hAnsi="Arial" w:cs="Arial"/>
          <w:sz w:val="22"/>
          <w:szCs w:val="22"/>
        </w:rPr>
        <w:t xml:space="preserve">Fifer, H., Ismail, M.A., Soni, S., Uzochi Nwaosu, Sadiq, S.T., Milligan, A., Saunders, J. and Medland, N. (2025). British Association of Sexual Health and HIV UK National Guideline for the Management of infection with Neisseria gonorrhoeae, 2025. International Journal of STD &amp; AIDS.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://doi.org/10.1177/09564624251345195</w:t>
      </w:r>
      <w:proofErr w:type="gramEnd"/>
      <w:r w:rsidRPr="004511C8">
        <w:rPr>
          <w:rFonts w:ascii="Arial" w:hAnsi="Arial" w:cs="Arial"/>
          <w:sz w:val="22"/>
          <w:szCs w:val="22"/>
        </w:rPr>
        <w:t>.</w:t>
      </w:r>
    </w:p>
    <w:p w14:paraId="1D2C6BE4" w14:textId="77777777" w:rsidR="0060431B" w:rsidRPr="004511C8" w:rsidRDefault="0060431B" w:rsidP="00F36DDA">
      <w:pPr>
        <w:jc w:val="left"/>
        <w:rPr>
          <w:rFonts w:ascii="Arial" w:hAnsi="Arial" w:cs="Arial"/>
          <w:sz w:val="22"/>
          <w:szCs w:val="22"/>
        </w:rPr>
      </w:pPr>
      <w:r w:rsidRPr="004511C8">
        <w:rPr>
          <w:rFonts w:ascii="Arial" w:hAnsi="Arial" w:cs="Arial"/>
          <w:sz w:val="22"/>
          <w:szCs w:val="22"/>
        </w:rPr>
        <w:t xml:space="preserve">Fifer, H., Saunders, J., Soni, S., Sadiq, S.T. and FitzGerald, M. (2019). 2018 UK national guideline for the management of infection with Neisseria gonorrhoeae. </w:t>
      </w:r>
      <w:r w:rsidRPr="004511C8">
        <w:rPr>
          <w:rFonts w:ascii="Arial" w:hAnsi="Arial" w:cs="Arial"/>
          <w:i/>
          <w:iCs/>
          <w:sz w:val="22"/>
          <w:szCs w:val="22"/>
        </w:rPr>
        <w:t>International Journal of STD &amp; AIDS</w:t>
      </w:r>
      <w:r w:rsidRPr="004511C8">
        <w:rPr>
          <w:rFonts w:ascii="Arial" w:hAnsi="Arial" w:cs="Arial"/>
          <w:sz w:val="22"/>
          <w:szCs w:val="22"/>
        </w:rPr>
        <w:t xml:space="preserve">, 31(1), pp.4–15.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://doi.org/10.1177/0956462419886775</w:t>
      </w:r>
      <w:proofErr w:type="gramEnd"/>
      <w:r w:rsidRPr="004511C8">
        <w:rPr>
          <w:rFonts w:ascii="Arial" w:hAnsi="Arial" w:cs="Arial"/>
          <w:sz w:val="22"/>
          <w:szCs w:val="22"/>
        </w:rPr>
        <w:t>.</w:t>
      </w:r>
    </w:p>
    <w:p w14:paraId="4C33D102"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t xml:space="preserve">Flemming, K. and Noyes, J. (2021). Qualitative Evidence Synthesis: Where Are We at? </w:t>
      </w:r>
      <w:r w:rsidRPr="004511C8">
        <w:rPr>
          <w:rFonts w:ascii="Arial" w:hAnsi="Arial" w:cs="Arial"/>
          <w:i/>
          <w:iCs/>
          <w:sz w:val="22"/>
          <w:szCs w:val="22"/>
        </w:rPr>
        <w:t>International Journal of Qualitative Methods</w:t>
      </w:r>
      <w:r w:rsidRPr="004511C8">
        <w:rPr>
          <w:rFonts w:ascii="Arial" w:hAnsi="Arial" w:cs="Arial"/>
          <w:sz w:val="22"/>
          <w:szCs w:val="22"/>
        </w:rPr>
        <w:t xml:space="preserve">, 20, p.160940692199327.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://doi.org/10.1177/1609406921993276</w:t>
      </w:r>
      <w:proofErr w:type="gramEnd"/>
      <w:r w:rsidRPr="004511C8">
        <w:rPr>
          <w:rFonts w:ascii="Arial" w:hAnsi="Arial" w:cs="Arial"/>
          <w:sz w:val="22"/>
          <w:szCs w:val="22"/>
        </w:rPr>
        <w:t>.</w:t>
      </w:r>
    </w:p>
    <w:p w14:paraId="7AE628FE"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t xml:space="preserve">French, M. and Monahan, T. (2020). Dis-ease Surveillance: How Might Surveillance Studies Address COVID-19? </w:t>
      </w:r>
      <w:r w:rsidRPr="004511C8">
        <w:rPr>
          <w:rFonts w:ascii="Arial" w:hAnsi="Arial" w:cs="Arial"/>
          <w:i/>
          <w:iCs/>
          <w:sz w:val="22"/>
          <w:szCs w:val="22"/>
        </w:rPr>
        <w:t>Surveillance &amp; Society</w:t>
      </w:r>
      <w:r w:rsidRPr="004511C8">
        <w:rPr>
          <w:rFonts w:ascii="Arial" w:hAnsi="Arial" w:cs="Arial"/>
          <w:sz w:val="22"/>
          <w:szCs w:val="22"/>
        </w:rPr>
        <w:t xml:space="preserve">, 18(1), pp.1–11.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://doi.org/10.24908/ss.v18i1.13985</w:t>
      </w:r>
      <w:proofErr w:type="gramEnd"/>
      <w:r w:rsidRPr="004511C8">
        <w:rPr>
          <w:rFonts w:ascii="Arial" w:hAnsi="Arial" w:cs="Arial"/>
          <w:sz w:val="22"/>
          <w:szCs w:val="22"/>
        </w:rPr>
        <w:t>.</w:t>
      </w:r>
    </w:p>
    <w:p w14:paraId="6ABF8E5C"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t xml:space="preserve">Gajic, I., </w:t>
      </w:r>
      <w:proofErr w:type="spellStart"/>
      <w:r w:rsidRPr="004511C8">
        <w:rPr>
          <w:rFonts w:ascii="Arial" w:hAnsi="Arial" w:cs="Arial"/>
          <w:sz w:val="22"/>
          <w:szCs w:val="22"/>
        </w:rPr>
        <w:t>Kabic</w:t>
      </w:r>
      <w:proofErr w:type="spellEnd"/>
      <w:r w:rsidRPr="004511C8">
        <w:rPr>
          <w:rFonts w:ascii="Arial" w:hAnsi="Arial" w:cs="Arial"/>
          <w:sz w:val="22"/>
          <w:szCs w:val="22"/>
        </w:rPr>
        <w:t xml:space="preserve">, J., Kekic, D., </w:t>
      </w:r>
      <w:proofErr w:type="spellStart"/>
      <w:r w:rsidRPr="004511C8">
        <w:rPr>
          <w:rFonts w:ascii="Arial" w:hAnsi="Arial" w:cs="Arial"/>
          <w:sz w:val="22"/>
          <w:szCs w:val="22"/>
        </w:rPr>
        <w:t>Jovicevic</w:t>
      </w:r>
      <w:proofErr w:type="spellEnd"/>
      <w:r w:rsidRPr="004511C8">
        <w:rPr>
          <w:rFonts w:ascii="Arial" w:hAnsi="Arial" w:cs="Arial"/>
          <w:sz w:val="22"/>
          <w:szCs w:val="22"/>
        </w:rPr>
        <w:t xml:space="preserve">, M., Milenkovic, M., Mitic </w:t>
      </w:r>
      <w:proofErr w:type="spellStart"/>
      <w:r w:rsidRPr="004511C8">
        <w:rPr>
          <w:rFonts w:ascii="Arial" w:hAnsi="Arial" w:cs="Arial"/>
          <w:sz w:val="22"/>
          <w:szCs w:val="22"/>
        </w:rPr>
        <w:t>Culafic</w:t>
      </w:r>
      <w:proofErr w:type="spellEnd"/>
      <w:r w:rsidRPr="004511C8">
        <w:rPr>
          <w:rFonts w:ascii="Arial" w:hAnsi="Arial" w:cs="Arial"/>
          <w:sz w:val="22"/>
          <w:szCs w:val="22"/>
        </w:rPr>
        <w:t xml:space="preserve">, D., </w:t>
      </w:r>
      <w:proofErr w:type="spellStart"/>
      <w:r w:rsidRPr="004511C8">
        <w:rPr>
          <w:rFonts w:ascii="Arial" w:hAnsi="Arial" w:cs="Arial"/>
          <w:sz w:val="22"/>
          <w:szCs w:val="22"/>
        </w:rPr>
        <w:t>Trudic</w:t>
      </w:r>
      <w:proofErr w:type="spellEnd"/>
      <w:r w:rsidRPr="004511C8">
        <w:rPr>
          <w:rFonts w:ascii="Arial" w:hAnsi="Arial" w:cs="Arial"/>
          <w:sz w:val="22"/>
          <w:szCs w:val="22"/>
        </w:rPr>
        <w:t xml:space="preserve">, A., Ranin, L. and </w:t>
      </w:r>
      <w:proofErr w:type="spellStart"/>
      <w:r w:rsidRPr="004511C8">
        <w:rPr>
          <w:rFonts w:ascii="Arial" w:hAnsi="Arial" w:cs="Arial"/>
          <w:sz w:val="22"/>
          <w:szCs w:val="22"/>
        </w:rPr>
        <w:t>Opavski</w:t>
      </w:r>
      <w:proofErr w:type="spellEnd"/>
      <w:r w:rsidRPr="004511C8">
        <w:rPr>
          <w:rFonts w:ascii="Arial" w:hAnsi="Arial" w:cs="Arial"/>
          <w:sz w:val="22"/>
          <w:szCs w:val="22"/>
        </w:rPr>
        <w:t xml:space="preserve">, N. (2022). Antimicrobial Susceptibility Testing: A Comprehensive Review of Currently Used Methods. </w:t>
      </w:r>
      <w:r w:rsidRPr="004511C8">
        <w:rPr>
          <w:rFonts w:ascii="Arial" w:hAnsi="Arial" w:cs="Arial"/>
          <w:i/>
          <w:iCs/>
          <w:sz w:val="22"/>
          <w:szCs w:val="22"/>
        </w:rPr>
        <w:t>Antibiotics</w:t>
      </w:r>
      <w:r w:rsidRPr="004511C8">
        <w:rPr>
          <w:rFonts w:ascii="Arial" w:hAnsi="Arial" w:cs="Arial"/>
          <w:sz w:val="22"/>
          <w:szCs w:val="22"/>
        </w:rPr>
        <w:t xml:space="preserve">, [online] 11(4), p.427.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://doi.org/10.3390/antibiotics11040427</w:t>
      </w:r>
      <w:proofErr w:type="gramEnd"/>
      <w:r w:rsidRPr="004511C8">
        <w:rPr>
          <w:rFonts w:ascii="Arial" w:hAnsi="Arial" w:cs="Arial"/>
          <w:sz w:val="22"/>
          <w:szCs w:val="22"/>
        </w:rPr>
        <w:t>.</w:t>
      </w:r>
    </w:p>
    <w:p w14:paraId="51C54373"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t xml:space="preserve">Giusti, A., Nkhoma, K., Petrus, R., Petersen, I., Gwyther, L., Farrant, L., </w:t>
      </w:r>
      <w:proofErr w:type="spellStart"/>
      <w:r w:rsidRPr="004511C8">
        <w:rPr>
          <w:rFonts w:ascii="Arial" w:hAnsi="Arial" w:cs="Arial"/>
          <w:sz w:val="22"/>
          <w:szCs w:val="22"/>
        </w:rPr>
        <w:t>Venkatapuram</w:t>
      </w:r>
      <w:proofErr w:type="spellEnd"/>
      <w:r w:rsidRPr="004511C8">
        <w:rPr>
          <w:rFonts w:ascii="Arial" w:hAnsi="Arial" w:cs="Arial"/>
          <w:sz w:val="22"/>
          <w:szCs w:val="22"/>
        </w:rPr>
        <w:t xml:space="preserve">, S. and Harding, R. (2020). The empirical evidence underpinning the concept and practice of person-centred care for serious illness: A systematic review. </w:t>
      </w:r>
      <w:r w:rsidRPr="004511C8">
        <w:rPr>
          <w:rFonts w:ascii="Arial" w:hAnsi="Arial" w:cs="Arial"/>
          <w:i/>
          <w:iCs/>
          <w:sz w:val="22"/>
          <w:szCs w:val="22"/>
        </w:rPr>
        <w:t>BMJ Global Health</w:t>
      </w:r>
      <w:r w:rsidRPr="004511C8">
        <w:rPr>
          <w:rFonts w:ascii="Arial" w:hAnsi="Arial" w:cs="Arial"/>
          <w:sz w:val="22"/>
          <w:szCs w:val="22"/>
        </w:rPr>
        <w:t xml:space="preserve">, [online] 5(12).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://doi.org/10.1136/bmjgh-2020-003330</w:t>
      </w:r>
      <w:proofErr w:type="gramEnd"/>
      <w:r w:rsidRPr="004511C8">
        <w:rPr>
          <w:rFonts w:ascii="Arial" w:hAnsi="Arial" w:cs="Arial"/>
          <w:sz w:val="22"/>
          <w:szCs w:val="22"/>
        </w:rPr>
        <w:t>.</w:t>
      </w:r>
    </w:p>
    <w:p w14:paraId="17B97F6D"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lastRenderedPageBreak/>
        <w:t xml:space="preserve">González-Alcaide, G., Llorente, P. and Ramos-Rincón, J.-M. (2020). Systematic analysis of the scientific literature on population surveillance. </w:t>
      </w:r>
      <w:proofErr w:type="spellStart"/>
      <w:r w:rsidRPr="004511C8">
        <w:rPr>
          <w:rFonts w:ascii="Arial" w:hAnsi="Arial" w:cs="Arial"/>
          <w:i/>
          <w:iCs/>
          <w:sz w:val="22"/>
          <w:szCs w:val="22"/>
        </w:rPr>
        <w:t>Heliyon</w:t>
      </w:r>
      <w:proofErr w:type="spellEnd"/>
      <w:r w:rsidRPr="004511C8">
        <w:rPr>
          <w:rFonts w:ascii="Arial" w:hAnsi="Arial" w:cs="Arial"/>
          <w:sz w:val="22"/>
          <w:szCs w:val="22"/>
        </w:rPr>
        <w:t xml:space="preserve">, 6(10), p.e05141.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://doi.org/10.1016/j.heliyon.2020.e05141</w:t>
      </w:r>
      <w:proofErr w:type="gramEnd"/>
      <w:r w:rsidRPr="004511C8">
        <w:rPr>
          <w:rFonts w:ascii="Arial" w:hAnsi="Arial" w:cs="Arial"/>
          <w:sz w:val="22"/>
          <w:szCs w:val="22"/>
        </w:rPr>
        <w:t>.</w:t>
      </w:r>
    </w:p>
    <w:p w14:paraId="425A3A9C"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proofErr w:type="spellStart"/>
      <w:r w:rsidRPr="004511C8">
        <w:rPr>
          <w:rFonts w:ascii="Arial" w:hAnsi="Arial" w:cs="Arial"/>
          <w:sz w:val="22"/>
          <w:szCs w:val="22"/>
        </w:rPr>
        <w:t>Grønmo</w:t>
      </w:r>
      <w:proofErr w:type="spellEnd"/>
      <w:r w:rsidRPr="004511C8">
        <w:rPr>
          <w:rFonts w:ascii="Arial" w:hAnsi="Arial" w:cs="Arial"/>
          <w:sz w:val="22"/>
          <w:szCs w:val="22"/>
        </w:rPr>
        <w:t xml:space="preserve">, S. (2023). </w:t>
      </w:r>
      <w:r w:rsidRPr="004511C8">
        <w:rPr>
          <w:rFonts w:ascii="Arial" w:hAnsi="Arial" w:cs="Arial"/>
          <w:i/>
          <w:iCs/>
          <w:sz w:val="22"/>
          <w:szCs w:val="22"/>
        </w:rPr>
        <w:t>Social Research Methods</w:t>
      </w:r>
      <w:r w:rsidRPr="004511C8">
        <w:rPr>
          <w:rFonts w:ascii="Arial" w:hAnsi="Arial" w:cs="Arial"/>
          <w:sz w:val="22"/>
          <w:szCs w:val="22"/>
        </w:rPr>
        <w:t>. SAGE Publications Limited.</w:t>
      </w:r>
    </w:p>
    <w:p w14:paraId="1A874D7D"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t xml:space="preserve">Haddaway, N.R., Bethel, A., Dicks, L.V., </w:t>
      </w:r>
      <w:proofErr w:type="spellStart"/>
      <w:r w:rsidRPr="004511C8">
        <w:rPr>
          <w:rFonts w:ascii="Arial" w:hAnsi="Arial" w:cs="Arial"/>
          <w:sz w:val="22"/>
          <w:szCs w:val="22"/>
        </w:rPr>
        <w:t>Koricheva</w:t>
      </w:r>
      <w:proofErr w:type="spellEnd"/>
      <w:r w:rsidRPr="004511C8">
        <w:rPr>
          <w:rFonts w:ascii="Arial" w:hAnsi="Arial" w:cs="Arial"/>
          <w:sz w:val="22"/>
          <w:szCs w:val="22"/>
        </w:rPr>
        <w:t xml:space="preserve">, J., Macura, B., </w:t>
      </w:r>
      <w:proofErr w:type="spellStart"/>
      <w:r w:rsidRPr="004511C8">
        <w:rPr>
          <w:rFonts w:ascii="Arial" w:hAnsi="Arial" w:cs="Arial"/>
          <w:sz w:val="22"/>
          <w:szCs w:val="22"/>
        </w:rPr>
        <w:t>Petrokofsky</w:t>
      </w:r>
      <w:proofErr w:type="spellEnd"/>
      <w:r w:rsidRPr="004511C8">
        <w:rPr>
          <w:rFonts w:ascii="Arial" w:hAnsi="Arial" w:cs="Arial"/>
          <w:sz w:val="22"/>
          <w:szCs w:val="22"/>
        </w:rPr>
        <w:t xml:space="preserve">, G., Pullin, A.S., </w:t>
      </w:r>
      <w:proofErr w:type="spellStart"/>
      <w:r w:rsidRPr="004511C8">
        <w:rPr>
          <w:rFonts w:ascii="Arial" w:hAnsi="Arial" w:cs="Arial"/>
          <w:sz w:val="22"/>
          <w:szCs w:val="22"/>
        </w:rPr>
        <w:t>Savilaakso</w:t>
      </w:r>
      <w:proofErr w:type="spellEnd"/>
      <w:r w:rsidRPr="004511C8">
        <w:rPr>
          <w:rFonts w:ascii="Arial" w:hAnsi="Arial" w:cs="Arial"/>
          <w:sz w:val="22"/>
          <w:szCs w:val="22"/>
        </w:rPr>
        <w:t xml:space="preserve">, S. and Stewart, G.B. (2020). Eight Problems with Literature Reviews and How to Fix Them. </w:t>
      </w:r>
      <w:r w:rsidRPr="004511C8">
        <w:rPr>
          <w:rFonts w:ascii="Arial" w:hAnsi="Arial" w:cs="Arial"/>
          <w:i/>
          <w:iCs/>
          <w:sz w:val="22"/>
          <w:szCs w:val="22"/>
        </w:rPr>
        <w:t>Nature Ecology &amp; Evolution</w:t>
      </w:r>
      <w:r w:rsidRPr="004511C8">
        <w:rPr>
          <w:rFonts w:ascii="Arial" w:hAnsi="Arial" w:cs="Arial"/>
          <w:sz w:val="22"/>
          <w:szCs w:val="22"/>
        </w:rPr>
        <w:t>, [online] 4(12), pp.1582–1589. Available at: https://www.nature.com/articles/s41559-020-01295-x.</w:t>
      </w:r>
    </w:p>
    <w:p w14:paraId="53B46D94"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t xml:space="preserve">Harding-Esch, E.M., Huntington, S.E., Harvey, M.J., Weston, G., Broad, C.E., Adams, E.J. and Sadiq, S.T. (2020). Antimicrobial resistance point-of-care testing for gonorrhoea treatment regimens: cost-effectiveness and impact on ceftriaxone use of five hypothetical strategies compared with standard care in England sexual health clinics. </w:t>
      </w:r>
      <w:r w:rsidRPr="004511C8">
        <w:rPr>
          <w:rFonts w:ascii="Arial" w:hAnsi="Arial" w:cs="Arial"/>
          <w:i/>
          <w:iCs/>
          <w:sz w:val="22"/>
          <w:szCs w:val="22"/>
        </w:rPr>
        <w:t>Eurosurveillance</w:t>
      </w:r>
      <w:r w:rsidRPr="004511C8">
        <w:rPr>
          <w:rFonts w:ascii="Arial" w:hAnsi="Arial" w:cs="Arial"/>
          <w:sz w:val="22"/>
          <w:szCs w:val="22"/>
        </w:rPr>
        <w:t xml:space="preserve">, 25(43).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://doi.org/10.2807/1560-7917.es.2020.25.43.1900402</w:t>
      </w:r>
      <w:proofErr w:type="gramEnd"/>
      <w:r w:rsidRPr="004511C8">
        <w:rPr>
          <w:rFonts w:ascii="Arial" w:hAnsi="Arial" w:cs="Arial"/>
          <w:sz w:val="22"/>
          <w:szCs w:val="22"/>
        </w:rPr>
        <w:t>.</w:t>
      </w:r>
    </w:p>
    <w:p w14:paraId="4BDCB74F"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t xml:space="preserve">Hayden, N., Bradshaw, J., Hayward, S., Murphy, J., Boa, S., Eden, V., Alm, N., </w:t>
      </w:r>
      <w:proofErr w:type="spellStart"/>
      <w:r w:rsidRPr="004511C8">
        <w:rPr>
          <w:rFonts w:ascii="Arial" w:hAnsi="Arial" w:cs="Arial"/>
          <w:sz w:val="22"/>
          <w:szCs w:val="22"/>
        </w:rPr>
        <w:t>Pampoulou</w:t>
      </w:r>
      <w:proofErr w:type="spellEnd"/>
      <w:r w:rsidRPr="004511C8">
        <w:rPr>
          <w:rFonts w:ascii="Arial" w:hAnsi="Arial" w:cs="Arial"/>
          <w:sz w:val="22"/>
          <w:szCs w:val="22"/>
        </w:rPr>
        <w:t xml:space="preserve">, E. and Mischo, S. (2024). A narrative review on analysing and reporting research conducted using Talking Mats®, an inclusive communication tool. </w:t>
      </w:r>
      <w:r w:rsidRPr="004511C8">
        <w:rPr>
          <w:rFonts w:ascii="Arial" w:hAnsi="Arial" w:cs="Arial"/>
          <w:i/>
          <w:iCs/>
          <w:sz w:val="22"/>
          <w:szCs w:val="22"/>
        </w:rPr>
        <w:t>Technology and Disability</w:t>
      </w:r>
      <w:r w:rsidRPr="004511C8">
        <w:rPr>
          <w:rFonts w:ascii="Arial" w:hAnsi="Arial" w:cs="Arial"/>
          <w:sz w:val="22"/>
          <w:szCs w:val="22"/>
        </w:rPr>
        <w:t xml:space="preserve">, 36(3), pp.69–84.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://doi.org/10.3233/tad-230024</w:t>
      </w:r>
      <w:proofErr w:type="gramEnd"/>
      <w:r w:rsidRPr="004511C8">
        <w:rPr>
          <w:rFonts w:ascii="Arial" w:hAnsi="Arial" w:cs="Arial"/>
          <w:sz w:val="22"/>
          <w:szCs w:val="22"/>
        </w:rPr>
        <w:t>.</w:t>
      </w:r>
    </w:p>
    <w:p w14:paraId="6D7124CB"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t xml:space="preserve">Hayward, A., </w:t>
      </w:r>
      <w:proofErr w:type="spellStart"/>
      <w:r w:rsidRPr="004511C8">
        <w:rPr>
          <w:rFonts w:ascii="Arial" w:hAnsi="Arial" w:cs="Arial"/>
          <w:sz w:val="22"/>
          <w:szCs w:val="22"/>
        </w:rPr>
        <w:t>Fragaszy</w:t>
      </w:r>
      <w:proofErr w:type="spellEnd"/>
      <w:r w:rsidRPr="004511C8">
        <w:rPr>
          <w:rFonts w:ascii="Arial" w:hAnsi="Arial" w:cs="Arial"/>
          <w:sz w:val="22"/>
          <w:szCs w:val="22"/>
        </w:rPr>
        <w:t xml:space="preserve">, E., Kovar, J., Nguyen, V., Beale, S., Byrne, T., Aryee, A., </w:t>
      </w:r>
      <w:proofErr w:type="spellStart"/>
      <w:r w:rsidRPr="004511C8">
        <w:rPr>
          <w:rFonts w:ascii="Arial" w:hAnsi="Arial" w:cs="Arial"/>
          <w:sz w:val="22"/>
          <w:szCs w:val="22"/>
        </w:rPr>
        <w:t>Hardelid</w:t>
      </w:r>
      <w:proofErr w:type="spellEnd"/>
      <w:r w:rsidRPr="004511C8">
        <w:rPr>
          <w:rFonts w:ascii="Arial" w:hAnsi="Arial" w:cs="Arial"/>
          <w:sz w:val="22"/>
          <w:szCs w:val="22"/>
        </w:rPr>
        <w:t xml:space="preserve">, P., </w:t>
      </w:r>
      <w:proofErr w:type="spellStart"/>
      <w:r w:rsidRPr="004511C8">
        <w:rPr>
          <w:rFonts w:ascii="Arial" w:hAnsi="Arial" w:cs="Arial"/>
          <w:sz w:val="22"/>
          <w:szCs w:val="22"/>
        </w:rPr>
        <w:t>Wijlaars</w:t>
      </w:r>
      <w:proofErr w:type="spellEnd"/>
      <w:r w:rsidRPr="004511C8">
        <w:rPr>
          <w:rFonts w:ascii="Arial" w:hAnsi="Arial" w:cs="Arial"/>
          <w:sz w:val="22"/>
          <w:szCs w:val="22"/>
        </w:rPr>
        <w:t xml:space="preserve">, L., Fong, W.L.E., Geismar, C., Patel, P., Shrotri, M., Navaratnam, A.M.D., </w:t>
      </w:r>
      <w:proofErr w:type="spellStart"/>
      <w:r w:rsidRPr="004511C8">
        <w:rPr>
          <w:rFonts w:ascii="Arial" w:hAnsi="Arial" w:cs="Arial"/>
          <w:sz w:val="22"/>
          <w:szCs w:val="22"/>
        </w:rPr>
        <w:t>Nastouli</w:t>
      </w:r>
      <w:proofErr w:type="spellEnd"/>
      <w:r w:rsidRPr="004511C8">
        <w:rPr>
          <w:rFonts w:ascii="Arial" w:hAnsi="Arial" w:cs="Arial"/>
          <w:sz w:val="22"/>
          <w:szCs w:val="22"/>
        </w:rPr>
        <w:t xml:space="preserve">, E., </w:t>
      </w:r>
      <w:proofErr w:type="spellStart"/>
      <w:r w:rsidRPr="004511C8">
        <w:rPr>
          <w:rFonts w:ascii="Arial" w:hAnsi="Arial" w:cs="Arial"/>
          <w:sz w:val="22"/>
          <w:szCs w:val="22"/>
        </w:rPr>
        <w:t>Spyer</w:t>
      </w:r>
      <w:proofErr w:type="spellEnd"/>
      <w:r w:rsidRPr="004511C8">
        <w:rPr>
          <w:rFonts w:ascii="Arial" w:hAnsi="Arial" w:cs="Arial"/>
          <w:sz w:val="22"/>
          <w:szCs w:val="22"/>
        </w:rPr>
        <w:t xml:space="preserve">, M., </w:t>
      </w:r>
      <w:proofErr w:type="spellStart"/>
      <w:r w:rsidRPr="004511C8">
        <w:rPr>
          <w:rFonts w:ascii="Arial" w:hAnsi="Arial" w:cs="Arial"/>
          <w:sz w:val="22"/>
          <w:szCs w:val="22"/>
        </w:rPr>
        <w:t>Killingley</w:t>
      </w:r>
      <w:proofErr w:type="spellEnd"/>
      <w:r w:rsidRPr="004511C8">
        <w:rPr>
          <w:rFonts w:ascii="Arial" w:hAnsi="Arial" w:cs="Arial"/>
          <w:sz w:val="22"/>
          <w:szCs w:val="22"/>
        </w:rPr>
        <w:t xml:space="preserve">, B., Cox, I., Lampos, V. and McKendry, R.A. (2021). Risk factors, symptom reporting, healthcare-seeking behaviour and adherence to public health guidance: protocol for Virus Watch, a prospective community cohort study. </w:t>
      </w:r>
      <w:r w:rsidRPr="004511C8">
        <w:rPr>
          <w:rFonts w:ascii="Arial" w:hAnsi="Arial" w:cs="Arial"/>
          <w:i/>
          <w:iCs/>
          <w:sz w:val="22"/>
          <w:szCs w:val="22"/>
        </w:rPr>
        <w:t>BMJ Open</w:t>
      </w:r>
      <w:r w:rsidRPr="004511C8">
        <w:rPr>
          <w:rFonts w:ascii="Arial" w:hAnsi="Arial" w:cs="Arial"/>
          <w:sz w:val="22"/>
          <w:szCs w:val="22"/>
        </w:rPr>
        <w:t xml:space="preserve">, [online] 11(6), p.e048042.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://doi.org/10.1136/bmjopen-2020-048042</w:t>
      </w:r>
      <w:proofErr w:type="gramEnd"/>
      <w:r w:rsidRPr="004511C8">
        <w:rPr>
          <w:rFonts w:ascii="Arial" w:hAnsi="Arial" w:cs="Arial"/>
          <w:sz w:val="22"/>
          <w:szCs w:val="22"/>
        </w:rPr>
        <w:t>.</w:t>
      </w:r>
    </w:p>
    <w:p w14:paraId="289D6A72"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t xml:space="preserve">Hendren, K., Newcomer, K., Pandey, S.K., Smith, M. and Sumner, N. (2023). How Qualitative Research Methods can be Leveraged to Strengthen Mixed Methods Research in Public Policy and Public Administration. </w:t>
      </w:r>
      <w:r w:rsidRPr="004511C8">
        <w:rPr>
          <w:rFonts w:ascii="Arial" w:hAnsi="Arial" w:cs="Arial"/>
          <w:i/>
          <w:iCs/>
          <w:sz w:val="22"/>
          <w:szCs w:val="22"/>
        </w:rPr>
        <w:t>Public Administration Review</w:t>
      </w:r>
      <w:r w:rsidRPr="004511C8">
        <w:rPr>
          <w:rFonts w:ascii="Arial" w:hAnsi="Arial" w:cs="Arial"/>
          <w:sz w:val="22"/>
          <w:szCs w:val="22"/>
        </w:rPr>
        <w:t>, 83(3), pp.468–485.</w:t>
      </w:r>
    </w:p>
    <w:p w14:paraId="3A096411" w14:textId="77777777" w:rsidR="0060431B" w:rsidRPr="004511C8" w:rsidRDefault="0060431B" w:rsidP="00F36DDA">
      <w:pPr>
        <w:jc w:val="left"/>
        <w:rPr>
          <w:rFonts w:ascii="Arial" w:hAnsi="Arial" w:cs="Arial"/>
          <w:sz w:val="22"/>
          <w:szCs w:val="22"/>
        </w:rPr>
      </w:pPr>
      <w:r w:rsidRPr="004511C8">
        <w:rPr>
          <w:rFonts w:ascii="Arial" w:hAnsi="Arial" w:cs="Arial"/>
          <w:sz w:val="22"/>
          <w:szCs w:val="22"/>
        </w:rPr>
        <w:t>Higgins, J. and Thomas, J. (2024). Cochrane Handbook for Systematic Reviews of Interventions (current version) | Cochrane. [online] Cochrane.org. Available at: https://www.cochrane.org/authors/handbooks-and-manuals/handbook/current.</w:t>
      </w:r>
    </w:p>
    <w:p w14:paraId="1550B30D" w14:textId="77777777" w:rsidR="0060431B" w:rsidRPr="004511C8" w:rsidRDefault="0060431B" w:rsidP="00F36DDA">
      <w:pPr>
        <w:jc w:val="left"/>
        <w:rPr>
          <w:rFonts w:ascii="Arial" w:hAnsi="Arial" w:cs="Arial"/>
          <w:sz w:val="22"/>
          <w:szCs w:val="22"/>
        </w:rPr>
      </w:pPr>
      <w:r w:rsidRPr="004511C8">
        <w:rPr>
          <w:rFonts w:ascii="Arial" w:hAnsi="Arial" w:cs="Arial"/>
          <w:sz w:val="22"/>
          <w:szCs w:val="22"/>
        </w:rPr>
        <w:t xml:space="preserve">Hong, Q.N., </w:t>
      </w:r>
      <w:proofErr w:type="spellStart"/>
      <w:r w:rsidRPr="004511C8">
        <w:rPr>
          <w:rFonts w:ascii="Arial" w:hAnsi="Arial" w:cs="Arial"/>
          <w:sz w:val="22"/>
          <w:szCs w:val="22"/>
        </w:rPr>
        <w:t>Fàbregues</w:t>
      </w:r>
      <w:proofErr w:type="spellEnd"/>
      <w:r w:rsidRPr="004511C8">
        <w:rPr>
          <w:rFonts w:ascii="Arial" w:hAnsi="Arial" w:cs="Arial"/>
          <w:sz w:val="22"/>
          <w:szCs w:val="22"/>
        </w:rPr>
        <w:t xml:space="preserve">, S., Bartlett, G., Boardman, F., Cargo, M., Dagenais, P., Gagnon, M.-P., Griffiths, F., Nicolau, B., </w:t>
      </w:r>
      <w:proofErr w:type="spellStart"/>
      <w:r w:rsidRPr="004511C8">
        <w:rPr>
          <w:rFonts w:ascii="Arial" w:hAnsi="Arial" w:cs="Arial"/>
          <w:sz w:val="22"/>
          <w:szCs w:val="22"/>
        </w:rPr>
        <w:t>O’Cathain</w:t>
      </w:r>
      <w:proofErr w:type="spellEnd"/>
      <w:r w:rsidRPr="004511C8">
        <w:rPr>
          <w:rFonts w:ascii="Arial" w:hAnsi="Arial" w:cs="Arial"/>
          <w:sz w:val="22"/>
          <w:szCs w:val="22"/>
        </w:rPr>
        <w:t xml:space="preserve">, A., Rousseau, M.-C., Vedel, I. and </w:t>
      </w:r>
      <w:proofErr w:type="spellStart"/>
      <w:r w:rsidRPr="004511C8">
        <w:rPr>
          <w:rFonts w:ascii="Arial" w:hAnsi="Arial" w:cs="Arial"/>
          <w:sz w:val="22"/>
          <w:szCs w:val="22"/>
        </w:rPr>
        <w:t>Pluye</w:t>
      </w:r>
      <w:proofErr w:type="spellEnd"/>
      <w:r w:rsidRPr="004511C8">
        <w:rPr>
          <w:rFonts w:ascii="Arial" w:hAnsi="Arial" w:cs="Arial"/>
          <w:sz w:val="22"/>
          <w:szCs w:val="22"/>
        </w:rPr>
        <w:t xml:space="preserve">, P. (2018). The Mixed Methods Appraisal Tool (MMAT) version 2018 for information professionals and </w:t>
      </w:r>
      <w:r w:rsidRPr="004511C8">
        <w:rPr>
          <w:rFonts w:ascii="Arial" w:hAnsi="Arial" w:cs="Arial"/>
          <w:sz w:val="22"/>
          <w:szCs w:val="22"/>
        </w:rPr>
        <w:lastRenderedPageBreak/>
        <w:t xml:space="preserve">researchers. Education for Information, 34(4), pp.285–291.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://doi.org/10.3233/EFI-180221</w:t>
      </w:r>
      <w:proofErr w:type="gramEnd"/>
      <w:r w:rsidRPr="004511C8">
        <w:rPr>
          <w:rFonts w:ascii="Arial" w:hAnsi="Arial" w:cs="Arial"/>
          <w:sz w:val="22"/>
          <w:szCs w:val="22"/>
        </w:rPr>
        <w:t>.</w:t>
      </w:r>
    </w:p>
    <w:p w14:paraId="53F1A927" w14:textId="77777777" w:rsidR="0060431B" w:rsidRPr="004511C8" w:rsidRDefault="0060431B" w:rsidP="00F36DDA">
      <w:pPr>
        <w:jc w:val="left"/>
        <w:rPr>
          <w:rFonts w:ascii="Arial" w:hAnsi="Arial" w:cs="Arial"/>
          <w:sz w:val="22"/>
          <w:szCs w:val="22"/>
        </w:rPr>
      </w:pPr>
      <w:r w:rsidRPr="004511C8">
        <w:rPr>
          <w:rFonts w:ascii="Arial" w:hAnsi="Arial" w:cs="Arial"/>
          <w:sz w:val="22"/>
          <w:szCs w:val="22"/>
        </w:rPr>
        <w:t xml:space="preserve">Hong, Q.N., </w:t>
      </w:r>
      <w:proofErr w:type="spellStart"/>
      <w:r w:rsidRPr="004511C8">
        <w:rPr>
          <w:rFonts w:ascii="Arial" w:hAnsi="Arial" w:cs="Arial"/>
          <w:sz w:val="22"/>
          <w:szCs w:val="22"/>
        </w:rPr>
        <w:t>Pluye</w:t>
      </w:r>
      <w:proofErr w:type="spellEnd"/>
      <w:r w:rsidRPr="004511C8">
        <w:rPr>
          <w:rFonts w:ascii="Arial" w:hAnsi="Arial" w:cs="Arial"/>
          <w:sz w:val="22"/>
          <w:szCs w:val="22"/>
        </w:rPr>
        <w:t xml:space="preserve">, P., </w:t>
      </w:r>
      <w:proofErr w:type="spellStart"/>
      <w:r w:rsidRPr="004511C8">
        <w:rPr>
          <w:rFonts w:ascii="Arial" w:hAnsi="Arial" w:cs="Arial"/>
          <w:sz w:val="22"/>
          <w:szCs w:val="22"/>
        </w:rPr>
        <w:t>Fàbregues</w:t>
      </w:r>
      <w:proofErr w:type="spellEnd"/>
      <w:r w:rsidRPr="004511C8">
        <w:rPr>
          <w:rFonts w:ascii="Arial" w:hAnsi="Arial" w:cs="Arial"/>
          <w:sz w:val="22"/>
          <w:szCs w:val="22"/>
        </w:rPr>
        <w:t xml:space="preserve">, S., Bartlett, G., Boardman, F., Cargo, M., Dagenais, P., Gagnon, M.-P., Griffiths, F., Nicolau, B., </w:t>
      </w:r>
      <w:proofErr w:type="spellStart"/>
      <w:r w:rsidRPr="004511C8">
        <w:rPr>
          <w:rFonts w:ascii="Arial" w:hAnsi="Arial" w:cs="Arial"/>
          <w:sz w:val="22"/>
          <w:szCs w:val="22"/>
        </w:rPr>
        <w:t>O’Cathain</w:t>
      </w:r>
      <w:proofErr w:type="spellEnd"/>
      <w:r w:rsidRPr="004511C8">
        <w:rPr>
          <w:rFonts w:ascii="Arial" w:hAnsi="Arial" w:cs="Arial"/>
          <w:sz w:val="22"/>
          <w:szCs w:val="22"/>
        </w:rPr>
        <w:t>, A., Rousseau, M.-C. and Vedel, I. (2019). Improving the content validity of the mixed methods appraisal tool: a modified e-Delphi study. Journal of Clinical Epidemiology, [online] 111(111), pp.49-</w:t>
      </w:r>
      <w:proofErr w:type="gramStart"/>
      <w:r w:rsidRPr="004511C8">
        <w:rPr>
          <w:rFonts w:ascii="Arial" w:hAnsi="Arial" w:cs="Arial"/>
          <w:sz w:val="22"/>
          <w:szCs w:val="22"/>
        </w:rPr>
        <w:t>59.e</w:t>
      </w:r>
      <w:proofErr w:type="gramEnd"/>
      <w:r w:rsidRPr="004511C8">
        <w:rPr>
          <w:rFonts w:ascii="Arial" w:hAnsi="Arial" w:cs="Arial"/>
          <w:sz w:val="22"/>
          <w:szCs w:val="22"/>
        </w:rPr>
        <w:t xml:space="preserve">1.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://doi.org/10.1016/j.jclinepi.2019.03.008</w:t>
      </w:r>
      <w:proofErr w:type="gramEnd"/>
      <w:r w:rsidRPr="004511C8">
        <w:rPr>
          <w:rFonts w:ascii="Arial" w:hAnsi="Arial" w:cs="Arial"/>
          <w:sz w:val="22"/>
          <w:szCs w:val="22"/>
        </w:rPr>
        <w:t>.</w:t>
      </w:r>
    </w:p>
    <w:p w14:paraId="78F3162E"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t xml:space="preserve">Hong, R., Walker, R., Hovan, G., Henry, L. and Pescatore, R. (2020). The Power of Public Health Surveillance. </w:t>
      </w:r>
      <w:r w:rsidRPr="004511C8">
        <w:rPr>
          <w:rFonts w:ascii="Arial" w:hAnsi="Arial" w:cs="Arial"/>
          <w:i/>
          <w:iCs/>
          <w:sz w:val="22"/>
          <w:szCs w:val="22"/>
        </w:rPr>
        <w:t>Delaware Journal of Public Health</w:t>
      </w:r>
      <w:r w:rsidRPr="004511C8">
        <w:rPr>
          <w:rFonts w:ascii="Arial" w:hAnsi="Arial" w:cs="Arial"/>
          <w:sz w:val="22"/>
          <w:szCs w:val="22"/>
        </w:rPr>
        <w:t xml:space="preserve">, [online] 6(2), pp.60–63.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://doi.org/10.32481/djph.2020.07.016</w:t>
      </w:r>
      <w:proofErr w:type="gramEnd"/>
      <w:r w:rsidRPr="004511C8">
        <w:rPr>
          <w:rFonts w:ascii="Arial" w:hAnsi="Arial" w:cs="Arial"/>
          <w:sz w:val="22"/>
          <w:szCs w:val="22"/>
        </w:rPr>
        <w:t>.</w:t>
      </w:r>
    </w:p>
    <w:p w14:paraId="20A6DAD3"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t xml:space="preserve">Howes, O.D., </w:t>
      </w:r>
      <w:proofErr w:type="spellStart"/>
      <w:r w:rsidRPr="004511C8">
        <w:rPr>
          <w:rFonts w:ascii="Arial" w:hAnsi="Arial" w:cs="Arial"/>
          <w:sz w:val="22"/>
          <w:szCs w:val="22"/>
        </w:rPr>
        <w:t>Thase</w:t>
      </w:r>
      <w:proofErr w:type="spellEnd"/>
      <w:r w:rsidRPr="004511C8">
        <w:rPr>
          <w:rFonts w:ascii="Arial" w:hAnsi="Arial" w:cs="Arial"/>
          <w:sz w:val="22"/>
          <w:szCs w:val="22"/>
        </w:rPr>
        <w:t xml:space="preserve">, M.E. and Pillinger, T. (2021). Treatment resistance in psychiatry: state of the art and new directions. </w:t>
      </w:r>
      <w:r w:rsidRPr="004511C8">
        <w:rPr>
          <w:rFonts w:ascii="Arial" w:hAnsi="Arial" w:cs="Arial"/>
          <w:i/>
          <w:iCs/>
          <w:sz w:val="22"/>
          <w:szCs w:val="22"/>
        </w:rPr>
        <w:t>Molecular Psychiatry</w:t>
      </w:r>
      <w:r w:rsidRPr="004511C8">
        <w:rPr>
          <w:rFonts w:ascii="Arial" w:hAnsi="Arial" w:cs="Arial"/>
          <w:sz w:val="22"/>
          <w:szCs w:val="22"/>
        </w:rPr>
        <w:t xml:space="preserve">, [online] 27(1), pp.58–72.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://doi.org/10.1038/s41380-021-01200-3</w:t>
      </w:r>
      <w:proofErr w:type="gramEnd"/>
      <w:r w:rsidRPr="004511C8">
        <w:rPr>
          <w:rFonts w:ascii="Arial" w:hAnsi="Arial" w:cs="Arial"/>
          <w:sz w:val="22"/>
          <w:szCs w:val="22"/>
        </w:rPr>
        <w:t>.</w:t>
      </w:r>
    </w:p>
    <w:p w14:paraId="3C258AB9" w14:textId="77777777" w:rsidR="0060431B" w:rsidRPr="004511C8" w:rsidRDefault="0060431B" w:rsidP="00F36DDA">
      <w:pPr>
        <w:jc w:val="left"/>
        <w:rPr>
          <w:rFonts w:ascii="Arial" w:hAnsi="Arial" w:cs="Arial"/>
          <w:sz w:val="22"/>
          <w:szCs w:val="22"/>
        </w:rPr>
      </w:pPr>
      <w:r w:rsidRPr="004511C8">
        <w:rPr>
          <w:rFonts w:ascii="Arial" w:hAnsi="Arial" w:cs="Arial"/>
          <w:sz w:val="22"/>
          <w:szCs w:val="22"/>
        </w:rPr>
        <w:t xml:space="preserve">Hughes, G., Nichols, T. and Ison, C.A. (2011). Estimating the prevalence of gonococcal resistance to antimicrobials in England and Wales. </w:t>
      </w:r>
      <w:r w:rsidRPr="004511C8">
        <w:rPr>
          <w:rFonts w:ascii="Arial" w:hAnsi="Arial" w:cs="Arial"/>
          <w:i/>
          <w:iCs/>
          <w:sz w:val="22"/>
          <w:szCs w:val="22"/>
        </w:rPr>
        <w:t>Sexually Transmitted Infections</w:t>
      </w:r>
      <w:r w:rsidRPr="004511C8">
        <w:rPr>
          <w:rFonts w:ascii="Arial" w:hAnsi="Arial" w:cs="Arial"/>
          <w:sz w:val="22"/>
          <w:szCs w:val="22"/>
        </w:rPr>
        <w:t xml:space="preserve">, 87(6), pp.526–531.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://doi.org/10.1136/sextrans-2011-050071</w:t>
      </w:r>
      <w:proofErr w:type="gramEnd"/>
      <w:r w:rsidRPr="004511C8">
        <w:rPr>
          <w:rFonts w:ascii="Arial" w:hAnsi="Arial" w:cs="Arial"/>
          <w:sz w:val="22"/>
          <w:szCs w:val="22"/>
        </w:rPr>
        <w:t>.</w:t>
      </w:r>
    </w:p>
    <w:p w14:paraId="0747AC49" w14:textId="77777777" w:rsidR="0060431B" w:rsidRPr="004511C8" w:rsidRDefault="0060431B" w:rsidP="00F36DDA">
      <w:pPr>
        <w:jc w:val="left"/>
        <w:rPr>
          <w:rFonts w:ascii="Arial" w:hAnsi="Arial" w:cs="Arial"/>
          <w:sz w:val="22"/>
          <w:szCs w:val="22"/>
        </w:rPr>
      </w:pPr>
      <w:r w:rsidRPr="004511C8">
        <w:rPr>
          <w:rFonts w:ascii="Arial" w:hAnsi="Arial" w:cs="Arial"/>
          <w:sz w:val="22"/>
          <w:szCs w:val="22"/>
        </w:rPr>
        <w:t xml:space="preserve">Ison, C.A. and Alexander, S. (2011). Antimicrobial resistance in Neisseria Gonorrhoeae in the UK: surveillance and management. </w:t>
      </w:r>
      <w:r w:rsidRPr="004511C8">
        <w:rPr>
          <w:rFonts w:ascii="Arial" w:hAnsi="Arial" w:cs="Arial"/>
          <w:i/>
          <w:iCs/>
          <w:sz w:val="22"/>
          <w:szCs w:val="22"/>
        </w:rPr>
        <w:t>Expert Review of Anti-infective Therapy</w:t>
      </w:r>
      <w:r w:rsidRPr="004511C8">
        <w:rPr>
          <w:rFonts w:ascii="Arial" w:hAnsi="Arial" w:cs="Arial"/>
          <w:sz w:val="22"/>
          <w:szCs w:val="22"/>
        </w:rPr>
        <w:t xml:space="preserve">, 9(10), pp.867–876.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://doi.org/10.1586/eri.11.103</w:t>
      </w:r>
      <w:proofErr w:type="gramEnd"/>
      <w:r w:rsidRPr="004511C8">
        <w:rPr>
          <w:rFonts w:ascii="Arial" w:hAnsi="Arial" w:cs="Arial"/>
          <w:sz w:val="22"/>
          <w:szCs w:val="22"/>
        </w:rPr>
        <w:t>.</w:t>
      </w:r>
    </w:p>
    <w:p w14:paraId="63A90E29" w14:textId="77777777" w:rsidR="0060431B" w:rsidRPr="004511C8" w:rsidRDefault="0060431B" w:rsidP="00F36DDA">
      <w:pPr>
        <w:jc w:val="left"/>
        <w:rPr>
          <w:rFonts w:ascii="Arial" w:hAnsi="Arial" w:cs="Arial"/>
          <w:sz w:val="22"/>
          <w:szCs w:val="22"/>
        </w:rPr>
      </w:pPr>
      <w:r w:rsidRPr="004511C8">
        <w:rPr>
          <w:rFonts w:ascii="Arial" w:hAnsi="Arial" w:cs="Arial"/>
          <w:sz w:val="22"/>
          <w:szCs w:val="22"/>
        </w:rPr>
        <w:t xml:space="preserve">Ison, C.A., Hussey, J., Sankar, K.N., Evans, J. and Alexander, S. (2011). Gonorrhoea treatment failures to cefixime and azithromycin in England, 2010. </w:t>
      </w:r>
      <w:r w:rsidRPr="004511C8">
        <w:rPr>
          <w:rFonts w:ascii="Arial" w:hAnsi="Arial" w:cs="Arial"/>
          <w:i/>
          <w:iCs/>
          <w:sz w:val="22"/>
          <w:szCs w:val="22"/>
        </w:rPr>
        <w:t xml:space="preserve">Euro </w:t>
      </w:r>
      <w:proofErr w:type="gramStart"/>
      <w:r w:rsidRPr="004511C8">
        <w:rPr>
          <w:rFonts w:ascii="Arial" w:hAnsi="Arial" w:cs="Arial"/>
          <w:i/>
          <w:iCs/>
          <w:sz w:val="22"/>
          <w:szCs w:val="22"/>
        </w:rPr>
        <w:t>surveillance :</w:t>
      </w:r>
      <w:proofErr w:type="gramEnd"/>
      <w:r w:rsidRPr="004511C8">
        <w:rPr>
          <w:rFonts w:ascii="Arial" w:hAnsi="Arial" w:cs="Arial"/>
          <w:i/>
          <w:iCs/>
          <w:sz w:val="22"/>
          <w:szCs w:val="22"/>
        </w:rPr>
        <w:t xml:space="preserve"> bulletin </w:t>
      </w:r>
      <w:proofErr w:type="spellStart"/>
      <w:r w:rsidRPr="004511C8">
        <w:rPr>
          <w:rFonts w:ascii="Arial" w:hAnsi="Arial" w:cs="Arial"/>
          <w:i/>
          <w:iCs/>
          <w:sz w:val="22"/>
          <w:szCs w:val="22"/>
        </w:rPr>
        <w:t>Europeen</w:t>
      </w:r>
      <w:proofErr w:type="spellEnd"/>
      <w:r w:rsidRPr="004511C8">
        <w:rPr>
          <w:rFonts w:ascii="Arial" w:hAnsi="Arial" w:cs="Arial"/>
          <w:i/>
          <w:iCs/>
          <w:sz w:val="22"/>
          <w:szCs w:val="22"/>
        </w:rPr>
        <w:t xml:space="preserve"> sur les maladies </w:t>
      </w:r>
      <w:proofErr w:type="spellStart"/>
      <w:r w:rsidRPr="004511C8">
        <w:rPr>
          <w:rFonts w:ascii="Arial" w:hAnsi="Arial" w:cs="Arial"/>
          <w:i/>
          <w:iCs/>
          <w:sz w:val="22"/>
          <w:szCs w:val="22"/>
        </w:rPr>
        <w:t>transmissibles</w:t>
      </w:r>
      <w:proofErr w:type="spellEnd"/>
      <w:r w:rsidRPr="004511C8">
        <w:rPr>
          <w:rFonts w:ascii="Arial" w:hAnsi="Arial" w:cs="Arial"/>
          <w:i/>
          <w:iCs/>
          <w:sz w:val="22"/>
          <w:szCs w:val="22"/>
        </w:rPr>
        <w:t xml:space="preserve"> = European communicable disease bulletin</w:t>
      </w:r>
      <w:r w:rsidRPr="004511C8">
        <w:rPr>
          <w:rFonts w:ascii="Arial" w:hAnsi="Arial" w:cs="Arial"/>
          <w:sz w:val="22"/>
          <w:szCs w:val="22"/>
        </w:rPr>
        <w:t xml:space="preserve">, [online] 16(14), p.19833. </w:t>
      </w:r>
    </w:p>
    <w:p w14:paraId="67912A16"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t xml:space="preserve">Krieger, M.S., Denison, C.E., Anderson, T.L., Nowak, M.A. and Hill, A.L. (2020). Population structure across scales facilitates coexistence and spatial heterogeneity of antibiotic-resistant infections. </w:t>
      </w:r>
      <w:proofErr w:type="spellStart"/>
      <w:r w:rsidRPr="004511C8">
        <w:rPr>
          <w:rFonts w:ascii="Arial" w:hAnsi="Arial" w:cs="Arial"/>
          <w:i/>
          <w:iCs/>
          <w:sz w:val="22"/>
          <w:szCs w:val="22"/>
        </w:rPr>
        <w:t>PLoS</w:t>
      </w:r>
      <w:proofErr w:type="spellEnd"/>
      <w:r w:rsidRPr="004511C8">
        <w:rPr>
          <w:rFonts w:ascii="Arial" w:hAnsi="Arial" w:cs="Arial"/>
          <w:i/>
          <w:iCs/>
          <w:sz w:val="22"/>
          <w:szCs w:val="22"/>
        </w:rPr>
        <w:t xml:space="preserve"> Computational Biology</w:t>
      </w:r>
      <w:r w:rsidRPr="004511C8">
        <w:rPr>
          <w:rFonts w:ascii="Arial" w:hAnsi="Arial" w:cs="Arial"/>
          <w:sz w:val="22"/>
          <w:szCs w:val="22"/>
        </w:rPr>
        <w:t xml:space="preserve">, 16(7), </w:t>
      </w:r>
      <w:proofErr w:type="gramStart"/>
      <w:r w:rsidRPr="004511C8">
        <w:rPr>
          <w:rFonts w:ascii="Arial" w:hAnsi="Arial" w:cs="Arial"/>
          <w:sz w:val="22"/>
          <w:szCs w:val="22"/>
        </w:rPr>
        <w:t>pp.e</w:t>
      </w:r>
      <w:proofErr w:type="gramEnd"/>
      <w:r w:rsidRPr="004511C8">
        <w:rPr>
          <w:rFonts w:ascii="Arial" w:hAnsi="Arial" w:cs="Arial"/>
          <w:sz w:val="22"/>
          <w:szCs w:val="22"/>
        </w:rPr>
        <w:t xml:space="preserve">1008010–e1008010.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://doi.org/10.1371/journal.pcbi.1008010</w:t>
      </w:r>
      <w:proofErr w:type="gramEnd"/>
      <w:r w:rsidRPr="004511C8">
        <w:rPr>
          <w:rFonts w:ascii="Arial" w:hAnsi="Arial" w:cs="Arial"/>
          <w:sz w:val="22"/>
          <w:szCs w:val="22"/>
        </w:rPr>
        <w:t>.</w:t>
      </w:r>
    </w:p>
    <w:p w14:paraId="47087D1C"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t xml:space="preserve">Kwon, C., Naser, A.M., Eilerts, H., Reniers, G. and </w:t>
      </w:r>
      <w:proofErr w:type="spellStart"/>
      <w:r w:rsidRPr="004511C8">
        <w:rPr>
          <w:rFonts w:ascii="Arial" w:hAnsi="Arial" w:cs="Arial"/>
          <w:sz w:val="22"/>
          <w:szCs w:val="22"/>
        </w:rPr>
        <w:t>Argeseanu</w:t>
      </w:r>
      <w:proofErr w:type="spellEnd"/>
      <w:r w:rsidRPr="004511C8">
        <w:rPr>
          <w:rFonts w:ascii="Arial" w:hAnsi="Arial" w:cs="Arial"/>
          <w:sz w:val="22"/>
          <w:szCs w:val="22"/>
        </w:rPr>
        <w:t xml:space="preserve"> Cunningham, S. (2021). Pregnancy Surveillance Methods within Health and Demographic Surveillance Systems. </w:t>
      </w:r>
      <w:r w:rsidRPr="004511C8">
        <w:rPr>
          <w:rFonts w:ascii="Arial" w:hAnsi="Arial" w:cs="Arial"/>
          <w:i/>
          <w:iCs/>
          <w:sz w:val="22"/>
          <w:szCs w:val="22"/>
        </w:rPr>
        <w:t>Gates Open Research</w:t>
      </w:r>
      <w:r w:rsidRPr="004511C8">
        <w:rPr>
          <w:rFonts w:ascii="Arial" w:hAnsi="Arial" w:cs="Arial"/>
          <w:sz w:val="22"/>
          <w:szCs w:val="22"/>
        </w:rPr>
        <w:t xml:space="preserve">, 5, p.144.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://doi.org/10.12688/gatesopenres.13332.1</w:t>
      </w:r>
      <w:proofErr w:type="gramEnd"/>
      <w:r w:rsidRPr="004511C8">
        <w:rPr>
          <w:rFonts w:ascii="Arial" w:hAnsi="Arial" w:cs="Arial"/>
          <w:sz w:val="22"/>
          <w:szCs w:val="22"/>
        </w:rPr>
        <w:t>.</w:t>
      </w:r>
    </w:p>
    <w:p w14:paraId="2BB48353" w14:textId="77777777" w:rsidR="0060431B" w:rsidRPr="004511C8" w:rsidRDefault="0060431B" w:rsidP="00F36DDA">
      <w:pPr>
        <w:jc w:val="left"/>
        <w:rPr>
          <w:rFonts w:ascii="Arial" w:hAnsi="Arial" w:cs="Arial"/>
          <w:sz w:val="22"/>
          <w:szCs w:val="22"/>
        </w:rPr>
      </w:pPr>
      <w:r w:rsidRPr="004511C8">
        <w:rPr>
          <w:rFonts w:ascii="Arial" w:hAnsi="Arial" w:cs="Arial"/>
          <w:sz w:val="22"/>
          <w:szCs w:val="22"/>
        </w:rPr>
        <w:t xml:space="preserve">Lee, M.H., Lee, G.A., Lee, S.H. and Park, Y.-H. (2020). A systematic review on the causes of the transmission and control measures of outbreaks in long-term care facilities: Back to </w:t>
      </w:r>
      <w:r w:rsidRPr="004511C8">
        <w:rPr>
          <w:rFonts w:ascii="Arial" w:hAnsi="Arial" w:cs="Arial"/>
          <w:sz w:val="22"/>
          <w:szCs w:val="22"/>
        </w:rPr>
        <w:lastRenderedPageBreak/>
        <w:t xml:space="preserve">basics of infection control. </w:t>
      </w:r>
      <w:r w:rsidRPr="004511C8">
        <w:rPr>
          <w:rFonts w:ascii="Arial" w:hAnsi="Arial" w:cs="Arial"/>
          <w:i/>
          <w:iCs/>
          <w:sz w:val="22"/>
          <w:szCs w:val="22"/>
        </w:rPr>
        <w:t>PLOS ONE</w:t>
      </w:r>
      <w:r w:rsidRPr="004511C8">
        <w:rPr>
          <w:rFonts w:ascii="Arial" w:hAnsi="Arial" w:cs="Arial"/>
          <w:sz w:val="22"/>
          <w:szCs w:val="22"/>
        </w:rPr>
        <w:t xml:space="preserve">, 15(3), p.e0229911.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://doi.org/10.1371/journal.pone.0229911</w:t>
      </w:r>
      <w:proofErr w:type="gramEnd"/>
      <w:r w:rsidRPr="004511C8">
        <w:rPr>
          <w:rFonts w:ascii="Arial" w:hAnsi="Arial" w:cs="Arial"/>
          <w:sz w:val="22"/>
          <w:szCs w:val="22"/>
        </w:rPr>
        <w:t>.</w:t>
      </w:r>
    </w:p>
    <w:p w14:paraId="471ECD0F"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t xml:space="preserve">Legba, B.B., </w:t>
      </w:r>
      <w:proofErr w:type="spellStart"/>
      <w:r w:rsidRPr="004511C8">
        <w:rPr>
          <w:rFonts w:ascii="Arial" w:hAnsi="Arial" w:cs="Arial"/>
          <w:sz w:val="22"/>
          <w:szCs w:val="22"/>
        </w:rPr>
        <w:t>Dougnon</w:t>
      </w:r>
      <w:proofErr w:type="spellEnd"/>
      <w:r w:rsidRPr="004511C8">
        <w:rPr>
          <w:rFonts w:ascii="Arial" w:hAnsi="Arial" w:cs="Arial"/>
          <w:sz w:val="22"/>
          <w:szCs w:val="22"/>
        </w:rPr>
        <w:t xml:space="preserve">, V., </w:t>
      </w:r>
      <w:proofErr w:type="spellStart"/>
      <w:r w:rsidRPr="004511C8">
        <w:rPr>
          <w:rFonts w:ascii="Arial" w:hAnsi="Arial" w:cs="Arial"/>
          <w:sz w:val="22"/>
          <w:szCs w:val="22"/>
        </w:rPr>
        <w:t>Koudokpon</w:t>
      </w:r>
      <w:proofErr w:type="spellEnd"/>
      <w:r w:rsidRPr="004511C8">
        <w:rPr>
          <w:rFonts w:ascii="Arial" w:hAnsi="Arial" w:cs="Arial"/>
          <w:sz w:val="22"/>
          <w:szCs w:val="22"/>
        </w:rPr>
        <w:t xml:space="preserve">, H., Mero, S., Elovainio, R., Parry, M., Bankole, H. and </w:t>
      </w:r>
      <w:proofErr w:type="spellStart"/>
      <w:r w:rsidRPr="004511C8">
        <w:rPr>
          <w:rFonts w:ascii="Arial" w:hAnsi="Arial" w:cs="Arial"/>
          <w:sz w:val="22"/>
          <w:szCs w:val="22"/>
        </w:rPr>
        <w:t>Haukka</w:t>
      </w:r>
      <w:proofErr w:type="spellEnd"/>
      <w:r w:rsidRPr="004511C8">
        <w:rPr>
          <w:rFonts w:ascii="Arial" w:hAnsi="Arial" w:cs="Arial"/>
          <w:sz w:val="22"/>
          <w:szCs w:val="22"/>
        </w:rPr>
        <w:t xml:space="preserve">, K. (2023). Assessment of blood cultures and antibiotic susceptibility testing for bacterial sepsis diagnosis and utilization of results by clinicians in Benin: A qualitative study. </w:t>
      </w:r>
      <w:r w:rsidRPr="004511C8">
        <w:rPr>
          <w:rFonts w:ascii="Arial" w:hAnsi="Arial" w:cs="Arial"/>
          <w:i/>
          <w:iCs/>
          <w:sz w:val="22"/>
          <w:szCs w:val="22"/>
        </w:rPr>
        <w:t>Frontiers in Public Health</w:t>
      </w:r>
      <w:r w:rsidRPr="004511C8">
        <w:rPr>
          <w:rFonts w:ascii="Arial" w:hAnsi="Arial" w:cs="Arial"/>
          <w:sz w:val="22"/>
          <w:szCs w:val="22"/>
        </w:rPr>
        <w:t xml:space="preserve">, 10.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://doi.org/10.3389/fpubh.2022.1088590</w:t>
      </w:r>
      <w:proofErr w:type="gramEnd"/>
      <w:r w:rsidRPr="004511C8">
        <w:rPr>
          <w:rFonts w:ascii="Arial" w:hAnsi="Arial" w:cs="Arial"/>
          <w:sz w:val="22"/>
          <w:szCs w:val="22"/>
        </w:rPr>
        <w:t>.</w:t>
      </w:r>
    </w:p>
    <w:p w14:paraId="03ADA45A" w14:textId="77777777" w:rsidR="0060431B" w:rsidRPr="004511C8" w:rsidRDefault="0060431B" w:rsidP="00F36DDA">
      <w:pPr>
        <w:jc w:val="left"/>
        <w:rPr>
          <w:rFonts w:ascii="Arial" w:hAnsi="Arial" w:cs="Arial"/>
          <w:sz w:val="22"/>
          <w:szCs w:val="22"/>
          <w:lang/>
        </w:rPr>
      </w:pPr>
      <w:r w:rsidRPr="004511C8">
        <w:rPr>
          <w:rFonts w:ascii="Arial" w:hAnsi="Arial" w:cs="Arial"/>
          <w:sz w:val="22"/>
          <w:szCs w:val="22"/>
          <w:lang/>
        </w:rPr>
        <w:t xml:space="preserve">Mahapure, K., Singh, A., Mahapure, K. and Singh, A. (2023) ‘A review of recent advances in our understanding of </w:t>
      </w:r>
      <w:r w:rsidRPr="004511C8">
        <w:rPr>
          <w:rFonts w:ascii="Arial" w:hAnsi="Arial" w:cs="Arial"/>
          <w:i/>
          <w:iCs/>
          <w:sz w:val="22"/>
          <w:szCs w:val="22"/>
          <w:lang/>
        </w:rPr>
        <w:t>Neisseria gonorrhoeae</w:t>
      </w:r>
      <w:r w:rsidRPr="004511C8">
        <w:rPr>
          <w:rFonts w:ascii="Arial" w:hAnsi="Arial" w:cs="Arial"/>
          <w:sz w:val="22"/>
          <w:szCs w:val="22"/>
          <w:lang/>
        </w:rPr>
        <w:t xml:space="preserve">’, </w:t>
      </w:r>
      <w:r w:rsidRPr="004511C8">
        <w:rPr>
          <w:rFonts w:ascii="Arial" w:hAnsi="Arial" w:cs="Arial"/>
          <w:i/>
          <w:iCs/>
          <w:sz w:val="22"/>
          <w:szCs w:val="22"/>
          <w:lang/>
        </w:rPr>
        <w:t>Cureus</w:t>
      </w:r>
      <w:r w:rsidRPr="004511C8">
        <w:rPr>
          <w:rFonts w:ascii="Arial" w:hAnsi="Arial" w:cs="Arial"/>
          <w:sz w:val="22"/>
          <w:szCs w:val="22"/>
          <w:lang/>
        </w:rPr>
        <w:t xml:space="preserve">, 15(8). doi:10.7759/cureus.43464. </w:t>
      </w:r>
    </w:p>
    <w:p w14:paraId="3786B363" w14:textId="77777777" w:rsidR="0060431B" w:rsidRPr="004511C8" w:rsidRDefault="0060431B" w:rsidP="00F36DDA">
      <w:pPr>
        <w:jc w:val="left"/>
        <w:rPr>
          <w:rFonts w:ascii="Arial" w:hAnsi="Arial" w:cs="Arial"/>
          <w:sz w:val="22"/>
          <w:szCs w:val="22"/>
        </w:rPr>
      </w:pPr>
      <w:proofErr w:type="spellStart"/>
      <w:r w:rsidRPr="004511C8">
        <w:rPr>
          <w:rFonts w:ascii="Arial" w:hAnsi="Arial" w:cs="Arial"/>
          <w:sz w:val="22"/>
          <w:szCs w:val="22"/>
        </w:rPr>
        <w:t>Mahapure</w:t>
      </w:r>
      <w:proofErr w:type="spellEnd"/>
      <w:r w:rsidRPr="004511C8">
        <w:rPr>
          <w:rFonts w:ascii="Arial" w:hAnsi="Arial" w:cs="Arial"/>
          <w:sz w:val="22"/>
          <w:szCs w:val="22"/>
        </w:rPr>
        <w:t xml:space="preserve">, K., Singh, A., </w:t>
      </w:r>
      <w:proofErr w:type="spellStart"/>
      <w:r w:rsidRPr="004511C8">
        <w:rPr>
          <w:rFonts w:ascii="Arial" w:hAnsi="Arial" w:cs="Arial"/>
          <w:sz w:val="22"/>
          <w:szCs w:val="22"/>
        </w:rPr>
        <w:t>Mahapure</w:t>
      </w:r>
      <w:proofErr w:type="spellEnd"/>
      <w:r w:rsidRPr="004511C8">
        <w:rPr>
          <w:rFonts w:ascii="Arial" w:hAnsi="Arial" w:cs="Arial"/>
          <w:sz w:val="22"/>
          <w:szCs w:val="22"/>
        </w:rPr>
        <w:t xml:space="preserve">, K. and Singh, A. (2023). A Review of Recent Advances in Our Understanding of Neisseria gonorrhoeae. </w:t>
      </w:r>
      <w:r w:rsidRPr="004511C8">
        <w:rPr>
          <w:rFonts w:ascii="Arial" w:hAnsi="Arial" w:cs="Arial"/>
          <w:i/>
          <w:iCs/>
          <w:sz w:val="22"/>
          <w:szCs w:val="22"/>
        </w:rPr>
        <w:t>Cureus</w:t>
      </w:r>
      <w:r w:rsidRPr="004511C8">
        <w:rPr>
          <w:rFonts w:ascii="Arial" w:hAnsi="Arial" w:cs="Arial"/>
          <w:sz w:val="22"/>
          <w:szCs w:val="22"/>
        </w:rPr>
        <w:t xml:space="preserve">, [online] 15(8).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://doi.org/10.7759/cureus.43464</w:t>
      </w:r>
      <w:proofErr w:type="gramEnd"/>
      <w:r w:rsidRPr="004511C8">
        <w:rPr>
          <w:rFonts w:ascii="Arial" w:hAnsi="Arial" w:cs="Arial"/>
          <w:sz w:val="22"/>
          <w:szCs w:val="22"/>
        </w:rPr>
        <w:t>.</w:t>
      </w:r>
    </w:p>
    <w:p w14:paraId="459CBAA0"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t xml:space="preserve">Mayen, A., Nisha, S.N., Afrin, S., Ahammed, T., Baker, A. and Uddin, M.J. (2024). Evaluating the current methodological practices and issues in existing literature in pooling complex surveys: a systematic review. </w:t>
      </w:r>
      <w:r w:rsidRPr="004511C8">
        <w:rPr>
          <w:rFonts w:ascii="Arial" w:hAnsi="Arial" w:cs="Arial"/>
          <w:i/>
          <w:iCs/>
          <w:sz w:val="22"/>
          <w:szCs w:val="22"/>
        </w:rPr>
        <w:t>BMC Medical Research Methodology</w:t>
      </w:r>
      <w:r w:rsidRPr="004511C8">
        <w:rPr>
          <w:rFonts w:ascii="Arial" w:hAnsi="Arial" w:cs="Arial"/>
          <w:sz w:val="22"/>
          <w:szCs w:val="22"/>
        </w:rPr>
        <w:t xml:space="preserve">, 24(1).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://doi.org/10.1186/s12874-024-02400-5</w:t>
      </w:r>
      <w:proofErr w:type="gramEnd"/>
      <w:r w:rsidRPr="004511C8">
        <w:rPr>
          <w:rFonts w:ascii="Arial" w:hAnsi="Arial" w:cs="Arial"/>
          <w:sz w:val="22"/>
          <w:szCs w:val="22"/>
        </w:rPr>
        <w:t>.</w:t>
      </w:r>
    </w:p>
    <w:p w14:paraId="28B067EA" w14:textId="77777777" w:rsidR="0060431B" w:rsidRPr="004511C8" w:rsidRDefault="0060431B" w:rsidP="00F36DDA">
      <w:pPr>
        <w:jc w:val="left"/>
        <w:rPr>
          <w:rFonts w:ascii="Arial" w:hAnsi="Arial" w:cs="Arial"/>
          <w:sz w:val="22"/>
          <w:szCs w:val="22"/>
        </w:rPr>
      </w:pPr>
      <w:proofErr w:type="spellStart"/>
      <w:r w:rsidRPr="004511C8">
        <w:rPr>
          <w:rFonts w:ascii="Arial" w:hAnsi="Arial" w:cs="Arial"/>
          <w:sz w:val="22"/>
          <w:szCs w:val="22"/>
        </w:rPr>
        <w:t>Meckawy</w:t>
      </w:r>
      <w:proofErr w:type="spellEnd"/>
      <w:r w:rsidRPr="004511C8">
        <w:rPr>
          <w:rFonts w:ascii="Arial" w:hAnsi="Arial" w:cs="Arial"/>
          <w:sz w:val="22"/>
          <w:szCs w:val="22"/>
        </w:rPr>
        <w:t xml:space="preserve">, R., Stuckler, D., Mehta, A., Al-Ahdal, T. and </w:t>
      </w:r>
      <w:proofErr w:type="spellStart"/>
      <w:r w:rsidRPr="004511C8">
        <w:rPr>
          <w:rFonts w:ascii="Arial" w:hAnsi="Arial" w:cs="Arial"/>
          <w:sz w:val="22"/>
          <w:szCs w:val="22"/>
        </w:rPr>
        <w:t>Doebbeling</w:t>
      </w:r>
      <w:proofErr w:type="spellEnd"/>
      <w:r w:rsidRPr="004511C8">
        <w:rPr>
          <w:rFonts w:ascii="Arial" w:hAnsi="Arial" w:cs="Arial"/>
          <w:sz w:val="22"/>
          <w:szCs w:val="22"/>
        </w:rPr>
        <w:t xml:space="preserve">, B.N. (2022). Effectiveness of early warning systems in the detection of infectious diseases outbreaks: A systematic review. </w:t>
      </w:r>
      <w:r w:rsidRPr="004511C8">
        <w:rPr>
          <w:rFonts w:ascii="Arial" w:hAnsi="Arial" w:cs="Arial"/>
          <w:i/>
          <w:iCs/>
          <w:sz w:val="22"/>
          <w:szCs w:val="22"/>
        </w:rPr>
        <w:t>BMC Public Health</w:t>
      </w:r>
      <w:r w:rsidRPr="004511C8">
        <w:rPr>
          <w:rFonts w:ascii="Arial" w:hAnsi="Arial" w:cs="Arial"/>
          <w:sz w:val="22"/>
          <w:szCs w:val="22"/>
        </w:rPr>
        <w:t xml:space="preserve">, 22(1), p.2216.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://doi.org/10.1186/s12889-022-14625-4</w:t>
      </w:r>
      <w:proofErr w:type="gramEnd"/>
      <w:r w:rsidRPr="004511C8">
        <w:rPr>
          <w:rFonts w:ascii="Arial" w:hAnsi="Arial" w:cs="Arial"/>
          <w:sz w:val="22"/>
          <w:szCs w:val="22"/>
        </w:rPr>
        <w:t>.</w:t>
      </w:r>
    </w:p>
    <w:p w14:paraId="128F430B" w14:textId="77777777" w:rsidR="0060431B" w:rsidRPr="004511C8" w:rsidRDefault="0060431B" w:rsidP="00F36DDA">
      <w:pPr>
        <w:jc w:val="left"/>
        <w:rPr>
          <w:rFonts w:ascii="Arial" w:hAnsi="Arial" w:cs="Arial"/>
          <w:sz w:val="22"/>
          <w:szCs w:val="22"/>
        </w:rPr>
      </w:pPr>
      <w:r w:rsidRPr="004511C8">
        <w:rPr>
          <w:rFonts w:ascii="Arial" w:hAnsi="Arial" w:cs="Arial"/>
          <w:sz w:val="22"/>
          <w:szCs w:val="22"/>
        </w:rPr>
        <w:t xml:space="preserve">Medland, N.A., Zhang, Y., Gunaratnam, P., Lewis, D.A., Donovan, B., Whiley, D.M., Guy, R.J. and Kaldor, J.M. (2022). Surveillance systems to monitor antimicrobial resistance in Neisseria gonorrhoeae: a global, systematic review, 1 January 2012 to 27 September 2020. </w:t>
      </w:r>
      <w:r w:rsidRPr="004511C8">
        <w:rPr>
          <w:rFonts w:ascii="Arial" w:hAnsi="Arial" w:cs="Arial"/>
          <w:i/>
          <w:iCs/>
          <w:sz w:val="22"/>
          <w:szCs w:val="22"/>
        </w:rPr>
        <w:t>Eurosurveillance</w:t>
      </w:r>
      <w:r w:rsidRPr="004511C8">
        <w:rPr>
          <w:rFonts w:ascii="Arial" w:hAnsi="Arial" w:cs="Arial"/>
          <w:sz w:val="22"/>
          <w:szCs w:val="22"/>
        </w:rPr>
        <w:t xml:space="preserve">, 27(18).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://doi.org/10.2807/1560-7917.es.2022.27.18.2100917</w:t>
      </w:r>
      <w:proofErr w:type="gramEnd"/>
      <w:r w:rsidRPr="004511C8">
        <w:rPr>
          <w:rFonts w:ascii="Arial" w:hAnsi="Arial" w:cs="Arial"/>
          <w:sz w:val="22"/>
          <w:szCs w:val="22"/>
        </w:rPr>
        <w:t>.</w:t>
      </w:r>
    </w:p>
    <w:p w14:paraId="1D0BB7F8" w14:textId="77777777" w:rsidR="0060431B" w:rsidRPr="004511C8" w:rsidRDefault="0060431B" w:rsidP="00F36DDA">
      <w:pPr>
        <w:jc w:val="left"/>
        <w:rPr>
          <w:rFonts w:ascii="Arial" w:hAnsi="Arial" w:cs="Arial"/>
          <w:sz w:val="22"/>
          <w:szCs w:val="22"/>
        </w:rPr>
      </w:pPr>
      <w:r w:rsidRPr="004511C8">
        <w:rPr>
          <w:rFonts w:ascii="Arial" w:hAnsi="Arial" w:cs="Arial"/>
          <w:sz w:val="22"/>
          <w:szCs w:val="22"/>
        </w:rPr>
        <w:t xml:space="preserve">Merrick, R., Cole, M., Pitt, R., Enayat, Q., Ivanov, Z., Day, M., Sun, S., Sinka, K., Woodford, N., Mohammed, H. and Fifer, H. (2022). Antimicrobial-resistant gonorrhoea: the national public health response, England, 2013 to 2020. </w:t>
      </w:r>
      <w:r w:rsidRPr="004511C8">
        <w:rPr>
          <w:rFonts w:ascii="Arial" w:hAnsi="Arial" w:cs="Arial"/>
          <w:i/>
          <w:iCs/>
          <w:sz w:val="22"/>
          <w:szCs w:val="22"/>
        </w:rPr>
        <w:t>Eurosurveillance</w:t>
      </w:r>
      <w:r w:rsidRPr="004511C8">
        <w:rPr>
          <w:rFonts w:ascii="Arial" w:hAnsi="Arial" w:cs="Arial"/>
          <w:sz w:val="22"/>
          <w:szCs w:val="22"/>
        </w:rPr>
        <w:t xml:space="preserve">, 27(40).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://doi.org/10.2807/1560-7917.es.2022.27.40.2200057</w:t>
      </w:r>
      <w:proofErr w:type="gramEnd"/>
      <w:r w:rsidRPr="004511C8">
        <w:rPr>
          <w:rFonts w:ascii="Arial" w:hAnsi="Arial" w:cs="Arial"/>
          <w:sz w:val="22"/>
          <w:szCs w:val="22"/>
        </w:rPr>
        <w:t>.</w:t>
      </w:r>
    </w:p>
    <w:p w14:paraId="659D56B2" w14:textId="77777777" w:rsidR="0060431B" w:rsidRPr="004511C8" w:rsidRDefault="0060431B" w:rsidP="00F36DDA">
      <w:pPr>
        <w:jc w:val="left"/>
        <w:rPr>
          <w:rFonts w:ascii="Arial" w:hAnsi="Arial" w:cs="Arial"/>
          <w:sz w:val="22"/>
          <w:szCs w:val="22"/>
        </w:rPr>
      </w:pPr>
      <w:r w:rsidRPr="004511C8">
        <w:rPr>
          <w:rFonts w:ascii="Arial" w:hAnsi="Arial" w:cs="Arial"/>
          <w:sz w:val="22"/>
          <w:szCs w:val="22"/>
        </w:rPr>
        <w:t xml:space="preserve">Methley, A.M., Campbell, S., Chew-Graham, C., McNally, R. and Cheraghi-Sohi, S. (2014). PICO, PICOS and SPIDER: a Comparison Study of Specificity and Sensitivity in Three Search Tools for Qualitative Systematic Reviews. BMC Health Services Research, 14(1), pp.1–10.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://doi.org/10.1186/s12913-014-0579-0</w:t>
      </w:r>
      <w:proofErr w:type="gramEnd"/>
      <w:r w:rsidRPr="004511C8">
        <w:rPr>
          <w:rFonts w:ascii="Arial" w:hAnsi="Arial" w:cs="Arial"/>
          <w:sz w:val="22"/>
          <w:szCs w:val="22"/>
        </w:rPr>
        <w:t>.</w:t>
      </w:r>
    </w:p>
    <w:p w14:paraId="6013CDF1"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lastRenderedPageBreak/>
        <w:t xml:space="preserve">Miller, H.A. and Valdes, R. (2025). Rigorous validation of machine learning in laboratory medicine: guidance toward quality improvement. </w:t>
      </w:r>
      <w:r w:rsidRPr="004511C8">
        <w:rPr>
          <w:rFonts w:ascii="Arial" w:hAnsi="Arial" w:cs="Arial"/>
          <w:i/>
          <w:iCs/>
          <w:sz w:val="22"/>
          <w:szCs w:val="22"/>
        </w:rPr>
        <w:t>Critical Reviews in Clinical Laboratory Sciences</w:t>
      </w:r>
      <w:r w:rsidRPr="004511C8">
        <w:rPr>
          <w:rFonts w:ascii="Arial" w:hAnsi="Arial" w:cs="Arial"/>
          <w:sz w:val="22"/>
          <w:szCs w:val="22"/>
        </w:rPr>
        <w:t xml:space="preserve">, pp.1–20.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://doi.org/10.1080/10408363.2025.2488842</w:t>
      </w:r>
      <w:proofErr w:type="gramEnd"/>
      <w:r w:rsidRPr="004511C8">
        <w:rPr>
          <w:rFonts w:ascii="Arial" w:hAnsi="Arial" w:cs="Arial"/>
          <w:sz w:val="22"/>
          <w:szCs w:val="22"/>
        </w:rPr>
        <w:t>.</w:t>
      </w:r>
    </w:p>
    <w:p w14:paraId="72D08A3D"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t xml:space="preserve">Mohd, N. and Kumar, S. (2023). Emerging threat of antimicrobial resistance in Neisseria gonorrhoeae: pathogenesis, treatment challenges, and potential for vaccine development. </w:t>
      </w:r>
      <w:r w:rsidRPr="004511C8">
        <w:rPr>
          <w:rFonts w:ascii="Arial" w:hAnsi="Arial" w:cs="Arial"/>
          <w:i/>
          <w:iCs/>
          <w:sz w:val="22"/>
          <w:szCs w:val="22"/>
        </w:rPr>
        <w:t>Archives of Microbiology</w:t>
      </w:r>
      <w:r w:rsidRPr="004511C8">
        <w:rPr>
          <w:rFonts w:ascii="Arial" w:hAnsi="Arial" w:cs="Arial"/>
          <w:sz w:val="22"/>
          <w:szCs w:val="22"/>
        </w:rPr>
        <w:t xml:space="preserve">, 205(10).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://doi.org/10.1007/s00203-023-03663-0</w:t>
      </w:r>
      <w:proofErr w:type="gramEnd"/>
      <w:r w:rsidRPr="004511C8">
        <w:rPr>
          <w:rFonts w:ascii="Arial" w:hAnsi="Arial" w:cs="Arial"/>
          <w:sz w:val="22"/>
          <w:szCs w:val="22"/>
        </w:rPr>
        <w:t>.</w:t>
      </w:r>
    </w:p>
    <w:p w14:paraId="45543162"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proofErr w:type="spellStart"/>
      <w:r w:rsidRPr="004511C8">
        <w:rPr>
          <w:rFonts w:ascii="Arial" w:hAnsi="Arial" w:cs="Arial"/>
          <w:sz w:val="22"/>
          <w:szCs w:val="22"/>
        </w:rPr>
        <w:t>Muteeb</w:t>
      </w:r>
      <w:proofErr w:type="spellEnd"/>
      <w:r w:rsidRPr="004511C8">
        <w:rPr>
          <w:rFonts w:ascii="Arial" w:hAnsi="Arial" w:cs="Arial"/>
          <w:sz w:val="22"/>
          <w:szCs w:val="22"/>
        </w:rPr>
        <w:t xml:space="preserve">, G., Rehman, T., Shahwan, M. and Aatif, M. (2023). Origin of Antibiotics and Antibiotic Resistance, and Their Impacts on Drug Development: A Narrative Review. </w:t>
      </w:r>
      <w:r w:rsidRPr="004511C8">
        <w:rPr>
          <w:rFonts w:ascii="Arial" w:hAnsi="Arial" w:cs="Arial"/>
          <w:i/>
          <w:iCs/>
          <w:sz w:val="22"/>
          <w:szCs w:val="22"/>
        </w:rPr>
        <w:t>Pharmaceuticals</w:t>
      </w:r>
      <w:r w:rsidRPr="004511C8">
        <w:rPr>
          <w:rFonts w:ascii="Arial" w:hAnsi="Arial" w:cs="Arial"/>
          <w:sz w:val="22"/>
          <w:szCs w:val="22"/>
        </w:rPr>
        <w:t>, [online] 16(11), p.1615. Available at: https://pmc.ncbi.nlm.nih.gov/articles/PMC10675245/.</w:t>
      </w:r>
    </w:p>
    <w:p w14:paraId="49F753BE"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t xml:space="preserve">N’Diaye, A., Qiao, S., Garrett, C., Khushf, G., Zhang, J., Li, X. and Olatosi, B. (2025). The Lifecycle of Electronic Health Record Data in HIV-Related Big Data Studies: Qualitative Study of Bias Instances and Potential Opportunities for Minimization. </w:t>
      </w:r>
      <w:r w:rsidRPr="004511C8">
        <w:rPr>
          <w:rFonts w:ascii="Arial" w:hAnsi="Arial" w:cs="Arial"/>
          <w:i/>
          <w:iCs/>
          <w:sz w:val="22"/>
          <w:szCs w:val="22"/>
        </w:rPr>
        <w:t>Journal of Medical Internet Research</w:t>
      </w:r>
      <w:r w:rsidRPr="004511C8">
        <w:rPr>
          <w:rFonts w:ascii="Arial" w:hAnsi="Arial" w:cs="Arial"/>
          <w:sz w:val="22"/>
          <w:szCs w:val="22"/>
        </w:rPr>
        <w:t xml:space="preserve">, [online] 27, </w:t>
      </w:r>
      <w:proofErr w:type="gramStart"/>
      <w:r w:rsidRPr="004511C8">
        <w:rPr>
          <w:rFonts w:ascii="Arial" w:hAnsi="Arial" w:cs="Arial"/>
          <w:sz w:val="22"/>
          <w:szCs w:val="22"/>
        </w:rPr>
        <w:t>pp.e</w:t>
      </w:r>
      <w:proofErr w:type="gramEnd"/>
      <w:r w:rsidRPr="004511C8">
        <w:rPr>
          <w:rFonts w:ascii="Arial" w:hAnsi="Arial" w:cs="Arial"/>
          <w:sz w:val="22"/>
          <w:szCs w:val="22"/>
        </w:rPr>
        <w:t xml:space="preserve">71388–e71388.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://doi.org/10.2196/71388</w:t>
      </w:r>
      <w:proofErr w:type="gramEnd"/>
      <w:r w:rsidRPr="004511C8">
        <w:rPr>
          <w:rFonts w:ascii="Arial" w:hAnsi="Arial" w:cs="Arial"/>
          <w:sz w:val="22"/>
          <w:szCs w:val="22"/>
        </w:rPr>
        <w:t>.</w:t>
      </w:r>
    </w:p>
    <w:p w14:paraId="30548361" w14:textId="77777777" w:rsidR="0060431B" w:rsidRPr="004511C8" w:rsidRDefault="0060431B" w:rsidP="00F36DDA">
      <w:pPr>
        <w:jc w:val="left"/>
        <w:rPr>
          <w:rFonts w:ascii="Arial" w:hAnsi="Arial" w:cs="Arial"/>
          <w:sz w:val="22"/>
          <w:szCs w:val="22"/>
        </w:rPr>
      </w:pPr>
      <w:r w:rsidRPr="004511C8">
        <w:rPr>
          <w:rFonts w:ascii="Arial" w:hAnsi="Arial" w:cs="Arial"/>
          <w:sz w:val="22"/>
          <w:szCs w:val="22"/>
        </w:rPr>
        <w:t xml:space="preserve">Page, M.J., McKenzie, J.E., Bossuyt, P.M., </w:t>
      </w:r>
      <w:proofErr w:type="spellStart"/>
      <w:r w:rsidRPr="004511C8">
        <w:rPr>
          <w:rFonts w:ascii="Arial" w:hAnsi="Arial" w:cs="Arial"/>
          <w:sz w:val="22"/>
          <w:szCs w:val="22"/>
        </w:rPr>
        <w:t>Boutron</w:t>
      </w:r>
      <w:proofErr w:type="spellEnd"/>
      <w:r w:rsidRPr="004511C8">
        <w:rPr>
          <w:rFonts w:ascii="Arial" w:hAnsi="Arial" w:cs="Arial"/>
          <w:sz w:val="22"/>
          <w:szCs w:val="22"/>
        </w:rPr>
        <w:t xml:space="preserve">, I., Hoffmann, T.C., Mulrow, C.D., </w:t>
      </w:r>
      <w:proofErr w:type="spellStart"/>
      <w:r w:rsidRPr="004511C8">
        <w:rPr>
          <w:rFonts w:ascii="Arial" w:hAnsi="Arial" w:cs="Arial"/>
          <w:sz w:val="22"/>
          <w:szCs w:val="22"/>
        </w:rPr>
        <w:t>Shamseer</w:t>
      </w:r>
      <w:proofErr w:type="spellEnd"/>
      <w:r w:rsidRPr="004511C8">
        <w:rPr>
          <w:rFonts w:ascii="Arial" w:hAnsi="Arial" w:cs="Arial"/>
          <w:sz w:val="22"/>
          <w:szCs w:val="22"/>
        </w:rPr>
        <w:t xml:space="preserve">, L., Tetzlaff, J.M., Akl, E.A., Brennan, S.E., Chou, R., Glanville, J., Grimshaw, J.M., Hróbjartsson, A., Lalu, M.M., Li, T., Loder, E.W., Mayo-Wilson, E., McDonald, S. and McGuinness, L.A. (2021). The PRISMA 2020 statement: An updated guideline for reporting systematic reviews. British Medical Journal, [online] 372(71).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://doi.org/10.1136/bmj.n71</w:t>
      </w:r>
      <w:proofErr w:type="gramEnd"/>
      <w:r w:rsidRPr="004511C8">
        <w:rPr>
          <w:rFonts w:ascii="Arial" w:hAnsi="Arial" w:cs="Arial"/>
          <w:sz w:val="22"/>
          <w:szCs w:val="22"/>
        </w:rPr>
        <w:t>.</w:t>
      </w:r>
    </w:p>
    <w:p w14:paraId="3540F489" w14:textId="77777777" w:rsidR="0060431B" w:rsidRPr="004511C8" w:rsidRDefault="0060431B" w:rsidP="00F36DDA">
      <w:pPr>
        <w:jc w:val="left"/>
        <w:rPr>
          <w:rFonts w:ascii="Arial" w:hAnsi="Arial" w:cs="Arial"/>
          <w:sz w:val="22"/>
          <w:szCs w:val="22"/>
        </w:rPr>
      </w:pPr>
      <w:r w:rsidRPr="004511C8">
        <w:rPr>
          <w:rFonts w:ascii="Arial" w:hAnsi="Arial" w:cs="Arial"/>
          <w:sz w:val="22"/>
          <w:szCs w:val="22"/>
        </w:rPr>
        <w:t xml:space="preserve">Palmer, H.M., Leeming, J.P. and Turner, A. (2001). Investigation of an outbreak of ciprofloxacin-resistant Neisseria gonorrhoeae using a simplified </w:t>
      </w:r>
      <w:proofErr w:type="spellStart"/>
      <w:r w:rsidRPr="004511C8">
        <w:rPr>
          <w:rFonts w:ascii="Arial" w:hAnsi="Arial" w:cs="Arial"/>
          <w:sz w:val="22"/>
          <w:szCs w:val="22"/>
        </w:rPr>
        <w:t>opa</w:t>
      </w:r>
      <w:proofErr w:type="spellEnd"/>
      <w:r w:rsidRPr="004511C8">
        <w:rPr>
          <w:rFonts w:ascii="Arial" w:hAnsi="Arial" w:cs="Arial"/>
          <w:sz w:val="22"/>
          <w:szCs w:val="22"/>
        </w:rPr>
        <w:t xml:space="preserve">-typing method. </w:t>
      </w:r>
      <w:r w:rsidRPr="004511C8">
        <w:rPr>
          <w:rFonts w:ascii="Arial" w:hAnsi="Arial" w:cs="Arial"/>
          <w:i/>
          <w:iCs/>
          <w:sz w:val="22"/>
          <w:szCs w:val="22"/>
        </w:rPr>
        <w:t>Epidemiology and Infection</w:t>
      </w:r>
      <w:r w:rsidRPr="004511C8">
        <w:rPr>
          <w:rFonts w:ascii="Arial" w:hAnsi="Arial" w:cs="Arial"/>
          <w:sz w:val="22"/>
          <w:szCs w:val="22"/>
        </w:rPr>
        <w:t xml:space="preserve">, 126(2), pp.219–224.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://doi.org/10.1017/s0950268801005209</w:t>
      </w:r>
      <w:proofErr w:type="gramEnd"/>
      <w:r w:rsidRPr="004511C8">
        <w:rPr>
          <w:rFonts w:ascii="Arial" w:hAnsi="Arial" w:cs="Arial"/>
          <w:sz w:val="22"/>
          <w:szCs w:val="22"/>
        </w:rPr>
        <w:t>.</w:t>
      </w:r>
    </w:p>
    <w:p w14:paraId="17F1EC83" w14:textId="77777777" w:rsidR="0060431B" w:rsidRPr="004511C8" w:rsidRDefault="0060431B" w:rsidP="00F36DDA">
      <w:pPr>
        <w:jc w:val="left"/>
        <w:rPr>
          <w:rFonts w:ascii="Arial" w:hAnsi="Arial" w:cs="Arial"/>
          <w:sz w:val="22"/>
          <w:szCs w:val="22"/>
        </w:rPr>
      </w:pPr>
      <w:r w:rsidRPr="004511C8">
        <w:rPr>
          <w:rFonts w:ascii="Arial" w:hAnsi="Arial" w:cs="Arial"/>
          <w:sz w:val="22"/>
          <w:szCs w:val="22"/>
        </w:rPr>
        <w:t>Popay, J., Roberts, H., Sowden, A., Petticrew, M., Arai, L., Rodgers, M., Britten, N., Roen, K. and Duffy, S. (2006). Guidance on the Conduct of Narrative Synthesis in Systematic Reviews A Product from the ESRC Methods Programme. [online] pp.1–92. Available at: https://www.lancaster.ac.uk/media/lancaster-university/content-assets/documents/fhm/dhr/chir/NSsynthesisguidanceVersion1-April2006.pdf.</w:t>
      </w:r>
    </w:p>
    <w:p w14:paraId="370B0EAB"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t xml:space="preserve">Pratt, B., Parker, M. and Bull, S. (2022). Equitable Design and Use of Digital Surveillance Technologies During COVID-19: Norms and Concerns. </w:t>
      </w:r>
      <w:r w:rsidRPr="004511C8">
        <w:rPr>
          <w:rFonts w:ascii="Arial" w:hAnsi="Arial" w:cs="Arial"/>
          <w:i/>
          <w:iCs/>
          <w:sz w:val="22"/>
          <w:szCs w:val="22"/>
        </w:rPr>
        <w:t>Journal of Empirical Research on Human Research Ethics</w:t>
      </w:r>
      <w:r w:rsidRPr="004511C8">
        <w:rPr>
          <w:rFonts w:ascii="Arial" w:hAnsi="Arial" w:cs="Arial"/>
          <w:sz w:val="22"/>
          <w:szCs w:val="22"/>
        </w:rPr>
        <w:t xml:space="preserve">, 17(5), pp.573–586.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://doi.org/10.1177/15562646221118127</w:t>
      </w:r>
      <w:proofErr w:type="gramEnd"/>
      <w:r w:rsidRPr="004511C8">
        <w:rPr>
          <w:rFonts w:ascii="Arial" w:hAnsi="Arial" w:cs="Arial"/>
          <w:sz w:val="22"/>
          <w:szCs w:val="22"/>
        </w:rPr>
        <w:t>.</w:t>
      </w:r>
    </w:p>
    <w:p w14:paraId="3E3E8EFD"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lastRenderedPageBreak/>
        <w:t xml:space="preserve">Raccagni, A.R., </w:t>
      </w:r>
      <w:proofErr w:type="spellStart"/>
      <w:r w:rsidRPr="004511C8">
        <w:rPr>
          <w:rFonts w:ascii="Arial" w:hAnsi="Arial" w:cs="Arial"/>
          <w:sz w:val="22"/>
          <w:szCs w:val="22"/>
        </w:rPr>
        <w:t>Ranzenigo</w:t>
      </w:r>
      <w:proofErr w:type="spellEnd"/>
      <w:r w:rsidRPr="004511C8">
        <w:rPr>
          <w:rFonts w:ascii="Arial" w:hAnsi="Arial" w:cs="Arial"/>
          <w:sz w:val="22"/>
          <w:szCs w:val="22"/>
        </w:rPr>
        <w:t xml:space="preserve">, M., Bruzzesi, E., Maci, C., Castagna, A. and </w:t>
      </w:r>
      <w:proofErr w:type="spellStart"/>
      <w:r w:rsidRPr="004511C8">
        <w:rPr>
          <w:rFonts w:ascii="Arial" w:hAnsi="Arial" w:cs="Arial"/>
          <w:sz w:val="22"/>
          <w:szCs w:val="22"/>
        </w:rPr>
        <w:t>Nozza</w:t>
      </w:r>
      <w:proofErr w:type="spellEnd"/>
      <w:r w:rsidRPr="004511C8">
        <w:rPr>
          <w:rFonts w:ascii="Arial" w:hAnsi="Arial" w:cs="Arial"/>
          <w:sz w:val="22"/>
          <w:szCs w:val="22"/>
        </w:rPr>
        <w:t xml:space="preserve">, S. (2023). Neisseria gonorrhoeae Antimicrobial Resistance: The Future of Antibiotic Therapy. </w:t>
      </w:r>
      <w:r w:rsidRPr="004511C8">
        <w:rPr>
          <w:rFonts w:ascii="Arial" w:hAnsi="Arial" w:cs="Arial"/>
          <w:i/>
          <w:iCs/>
          <w:sz w:val="22"/>
          <w:szCs w:val="22"/>
        </w:rPr>
        <w:t>Journal of Clinical Medicine</w:t>
      </w:r>
      <w:r w:rsidRPr="004511C8">
        <w:rPr>
          <w:rFonts w:ascii="Arial" w:hAnsi="Arial" w:cs="Arial"/>
          <w:sz w:val="22"/>
          <w:szCs w:val="22"/>
        </w:rPr>
        <w:t xml:space="preserve">, 12(24), pp.7767–7767.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://doi.org/10.3390/jcm12247767</w:t>
      </w:r>
      <w:proofErr w:type="gramEnd"/>
      <w:r w:rsidRPr="004511C8">
        <w:rPr>
          <w:rFonts w:ascii="Arial" w:hAnsi="Arial" w:cs="Arial"/>
          <w:sz w:val="22"/>
          <w:szCs w:val="22"/>
        </w:rPr>
        <w:t>.</w:t>
      </w:r>
    </w:p>
    <w:p w14:paraId="010043B9"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t xml:space="preserve">Radovanovic, M., Kekic, D., </w:t>
      </w:r>
      <w:proofErr w:type="spellStart"/>
      <w:r w:rsidRPr="004511C8">
        <w:rPr>
          <w:rFonts w:ascii="Arial" w:hAnsi="Arial" w:cs="Arial"/>
          <w:sz w:val="22"/>
          <w:szCs w:val="22"/>
        </w:rPr>
        <w:t>Jovicevic</w:t>
      </w:r>
      <w:proofErr w:type="spellEnd"/>
      <w:r w:rsidRPr="004511C8">
        <w:rPr>
          <w:rFonts w:ascii="Arial" w:hAnsi="Arial" w:cs="Arial"/>
          <w:sz w:val="22"/>
          <w:szCs w:val="22"/>
        </w:rPr>
        <w:t xml:space="preserve">, M., </w:t>
      </w:r>
      <w:proofErr w:type="spellStart"/>
      <w:r w:rsidRPr="004511C8">
        <w:rPr>
          <w:rFonts w:ascii="Arial" w:hAnsi="Arial" w:cs="Arial"/>
          <w:sz w:val="22"/>
          <w:szCs w:val="22"/>
        </w:rPr>
        <w:t>Kabic</w:t>
      </w:r>
      <w:proofErr w:type="spellEnd"/>
      <w:r w:rsidRPr="004511C8">
        <w:rPr>
          <w:rFonts w:ascii="Arial" w:hAnsi="Arial" w:cs="Arial"/>
          <w:sz w:val="22"/>
          <w:szCs w:val="22"/>
        </w:rPr>
        <w:t xml:space="preserve">, J., Gajic, I., </w:t>
      </w:r>
      <w:proofErr w:type="spellStart"/>
      <w:r w:rsidRPr="004511C8">
        <w:rPr>
          <w:rFonts w:ascii="Arial" w:hAnsi="Arial" w:cs="Arial"/>
          <w:sz w:val="22"/>
          <w:szCs w:val="22"/>
        </w:rPr>
        <w:t>Opavski</w:t>
      </w:r>
      <w:proofErr w:type="spellEnd"/>
      <w:r w:rsidRPr="004511C8">
        <w:rPr>
          <w:rFonts w:ascii="Arial" w:hAnsi="Arial" w:cs="Arial"/>
          <w:sz w:val="22"/>
          <w:szCs w:val="22"/>
        </w:rPr>
        <w:t xml:space="preserve">, N. and Ranin, L. (2022). Current Susceptibility Surveillance and Distribution of Antimicrobial Resistance in N. </w:t>
      </w:r>
      <w:proofErr w:type="spellStart"/>
      <w:r w:rsidRPr="004511C8">
        <w:rPr>
          <w:rFonts w:ascii="Arial" w:hAnsi="Arial" w:cs="Arial"/>
          <w:sz w:val="22"/>
          <w:szCs w:val="22"/>
        </w:rPr>
        <w:t>gonorrheae</w:t>
      </w:r>
      <w:proofErr w:type="spellEnd"/>
      <w:r w:rsidRPr="004511C8">
        <w:rPr>
          <w:rFonts w:ascii="Arial" w:hAnsi="Arial" w:cs="Arial"/>
          <w:sz w:val="22"/>
          <w:szCs w:val="22"/>
        </w:rPr>
        <w:t xml:space="preserve"> within WHO Regions. </w:t>
      </w:r>
      <w:r w:rsidRPr="004511C8">
        <w:rPr>
          <w:rFonts w:ascii="Arial" w:hAnsi="Arial" w:cs="Arial"/>
          <w:i/>
          <w:iCs/>
          <w:sz w:val="22"/>
          <w:szCs w:val="22"/>
        </w:rPr>
        <w:t>Pathogens</w:t>
      </w:r>
      <w:r w:rsidRPr="004511C8">
        <w:rPr>
          <w:rFonts w:ascii="Arial" w:hAnsi="Arial" w:cs="Arial"/>
          <w:sz w:val="22"/>
          <w:szCs w:val="22"/>
        </w:rPr>
        <w:t xml:space="preserve">, 11(11), p.1230.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://doi.org/10.3390/pathogens11111230</w:t>
      </w:r>
      <w:proofErr w:type="gramEnd"/>
      <w:r w:rsidRPr="004511C8">
        <w:rPr>
          <w:rFonts w:ascii="Arial" w:hAnsi="Arial" w:cs="Arial"/>
          <w:sz w:val="22"/>
          <w:szCs w:val="22"/>
        </w:rPr>
        <w:t>.</w:t>
      </w:r>
    </w:p>
    <w:p w14:paraId="0232D273"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proofErr w:type="spellStart"/>
      <w:r w:rsidRPr="004511C8">
        <w:rPr>
          <w:rFonts w:ascii="Arial" w:hAnsi="Arial" w:cs="Arial"/>
          <w:sz w:val="22"/>
          <w:szCs w:val="22"/>
        </w:rPr>
        <w:t>Ruppar</w:t>
      </w:r>
      <w:proofErr w:type="spellEnd"/>
      <w:r w:rsidRPr="004511C8">
        <w:rPr>
          <w:rFonts w:ascii="Arial" w:hAnsi="Arial" w:cs="Arial"/>
          <w:sz w:val="22"/>
          <w:szCs w:val="22"/>
        </w:rPr>
        <w:t xml:space="preserve">, T. (2020). Meta-analysis: How to quantify and explain heterogeneity? </w:t>
      </w:r>
      <w:r w:rsidRPr="004511C8">
        <w:rPr>
          <w:rFonts w:ascii="Arial" w:hAnsi="Arial" w:cs="Arial"/>
          <w:i/>
          <w:iCs/>
          <w:sz w:val="22"/>
          <w:szCs w:val="22"/>
        </w:rPr>
        <w:t>European Journal of Cardiovascular Nursing</w:t>
      </w:r>
      <w:r w:rsidRPr="004511C8">
        <w:rPr>
          <w:rFonts w:ascii="Arial" w:hAnsi="Arial" w:cs="Arial"/>
          <w:sz w:val="22"/>
          <w:szCs w:val="22"/>
        </w:rPr>
        <w:t xml:space="preserve">, 19(7), p.147451512094401.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://doi.org/10.1177/1474515120944014</w:t>
      </w:r>
      <w:proofErr w:type="gramEnd"/>
      <w:r w:rsidRPr="004511C8">
        <w:rPr>
          <w:rFonts w:ascii="Arial" w:hAnsi="Arial" w:cs="Arial"/>
          <w:sz w:val="22"/>
          <w:szCs w:val="22"/>
        </w:rPr>
        <w:t>.</w:t>
      </w:r>
    </w:p>
    <w:p w14:paraId="72C028C4"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t xml:space="preserve">Rush, L. (2023). Are antimicrobial stewardship and sepsis awareness competing goals? - Enlighten Theses. </w:t>
      </w:r>
      <w:r w:rsidRPr="004511C8">
        <w:rPr>
          <w:rFonts w:ascii="Arial" w:hAnsi="Arial" w:cs="Arial"/>
          <w:i/>
          <w:iCs/>
          <w:sz w:val="22"/>
          <w:szCs w:val="22"/>
        </w:rPr>
        <w:t>Gla.ac.uk</w:t>
      </w:r>
      <w:r w:rsidRPr="004511C8">
        <w:rPr>
          <w:rFonts w:ascii="Arial" w:hAnsi="Arial" w:cs="Arial"/>
          <w:sz w:val="22"/>
          <w:szCs w:val="22"/>
        </w:rPr>
        <w:t xml:space="preserve">. [online]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://theses.gla.ac.uk/83461/1/2022RushPhD.pdf</w:t>
      </w:r>
      <w:proofErr w:type="gramEnd"/>
      <w:r w:rsidRPr="004511C8">
        <w:rPr>
          <w:rFonts w:ascii="Arial" w:hAnsi="Arial" w:cs="Arial"/>
          <w:sz w:val="22"/>
          <w:szCs w:val="22"/>
        </w:rPr>
        <w:t>.</w:t>
      </w:r>
    </w:p>
    <w:p w14:paraId="50E8EC3C"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t xml:space="preserve">Shaheen, N., Shaheen, A., Ramadan, A., </w:t>
      </w:r>
      <w:proofErr w:type="spellStart"/>
      <w:r w:rsidRPr="004511C8">
        <w:rPr>
          <w:rFonts w:ascii="Arial" w:hAnsi="Arial" w:cs="Arial"/>
          <w:sz w:val="22"/>
          <w:szCs w:val="22"/>
        </w:rPr>
        <w:t>Hefnawy</w:t>
      </w:r>
      <w:proofErr w:type="spellEnd"/>
      <w:r w:rsidRPr="004511C8">
        <w:rPr>
          <w:rFonts w:ascii="Arial" w:hAnsi="Arial" w:cs="Arial"/>
          <w:sz w:val="22"/>
          <w:szCs w:val="22"/>
        </w:rPr>
        <w:t xml:space="preserve">, M.T., Ramadan, A., Ibrahim, I., Hassanein, M., Ashour, M.E. and </w:t>
      </w:r>
      <w:proofErr w:type="spellStart"/>
      <w:r w:rsidRPr="004511C8">
        <w:rPr>
          <w:rFonts w:ascii="Arial" w:hAnsi="Arial" w:cs="Arial"/>
          <w:sz w:val="22"/>
          <w:szCs w:val="22"/>
        </w:rPr>
        <w:t>Flouty</w:t>
      </w:r>
      <w:proofErr w:type="spellEnd"/>
      <w:r w:rsidRPr="004511C8">
        <w:rPr>
          <w:rFonts w:ascii="Arial" w:hAnsi="Arial" w:cs="Arial"/>
          <w:sz w:val="22"/>
          <w:szCs w:val="22"/>
        </w:rPr>
        <w:t xml:space="preserve">, O. (2023). Appraising Systematic reviews: a Comprehensive Guide to Ensuring Validity and Reliability. </w:t>
      </w:r>
      <w:r w:rsidRPr="004511C8">
        <w:rPr>
          <w:rFonts w:ascii="Arial" w:hAnsi="Arial" w:cs="Arial"/>
          <w:i/>
          <w:iCs/>
          <w:sz w:val="22"/>
          <w:szCs w:val="22"/>
        </w:rPr>
        <w:t>Frontiers in Research Metrics and Analytics</w:t>
      </w:r>
      <w:r w:rsidRPr="004511C8">
        <w:rPr>
          <w:rFonts w:ascii="Arial" w:hAnsi="Arial" w:cs="Arial"/>
          <w:sz w:val="22"/>
          <w:szCs w:val="22"/>
        </w:rPr>
        <w:t xml:space="preserve">, 8(8).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://doi.org/10.3389/frma.2023.1268045</w:t>
      </w:r>
      <w:proofErr w:type="gramEnd"/>
      <w:r w:rsidRPr="004511C8">
        <w:rPr>
          <w:rFonts w:ascii="Arial" w:hAnsi="Arial" w:cs="Arial"/>
          <w:sz w:val="22"/>
          <w:szCs w:val="22"/>
        </w:rPr>
        <w:t>.</w:t>
      </w:r>
    </w:p>
    <w:p w14:paraId="12BBA339"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t xml:space="preserve">Sharratt, M. (2023). Mobility and detection of antimicrobial resistance genes in Mycoplasma hominis, Ureaplasma parvum, Ureaplasma </w:t>
      </w:r>
      <w:proofErr w:type="spellStart"/>
      <w:r w:rsidRPr="004511C8">
        <w:rPr>
          <w:rFonts w:ascii="Arial" w:hAnsi="Arial" w:cs="Arial"/>
          <w:sz w:val="22"/>
          <w:szCs w:val="22"/>
        </w:rPr>
        <w:t>urealyticum</w:t>
      </w:r>
      <w:proofErr w:type="spellEnd"/>
      <w:r w:rsidRPr="004511C8">
        <w:rPr>
          <w:rFonts w:ascii="Arial" w:hAnsi="Arial" w:cs="Arial"/>
          <w:sz w:val="22"/>
          <w:szCs w:val="22"/>
        </w:rPr>
        <w:t xml:space="preserve"> and Neisseria gonorrhoeae -ORCA. </w:t>
      </w:r>
      <w:r w:rsidRPr="004511C8">
        <w:rPr>
          <w:rFonts w:ascii="Arial" w:hAnsi="Arial" w:cs="Arial"/>
          <w:i/>
          <w:iCs/>
          <w:sz w:val="22"/>
          <w:szCs w:val="22"/>
        </w:rPr>
        <w:t>Cardiff.ac.uk</w:t>
      </w:r>
      <w:r w:rsidRPr="004511C8">
        <w:rPr>
          <w:rFonts w:ascii="Arial" w:hAnsi="Arial" w:cs="Arial"/>
          <w:sz w:val="22"/>
          <w:szCs w:val="22"/>
        </w:rPr>
        <w:t xml:space="preserve">. [online] </w:t>
      </w:r>
      <w:proofErr w:type="gramStart"/>
      <w:r w:rsidRPr="004511C8">
        <w:rPr>
          <w:rFonts w:ascii="Arial" w:hAnsi="Arial" w:cs="Arial"/>
          <w:sz w:val="22"/>
          <w:szCs w:val="22"/>
        </w:rPr>
        <w:t>doi:https://orca.cardiff.ac.uk/id/eprint/165781/1/2024SharratM%20PhD.pdf</w:t>
      </w:r>
      <w:proofErr w:type="gramEnd"/>
      <w:r w:rsidRPr="004511C8">
        <w:rPr>
          <w:rFonts w:ascii="Arial" w:hAnsi="Arial" w:cs="Arial"/>
          <w:sz w:val="22"/>
          <w:szCs w:val="22"/>
        </w:rPr>
        <w:t>.</w:t>
      </w:r>
    </w:p>
    <w:p w14:paraId="43718AFD"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t xml:space="preserve">Smith, C.M., Shallcross, L.J., </w:t>
      </w:r>
      <w:proofErr w:type="spellStart"/>
      <w:r w:rsidRPr="004511C8">
        <w:rPr>
          <w:rFonts w:ascii="Arial" w:hAnsi="Arial" w:cs="Arial"/>
          <w:sz w:val="22"/>
          <w:szCs w:val="22"/>
        </w:rPr>
        <w:t>Dutey</w:t>
      </w:r>
      <w:proofErr w:type="spellEnd"/>
      <w:r w:rsidRPr="004511C8">
        <w:rPr>
          <w:rFonts w:ascii="Arial" w:hAnsi="Arial" w:cs="Arial"/>
          <w:sz w:val="22"/>
          <w:szCs w:val="22"/>
        </w:rPr>
        <w:t xml:space="preserve">-Magni, P., Conolly, A., Fuller, C., Hill, S., </w:t>
      </w:r>
      <w:proofErr w:type="spellStart"/>
      <w:r w:rsidRPr="004511C8">
        <w:rPr>
          <w:rFonts w:ascii="Arial" w:hAnsi="Arial" w:cs="Arial"/>
          <w:sz w:val="22"/>
          <w:szCs w:val="22"/>
        </w:rPr>
        <w:t>Jhass</w:t>
      </w:r>
      <w:proofErr w:type="spellEnd"/>
      <w:r w:rsidRPr="004511C8">
        <w:rPr>
          <w:rFonts w:ascii="Arial" w:hAnsi="Arial" w:cs="Arial"/>
          <w:sz w:val="22"/>
          <w:szCs w:val="22"/>
        </w:rPr>
        <w:t xml:space="preserve">, A., </w:t>
      </w:r>
      <w:proofErr w:type="spellStart"/>
      <w:r w:rsidRPr="004511C8">
        <w:rPr>
          <w:rFonts w:ascii="Arial" w:hAnsi="Arial" w:cs="Arial"/>
          <w:sz w:val="22"/>
          <w:szCs w:val="22"/>
        </w:rPr>
        <w:t>Marcheselli</w:t>
      </w:r>
      <w:proofErr w:type="spellEnd"/>
      <w:r w:rsidRPr="004511C8">
        <w:rPr>
          <w:rFonts w:ascii="Arial" w:hAnsi="Arial" w:cs="Arial"/>
          <w:sz w:val="22"/>
          <w:szCs w:val="22"/>
        </w:rPr>
        <w:t xml:space="preserve">, F., Michie, S., Mindell, J.S., Ridd, M.J., Tsakos, G., Hayward, A.C. and </w:t>
      </w:r>
      <w:proofErr w:type="spellStart"/>
      <w:r w:rsidRPr="004511C8">
        <w:rPr>
          <w:rFonts w:ascii="Arial" w:hAnsi="Arial" w:cs="Arial"/>
          <w:sz w:val="22"/>
          <w:szCs w:val="22"/>
        </w:rPr>
        <w:t>Fragaszy</w:t>
      </w:r>
      <w:proofErr w:type="spellEnd"/>
      <w:r w:rsidRPr="004511C8">
        <w:rPr>
          <w:rFonts w:ascii="Arial" w:hAnsi="Arial" w:cs="Arial"/>
          <w:sz w:val="22"/>
          <w:szCs w:val="22"/>
        </w:rPr>
        <w:t xml:space="preserve">, E.B. (2021). Incidence, healthcare-seeking behaviours, antibiotic use and natural history of common infection syndromes in England: results from the Bug Watch community cohort study. </w:t>
      </w:r>
      <w:r w:rsidRPr="004511C8">
        <w:rPr>
          <w:rFonts w:ascii="Arial" w:hAnsi="Arial" w:cs="Arial"/>
          <w:i/>
          <w:iCs/>
          <w:sz w:val="22"/>
          <w:szCs w:val="22"/>
        </w:rPr>
        <w:t>BMC Infectious Diseases</w:t>
      </w:r>
      <w:r w:rsidRPr="004511C8">
        <w:rPr>
          <w:rFonts w:ascii="Arial" w:hAnsi="Arial" w:cs="Arial"/>
          <w:sz w:val="22"/>
          <w:szCs w:val="22"/>
        </w:rPr>
        <w:t xml:space="preserve">, 21(1).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://doi.org/10.1186/s12879-021-05811-7</w:t>
      </w:r>
      <w:proofErr w:type="gramEnd"/>
      <w:r w:rsidRPr="004511C8">
        <w:rPr>
          <w:rFonts w:ascii="Arial" w:hAnsi="Arial" w:cs="Arial"/>
          <w:sz w:val="22"/>
          <w:szCs w:val="22"/>
        </w:rPr>
        <w:t>.</w:t>
      </w:r>
    </w:p>
    <w:p w14:paraId="75EDD81C" w14:textId="77777777" w:rsidR="0060431B" w:rsidRPr="004511C8" w:rsidRDefault="0060431B" w:rsidP="00F36DDA">
      <w:pPr>
        <w:jc w:val="left"/>
        <w:rPr>
          <w:rFonts w:ascii="Arial" w:hAnsi="Arial" w:cs="Arial"/>
          <w:sz w:val="22"/>
          <w:szCs w:val="22"/>
        </w:rPr>
      </w:pPr>
      <w:r w:rsidRPr="004511C8">
        <w:rPr>
          <w:rFonts w:ascii="Arial" w:hAnsi="Arial" w:cs="Arial"/>
          <w:sz w:val="22"/>
          <w:szCs w:val="22"/>
        </w:rPr>
        <w:t xml:space="preserve">Smolarchuk, C., Wensley, A., Padfield, S., Fifer, H., Lee, A. and Hughes, G. (2018). Persistence of an outbreak of gonorrhoea with high-level resistance to azithromycin in England, November 2014‒May 2018. </w:t>
      </w:r>
      <w:r w:rsidRPr="004511C8">
        <w:rPr>
          <w:rFonts w:ascii="Arial" w:hAnsi="Arial" w:cs="Arial"/>
          <w:i/>
          <w:iCs/>
          <w:sz w:val="22"/>
          <w:szCs w:val="22"/>
        </w:rPr>
        <w:t>Eurosurveillance</w:t>
      </w:r>
      <w:r w:rsidRPr="004511C8">
        <w:rPr>
          <w:rFonts w:ascii="Arial" w:hAnsi="Arial" w:cs="Arial"/>
          <w:sz w:val="22"/>
          <w:szCs w:val="22"/>
        </w:rPr>
        <w:t xml:space="preserve">, [online] 23(23).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://doi.org/10.2807/1560-7917.es.2018.23.23.1800287</w:t>
      </w:r>
      <w:proofErr w:type="gramEnd"/>
      <w:r w:rsidRPr="004511C8">
        <w:rPr>
          <w:rFonts w:ascii="Arial" w:hAnsi="Arial" w:cs="Arial"/>
          <w:sz w:val="22"/>
          <w:szCs w:val="22"/>
        </w:rPr>
        <w:t>.</w:t>
      </w:r>
    </w:p>
    <w:p w14:paraId="40889FF6"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proofErr w:type="spellStart"/>
      <w:r w:rsidRPr="004511C8">
        <w:rPr>
          <w:rFonts w:ascii="Arial" w:hAnsi="Arial" w:cs="Arial"/>
          <w:sz w:val="22"/>
          <w:szCs w:val="22"/>
        </w:rPr>
        <w:lastRenderedPageBreak/>
        <w:t>Struelens</w:t>
      </w:r>
      <w:proofErr w:type="spellEnd"/>
      <w:r w:rsidRPr="004511C8">
        <w:rPr>
          <w:rFonts w:ascii="Arial" w:hAnsi="Arial" w:cs="Arial"/>
          <w:sz w:val="22"/>
          <w:szCs w:val="22"/>
        </w:rPr>
        <w:t xml:space="preserve">, M.J., Ludden, C., Werner, G., Sintchenko, V., Jokelainen, P. and Ip, M. (2024). Real-time genomic surveillance for enhanced control of infectious diseases and antimicrobial resistance. </w:t>
      </w:r>
      <w:r w:rsidRPr="004511C8">
        <w:rPr>
          <w:rFonts w:ascii="Arial" w:hAnsi="Arial" w:cs="Arial"/>
          <w:i/>
          <w:iCs/>
          <w:sz w:val="22"/>
          <w:szCs w:val="22"/>
        </w:rPr>
        <w:t>Frontiers in science</w:t>
      </w:r>
      <w:r w:rsidRPr="004511C8">
        <w:rPr>
          <w:rFonts w:ascii="Arial" w:hAnsi="Arial" w:cs="Arial"/>
          <w:sz w:val="22"/>
          <w:szCs w:val="22"/>
        </w:rPr>
        <w:t xml:space="preserve">, 2.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://doi.org/10.3389/fsci.2024.1298248</w:t>
      </w:r>
      <w:proofErr w:type="gramEnd"/>
      <w:r w:rsidRPr="004511C8">
        <w:rPr>
          <w:rFonts w:ascii="Arial" w:hAnsi="Arial" w:cs="Arial"/>
          <w:sz w:val="22"/>
          <w:szCs w:val="22"/>
        </w:rPr>
        <w:t>.</w:t>
      </w:r>
    </w:p>
    <w:p w14:paraId="546D6886"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t xml:space="preserve">Talley, J. (2020). The Impact of Social Stigmas on Sexual Health Seeking </w:t>
      </w:r>
      <w:proofErr w:type="spellStart"/>
      <w:r w:rsidRPr="004511C8">
        <w:rPr>
          <w:rFonts w:ascii="Arial" w:hAnsi="Arial" w:cs="Arial"/>
          <w:sz w:val="22"/>
          <w:szCs w:val="22"/>
        </w:rPr>
        <w:t>Behavior</w:t>
      </w:r>
      <w:proofErr w:type="spellEnd"/>
      <w:r w:rsidRPr="004511C8">
        <w:rPr>
          <w:rFonts w:ascii="Arial" w:hAnsi="Arial" w:cs="Arial"/>
          <w:sz w:val="22"/>
          <w:szCs w:val="22"/>
        </w:rPr>
        <w:t xml:space="preserve">: A Review of Literature. </w:t>
      </w:r>
      <w:r w:rsidRPr="004511C8">
        <w:rPr>
          <w:rFonts w:ascii="Arial" w:hAnsi="Arial" w:cs="Arial"/>
          <w:i/>
          <w:iCs/>
          <w:sz w:val="22"/>
          <w:szCs w:val="22"/>
        </w:rPr>
        <w:t>McNair Scholars Research Journal</w:t>
      </w:r>
      <w:r w:rsidRPr="004511C8">
        <w:rPr>
          <w:rFonts w:ascii="Arial" w:hAnsi="Arial" w:cs="Arial"/>
          <w:sz w:val="22"/>
          <w:szCs w:val="22"/>
        </w:rPr>
        <w:t>, [online] 13(1). Available at: https://commons.emich.edu/mcnair/vol13/iss1/11/.</w:t>
      </w:r>
    </w:p>
    <w:p w14:paraId="044FB373"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t xml:space="preserve">Tanasov, A., </w:t>
      </w:r>
      <w:proofErr w:type="spellStart"/>
      <w:r w:rsidRPr="004511C8">
        <w:rPr>
          <w:rFonts w:ascii="Arial" w:hAnsi="Arial" w:cs="Arial"/>
          <w:sz w:val="22"/>
          <w:szCs w:val="22"/>
        </w:rPr>
        <w:t>Pastuszczak</w:t>
      </w:r>
      <w:proofErr w:type="spellEnd"/>
      <w:r w:rsidRPr="004511C8">
        <w:rPr>
          <w:rFonts w:ascii="Arial" w:hAnsi="Arial" w:cs="Arial"/>
          <w:sz w:val="22"/>
          <w:szCs w:val="22"/>
        </w:rPr>
        <w:t xml:space="preserve">, M. and </w:t>
      </w:r>
      <w:proofErr w:type="spellStart"/>
      <w:r w:rsidRPr="004511C8">
        <w:rPr>
          <w:rFonts w:ascii="Arial" w:hAnsi="Arial" w:cs="Arial"/>
          <w:sz w:val="22"/>
          <w:szCs w:val="22"/>
        </w:rPr>
        <w:t>Tiplica</w:t>
      </w:r>
      <w:proofErr w:type="spellEnd"/>
      <w:r w:rsidRPr="004511C8">
        <w:rPr>
          <w:rFonts w:ascii="Arial" w:hAnsi="Arial" w:cs="Arial"/>
          <w:sz w:val="22"/>
          <w:szCs w:val="22"/>
        </w:rPr>
        <w:t xml:space="preserve">, G. (2025). </w:t>
      </w:r>
      <w:proofErr w:type="spellStart"/>
      <w:r w:rsidRPr="004511C8">
        <w:rPr>
          <w:rFonts w:ascii="Arial" w:hAnsi="Arial" w:cs="Arial"/>
          <w:sz w:val="22"/>
          <w:szCs w:val="22"/>
        </w:rPr>
        <w:t>Gonorrhea</w:t>
      </w:r>
      <w:proofErr w:type="spellEnd"/>
      <w:r w:rsidRPr="004511C8">
        <w:rPr>
          <w:rFonts w:ascii="Arial" w:hAnsi="Arial" w:cs="Arial"/>
          <w:sz w:val="22"/>
          <w:szCs w:val="22"/>
        </w:rPr>
        <w:t xml:space="preserve"> Management in High</w:t>
      </w:r>
      <w:r w:rsidRPr="004511C8">
        <w:rPr>
          <w:rFonts w:ascii="Cambria Math" w:hAnsi="Cambria Math" w:cs="Cambria Math"/>
          <w:sz w:val="22"/>
          <w:szCs w:val="22"/>
        </w:rPr>
        <w:t>‐</w:t>
      </w:r>
      <w:r w:rsidRPr="004511C8">
        <w:rPr>
          <w:rFonts w:ascii="Arial" w:hAnsi="Arial" w:cs="Arial"/>
          <w:sz w:val="22"/>
          <w:szCs w:val="22"/>
        </w:rPr>
        <w:t>, Limited</w:t>
      </w:r>
      <w:r w:rsidRPr="004511C8">
        <w:rPr>
          <w:rFonts w:ascii="Cambria Math" w:hAnsi="Cambria Math" w:cs="Cambria Math"/>
          <w:sz w:val="22"/>
          <w:szCs w:val="22"/>
        </w:rPr>
        <w:t>‐</w:t>
      </w:r>
      <w:r w:rsidRPr="004511C8">
        <w:rPr>
          <w:rFonts w:ascii="Arial" w:hAnsi="Arial" w:cs="Arial"/>
          <w:sz w:val="22"/>
          <w:szCs w:val="22"/>
        </w:rPr>
        <w:t xml:space="preserve"> and No</w:t>
      </w:r>
      <w:r w:rsidRPr="004511C8">
        <w:rPr>
          <w:rFonts w:ascii="Cambria Math" w:hAnsi="Cambria Math" w:cs="Cambria Math"/>
          <w:sz w:val="22"/>
          <w:szCs w:val="22"/>
        </w:rPr>
        <w:t>‐</w:t>
      </w:r>
      <w:r w:rsidRPr="004511C8">
        <w:rPr>
          <w:rFonts w:ascii="Arial" w:hAnsi="Arial" w:cs="Arial"/>
          <w:sz w:val="22"/>
          <w:szCs w:val="22"/>
        </w:rPr>
        <w:t xml:space="preserve">Resource Settings: Implications in the Context of Antimicrobial Resistance. </w:t>
      </w:r>
      <w:r w:rsidRPr="004511C8">
        <w:rPr>
          <w:rFonts w:ascii="Arial" w:hAnsi="Arial" w:cs="Arial"/>
          <w:i/>
          <w:iCs/>
          <w:sz w:val="22"/>
          <w:szCs w:val="22"/>
        </w:rPr>
        <w:t>International Journal of Dermatology</w:t>
      </w:r>
      <w:r w:rsidRPr="004511C8">
        <w:rPr>
          <w:rFonts w:ascii="Arial" w:hAnsi="Arial" w:cs="Arial"/>
          <w:sz w:val="22"/>
          <w:szCs w:val="22"/>
        </w:rPr>
        <w:t xml:space="preserve">.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://doi.org/10.1111/ijd.70040</w:t>
      </w:r>
      <w:proofErr w:type="gramEnd"/>
      <w:r w:rsidRPr="004511C8">
        <w:rPr>
          <w:rFonts w:ascii="Arial" w:hAnsi="Arial" w:cs="Arial"/>
          <w:sz w:val="22"/>
          <w:szCs w:val="22"/>
        </w:rPr>
        <w:t>.</w:t>
      </w:r>
    </w:p>
    <w:p w14:paraId="00A4034B"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t xml:space="preserve">Tang, X., Zeng, Z., Huang, H. and Symonds, J. (2025). Quality Appraisal Tools for Quantitative, Qualitative, and Mixed-Methods Studies: A Review and a Brief New Checklist. </w:t>
      </w:r>
      <w:r w:rsidRPr="004511C8">
        <w:rPr>
          <w:rFonts w:ascii="Arial" w:hAnsi="Arial" w:cs="Arial"/>
          <w:i/>
          <w:iCs/>
          <w:sz w:val="22"/>
          <w:szCs w:val="22"/>
        </w:rPr>
        <w:t>ECNU Review of Education</w:t>
      </w:r>
      <w:r w:rsidRPr="004511C8">
        <w:rPr>
          <w:rFonts w:ascii="Arial" w:hAnsi="Arial" w:cs="Arial"/>
          <w:sz w:val="22"/>
          <w:szCs w:val="22"/>
        </w:rPr>
        <w:t xml:space="preserve">.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://doi.org/10.1177/20965311251371227</w:t>
      </w:r>
      <w:proofErr w:type="gramEnd"/>
      <w:r w:rsidRPr="004511C8">
        <w:rPr>
          <w:rFonts w:ascii="Arial" w:hAnsi="Arial" w:cs="Arial"/>
          <w:sz w:val="22"/>
          <w:szCs w:val="22"/>
        </w:rPr>
        <w:t>.</w:t>
      </w:r>
    </w:p>
    <w:p w14:paraId="2F1F16C9" w14:textId="77777777" w:rsidR="0060431B" w:rsidRPr="004511C8" w:rsidRDefault="0060431B" w:rsidP="00F36DDA">
      <w:pPr>
        <w:jc w:val="left"/>
        <w:rPr>
          <w:rFonts w:ascii="Arial" w:hAnsi="Arial" w:cs="Arial"/>
          <w:sz w:val="22"/>
          <w:szCs w:val="22"/>
        </w:rPr>
      </w:pPr>
      <w:r w:rsidRPr="004511C8">
        <w:rPr>
          <w:rFonts w:ascii="Arial" w:hAnsi="Arial" w:cs="Arial"/>
          <w:sz w:val="22"/>
          <w:szCs w:val="22"/>
        </w:rPr>
        <w:t xml:space="preserve">Thomas, J. and Harden, A. (2008). Methods for the Thematic Synthesis of Qualitative Research in Systematic Reviews. BMC Medical Research Methodology, 8(1), pp.1–10.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://doi.org/10.1186/1471-2288-8-45</w:t>
      </w:r>
      <w:proofErr w:type="gramEnd"/>
      <w:r w:rsidRPr="004511C8">
        <w:rPr>
          <w:rFonts w:ascii="Arial" w:hAnsi="Arial" w:cs="Arial"/>
          <w:sz w:val="22"/>
          <w:szCs w:val="22"/>
        </w:rPr>
        <w:t>.</w:t>
      </w:r>
    </w:p>
    <w:p w14:paraId="56B9DBE2" w14:textId="77777777" w:rsidR="0060431B" w:rsidRPr="004511C8" w:rsidRDefault="0060431B" w:rsidP="00F36DDA">
      <w:pPr>
        <w:jc w:val="left"/>
        <w:rPr>
          <w:rFonts w:ascii="Arial" w:hAnsi="Arial" w:cs="Arial"/>
          <w:sz w:val="22"/>
          <w:szCs w:val="22"/>
        </w:rPr>
      </w:pPr>
      <w:r w:rsidRPr="004511C8">
        <w:rPr>
          <w:rFonts w:ascii="Arial" w:hAnsi="Arial" w:cs="Arial"/>
          <w:sz w:val="22"/>
          <w:szCs w:val="22"/>
        </w:rPr>
        <w:t xml:space="preserve">Traeger, M. and </w:t>
      </w:r>
      <w:proofErr w:type="spellStart"/>
      <w:r w:rsidRPr="004511C8">
        <w:rPr>
          <w:rFonts w:ascii="Arial" w:hAnsi="Arial" w:cs="Arial"/>
          <w:sz w:val="22"/>
          <w:szCs w:val="22"/>
        </w:rPr>
        <w:t>Stoové</w:t>
      </w:r>
      <w:proofErr w:type="spellEnd"/>
      <w:r w:rsidRPr="004511C8">
        <w:rPr>
          <w:rFonts w:ascii="Arial" w:hAnsi="Arial" w:cs="Arial"/>
          <w:sz w:val="22"/>
          <w:szCs w:val="22"/>
        </w:rPr>
        <w:t xml:space="preserve">, M. (2022). Why risk matters for STI control: who are those at greatest risk and how are they identified? </w:t>
      </w:r>
      <w:r w:rsidRPr="004511C8">
        <w:rPr>
          <w:rFonts w:ascii="Arial" w:hAnsi="Arial" w:cs="Arial"/>
          <w:i/>
          <w:iCs/>
          <w:sz w:val="22"/>
          <w:szCs w:val="22"/>
        </w:rPr>
        <w:t>Sexual Health</w:t>
      </w:r>
      <w:r w:rsidRPr="004511C8">
        <w:rPr>
          <w:rFonts w:ascii="Arial" w:hAnsi="Arial" w:cs="Arial"/>
          <w:sz w:val="22"/>
          <w:szCs w:val="22"/>
        </w:rPr>
        <w:t xml:space="preserve">, 19(4).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://doi.org/10.1071/sh22053</w:t>
      </w:r>
      <w:proofErr w:type="gramEnd"/>
      <w:r w:rsidRPr="004511C8">
        <w:rPr>
          <w:rFonts w:ascii="Arial" w:hAnsi="Arial" w:cs="Arial"/>
          <w:sz w:val="22"/>
          <w:szCs w:val="22"/>
        </w:rPr>
        <w:t>.</w:t>
      </w:r>
    </w:p>
    <w:p w14:paraId="333561A7" w14:textId="77777777" w:rsidR="0060431B" w:rsidRPr="004511C8" w:rsidRDefault="0060431B" w:rsidP="00F36DDA">
      <w:pPr>
        <w:jc w:val="left"/>
        <w:rPr>
          <w:rFonts w:ascii="Arial" w:hAnsi="Arial" w:cs="Arial"/>
          <w:sz w:val="22"/>
          <w:szCs w:val="22"/>
        </w:rPr>
      </w:pPr>
      <w:r w:rsidRPr="004511C8">
        <w:rPr>
          <w:rFonts w:ascii="Arial" w:hAnsi="Arial" w:cs="Arial"/>
          <w:sz w:val="22"/>
          <w:szCs w:val="22"/>
        </w:rPr>
        <w:t>UK Health Security Agency (2024). Sexually transmitted infections (STIs): annual data tables. [online] GOV.UK. Available at: https://www.gov.uk/government/statistics/sexually-transmitted-infections-stis-annual-data-tables.</w:t>
      </w:r>
    </w:p>
    <w:p w14:paraId="21F01F15" w14:textId="77777777" w:rsidR="0060431B" w:rsidRPr="004511C8" w:rsidRDefault="0060431B" w:rsidP="00F36DDA">
      <w:pPr>
        <w:jc w:val="left"/>
        <w:rPr>
          <w:rFonts w:ascii="Arial" w:hAnsi="Arial" w:cs="Arial"/>
          <w:sz w:val="22"/>
          <w:szCs w:val="22"/>
        </w:rPr>
      </w:pPr>
      <w:r w:rsidRPr="004511C8">
        <w:rPr>
          <w:rFonts w:ascii="Arial" w:hAnsi="Arial" w:cs="Arial"/>
          <w:sz w:val="22"/>
          <w:szCs w:val="22"/>
        </w:rPr>
        <w:t>UK Health Security Agency (2025). Gonococcal resistance to antimicrobials surveillance programme (GRASP) report: data to June 2023. [online] GOV.UK. Available at: https://www.gov.uk/government/publications/gonococcal-resistance-to-antimicrobials-surveillance-programme-grasp-report/grasp-report-data-to-june-2023.</w:t>
      </w:r>
    </w:p>
    <w:p w14:paraId="13E53330" w14:textId="77777777" w:rsidR="0060431B" w:rsidRPr="004511C8" w:rsidRDefault="0060431B" w:rsidP="00F36DDA">
      <w:pPr>
        <w:jc w:val="left"/>
        <w:rPr>
          <w:rFonts w:ascii="Arial" w:hAnsi="Arial" w:cs="Arial"/>
          <w:sz w:val="22"/>
          <w:szCs w:val="22"/>
          <w:lang/>
        </w:rPr>
      </w:pPr>
      <w:r w:rsidRPr="004511C8">
        <w:rPr>
          <w:rFonts w:ascii="Arial" w:hAnsi="Arial" w:cs="Arial"/>
          <w:sz w:val="22"/>
          <w:szCs w:val="22"/>
          <w:lang/>
        </w:rPr>
        <w:t xml:space="preserve">UK Health Security Agency (2025a) ‘UKHSA publishes latest STI data’. Available at: GOV.UK. </w:t>
      </w:r>
    </w:p>
    <w:p w14:paraId="5AE961A6" w14:textId="77777777" w:rsidR="0060431B" w:rsidRPr="004511C8" w:rsidRDefault="0060431B" w:rsidP="00F36DDA">
      <w:pPr>
        <w:jc w:val="left"/>
        <w:rPr>
          <w:rFonts w:ascii="Arial" w:hAnsi="Arial" w:cs="Arial"/>
          <w:sz w:val="22"/>
          <w:szCs w:val="22"/>
          <w:lang/>
        </w:rPr>
      </w:pPr>
      <w:r w:rsidRPr="004511C8">
        <w:rPr>
          <w:rFonts w:ascii="Arial" w:hAnsi="Arial" w:cs="Arial"/>
          <w:sz w:val="22"/>
          <w:szCs w:val="22"/>
          <w:lang/>
        </w:rPr>
        <w:t xml:space="preserve">UK Health Security Agency (2025b) ‘Sexually transmitted infections and screening for chlamydia in England, 2024 report’. Available at: GOV.UK. </w:t>
      </w:r>
    </w:p>
    <w:p w14:paraId="4653F366" w14:textId="77777777" w:rsidR="0060431B" w:rsidRPr="004511C8" w:rsidRDefault="0060431B" w:rsidP="00F36DDA">
      <w:pPr>
        <w:jc w:val="left"/>
        <w:rPr>
          <w:rFonts w:ascii="Arial" w:hAnsi="Arial" w:cs="Arial"/>
          <w:sz w:val="22"/>
          <w:szCs w:val="22"/>
        </w:rPr>
      </w:pPr>
      <w:r w:rsidRPr="004511C8">
        <w:rPr>
          <w:rFonts w:ascii="Arial" w:hAnsi="Arial" w:cs="Arial"/>
          <w:sz w:val="22"/>
          <w:szCs w:val="22"/>
          <w:lang/>
        </w:rPr>
        <w:t>UK Health Security Agency (2025c) ‘Gonococcal resistance to antimicrobials surveillance programme (GRASP) report: data to June 2023’. Available at: GOV.UK.</w:t>
      </w:r>
    </w:p>
    <w:p w14:paraId="1DAD5E95" w14:textId="77777777" w:rsidR="0060431B" w:rsidRPr="004511C8" w:rsidRDefault="0060431B" w:rsidP="00F36DDA">
      <w:pPr>
        <w:jc w:val="left"/>
        <w:rPr>
          <w:rFonts w:ascii="Arial" w:hAnsi="Arial" w:cs="Arial"/>
          <w:sz w:val="22"/>
          <w:szCs w:val="22"/>
        </w:rPr>
      </w:pPr>
      <w:proofErr w:type="spellStart"/>
      <w:r w:rsidRPr="004511C8">
        <w:rPr>
          <w:rFonts w:ascii="Arial" w:hAnsi="Arial" w:cs="Arial"/>
          <w:sz w:val="22"/>
          <w:szCs w:val="22"/>
        </w:rPr>
        <w:lastRenderedPageBreak/>
        <w:t>Unemo</w:t>
      </w:r>
      <w:proofErr w:type="spellEnd"/>
      <w:r w:rsidRPr="004511C8">
        <w:rPr>
          <w:rFonts w:ascii="Arial" w:hAnsi="Arial" w:cs="Arial"/>
          <w:sz w:val="22"/>
          <w:szCs w:val="22"/>
        </w:rPr>
        <w:t xml:space="preserve">, M. and Shafer, W.M. (2014). Antimicrobial Resistance in Neisseria Gonorrhoeae in the 21st Century: Past, Evolution, and Future. </w:t>
      </w:r>
      <w:r w:rsidRPr="004511C8">
        <w:rPr>
          <w:rFonts w:ascii="Arial" w:hAnsi="Arial" w:cs="Arial"/>
          <w:i/>
          <w:iCs/>
          <w:sz w:val="22"/>
          <w:szCs w:val="22"/>
        </w:rPr>
        <w:t>Clinical Microbiology Reviews</w:t>
      </w:r>
      <w:r w:rsidRPr="004511C8">
        <w:rPr>
          <w:rFonts w:ascii="Arial" w:hAnsi="Arial" w:cs="Arial"/>
          <w:sz w:val="22"/>
          <w:szCs w:val="22"/>
        </w:rPr>
        <w:t>, 27(3), pp.587–613.</w:t>
      </w:r>
    </w:p>
    <w:p w14:paraId="1F123B65"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proofErr w:type="spellStart"/>
      <w:r w:rsidRPr="004511C8">
        <w:rPr>
          <w:rFonts w:ascii="Arial" w:hAnsi="Arial" w:cs="Arial"/>
          <w:sz w:val="22"/>
          <w:szCs w:val="22"/>
        </w:rPr>
        <w:t>Unemo</w:t>
      </w:r>
      <w:proofErr w:type="spellEnd"/>
      <w:r w:rsidRPr="004511C8">
        <w:rPr>
          <w:rFonts w:ascii="Arial" w:hAnsi="Arial" w:cs="Arial"/>
          <w:sz w:val="22"/>
          <w:szCs w:val="22"/>
        </w:rPr>
        <w:t xml:space="preserve">, M., </w:t>
      </w:r>
      <w:proofErr w:type="spellStart"/>
      <w:r w:rsidRPr="004511C8">
        <w:rPr>
          <w:rFonts w:ascii="Arial" w:hAnsi="Arial" w:cs="Arial"/>
          <w:sz w:val="22"/>
          <w:szCs w:val="22"/>
        </w:rPr>
        <w:t>Lahra</w:t>
      </w:r>
      <w:proofErr w:type="spellEnd"/>
      <w:r w:rsidRPr="004511C8">
        <w:rPr>
          <w:rFonts w:ascii="Arial" w:hAnsi="Arial" w:cs="Arial"/>
          <w:sz w:val="22"/>
          <w:szCs w:val="22"/>
        </w:rPr>
        <w:t xml:space="preserve">, M.M., Escher, M., </w:t>
      </w:r>
      <w:proofErr w:type="spellStart"/>
      <w:r w:rsidRPr="004511C8">
        <w:rPr>
          <w:rFonts w:ascii="Arial" w:hAnsi="Arial" w:cs="Arial"/>
          <w:sz w:val="22"/>
          <w:szCs w:val="22"/>
        </w:rPr>
        <w:t>Eremin</w:t>
      </w:r>
      <w:proofErr w:type="spellEnd"/>
      <w:r w:rsidRPr="004511C8">
        <w:rPr>
          <w:rFonts w:ascii="Arial" w:hAnsi="Arial" w:cs="Arial"/>
          <w:sz w:val="22"/>
          <w:szCs w:val="22"/>
        </w:rPr>
        <w:t xml:space="preserve">, S., Cole, M.J., Galarza, P., Ndowa, F., Martin, I., Dillon, J.-A.R., Galas, M., Ramon-Pardo, P., Weinstock, H. and Wi, T. (2021). WHO global antimicrobial resistance surveillance for Neisseria gonorrhoeae 2017–18: a retrospective observational study. </w:t>
      </w:r>
      <w:r w:rsidRPr="004511C8">
        <w:rPr>
          <w:rFonts w:ascii="Arial" w:hAnsi="Arial" w:cs="Arial"/>
          <w:i/>
          <w:iCs/>
          <w:sz w:val="22"/>
          <w:szCs w:val="22"/>
        </w:rPr>
        <w:t>The Lancet Microbe</w:t>
      </w:r>
      <w:r w:rsidRPr="004511C8">
        <w:rPr>
          <w:rFonts w:ascii="Arial" w:hAnsi="Arial" w:cs="Arial"/>
          <w:sz w:val="22"/>
          <w:szCs w:val="22"/>
        </w:rPr>
        <w:t xml:space="preserve">, [online] 2(11), </w:t>
      </w:r>
      <w:proofErr w:type="gramStart"/>
      <w:r w:rsidRPr="004511C8">
        <w:rPr>
          <w:rFonts w:ascii="Arial" w:hAnsi="Arial" w:cs="Arial"/>
          <w:sz w:val="22"/>
          <w:szCs w:val="22"/>
        </w:rPr>
        <w:t>pp.e</w:t>
      </w:r>
      <w:proofErr w:type="gramEnd"/>
      <w:r w:rsidRPr="004511C8">
        <w:rPr>
          <w:rFonts w:ascii="Arial" w:hAnsi="Arial" w:cs="Arial"/>
          <w:sz w:val="22"/>
          <w:szCs w:val="22"/>
        </w:rPr>
        <w:t xml:space="preserve">627–e636.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://doi.org/10.1016/S2666-5247(21)00171-3</w:t>
      </w:r>
      <w:proofErr w:type="gramEnd"/>
      <w:r w:rsidRPr="004511C8">
        <w:rPr>
          <w:rFonts w:ascii="Arial" w:hAnsi="Arial" w:cs="Arial"/>
          <w:sz w:val="22"/>
          <w:szCs w:val="22"/>
        </w:rPr>
        <w:t>.</w:t>
      </w:r>
    </w:p>
    <w:p w14:paraId="197D4D30" w14:textId="77777777" w:rsidR="0060431B" w:rsidRPr="004511C8" w:rsidRDefault="0060431B" w:rsidP="00F36DDA">
      <w:pPr>
        <w:jc w:val="left"/>
        <w:rPr>
          <w:rFonts w:ascii="Arial" w:hAnsi="Arial" w:cs="Arial"/>
          <w:sz w:val="22"/>
          <w:szCs w:val="22"/>
        </w:rPr>
      </w:pPr>
      <w:proofErr w:type="spellStart"/>
      <w:r w:rsidRPr="004511C8">
        <w:rPr>
          <w:rFonts w:ascii="Arial" w:hAnsi="Arial" w:cs="Arial"/>
          <w:sz w:val="22"/>
          <w:szCs w:val="22"/>
        </w:rPr>
        <w:t>Unemo</w:t>
      </w:r>
      <w:proofErr w:type="spellEnd"/>
      <w:r w:rsidRPr="004511C8">
        <w:rPr>
          <w:rFonts w:ascii="Arial" w:hAnsi="Arial" w:cs="Arial"/>
          <w:sz w:val="22"/>
          <w:szCs w:val="22"/>
        </w:rPr>
        <w:t xml:space="preserve">, M., Ross, J., Serwin, A., Gomberg, M., Cusini, M. and Jensen, J. (2020). Background review for the ‘2020 European guideline for the diagnosis and treatment of gonorrhoea in </w:t>
      </w:r>
      <w:proofErr w:type="gramStart"/>
      <w:r w:rsidRPr="004511C8">
        <w:rPr>
          <w:rFonts w:ascii="Arial" w:hAnsi="Arial" w:cs="Arial"/>
          <w:sz w:val="22"/>
          <w:szCs w:val="22"/>
        </w:rPr>
        <w:t>adults’</w:t>
      </w:r>
      <w:proofErr w:type="gramEnd"/>
      <w:r w:rsidRPr="004511C8">
        <w:rPr>
          <w:rFonts w:ascii="Arial" w:hAnsi="Arial" w:cs="Arial"/>
          <w:sz w:val="22"/>
          <w:szCs w:val="22"/>
        </w:rPr>
        <w:t xml:space="preserve">. </w:t>
      </w:r>
      <w:r w:rsidRPr="004511C8">
        <w:rPr>
          <w:rFonts w:ascii="Arial" w:hAnsi="Arial" w:cs="Arial"/>
          <w:i/>
          <w:iCs/>
          <w:sz w:val="22"/>
          <w:szCs w:val="22"/>
        </w:rPr>
        <w:t>International Journal of STD &amp; AIDS</w:t>
      </w:r>
      <w:r w:rsidRPr="004511C8">
        <w:rPr>
          <w:rFonts w:ascii="Arial" w:hAnsi="Arial" w:cs="Arial"/>
          <w:sz w:val="22"/>
          <w:szCs w:val="22"/>
        </w:rPr>
        <w:t xml:space="preserve">, 32(2), pp.108–126.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://doi.org/10.1177/0956462420948739</w:t>
      </w:r>
      <w:proofErr w:type="gramEnd"/>
      <w:r w:rsidRPr="004511C8">
        <w:rPr>
          <w:rFonts w:ascii="Arial" w:hAnsi="Arial" w:cs="Arial"/>
          <w:sz w:val="22"/>
          <w:szCs w:val="22"/>
        </w:rPr>
        <w:t>.</w:t>
      </w:r>
    </w:p>
    <w:p w14:paraId="7706E674" w14:textId="77777777" w:rsidR="0060431B" w:rsidRPr="004511C8" w:rsidRDefault="0060431B" w:rsidP="00F36DDA">
      <w:pPr>
        <w:jc w:val="left"/>
        <w:rPr>
          <w:rFonts w:ascii="Arial" w:hAnsi="Arial" w:cs="Arial"/>
          <w:sz w:val="22"/>
          <w:szCs w:val="22"/>
          <w:lang/>
        </w:rPr>
      </w:pPr>
      <w:r w:rsidRPr="004511C8">
        <w:rPr>
          <w:rFonts w:ascii="Arial" w:hAnsi="Arial" w:cs="Arial"/>
          <w:sz w:val="22"/>
          <w:szCs w:val="22"/>
          <w:lang/>
        </w:rPr>
        <w:t xml:space="preserve">Unemo, M., Ross, J., Serwin, A., Gomberg, M., Cusini, M. and Jensen, J. (2020) ‘Background review for the 2020 European guideline for the diagnosis and treatment of gonorrhoea in adults’, </w:t>
      </w:r>
      <w:r w:rsidRPr="004511C8">
        <w:rPr>
          <w:rFonts w:ascii="Arial" w:hAnsi="Arial" w:cs="Arial"/>
          <w:i/>
          <w:iCs/>
          <w:sz w:val="22"/>
          <w:szCs w:val="22"/>
          <w:lang/>
        </w:rPr>
        <w:t>International Journal of STD &amp; AIDS</w:t>
      </w:r>
      <w:r w:rsidRPr="004511C8">
        <w:rPr>
          <w:rFonts w:ascii="Arial" w:hAnsi="Arial" w:cs="Arial"/>
          <w:sz w:val="22"/>
          <w:szCs w:val="22"/>
          <w:lang/>
        </w:rPr>
        <w:t xml:space="preserve">, 32(2), pp. 108–126. doi:10.1177/0956462420948739. </w:t>
      </w:r>
    </w:p>
    <w:p w14:paraId="5EC3DCEF" w14:textId="77777777" w:rsidR="0060431B" w:rsidRPr="004511C8" w:rsidRDefault="0060431B" w:rsidP="00F36DDA">
      <w:pPr>
        <w:jc w:val="left"/>
        <w:rPr>
          <w:rFonts w:ascii="Arial" w:hAnsi="Arial" w:cs="Arial"/>
          <w:sz w:val="22"/>
          <w:szCs w:val="22"/>
        </w:rPr>
      </w:pPr>
      <w:r w:rsidRPr="004511C8">
        <w:rPr>
          <w:rFonts w:ascii="Arial" w:hAnsi="Arial" w:cs="Arial"/>
          <w:sz w:val="22"/>
          <w:szCs w:val="22"/>
        </w:rPr>
        <w:t xml:space="preserve">Wager, E. and Wiffen, P.J. (2011). Ethical issues in preparing and publishing systematic reviews. Journal of Evidence-Based Medicine, 4(2), pp.130–134.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://doi.org/10.1111/j.1756-5391.2011.01122.x</w:t>
      </w:r>
      <w:proofErr w:type="gramEnd"/>
      <w:r w:rsidRPr="004511C8">
        <w:rPr>
          <w:rFonts w:ascii="Arial" w:hAnsi="Arial" w:cs="Arial"/>
          <w:sz w:val="22"/>
          <w:szCs w:val="22"/>
        </w:rPr>
        <w:t>.</w:t>
      </w:r>
    </w:p>
    <w:p w14:paraId="1AFFB323"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t xml:space="preserve">Waters, E.V., Cameron, S.K., Langridge, G.C. and Preston, A. (2025). Bacterial genome structural variation: prevalence, mechanisms, and consequences. </w:t>
      </w:r>
      <w:r w:rsidRPr="004511C8">
        <w:rPr>
          <w:rFonts w:ascii="Arial" w:hAnsi="Arial" w:cs="Arial"/>
          <w:i/>
          <w:iCs/>
          <w:sz w:val="22"/>
          <w:szCs w:val="22"/>
        </w:rPr>
        <w:t>Trends in Microbiology</w:t>
      </w:r>
      <w:r w:rsidRPr="004511C8">
        <w:rPr>
          <w:rFonts w:ascii="Arial" w:hAnsi="Arial" w:cs="Arial"/>
          <w:sz w:val="22"/>
          <w:szCs w:val="22"/>
        </w:rPr>
        <w:t xml:space="preserve">, [online] 33(8), pp.875–886.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://doi.org/10.1016/j.tim.2025.04.004</w:t>
      </w:r>
      <w:proofErr w:type="gramEnd"/>
      <w:r w:rsidRPr="004511C8">
        <w:rPr>
          <w:rFonts w:ascii="Arial" w:hAnsi="Arial" w:cs="Arial"/>
          <w:sz w:val="22"/>
          <w:szCs w:val="22"/>
        </w:rPr>
        <w:t>.</w:t>
      </w:r>
    </w:p>
    <w:p w14:paraId="5E881849" w14:textId="77777777" w:rsidR="0060431B" w:rsidRPr="004511C8" w:rsidRDefault="0060431B" w:rsidP="00F36DDA">
      <w:pPr>
        <w:jc w:val="left"/>
        <w:rPr>
          <w:rFonts w:ascii="Arial" w:hAnsi="Arial" w:cs="Arial"/>
          <w:sz w:val="22"/>
          <w:szCs w:val="22"/>
        </w:rPr>
      </w:pPr>
      <w:r w:rsidRPr="004511C8">
        <w:rPr>
          <w:rFonts w:ascii="Arial" w:hAnsi="Arial" w:cs="Arial"/>
          <w:sz w:val="22"/>
          <w:szCs w:val="22"/>
        </w:rPr>
        <w:t xml:space="preserve">Whittles, L., White, P., Paul, J. and Didelot, X. (2018). Epidemiological Trends of </w:t>
      </w:r>
      <w:proofErr w:type="gramStart"/>
      <w:r w:rsidRPr="004511C8">
        <w:rPr>
          <w:rFonts w:ascii="Arial" w:hAnsi="Arial" w:cs="Arial"/>
          <w:sz w:val="22"/>
          <w:szCs w:val="22"/>
        </w:rPr>
        <w:t>Antibiotic Resistant</w:t>
      </w:r>
      <w:proofErr w:type="gramEnd"/>
      <w:r w:rsidRPr="004511C8">
        <w:rPr>
          <w:rFonts w:ascii="Arial" w:hAnsi="Arial" w:cs="Arial"/>
          <w:sz w:val="22"/>
          <w:szCs w:val="22"/>
        </w:rPr>
        <w:t xml:space="preserve"> Gonorrhoea in the United Kingdom. </w:t>
      </w:r>
      <w:r w:rsidRPr="004511C8">
        <w:rPr>
          <w:rFonts w:ascii="Arial" w:hAnsi="Arial" w:cs="Arial"/>
          <w:i/>
          <w:iCs/>
          <w:sz w:val="22"/>
          <w:szCs w:val="22"/>
        </w:rPr>
        <w:t>Antibiotics</w:t>
      </w:r>
      <w:r w:rsidRPr="004511C8">
        <w:rPr>
          <w:rFonts w:ascii="Arial" w:hAnsi="Arial" w:cs="Arial"/>
          <w:sz w:val="22"/>
          <w:szCs w:val="22"/>
        </w:rPr>
        <w:t xml:space="preserve">, [online] 7(3), p.60.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://doi.org/10.3390/antibiotics7030060</w:t>
      </w:r>
      <w:proofErr w:type="gramEnd"/>
      <w:r w:rsidRPr="004511C8">
        <w:rPr>
          <w:rFonts w:ascii="Arial" w:hAnsi="Arial" w:cs="Arial"/>
          <w:sz w:val="22"/>
          <w:szCs w:val="22"/>
        </w:rPr>
        <w:t>.</w:t>
      </w:r>
    </w:p>
    <w:p w14:paraId="261888CE"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t xml:space="preserve">Williams, V., Boylan, A.-M. and Nunan, D. (2020). Critical appraisal of qualitative research: Necessity, partialities and the issue of bias. </w:t>
      </w:r>
      <w:r w:rsidRPr="004511C8">
        <w:rPr>
          <w:rFonts w:ascii="Arial" w:hAnsi="Arial" w:cs="Arial"/>
          <w:i/>
          <w:iCs/>
          <w:sz w:val="22"/>
          <w:szCs w:val="22"/>
        </w:rPr>
        <w:t>BMJ Evidence-Based Medicine</w:t>
      </w:r>
      <w:r w:rsidRPr="004511C8">
        <w:rPr>
          <w:rFonts w:ascii="Arial" w:hAnsi="Arial" w:cs="Arial"/>
          <w:sz w:val="22"/>
          <w:szCs w:val="22"/>
        </w:rPr>
        <w:t xml:space="preserve">, [online] 25(1), </w:t>
      </w:r>
      <w:proofErr w:type="gramStart"/>
      <w:r w:rsidRPr="004511C8">
        <w:rPr>
          <w:rFonts w:ascii="Arial" w:hAnsi="Arial" w:cs="Arial"/>
          <w:sz w:val="22"/>
          <w:szCs w:val="22"/>
        </w:rPr>
        <w:t>p.bmjebm</w:t>
      </w:r>
      <w:proofErr w:type="gramEnd"/>
      <w:r w:rsidRPr="004511C8">
        <w:rPr>
          <w:rFonts w:ascii="Arial" w:hAnsi="Arial" w:cs="Arial"/>
          <w:sz w:val="22"/>
          <w:szCs w:val="22"/>
        </w:rPr>
        <w:t xml:space="preserve">-2018-111132.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://doi.org/10.1136/bmjebm-2018-111132</w:t>
      </w:r>
      <w:proofErr w:type="gramEnd"/>
      <w:r w:rsidRPr="004511C8">
        <w:rPr>
          <w:rFonts w:ascii="Arial" w:hAnsi="Arial" w:cs="Arial"/>
          <w:sz w:val="22"/>
          <w:szCs w:val="22"/>
        </w:rPr>
        <w:t>.</w:t>
      </w:r>
    </w:p>
    <w:p w14:paraId="164509F9" w14:textId="77777777"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t>Wolk, D.M. and Whitfield, N.N. (2024). Clinical Trials and Evidence</w:t>
      </w:r>
      <w:r w:rsidRPr="004511C8">
        <w:rPr>
          <w:rFonts w:ascii="Cambria Math" w:hAnsi="Cambria Math" w:cs="Cambria Math"/>
          <w:sz w:val="22"/>
          <w:szCs w:val="22"/>
        </w:rPr>
        <w:t>‐</w:t>
      </w:r>
      <w:r w:rsidRPr="004511C8">
        <w:rPr>
          <w:rFonts w:ascii="Arial" w:hAnsi="Arial" w:cs="Arial"/>
          <w:sz w:val="22"/>
          <w:szCs w:val="22"/>
        </w:rPr>
        <w:t xml:space="preserve">Based Research in the Clinical Laboratory. pp.595–606. </w:t>
      </w:r>
      <w:proofErr w:type="spellStart"/>
      <w:proofErr w:type="gramStart"/>
      <w:r w:rsidRPr="004511C8">
        <w:rPr>
          <w:rFonts w:ascii="Arial" w:hAnsi="Arial" w:cs="Arial"/>
          <w:sz w:val="22"/>
          <w:szCs w:val="22"/>
        </w:rPr>
        <w:t>doi:https</w:t>
      </w:r>
      <w:proofErr w:type="spellEnd"/>
      <w:r w:rsidRPr="004511C8">
        <w:rPr>
          <w:rFonts w:ascii="Arial" w:hAnsi="Arial" w:cs="Arial"/>
          <w:sz w:val="22"/>
          <w:szCs w:val="22"/>
        </w:rPr>
        <w:t>://doi.org/10.1002/9781683673941.ch42</w:t>
      </w:r>
      <w:proofErr w:type="gramEnd"/>
    </w:p>
    <w:p w14:paraId="719C65B4" w14:textId="00DBFA55" w:rsidR="0060431B" w:rsidRPr="004511C8" w:rsidRDefault="0060431B" w:rsidP="00F36DDA">
      <w:pPr>
        <w:pStyle w:val="NormalWeb"/>
        <w:spacing w:before="0" w:beforeAutospacing="0" w:after="240" w:afterAutospacing="0" w:line="360" w:lineRule="auto"/>
        <w:rPr>
          <w:rFonts w:ascii="Arial" w:hAnsi="Arial" w:cs="Arial"/>
          <w:sz w:val="22"/>
          <w:szCs w:val="22"/>
        </w:rPr>
      </w:pPr>
      <w:r w:rsidRPr="004511C8">
        <w:rPr>
          <w:rFonts w:ascii="Arial" w:hAnsi="Arial" w:cs="Arial"/>
          <w:sz w:val="22"/>
          <w:szCs w:val="22"/>
        </w:rPr>
        <w:t xml:space="preserve">Yusuf, A. (2025). Health-Seeking Behaviour of Adolescents Utilising Telemedicine for Treatment of Sexually Transmitted Diseases (STDs). </w:t>
      </w:r>
      <w:r w:rsidRPr="004511C8">
        <w:rPr>
          <w:rFonts w:ascii="Arial" w:hAnsi="Arial" w:cs="Arial"/>
          <w:i/>
          <w:iCs/>
          <w:sz w:val="22"/>
          <w:szCs w:val="22"/>
        </w:rPr>
        <w:t xml:space="preserve">Prestige Journal of Counselling </w:t>
      </w:r>
      <w:r w:rsidRPr="004511C8">
        <w:rPr>
          <w:rFonts w:ascii="Arial" w:hAnsi="Arial" w:cs="Arial"/>
          <w:i/>
          <w:iCs/>
          <w:sz w:val="22"/>
          <w:szCs w:val="22"/>
        </w:rPr>
        <w:lastRenderedPageBreak/>
        <w:t>Psychology</w:t>
      </w:r>
      <w:r w:rsidRPr="004511C8">
        <w:rPr>
          <w:rFonts w:ascii="Arial" w:hAnsi="Arial" w:cs="Arial"/>
          <w:sz w:val="22"/>
          <w:szCs w:val="22"/>
        </w:rPr>
        <w:t>, [online] 8(1). Available at: https://openaccessglobal.com/wp-content/uploads/2025/04/health-seeking-behaviour.</w:t>
      </w:r>
      <w:r w:rsidR="0041329C" w:rsidRPr="004511C8">
        <w:rPr>
          <w:rFonts w:ascii="Arial" w:hAnsi="Arial" w:cs="Arial"/>
          <w:sz w:val="22"/>
          <w:szCs w:val="22"/>
        </w:rPr>
        <w:t>(</w:t>
      </w:r>
      <w:r w:rsidRPr="004511C8">
        <w:rPr>
          <w:rFonts w:ascii="Arial" w:hAnsi="Arial" w:cs="Arial"/>
          <w:sz w:val="22"/>
          <w:szCs w:val="22"/>
        </w:rPr>
        <w:t>Accessed 2 May 2026</w:t>
      </w:r>
      <w:r w:rsidR="0041329C" w:rsidRPr="004511C8">
        <w:rPr>
          <w:rFonts w:ascii="Arial" w:hAnsi="Arial" w:cs="Arial"/>
          <w:sz w:val="22"/>
          <w:szCs w:val="22"/>
        </w:rPr>
        <w:t>)</w:t>
      </w:r>
      <w:r w:rsidRPr="004511C8">
        <w:rPr>
          <w:rFonts w:ascii="Arial" w:hAnsi="Arial" w:cs="Arial"/>
          <w:sz w:val="22"/>
          <w:szCs w:val="22"/>
        </w:rPr>
        <w:t>.</w:t>
      </w:r>
    </w:p>
    <w:p w14:paraId="61DF1631" w14:textId="77777777" w:rsidR="008A7135" w:rsidRPr="004511C8" w:rsidRDefault="008A7135" w:rsidP="005F4984">
      <w:pPr>
        <w:rPr>
          <w:rFonts w:ascii="Arial" w:hAnsi="Arial" w:cs="Arial"/>
          <w:sz w:val="22"/>
          <w:szCs w:val="22"/>
        </w:rPr>
      </w:pPr>
    </w:p>
    <w:p w14:paraId="5EEBFCEF" w14:textId="77777777" w:rsidR="00737DB2" w:rsidRPr="004511C8" w:rsidRDefault="00737DB2" w:rsidP="005F4984">
      <w:pPr>
        <w:rPr>
          <w:rFonts w:ascii="Arial" w:hAnsi="Arial" w:cs="Arial"/>
          <w:sz w:val="22"/>
          <w:szCs w:val="22"/>
        </w:rPr>
        <w:sectPr w:rsidR="00737DB2" w:rsidRPr="004511C8" w:rsidSect="00D16F63">
          <w:headerReference w:type="default" r:id="rId12"/>
          <w:footerReference w:type="default" r:id="rId13"/>
          <w:pgSz w:w="11906" w:h="16838"/>
          <w:pgMar w:top="1440" w:right="1440" w:bottom="1440" w:left="1440" w:header="708" w:footer="708" w:gutter="0"/>
          <w:cols w:space="708"/>
          <w:titlePg/>
          <w:docGrid w:linePitch="360"/>
        </w:sectPr>
      </w:pPr>
    </w:p>
    <w:p w14:paraId="7AA9BEB4" w14:textId="578B7898" w:rsidR="00737DB2" w:rsidRPr="004511C8" w:rsidRDefault="00560FA9" w:rsidP="00737DB2">
      <w:pPr>
        <w:pStyle w:val="Heading1"/>
        <w:rPr>
          <w:rFonts w:ascii="Arial" w:hAnsi="Arial" w:cs="Arial"/>
          <w:sz w:val="22"/>
          <w:szCs w:val="22"/>
        </w:rPr>
      </w:pPr>
      <w:bookmarkStart w:id="59" w:name="_Toc229082816"/>
      <w:r w:rsidRPr="004511C8">
        <w:rPr>
          <w:rFonts w:ascii="Arial" w:hAnsi="Arial" w:cs="Arial"/>
          <w:sz w:val="22"/>
          <w:szCs w:val="22"/>
        </w:rPr>
        <w:lastRenderedPageBreak/>
        <w:t>APPENDICES</w:t>
      </w:r>
      <w:bookmarkEnd w:id="59"/>
    </w:p>
    <w:p w14:paraId="5D767AAB" w14:textId="77777777" w:rsidR="00737DB2" w:rsidRPr="004511C8" w:rsidRDefault="00737DB2" w:rsidP="005F4984">
      <w:pPr>
        <w:rPr>
          <w:rFonts w:ascii="Arial" w:hAnsi="Arial" w:cs="Arial"/>
          <w:sz w:val="22"/>
          <w:szCs w:val="22"/>
        </w:rPr>
      </w:pPr>
    </w:p>
    <w:p w14:paraId="041FDEBB" w14:textId="33CB817F" w:rsidR="00737DB2" w:rsidRPr="004511C8" w:rsidRDefault="00737DB2" w:rsidP="00737DB2">
      <w:pPr>
        <w:pStyle w:val="Heading2"/>
        <w:rPr>
          <w:rFonts w:ascii="Arial" w:hAnsi="Arial" w:cs="Arial"/>
          <w:sz w:val="22"/>
          <w:szCs w:val="22"/>
        </w:rPr>
      </w:pPr>
      <w:bookmarkStart w:id="60" w:name="_Toc229082817"/>
      <w:r w:rsidRPr="004511C8">
        <w:rPr>
          <w:rFonts w:ascii="Arial" w:hAnsi="Arial" w:cs="Arial"/>
          <w:sz w:val="22"/>
          <w:szCs w:val="22"/>
        </w:rPr>
        <w:t xml:space="preserve">Study Characteristics </w:t>
      </w:r>
      <w:r w:rsidR="003802C9" w:rsidRPr="004511C8">
        <w:rPr>
          <w:rFonts w:ascii="Arial" w:hAnsi="Arial" w:cs="Arial"/>
          <w:sz w:val="22"/>
          <w:szCs w:val="22"/>
        </w:rPr>
        <w:t xml:space="preserve">Table </w:t>
      </w:r>
      <w:r w:rsidRPr="004511C8">
        <w:rPr>
          <w:rFonts w:ascii="Arial" w:hAnsi="Arial" w:cs="Arial"/>
          <w:sz w:val="22"/>
          <w:szCs w:val="22"/>
        </w:rPr>
        <w:t>of Included Studies</w:t>
      </w:r>
      <w:bookmarkEnd w:id="60"/>
    </w:p>
    <w:tbl>
      <w:tblPr>
        <w:tblStyle w:val="TableGridLight"/>
        <w:tblW w:w="0" w:type="auto"/>
        <w:tblLook w:val="04A0" w:firstRow="1" w:lastRow="0" w:firstColumn="1" w:lastColumn="0" w:noHBand="0" w:noVBand="1"/>
      </w:tblPr>
      <w:tblGrid>
        <w:gridCol w:w="1408"/>
        <w:gridCol w:w="2080"/>
        <w:gridCol w:w="1454"/>
        <w:gridCol w:w="2067"/>
        <w:gridCol w:w="2090"/>
        <w:gridCol w:w="1443"/>
        <w:gridCol w:w="1870"/>
        <w:gridCol w:w="1536"/>
      </w:tblGrid>
      <w:tr w:rsidR="00737DB2" w:rsidRPr="004511C8" w14:paraId="5375A69F" w14:textId="77777777" w:rsidTr="00737DB2">
        <w:tc>
          <w:tcPr>
            <w:tcW w:w="0" w:type="auto"/>
            <w:hideMark/>
          </w:tcPr>
          <w:p w14:paraId="3BA7EC5E" w14:textId="77777777" w:rsidR="00737DB2" w:rsidRPr="004511C8" w:rsidRDefault="00737DB2" w:rsidP="00737DB2">
            <w:pPr>
              <w:spacing w:line="240" w:lineRule="auto"/>
              <w:jc w:val="center"/>
              <w:rPr>
                <w:rFonts w:ascii="Arial" w:eastAsia="Times New Roman" w:hAnsi="Arial" w:cs="Arial"/>
                <w:b/>
                <w:bCs/>
                <w:kern w:val="0"/>
                <w:sz w:val="22"/>
                <w:szCs w:val="22"/>
                <w:lang w:val="en-US" w:eastAsia="zh-CN"/>
                <w14:ligatures w14:val="none"/>
              </w:rPr>
            </w:pPr>
            <w:r w:rsidRPr="004511C8">
              <w:rPr>
                <w:rFonts w:ascii="Arial" w:eastAsia="Times New Roman" w:hAnsi="Arial" w:cs="Arial"/>
                <w:b/>
                <w:bCs/>
                <w:kern w:val="0"/>
                <w:sz w:val="22"/>
                <w:szCs w:val="22"/>
                <w:lang w:val="en-US" w:eastAsia="zh-CN"/>
                <w14:ligatures w14:val="none"/>
              </w:rPr>
              <w:t>Author/Year</w:t>
            </w:r>
          </w:p>
        </w:tc>
        <w:tc>
          <w:tcPr>
            <w:tcW w:w="0" w:type="auto"/>
            <w:hideMark/>
          </w:tcPr>
          <w:p w14:paraId="3423AE76" w14:textId="77777777" w:rsidR="00737DB2" w:rsidRPr="004511C8" w:rsidRDefault="00737DB2" w:rsidP="00737DB2">
            <w:pPr>
              <w:spacing w:line="240" w:lineRule="auto"/>
              <w:jc w:val="center"/>
              <w:rPr>
                <w:rFonts w:ascii="Arial" w:eastAsia="Times New Roman" w:hAnsi="Arial" w:cs="Arial"/>
                <w:b/>
                <w:bCs/>
                <w:kern w:val="0"/>
                <w:sz w:val="22"/>
                <w:szCs w:val="22"/>
                <w:lang w:val="en-US" w:eastAsia="zh-CN"/>
                <w14:ligatures w14:val="none"/>
              </w:rPr>
            </w:pPr>
            <w:r w:rsidRPr="004511C8">
              <w:rPr>
                <w:rFonts w:ascii="Arial" w:eastAsia="Times New Roman" w:hAnsi="Arial" w:cs="Arial"/>
                <w:b/>
                <w:bCs/>
                <w:kern w:val="0"/>
                <w:sz w:val="22"/>
                <w:szCs w:val="22"/>
                <w:lang w:val="en-US" w:eastAsia="zh-CN"/>
                <w14:ligatures w14:val="none"/>
              </w:rPr>
              <w:t>UK Setting</w:t>
            </w:r>
          </w:p>
        </w:tc>
        <w:tc>
          <w:tcPr>
            <w:tcW w:w="0" w:type="auto"/>
            <w:hideMark/>
          </w:tcPr>
          <w:p w14:paraId="57E8B650" w14:textId="77777777" w:rsidR="00737DB2" w:rsidRPr="004511C8" w:rsidRDefault="00737DB2" w:rsidP="00737DB2">
            <w:pPr>
              <w:spacing w:line="240" w:lineRule="auto"/>
              <w:jc w:val="center"/>
              <w:rPr>
                <w:rFonts w:ascii="Arial" w:eastAsia="Times New Roman" w:hAnsi="Arial" w:cs="Arial"/>
                <w:b/>
                <w:bCs/>
                <w:kern w:val="0"/>
                <w:sz w:val="22"/>
                <w:szCs w:val="22"/>
                <w:lang w:val="en-US" w:eastAsia="zh-CN"/>
                <w14:ligatures w14:val="none"/>
              </w:rPr>
            </w:pPr>
            <w:r w:rsidRPr="004511C8">
              <w:rPr>
                <w:rFonts w:ascii="Arial" w:eastAsia="Times New Roman" w:hAnsi="Arial" w:cs="Arial"/>
                <w:b/>
                <w:bCs/>
                <w:kern w:val="0"/>
                <w:sz w:val="22"/>
                <w:szCs w:val="22"/>
                <w:lang w:val="en-US" w:eastAsia="zh-CN"/>
                <w14:ligatures w14:val="none"/>
              </w:rPr>
              <w:t>Aim of Study</w:t>
            </w:r>
          </w:p>
        </w:tc>
        <w:tc>
          <w:tcPr>
            <w:tcW w:w="0" w:type="auto"/>
            <w:hideMark/>
          </w:tcPr>
          <w:p w14:paraId="15A705EA" w14:textId="77777777" w:rsidR="00737DB2" w:rsidRPr="004511C8" w:rsidRDefault="00737DB2" w:rsidP="00737DB2">
            <w:pPr>
              <w:spacing w:line="240" w:lineRule="auto"/>
              <w:jc w:val="center"/>
              <w:rPr>
                <w:rFonts w:ascii="Arial" w:eastAsia="Times New Roman" w:hAnsi="Arial" w:cs="Arial"/>
                <w:b/>
                <w:bCs/>
                <w:kern w:val="0"/>
                <w:sz w:val="22"/>
                <w:szCs w:val="22"/>
                <w:lang w:val="en-US" w:eastAsia="zh-CN"/>
                <w14:ligatures w14:val="none"/>
              </w:rPr>
            </w:pPr>
            <w:r w:rsidRPr="004511C8">
              <w:rPr>
                <w:rFonts w:ascii="Arial" w:eastAsia="Times New Roman" w:hAnsi="Arial" w:cs="Arial"/>
                <w:b/>
                <w:bCs/>
                <w:kern w:val="0"/>
                <w:sz w:val="22"/>
                <w:szCs w:val="22"/>
                <w:lang w:val="en-US" w:eastAsia="zh-CN"/>
                <w14:ligatures w14:val="none"/>
              </w:rPr>
              <w:t>Study Design</w:t>
            </w:r>
          </w:p>
        </w:tc>
        <w:tc>
          <w:tcPr>
            <w:tcW w:w="0" w:type="auto"/>
            <w:hideMark/>
          </w:tcPr>
          <w:p w14:paraId="439A963C" w14:textId="77777777" w:rsidR="00737DB2" w:rsidRPr="004511C8" w:rsidRDefault="00737DB2" w:rsidP="00737DB2">
            <w:pPr>
              <w:spacing w:line="240" w:lineRule="auto"/>
              <w:jc w:val="center"/>
              <w:rPr>
                <w:rFonts w:ascii="Arial" w:eastAsia="Times New Roman" w:hAnsi="Arial" w:cs="Arial"/>
                <w:b/>
                <w:bCs/>
                <w:kern w:val="0"/>
                <w:sz w:val="22"/>
                <w:szCs w:val="22"/>
                <w:lang w:val="en-US" w:eastAsia="zh-CN"/>
                <w14:ligatures w14:val="none"/>
              </w:rPr>
            </w:pPr>
            <w:r w:rsidRPr="004511C8">
              <w:rPr>
                <w:rFonts w:ascii="Arial" w:eastAsia="Times New Roman" w:hAnsi="Arial" w:cs="Arial"/>
                <w:b/>
                <w:bCs/>
                <w:kern w:val="0"/>
                <w:sz w:val="22"/>
                <w:szCs w:val="22"/>
                <w:lang w:val="en-US" w:eastAsia="zh-CN"/>
                <w14:ligatures w14:val="none"/>
              </w:rPr>
              <w:t>Sample/Population</w:t>
            </w:r>
          </w:p>
        </w:tc>
        <w:tc>
          <w:tcPr>
            <w:tcW w:w="0" w:type="auto"/>
            <w:hideMark/>
          </w:tcPr>
          <w:p w14:paraId="1C82466E" w14:textId="77777777" w:rsidR="00737DB2" w:rsidRPr="004511C8" w:rsidRDefault="00737DB2" w:rsidP="00737DB2">
            <w:pPr>
              <w:spacing w:line="240" w:lineRule="auto"/>
              <w:jc w:val="center"/>
              <w:rPr>
                <w:rFonts w:ascii="Arial" w:eastAsia="Times New Roman" w:hAnsi="Arial" w:cs="Arial"/>
                <w:b/>
                <w:bCs/>
                <w:kern w:val="0"/>
                <w:sz w:val="22"/>
                <w:szCs w:val="22"/>
                <w:lang w:val="en-US" w:eastAsia="zh-CN"/>
                <w14:ligatures w14:val="none"/>
              </w:rPr>
            </w:pPr>
            <w:r w:rsidRPr="004511C8">
              <w:rPr>
                <w:rFonts w:ascii="Arial" w:eastAsia="Times New Roman" w:hAnsi="Arial" w:cs="Arial"/>
                <w:b/>
                <w:bCs/>
                <w:kern w:val="0"/>
                <w:sz w:val="22"/>
                <w:szCs w:val="22"/>
                <w:lang w:val="en-US" w:eastAsia="zh-CN"/>
                <w14:ligatures w14:val="none"/>
              </w:rPr>
              <w:t>AMR Focus</w:t>
            </w:r>
          </w:p>
        </w:tc>
        <w:tc>
          <w:tcPr>
            <w:tcW w:w="0" w:type="auto"/>
            <w:hideMark/>
          </w:tcPr>
          <w:p w14:paraId="4CD49A24" w14:textId="77777777" w:rsidR="00737DB2" w:rsidRPr="004511C8" w:rsidRDefault="00737DB2" w:rsidP="00737DB2">
            <w:pPr>
              <w:spacing w:line="240" w:lineRule="auto"/>
              <w:jc w:val="center"/>
              <w:rPr>
                <w:rFonts w:ascii="Arial" w:eastAsia="Times New Roman" w:hAnsi="Arial" w:cs="Arial"/>
                <w:b/>
                <w:bCs/>
                <w:kern w:val="0"/>
                <w:sz w:val="22"/>
                <w:szCs w:val="22"/>
                <w:lang w:val="en-US" w:eastAsia="zh-CN"/>
                <w14:ligatures w14:val="none"/>
              </w:rPr>
            </w:pPr>
            <w:r w:rsidRPr="004511C8">
              <w:rPr>
                <w:rFonts w:ascii="Arial" w:eastAsia="Times New Roman" w:hAnsi="Arial" w:cs="Arial"/>
                <w:b/>
                <w:bCs/>
                <w:kern w:val="0"/>
                <w:sz w:val="22"/>
                <w:szCs w:val="22"/>
                <w:lang w:val="en-US" w:eastAsia="zh-CN"/>
                <w14:ligatures w14:val="none"/>
              </w:rPr>
              <w:t>Key Findings</w:t>
            </w:r>
          </w:p>
        </w:tc>
        <w:tc>
          <w:tcPr>
            <w:tcW w:w="0" w:type="auto"/>
            <w:hideMark/>
          </w:tcPr>
          <w:p w14:paraId="132A290E" w14:textId="77777777" w:rsidR="00737DB2" w:rsidRPr="004511C8" w:rsidRDefault="00737DB2" w:rsidP="00737DB2">
            <w:pPr>
              <w:spacing w:line="240" w:lineRule="auto"/>
              <w:jc w:val="center"/>
              <w:rPr>
                <w:rFonts w:ascii="Arial" w:eastAsia="Times New Roman" w:hAnsi="Arial" w:cs="Arial"/>
                <w:b/>
                <w:bCs/>
                <w:kern w:val="0"/>
                <w:sz w:val="22"/>
                <w:szCs w:val="22"/>
                <w:lang w:val="en-US" w:eastAsia="zh-CN"/>
                <w14:ligatures w14:val="none"/>
              </w:rPr>
            </w:pPr>
            <w:r w:rsidRPr="004511C8">
              <w:rPr>
                <w:rFonts w:ascii="Arial" w:eastAsia="Times New Roman" w:hAnsi="Arial" w:cs="Arial"/>
                <w:b/>
                <w:bCs/>
                <w:kern w:val="0"/>
                <w:sz w:val="22"/>
                <w:szCs w:val="22"/>
                <w:lang w:val="en-US" w:eastAsia="zh-CN"/>
                <w14:ligatures w14:val="none"/>
              </w:rPr>
              <w:t>Relevance to Review</w:t>
            </w:r>
          </w:p>
        </w:tc>
      </w:tr>
      <w:tr w:rsidR="00737DB2" w:rsidRPr="004511C8" w14:paraId="39D8EA94" w14:textId="77777777" w:rsidTr="00737DB2">
        <w:tc>
          <w:tcPr>
            <w:tcW w:w="0" w:type="auto"/>
            <w:hideMark/>
          </w:tcPr>
          <w:p w14:paraId="638605DD"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proofErr w:type="spellStart"/>
            <w:r w:rsidRPr="004511C8">
              <w:rPr>
                <w:rFonts w:ascii="Arial" w:eastAsia="Times New Roman" w:hAnsi="Arial" w:cs="Arial"/>
                <w:kern w:val="0"/>
                <w:sz w:val="22"/>
                <w:szCs w:val="22"/>
                <w:lang w:val="en-US" w:eastAsia="zh-CN"/>
                <w14:ligatures w14:val="none"/>
              </w:rPr>
              <w:t>Aitolo</w:t>
            </w:r>
            <w:proofErr w:type="spellEnd"/>
            <w:r w:rsidRPr="004511C8">
              <w:rPr>
                <w:rFonts w:ascii="Arial" w:eastAsia="Times New Roman" w:hAnsi="Arial" w:cs="Arial"/>
                <w:kern w:val="0"/>
                <w:sz w:val="22"/>
                <w:szCs w:val="22"/>
                <w:lang w:val="en-US" w:eastAsia="zh-CN"/>
                <w14:ligatures w14:val="none"/>
              </w:rPr>
              <w:t xml:space="preserve"> et al. (2021)</w:t>
            </w:r>
          </w:p>
        </w:tc>
        <w:tc>
          <w:tcPr>
            <w:tcW w:w="0" w:type="auto"/>
            <w:hideMark/>
          </w:tcPr>
          <w:p w14:paraId="279BE2E7"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Not UK-specific, but used for contextual synthesis if retained</w:t>
            </w:r>
          </w:p>
        </w:tc>
        <w:tc>
          <w:tcPr>
            <w:tcW w:w="0" w:type="auto"/>
            <w:hideMark/>
          </w:tcPr>
          <w:p w14:paraId="225C75D0"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 xml:space="preserve">To review the development of antimicrobial resistance in </w:t>
            </w:r>
            <w:r w:rsidRPr="004511C8">
              <w:rPr>
                <w:rFonts w:ascii="Arial" w:eastAsia="Times New Roman" w:hAnsi="Arial" w:cs="Arial"/>
                <w:i/>
                <w:iCs/>
                <w:kern w:val="0"/>
                <w:sz w:val="22"/>
                <w:szCs w:val="22"/>
                <w:lang w:val="en-US" w:eastAsia="zh-CN"/>
                <w14:ligatures w14:val="none"/>
              </w:rPr>
              <w:t>Neisseria gonorrhoeae</w:t>
            </w:r>
            <w:r w:rsidRPr="004511C8">
              <w:rPr>
                <w:rFonts w:ascii="Arial" w:eastAsia="Times New Roman" w:hAnsi="Arial" w:cs="Arial"/>
                <w:kern w:val="0"/>
                <w:sz w:val="22"/>
                <w:szCs w:val="22"/>
                <w:lang w:val="en-US" w:eastAsia="zh-CN"/>
                <w14:ligatures w14:val="none"/>
              </w:rPr>
              <w:t xml:space="preserve"> from past to present</w:t>
            </w:r>
          </w:p>
        </w:tc>
        <w:tc>
          <w:tcPr>
            <w:tcW w:w="0" w:type="auto"/>
            <w:hideMark/>
          </w:tcPr>
          <w:p w14:paraId="50206163"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Review article</w:t>
            </w:r>
          </w:p>
        </w:tc>
        <w:tc>
          <w:tcPr>
            <w:tcW w:w="0" w:type="auto"/>
            <w:hideMark/>
          </w:tcPr>
          <w:p w14:paraId="0544EEFB"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Published literature on gonococcal AMR</w:t>
            </w:r>
          </w:p>
        </w:tc>
        <w:tc>
          <w:tcPr>
            <w:tcW w:w="0" w:type="auto"/>
            <w:hideMark/>
          </w:tcPr>
          <w:p w14:paraId="4090C8C2"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Historical and emerging gonococcal AMR</w:t>
            </w:r>
          </w:p>
        </w:tc>
        <w:tc>
          <w:tcPr>
            <w:tcW w:w="0" w:type="auto"/>
            <w:hideMark/>
          </w:tcPr>
          <w:p w14:paraId="0D728F73"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Showed progressive resistance across multiple antibiotic classes and warned of narrowing treatment options</w:t>
            </w:r>
          </w:p>
        </w:tc>
        <w:tc>
          <w:tcPr>
            <w:tcW w:w="0" w:type="auto"/>
            <w:hideMark/>
          </w:tcPr>
          <w:p w14:paraId="7EF5E180"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Useful for conceptual understanding of AMR evolution; best treated as contextual literature rather than core UK empirical evidence</w:t>
            </w:r>
          </w:p>
        </w:tc>
      </w:tr>
      <w:tr w:rsidR="00737DB2" w:rsidRPr="004511C8" w14:paraId="771DC974" w14:textId="77777777" w:rsidTr="00737DB2">
        <w:tc>
          <w:tcPr>
            <w:tcW w:w="0" w:type="auto"/>
            <w:hideMark/>
          </w:tcPr>
          <w:p w14:paraId="57D673F1"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Day et al. (2022)</w:t>
            </w:r>
          </w:p>
        </w:tc>
        <w:tc>
          <w:tcPr>
            <w:tcW w:w="0" w:type="auto"/>
            <w:hideMark/>
          </w:tcPr>
          <w:p w14:paraId="592ABF83"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United Kingdom</w:t>
            </w:r>
          </w:p>
        </w:tc>
        <w:tc>
          <w:tcPr>
            <w:tcW w:w="0" w:type="auto"/>
            <w:hideMark/>
          </w:tcPr>
          <w:p w14:paraId="5801F20F"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 xml:space="preserve">To report ceftriaxone-resistant </w:t>
            </w:r>
            <w:r w:rsidRPr="004511C8">
              <w:rPr>
                <w:rFonts w:ascii="Arial" w:eastAsia="Times New Roman" w:hAnsi="Arial" w:cs="Arial"/>
                <w:i/>
                <w:iCs/>
                <w:kern w:val="0"/>
                <w:sz w:val="22"/>
                <w:szCs w:val="22"/>
                <w:lang w:val="en-US" w:eastAsia="zh-CN"/>
                <w14:ligatures w14:val="none"/>
              </w:rPr>
              <w:t>Neisseria gonorrhoeae</w:t>
            </w:r>
            <w:r w:rsidRPr="004511C8">
              <w:rPr>
                <w:rFonts w:ascii="Arial" w:eastAsia="Times New Roman" w:hAnsi="Arial" w:cs="Arial"/>
                <w:kern w:val="0"/>
                <w:sz w:val="22"/>
                <w:szCs w:val="22"/>
                <w:lang w:val="en-US" w:eastAsia="zh-CN"/>
                <w14:ligatures w14:val="none"/>
              </w:rPr>
              <w:t xml:space="preserve"> cases detected in the UK</w:t>
            </w:r>
          </w:p>
        </w:tc>
        <w:tc>
          <w:tcPr>
            <w:tcW w:w="0" w:type="auto"/>
            <w:hideMark/>
          </w:tcPr>
          <w:p w14:paraId="5DB011BF"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Case series / surveillance report</w:t>
            </w:r>
          </w:p>
        </w:tc>
        <w:tc>
          <w:tcPr>
            <w:tcW w:w="0" w:type="auto"/>
            <w:hideMark/>
          </w:tcPr>
          <w:p w14:paraId="46A5C698"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 xml:space="preserve">10 ceftriaxone-resistant </w:t>
            </w:r>
            <w:proofErr w:type="spellStart"/>
            <w:r w:rsidRPr="004511C8">
              <w:rPr>
                <w:rFonts w:ascii="Arial" w:eastAsia="Times New Roman" w:hAnsi="Arial" w:cs="Arial"/>
                <w:kern w:val="0"/>
                <w:sz w:val="22"/>
                <w:szCs w:val="22"/>
                <w:lang w:val="en-US" w:eastAsia="zh-CN"/>
                <w14:ligatures w14:val="none"/>
              </w:rPr>
              <w:t>gonorrhoea</w:t>
            </w:r>
            <w:proofErr w:type="spellEnd"/>
            <w:r w:rsidRPr="004511C8">
              <w:rPr>
                <w:rFonts w:ascii="Arial" w:eastAsia="Times New Roman" w:hAnsi="Arial" w:cs="Arial"/>
                <w:kern w:val="0"/>
                <w:sz w:val="22"/>
                <w:szCs w:val="22"/>
                <w:lang w:val="en-US" w:eastAsia="zh-CN"/>
                <w14:ligatures w14:val="none"/>
              </w:rPr>
              <w:t xml:space="preserve"> cases</w:t>
            </w:r>
          </w:p>
        </w:tc>
        <w:tc>
          <w:tcPr>
            <w:tcW w:w="0" w:type="auto"/>
            <w:hideMark/>
          </w:tcPr>
          <w:p w14:paraId="60C098DF"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Ceftriaxone resistance</w:t>
            </w:r>
          </w:p>
        </w:tc>
        <w:tc>
          <w:tcPr>
            <w:tcW w:w="0" w:type="auto"/>
            <w:hideMark/>
          </w:tcPr>
          <w:p w14:paraId="57B5932E"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Identified multiple ceftriaxone-resistant cases over a short period, indicating serious treatment threat</w:t>
            </w:r>
          </w:p>
        </w:tc>
        <w:tc>
          <w:tcPr>
            <w:tcW w:w="0" w:type="auto"/>
            <w:hideMark/>
          </w:tcPr>
          <w:p w14:paraId="6BDC2253"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 xml:space="preserve">Highly relevant to resistance trends, treatment </w:t>
            </w:r>
            <w:proofErr w:type="gramStart"/>
            <w:r w:rsidRPr="004511C8">
              <w:rPr>
                <w:rFonts w:ascii="Arial" w:eastAsia="Times New Roman" w:hAnsi="Arial" w:cs="Arial"/>
                <w:kern w:val="0"/>
                <w:sz w:val="22"/>
                <w:szCs w:val="22"/>
                <w:lang w:val="en-US" w:eastAsia="zh-CN"/>
                <w14:ligatures w14:val="none"/>
              </w:rPr>
              <w:t>threat</w:t>
            </w:r>
            <w:proofErr w:type="gramEnd"/>
            <w:r w:rsidRPr="004511C8">
              <w:rPr>
                <w:rFonts w:ascii="Arial" w:eastAsia="Times New Roman" w:hAnsi="Arial" w:cs="Arial"/>
                <w:kern w:val="0"/>
                <w:sz w:val="22"/>
                <w:szCs w:val="22"/>
                <w:lang w:val="en-US" w:eastAsia="zh-CN"/>
                <w14:ligatures w14:val="none"/>
              </w:rPr>
              <w:t>, surveillance and public health response</w:t>
            </w:r>
          </w:p>
        </w:tc>
      </w:tr>
      <w:tr w:rsidR="00737DB2" w:rsidRPr="004511C8" w14:paraId="0D7D4E59" w14:textId="77777777" w:rsidTr="00737DB2">
        <w:tc>
          <w:tcPr>
            <w:tcW w:w="0" w:type="auto"/>
            <w:hideMark/>
          </w:tcPr>
          <w:p w14:paraId="4CC6585B"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Medland et al. (2022)</w:t>
            </w:r>
          </w:p>
        </w:tc>
        <w:tc>
          <w:tcPr>
            <w:tcW w:w="0" w:type="auto"/>
            <w:hideMark/>
          </w:tcPr>
          <w:p w14:paraId="70388694"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Global study including UK relevance</w:t>
            </w:r>
          </w:p>
        </w:tc>
        <w:tc>
          <w:tcPr>
            <w:tcW w:w="0" w:type="auto"/>
            <w:hideMark/>
          </w:tcPr>
          <w:p w14:paraId="438FCEB5"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 xml:space="preserve">To review surveillance systems used to monitor </w:t>
            </w:r>
            <w:r w:rsidRPr="004511C8">
              <w:rPr>
                <w:rFonts w:ascii="Arial" w:eastAsia="Times New Roman" w:hAnsi="Arial" w:cs="Arial"/>
                <w:kern w:val="0"/>
                <w:sz w:val="22"/>
                <w:szCs w:val="22"/>
                <w:lang w:val="en-US" w:eastAsia="zh-CN"/>
                <w14:ligatures w14:val="none"/>
              </w:rPr>
              <w:lastRenderedPageBreak/>
              <w:t>gonococcal AMR globally</w:t>
            </w:r>
          </w:p>
        </w:tc>
        <w:tc>
          <w:tcPr>
            <w:tcW w:w="0" w:type="auto"/>
            <w:hideMark/>
          </w:tcPr>
          <w:p w14:paraId="7EF9C1CD"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lastRenderedPageBreak/>
              <w:t>Systematic review</w:t>
            </w:r>
          </w:p>
        </w:tc>
        <w:tc>
          <w:tcPr>
            <w:tcW w:w="0" w:type="auto"/>
            <w:hideMark/>
          </w:tcPr>
          <w:p w14:paraId="4E8CE3B0"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Surveillance systems and published surveillance literature</w:t>
            </w:r>
          </w:p>
        </w:tc>
        <w:tc>
          <w:tcPr>
            <w:tcW w:w="0" w:type="auto"/>
            <w:hideMark/>
          </w:tcPr>
          <w:p w14:paraId="0E07A77D"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Gonococcal AMR surveillance</w:t>
            </w:r>
          </w:p>
        </w:tc>
        <w:tc>
          <w:tcPr>
            <w:tcW w:w="0" w:type="auto"/>
            <w:hideMark/>
          </w:tcPr>
          <w:p w14:paraId="56B12400"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 xml:space="preserve">Highlighted the importance of timely, high-quality surveillance </w:t>
            </w:r>
            <w:r w:rsidRPr="004511C8">
              <w:rPr>
                <w:rFonts w:ascii="Arial" w:eastAsia="Times New Roman" w:hAnsi="Arial" w:cs="Arial"/>
                <w:kern w:val="0"/>
                <w:sz w:val="22"/>
                <w:szCs w:val="22"/>
                <w:lang w:val="en-US" w:eastAsia="zh-CN"/>
                <w14:ligatures w14:val="none"/>
              </w:rPr>
              <w:lastRenderedPageBreak/>
              <w:t>systems for detecting and responding to resistance</w:t>
            </w:r>
          </w:p>
        </w:tc>
        <w:tc>
          <w:tcPr>
            <w:tcW w:w="0" w:type="auto"/>
            <w:hideMark/>
          </w:tcPr>
          <w:p w14:paraId="64BEF9AD"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lastRenderedPageBreak/>
              <w:t xml:space="preserve">Supports surveillance theme and justifies the importance </w:t>
            </w:r>
            <w:r w:rsidRPr="004511C8">
              <w:rPr>
                <w:rFonts w:ascii="Arial" w:eastAsia="Times New Roman" w:hAnsi="Arial" w:cs="Arial"/>
                <w:kern w:val="0"/>
                <w:sz w:val="22"/>
                <w:szCs w:val="22"/>
                <w:lang w:val="en-US" w:eastAsia="zh-CN"/>
                <w14:ligatures w14:val="none"/>
              </w:rPr>
              <w:lastRenderedPageBreak/>
              <w:t>of monitoring systems such as GRASP</w:t>
            </w:r>
          </w:p>
        </w:tc>
      </w:tr>
      <w:tr w:rsidR="00737DB2" w:rsidRPr="004511C8" w14:paraId="619BAFC5" w14:textId="77777777" w:rsidTr="00737DB2">
        <w:tc>
          <w:tcPr>
            <w:tcW w:w="0" w:type="auto"/>
            <w:hideMark/>
          </w:tcPr>
          <w:p w14:paraId="1B336069"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lastRenderedPageBreak/>
              <w:t>Merrick et al. (2022)</w:t>
            </w:r>
          </w:p>
        </w:tc>
        <w:tc>
          <w:tcPr>
            <w:tcW w:w="0" w:type="auto"/>
            <w:hideMark/>
          </w:tcPr>
          <w:p w14:paraId="1D0658D7"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England</w:t>
            </w:r>
          </w:p>
        </w:tc>
        <w:tc>
          <w:tcPr>
            <w:tcW w:w="0" w:type="auto"/>
            <w:hideMark/>
          </w:tcPr>
          <w:p w14:paraId="178AE887"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 xml:space="preserve">To describe the national public health response to antimicrobial-resistant </w:t>
            </w:r>
            <w:proofErr w:type="spellStart"/>
            <w:r w:rsidRPr="004511C8">
              <w:rPr>
                <w:rFonts w:ascii="Arial" w:eastAsia="Times New Roman" w:hAnsi="Arial" w:cs="Arial"/>
                <w:kern w:val="0"/>
                <w:sz w:val="22"/>
                <w:szCs w:val="22"/>
                <w:lang w:val="en-US" w:eastAsia="zh-CN"/>
                <w14:ligatures w14:val="none"/>
              </w:rPr>
              <w:t>gonorrhoea</w:t>
            </w:r>
            <w:proofErr w:type="spellEnd"/>
            <w:r w:rsidRPr="004511C8">
              <w:rPr>
                <w:rFonts w:ascii="Arial" w:eastAsia="Times New Roman" w:hAnsi="Arial" w:cs="Arial"/>
                <w:kern w:val="0"/>
                <w:sz w:val="22"/>
                <w:szCs w:val="22"/>
                <w:lang w:val="en-US" w:eastAsia="zh-CN"/>
                <w14:ligatures w14:val="none"/>
              </w:rPr>
              <w:t xml:space="preserve"> in England from 2013–2020</w:t>
            </w:r>
          </w:p>
        </w:tc>
        <w:tc>
          <w:tcPr>
            <w:tcW w:w="0" w:type="auto"/>
            <w:hideMark/>
          </w:tcPr>
          <w:p w14:paraId="47075444"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Observational public health response study</w:t>
            </w:r>
          </w:p>
        </w:tc>
        <w:tc>
          <w:tcPr>
            <w:tcW w:w="0" w:type="auto"/>
            <w:hideMark/>
          </w:tcPr>
          <w:p w14:paraId="7F388AA4"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National surveillance and response data</w:t>
            </w:r>
          </w:p>
        </w:tc>
        <w:tc>
          <w:tcPr>
            <w:tcW w:w="0" w:type="auto"/>
            <w:hideMark/>
          </w:tcPr>
          <w:p w14:paraId="372BC2E5"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 xml:space="preserve">AMR </w:t>
            </w:r>
            <w:proofErr w:type="spellStart"/>
            <w:r w:rsidRPr="004511C8">
              <w:rPr>
                <w:rFonts w:ascii="Arial" w:eastAsia="Times New Roman" w:hAnsi="Arial" w:cs="Arial"/>
                <w:kern w:val="0"/>
                <w:sz w:val="22"/>
                <w:szCs w:val="22"/>
                <w:lang w:val="en-US" w:eastAsia="zh-CN"/>
                <w14:ligatures w14:val="none"/>
              </w:rPr>
              <w:t>gonorrhoea</w:t>
            </w:r>
            <w:proofErr w:type="spellEnd"/>
            <w:r w:rsidRPr="004511C8">
              <w:rPr>
                <w:rFonts w:ascii="Arial" w:eastAsia="Times New Roman" w:hAnsi="Arial" w:cs="Arial"/>
                <w:kern w:val="0"/>
                <w:sz w:val="22"/>
                <w:szCs w:val="22"/>
                <w:lang w:val="en-US" w:eastAsia="zh-CN"/>
                <w14:ligatures w14:val="none"/>
              </w:rPr>
              <w:t xml:space="preserve"> response, outbreak control, surveillance</w:t>
            </w:r>
          </w:p>
        </w:tc>
        <w:tc>
          <w:tcPr>
            <w:tcW w:w="0" w:type="auto"/>
            <w:hideMark/>
          </w:tcPr>
          <w:p w14:paraId="24E094D9"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 xml:space="preserve">Showed that AMR </w:t>
            </w:r>
            <w:proofErr w:type="spellStart"/>
            <w:r w:rsidRPr="004511C8">
              <w:rPr>
                <w:rFonts w:ascii="Arial" w:eastAsia="Times New Roman" w:hAnsi="Arial" w:cs="Arial"/>
                <w:kern w:val="0"/>
                <w:sz w:val="22"/>
                <w:szCs w:val="22"/>
                <w:lang w:val="en-US" w:eastAsia="zh-CN"/>
                <w14:ligatures w14:val="none"/>
              </w:rPr>
              <w:t>gonorrhoea</w:t>
            </w:r>
            <w:proofErr w:type="spellEnd"/>
            <w:r w:rsidRPr="004511C8">
              <w:rPr>
                <w:rFonts w:ascii="Arial" w:eastAsia="Times New Roman" w:hAnsi="Arial" w:cs="Arial"/>
                <w:kern w:val="0"/>
                <w:sz w:val="22"/>
                <w:szCs w:val="22"/>
                <w:lang w:val="en-US" w:eastAsia="zh-CN"/>
                <w14:ligatures w14:val="none"/>
              </w:rPr>
              <w:t xml:space="preserve"> required coordinated national surveillance, laboratory communication and incident response</w:t>
            </w:r>
          </w:p>
        </w:tc>
        <w:tc>
          <w:tcPr>
            <w:tcW w:w="0" w:type="auto"/>
            <w:hideMark/>
          </w:tcPr>
          <w:p w14:paraId="56BB1183"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Central to surveillance, outbreak control, policy and service implications</w:t>
            </w:r>
          </w:p>
        </w:tc>
      </w:tr>
      <w:tr w:rsidR="00737DB2" w:rsidRPr="004511C8" w14:paraId="47B1DC0C" w14:textId="77777777" w:rsidTr="00737DB2">
        <w:tc>
          <w:tcPr>
            <w:tcW w:w="0" w:type="auto"/>
            <w:hideMark/>
          </w:tcPr>
          <w:p w14:paraId="114ADDEA"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Fifer and Johnson (2025)</w:t>
            </w:r>
          </w:p>
        </w:tc>
        <w:tc>
          <w:tcPr>
            <w:tcW w:w="0" w:type="auto"/>
            <w:hideMark/>
          </w:tcPr>
          <w:p w14:paraId="00302251"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UK-focused</w:t>
            </w:r>
          </w:p>
        </w:tc>
        <w:tc>
          <w:tcPr>
            <w:tcW w:w="0" w:type="auto"/>
            <w:hideMark/>
          </w:tcPr>
          <w:p w14:paraId="51A13BC4"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 xml:space="preserve">To discuss continuing evolution of antibiotic resistance in </w:t>
            </w:r>
            <w:r w:rsidRPr="004511C8">
              <w:rPr>
                <w:rFonts w:ascii="Arial" w:eastAsia="Times New Roman" w:hAnsi="Arial" w:cs="Arial"/>
                <w:i/>
                <w:iCs/>
                <w:kern w:val="0"/>
                <w:sz w:val="22"/>
                <w:szCs w:val="22"/>
                <w:lang w:val="en-US" w:eastAsia="zh-CN"/>
                <w14:ligatures w14:val="none"/>
              </w:rPr>
              <w:t>Neisseria gonorrhoeae</w:t>
            </w:r>
            <w:r w:rsidRPr="004511C8">
              <w:rPr>
                <w:rFonts w:ascii="Arial" w:eastAsia="Times New Roman" w:hAnsi="Arial" w:cs="Arial"/>
                <w:kern w:val="0"/>
                <w:sz w:val="22"/>
                <w:szCs w:val="22"/>
                <w:lang w:val="en-US" w:eastAsia="zh-CN"/>
                <w14:ligatures w14:val="none"/>
              </w:rPr>
              <w:t xml:space="preserve"> and future treatment threats</w:t>
            </w:r>
          </w:p>
        </w:tc>
        <w:tc>
          <w:tcPr>
            <w:tcW w:w="0" w:type="auto"/>
            <w:hideMark/>
          </w:tcPr>
          <w:p w14:paraId="317EACD7"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Review article</w:t>
            </w:r>
          </w:p>
        </w:tc>
        <w:tc>
          <w:tcPr>
            <w:tcW w:w="0" w:type="auto"/>
            <w:hideMark/>
          </w:tcPr>
          <w:p w14:paraId="63B985C7"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Published literature and UK context</w:t>
            </w:r>
          </w:p>
        </w:tc>
        <w:tc>
          <w:tcPr>
            <w:tcW w:w="0" w:type="auto"/>
            <w:hideMark/>
          </w:tcPr>
          <w:p w14:paraId="5F4DFCAE"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Evolution of resistance and future treatment threats</w:t>
            </w:r>
          </w:p>
        </w:tc>
        <w:tc>
          <w:tcPr>
            <w:tcW w:w="0" w:type="auto"/>
            <w:hideMark/>
          </w:tcPr>
          <w:p w14:paraId="4DE393CD"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Reinforced concern about reduced treatment options and continuing emergence of resistance</w:t>
            </w:r>
          </w:p>
        </w:tc>
        <w:tc>
          <w:tcPr>
            <w:tcW w:w="0" w:type="auto"/>
            <w:hideMark/>
          </w:tcPr>
          <w:p w14:paraId="2EA9EB3A"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Useful for up-to-date interpretive discussion of UK AMR trends</w:t>
            </w:r>
          </w:p>
        </w:tc>
      </w:tr>
      <w:tr w:rsidR="00737DB2" w:rsidRPr="004511C8" w14:paraId="49186FB2" w14:textId="77777777" w:rsidTr="00737DB2">
        <w:tc>
          <w:tcPr>
            <w:tcW w:w="0" w:type="auto"/>
            <w:hideMark/>
          </w:tcPr>
          <w:p w14:paraId="0D53993F"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Fifer et al. (2025)</w:t>
            </w:r>
          </w:p>
        </w:tc>
        <w:tc>
          <w:tcPr>
            <w:tcW w:w="0" w:type="auto"/>
            <w:hideMark/>
          </w:tcPr>
          <w:p w14:paraId="5B2AB40B"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UK</w:t>
            </w:r>
          </w:p>
        </w:tc>
        <w:tc>
          <w:tcPr>
            <w:tcW w:w="0" w:type="auto"/>
            <w:hideMark/>
          </w:tcPr>
          <w:p w14:paraId="1049DFA4"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 xml:space="preserve">To provide the updated British Association of Sexual Health and HIV national guideline for </w:t>
            </w:r>
            <w:proofErr w:type="spellStart"/>
            <w:r w:rsidRPr="004511C8">
              <w:rPr>
                <w:rFonts w:ascii="Arial" w:eastAsia="Times New Roman" w:hAnsi="Arial" w:cs="Arial"/>
                <w:kern w:val="0"/>
                <w:sz w:val="22"/>
                <w:szCs w:val="22"/>
                <w:lang w:val="en-US" w:eastAsia="zh-CN"/>
                <w14:ligatures w14:val="none"/>
              </w:rPr>
              <w:t>gonorrhoea</w:t>
            </w:r>
            <w:proofErr w:type="spellEnd"/>
            <w:r w:rsidRPr="004511C8">
              <w:rPr>
                <w:rFonts w:ascii="Arial" w:eastAsia="Times New Roman" w:hAnsi="Arial" w:cs="Arial"/>
                <w:kern w:val="0"/>
                <w:sz w:val="22"/>
                <w:szCs w:val="22"/>
                <w:lang w:val="en-US" w:eastAsia="zh-CN"/>
                <w14:ligatures w14:val="none"/>
              </w:rPr>
              <w:t xml:space="preserve"> </w:t>
            </w:r>
            <w:r w:rsidRPr="004511C8">
              <w:rPr>
                <w:rFonts w:ascii="Arial" w:eastAsia="Times New Roman" w:hAnsi="Arial" w:cs="Arial"/>
                <w:kern w:val="0"/>
                <w:sz w:val="22"/>
                <w:szCs w:val="22"/>
                <w:lang w:val="en-US" w:eastAsia="zh-CN"/>
                <w14:ligatures w14:val="none"/>
              </w:rPr>
              <w:lastRenderedPageBreak/>
              <w:t>management</w:t>
            </w:r>
          </w:p>
        </w:tc>
        <w:tc>
          <w:tcPr>
            <w:tcW w:w="0" w:type="auto"/>
            <w:hideMark/>
          </w:tcPr>
          <w:p w14:paraId="7D1561A7"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lastRenderedPageBreak/>
              <w:t>National clinical guideline</w:t>
            </w:r>
          </w:p>
        </w:tc>
        <w:tc>
          <w:tcPr>
            <w:tcW w:w="0" w:type="auto"/>
            <w:hideMark/>
          </w:tcPr>
          <w:p w14:paraId="38504405"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National guidance based on surveillance and evidence synthesis</w:t>
            </w:r>
          </w:p>
        </w:tc>
        <w:tc>
          <w:tcPr>
            <w:tcW w:w="0" w:type="auto"/>
            <w:hideMark/>
          </w:tcPr>
          <w:p w14:paraId="7A4E537F"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Treatment guidance and AMR-informed management</w:t>
            </w:r>
          </w:p>
        </w:tc>
        <w:tc>
          <w:tcPr>
            <w:tcW w:w="0" w:type="auto"/>
            <w:hideMark/>
          </w:tcPr>
          <w:p w14:paraId="29E62D9E"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Updated management recommendations in response to current resistance evidence</w:t>
            </w:r>
          </w:p>
        </w:tc>
        <w:tc>
          <w:tcPr>
            <w:tcW w:w="0" w:type="auto"/>
            <w:hideMark/>
          </w:tcPr>
          <w:p w14:paraId="7E70D140"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Highly relevant for clinical implications, treatment pathways and public health practice</w:t>
            </w:r>
          </w:p>
        </w:tc>
      </w:tr>
      <w:tr w:rsidR="00737DB2" w:rsidRPr="004511C8" w14:paraId="2D9D6D3A" w14:textId="77777777" w:rsidTr="00737DB2">
        <w:tc>
          <w:tcPr>
            <w:tcW w:w="0" w:type="auto"/>
            <w:hideMark/>
          </w:tcPr>
          <w:p w14:paraId="4981EBC9"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UK Health Security Agency (2024)</w:t>
            </w:r>
          </w:p>
        </w:tc>
        <w:tc>
          <w:tcPr>
            <w:tcW w:w="0" w:type="auto"/>
            <w:hideMark/>
          </w:tcPr>
          <w:p w14:paraId="183F5BFB"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England / UK</w:t>
            </w:r>
          </w:p>
        </w:tc>
        <w:tc>
          <w:tcPr>
            <w:tcW w:w="0" w:type="auto"/>
            <w:hideMark/>
          </w:tcPr>
          <w:p w14:paraId="51B87D7B"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To report annual STI surveillance data</w:t>
            </w:r>
          </w:p>
        </w:tc>
        <w:tc>
          <w:tcPr>
            <w:tcW w:w="0" w:type="auto"/>
            <w:hideMark/>
          </w:tcPr>
          <w:p w14:paraId="2DB2B499"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National surveillance report</w:t>
            </w:r>
          </w:p>
        </w:tc>
        <w:tc>
          <w:tcPr>
            <w:tcW w:w="0" w:type="auto"/>
            <w:hideMark/>
          </w:tcPr>
          <w:p w14:paraId="3BC70E0D"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STI surveillance data</w:t>
            </w:r>
          </w:p>
        </w:tc>
        <w:tc>
          <w:tcPr>
            <w:tcW w:w="0" w:type="auto"/>
            <w:hideMark/>
          </w:tcPr>
          <w:p w14:paraId="5E72D29A"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proofErr w:type="spellStart"/>
            <w:r w:rsidRPr="004511C8">
              <w:rPr>
                <w:rFonts w:ascii="Arial" w:eastAsia="Times New Roman" w:hAnsi="Arial" w:cs="Arial"/>
                <w:kern w:val="0"/>
                <w:sz w:val="22"/>
                <w:szCs w:val="22"/>
                <w:lang w:val="en-US" w:eastAsia="zh-CN"/>
                <w14:ligatures w14:val="none"/>
              </w:rPr>
              <w:t>Gonorrhoea</w:t>
            </w:r>
            <w:proofErr w:type="spellEnd"/>
            <w:r w:rsidRPr="004511C8">
              <w:rPr>
                <w:rFonts w:ascii="Arial" w:eastAsia="Times New Roman" w:hAnsi="Arial" w:cs="Arial"/>
                <w:kern w:val="0"/>
                <w:sz w:val="22"/>
                <w:szCs w:val="22"/>
                <w:lang w:val="en-US" w:eastAsia="zh-CN"/>
                <w14:ligatures w14:val="none"/>
              </w:rPr>
              <w:t xml:space="preserve"> epidemiology and service relevance</w:t>
            </w:r>
          </w:p>
        </w:tc>
        <w:tc>
          <w:tcPr>
            <w:tcW w:w="0" w:type="auto"/>
            <w:hideMark/>
          </w:tcPr>
          <w:p w14:paraId="76063B87"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 xml:space="preserve">Showed continuing burden of </w:t>
            </w:r>
            <w:proofErr w:type="spellStart"/>
            <w:r w:rsidRPr="004511C8">
              <w:rPr>
                <w:rFonts w:ascii="Arial" w:eastAsia="Times New Roman" w:hAnsi="Arial" w:cs="Arial"/>
                <w:kern w:val="0"/>
                <w:sz w:val="22"/>
                <w:szCs w:val="22"/>
                <w:lang w:val="en-US" w:eastAsia="zh-CN"/>
                <w14:ligatures w14:val="none"/>
              </w:rPr>
              <w:t>gonorrhoea</w:t>
            </w:r>
            <w:proofErr w:type="spellEnd"/>
            <w:r w:rsidRPr="004511C8">
              <w:rPr>
                <w:rFonts w:ascii="Arial" w:eastAsia="Times New Roman" w:hAnsi="Arial" w:cs="Arial"/>
                <w:kern w:val="0"/>
                <w:sz w:val="22"/>
                <w:szCs w:val="22"/>
                <w:lang w:val="en-US" w:eastAsia="zh-CN"/>
                <w14:ligatures w14:val="none"/>
              </w:rPr>
              <w:t xml:space="preserve"> and importance of surveillance in sexual health populations, including younger groups</w:t>
            </w:r>
          </w:p>
        </w:tc>
        <w:tc>
          <w:tcPr>
            <w:tcW w:w="0" w:type="auto"/>
            <w:hideMark/>
          </w:tcPr>
          <w:p w14:paraId="6826A539"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Relevant to young adult implications, epidemiology and sexual health service context</w:t>
            </w:r>
          </w:p>
        </w:tc>
      </w:tr>
      <w:tr w:rsidR="00737DB2" w:rsidRPr="004511C8" w14:paraId="2AA940BF" w14:textId="77777777" w:rsidTr="00737DB2">
        <w:tc>
          <w:tcPr>
            <w:tcW w:w="0" w:type="auto"/>
            <w:hideMark/>
          </w:tcPr>
          <w:p w14:paraId="0B7404AB"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UK Health Security Agency (2025)</w:t>
            </w:r>
          </w:p>
        </w:tc>
        <w:tc>
          <w:tcPr>
            <w:tcW w:w="0" w:type="auto"/>
            <w:hideMark/>
          </w:tcPr>
          <w:p w14:paraId="7CE3C93E"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England / UK</w:t>
            </w:r>
          </w:p>
        </w:tc>
        <w:tc>
          <w:tcPr>
            <w:tcW w:w="0" w:type="auto"/>
            <w:hideMark/>
          </w:tcPr>
          <w:p w14:paraId="49AC4769"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To report GRASP surveillance findings to June 2023</w:t>
            </w:r>
          </w:p>
        </w:tc>
        <w:tc>
          <w:tcPr>
            <w:tcW w:w="0" w:type="auto"/>
            <w:hideMark/>
          </w:tcPr>
          <w:p w14:paraId="713C5298"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National surveillance report</w:t>
            </w:r>
          </w:p>
        </w:tc>
        <w:tc>
          <w:tcPr>
            <w:tcW w:w="0" w:type="auto"/>
            <w:hideMark/>
          </w:tcPr>
          <w:p w14:paraId="32398E0D"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GRASP resistance surveillance data</w:t>
            </w:r>
          </w:p>
        </w:tc>
        <w:tc>
          <w:tcPr>
            <w:tcW w:w="0" w:type="auto"/>
            <w:hideMark/>
          </w:tcPr>
          <w:p w14:paraId="650B53E0"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Gonococcal resistance trends</w:t>
            </w:r>
          </w:p>
        </w:tc>
        <w:tc>
          <w:tcPr>
            <w:tcW w:w="0" w:type="auto"/>
            <w:hideMark/>
          </w:tcPr>
          <w:p w14:paraId="7E9D9954"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proofErr w:type="gramStart"/>
            <w:r w:rsidRPr="004511C8">
              <w:rPr>
                <w:rFonts w:ascii="Arial" w:eastAsia="Times New Roman" w:hAnsi="Arial" w:cs="Arial"/>
                <w:kern w:val="0"/>
                <w:sz w:val="22"/>
                <w:szCs w:val="22"/>
                <w:lang w:val="en-US" w:eastAsia="zh-CN"/>
                <w14:ligatures w14:val="none"/>
              </w:rPr>
              <w:t>Provided</w:t>
            </w:r>
            <w:proofErr w:type="gramEnd"/>
            <w:r w:rsidRPr="004511C8">
              <w:rPr>
                <w:rFonts w:ascii="Arial" w:eastAsia="Times New Roman" w:hAnsi="Arial" w:cs="Arial"/>
                <w:kern w:val="0"/>
                <w:sz w:val="22"/>
                <w:szCs w:val="22"/>
                <w:lang w:val="en-US" w:eastAsia="zh-CN"/>
                <w14:ligatures w14:val="none"/>
              </w:rPr>
              <w:t xml:space="preserve"> current UK evidence on susceptibility patterns and resistance monitoring</w:t>
            </w:r>
          </w:p>
        </w:tc>
        <w:tc>
          <w:tcPr>
            <w:tcW w:w="0" w:type="auto"/>
            <w:hideMark/>
          </w:tcPr>
          <w:p w14:paraId="7F102D5D"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Highly relevant to surveillance, resistance detection and treatment policy</w:t>
            </w:r>
          </w:p>
        </w:tc>
      </w:tr>
      <w:tr w:rsidR="00737DB2" w:rsidRPr="004511C8" w14:paraId="5575BC3B" w14:textId="77777777" w:rsidTr="00737DB2">
        <w:tc>
          <w:tcPr>
            <w:tcW w:w="0" w:type="auto"/>
            <w:hideMark/>
          </w:tcPr>
          <w:p w14:paraId="3A25B1E2"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Davis et al. (2025)</w:t>
            </w:r>
          </w:p>
        </w:tc>
        <w:tc>
          <w:tcPr>
            <w:tcW w:w="0" w:type="auto"/>
            <w:hideMark/>
          </w:tcPr>
          <w:p w14:paraId="5326046A"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UK-focused</w:t>
            </w:r>
          </w:p>
        </w:tc>
        <w:tc>
          <w:tcPr>
            <w:tcW w:w="0" w:type="auto"/>
            <w:hideMark/>
          </w:tcPr>
          <w:p w14:paraId="74844420"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 xml:space="preserve">To discuss rising </w:t>
            </w:r>
            <w:proofErr w:type="spellStart"/>
            <w:r w:rsidRPr="004511C8">
              <w:rPr>
                <w:rFonts w:ascii="Arial" w:eastAsia="Times New Roman" w:hAnsi="Arial" w:cs="Arial"/>
                <w:kern w:val="0"/>
                <w:sz w:val="22"/>
                <w:szCs w:val="22"/>
                <w:lang w:val="en-US" w:eastAsia="zh-CN"/>
                <w14:ligatures w14:val="none"/>
              </w:rPr>
              <w:t>gonorrhoea</w:t>
            </w:r>
            <w:proofErr w:type="spellEnd"/>
            <w:r w:rsidRPr="004511C8">
              <w:rPr>
                <w:rFonts w:ascii="Arial" w:eastAsia="Times New Roman" w:hAnsi="Arial" w:cs="Arial"/>
                <w:kern w:val="0"/>
                <w:sz w:val="22"/>
                <w:szCs w:val="22"/>
                <w:lang w:val="en-US" w:eastAsia="zh-CN"/>
                <w14:ligatures w14:val="none"/>
              </w:rPr>
              <w:t xml:space="preserve"> cases and antimicrobial resistance</w:t>
            </w:r>
          </w:p>
        </w:tc>
        <w:tc>
          <w:tcPr>
            <w:tcW w:w="0" w:type="auto"/>
            <w:hideMark/>
          </w:tcPr>
          <w:p w14:paraId="113675DD"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Commentary/review style paper</w:t>
            </w:r>
          </w:p>
        </w:tc>
        <w:tc>
          <w:tcPr>
            <w:tcW w:w="0" w:type="auto"/>
            <w:hideMark/>
          </w:tcPr>
          <w:p w14:paraId="71546B09"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Contemporary published evidence</w:t>
            </w:r>
          </w:p>
        </w:tc>
        <w:tc>
          <w:tcPr>
            <w:tcW w:w="0" w:type="auto"/>
            <w:hideMark/>
          </w:tcPr>
          <w:p w14:paraId="4E9B2A9C"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proofErr w:type="gramStart"/>
            <w:r w:rsidRPr="004511C8">
              <w:rPr>
                <w:rFonts w:ascii="Arial" w:eastAsia="Times New Roman" w:hAnsi="Arial" w:cs="Arial"/>
                <w:kern w:val="0"/>
                <w:sz w:val="22"/>
                <w:szCs w:val="22"/>
                <w:lang w:val="en-US" w:eastAsia="zh-CN"/>
                <w14:ligatures w14:val="none"/>
              </w:rPr>
              <w:t>Rising case</w:t>
            </w:r>
            <w:proofErr w:type="gramEnd"/>
            <w:r w:rsidRPr="004511C8">
              <w:rPr>
                <w:rFonts w:ascii="Arial" w:eastAsia="Times New Roman" w:hAnsi="Arial" w:cs="Arial"/>
                <w:kern w:val="0"/>
                <w:sz w:val="22"/>
                <w:szCs w:val="22"/>
                <w:lang w:val="en-US" w:eastAsia="zh-CN"/>
                <w14:ligatures w14:val="none"/>
              </w:rPr>
              <w:t xml:space="preserve"> burden and AMR threat</w:t>
            </w:r>
          </w:p>
        </w:tc>
        <w:tc>
          <w:tcPr>
            <w:tcW w:w="0" w:type="auto"/>
            <w:hideMark/>
          </w:tcPr>
          <w:p w14:paraId="31BE83B5"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proofErr w:type="spellStart"/>
            <w:r w:rsidRPr="004511C8">
              <w:rPr>
                <w:rFonts w:ascii="Arial" w:eastAsia="Times New Roman" w:hAnsi="Arial" w:cs="Arial"/>
                <w:kern w:val="0"/>
                <w:sz w:val="22"/>
                <w:szCs w:val="22"/>
                <w:lang w:val="en-US" w:eastAsia="zh-CN"/>
                <w14:ligatures w14:val="none"/>
              </w:rPr>
              <w:t>Emphasised</w:t>
            </w:r>
            <w:proofErr w:type="spellEnd"/>
            <w:r w:rsidRPr="004511C8">
              <w:rPr>
                <w:rFonts w:ascii="Arial" w:eastAsia="Times New Roman" w:hAnsi="Arial" w:cs="Arial"/>
                <w:kern w:val="0"/>
                <w:sz w:val="22"/>
                <w:szCs w:val="22"/>
                <w:lang w:val="en-US" w:eastAsia="zh-CN"/>
                <w14:ligatures w14:val="none"/>
              </w:rPr>
              <w:t xml:space="preserve"> the growing public health importance of </w:t>
            </w:r>
            <w:proofErr w:type="spellStart"/>
            <w:r w:rsidRPr="004511C8">
              <w:rPr>
                <w:rFonts w:ascii="Arial" w:eastAsia="Times New Roman" w:hAnsi="Arial" w:cs="Arial"/>
                <w:kern w:val="0"/>
                <w:sz w:val="22"/>
                <w:szCs w:val="22"/>
                <w:lang w:val="en-US" w:eastAsia="zh-CN"/>
                <w14:ligatures w14:val="none"/>
              </w:rPr>
              <w:t>gonorrhoea</w:t>
            </w:r>
            <w:proofErr w:type="spellEnd"/>
            <w:r w:rsidRPr="004511C8">
              <w:rPr>
                <w:rFonts w:ascii="Arial" w:eastAsia="Times New Roman" w:hAnsi="Arial" w:cs="Arial"/>
                <w:kern w:val="0"/>
                <w:sz w:val="22"/>
                <w:szCs w:val="22"/>
                <w:lang w:val="en-US" w:eastAsia="zh-CN"/>
                <w14:ligatures w14:val="none"/>
              </w:rPr>
              <w:t xml:space="preserve"> and resistance in the UK</w:t>
            </w:r>
          </w:p>
        </w:tc>
        <w:tc>
          <w:tcPr>
            <w:tcW w:w="0" w:type="auto"/>
            <w:hideMark/>
          </w:tcPr>
          <w:p w14:paraId="74CF72D8"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Useful for recent discussion, though likely not a core empirical paper if strict inclusion is applied</w:t>
            </w:r>
          </w:p>
        </w:tc>
      </w:tr>
      <w:tr w:rsidR="00737DB2" w:rsidRPr="004511C8" w14:paraId="64680272" w14:textId="77777777" w:rsidTr="00737DB2">
        <w:tc>
          <w:tcPr>
            <w:tcW w:w="0" w:type="auto"/>
            <w:hideMark/>
          </w:tcPr>
          <w:p w14:paraId="20C315B4"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Allan-Blitz, Fifer and Klausner (2024)</w:t>
            </w:r>
          </w:p>
        </w:tc>
        <w:tc>
          <w:tcPr>
            <w:tcW w:w="0" w:type="auto"/>
            <w:hideMark/>
          </w:tcPr>
          <w:p w14:paraId="77244DF0"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Broad clinical relevance, partly UK-relevant through authorship/guideline context</w:t>
            </w:r>
          </w:p>
        </w:tc>
        <w:tc>
          <w:tcPr>
            <w:tcW w:w="0" w:type="auto"/>
            <w:hideMark/>
          </w:tcPr>
          <w:p w14:paraId="46CEEF31"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 xml:space="preserve">To discuss management of treatment failure in </w:t>
            </w:r>
            <w:proofErr w:type="spellStart"/>
            <w:r w:rsidRPr="004511C8">
              <w:rPr>
                <w:rFonts w:ascii="Arial" w:eastAsia="Times New Roman" w:hAnsi="Arial" w:cs="Arial"/>
                <w:kern w:val="0"/>
                <w:sz w:val="22"/>
                <w:szCs w:val="22"/>
                <w:lang w:val="en-US" w:eastAsia="zh-CN"/>
                <w14:ligatures w14:val="none"/>
              </w:rPr>
              <w:lastRenderedPageBreak/>
              <w:t>gonorrhoea</w:t>
            </w:r>
            <w:proofErr w:type="spellEnd"/>
            <w:r w:rsidRPr="004511C8">
              <w:rPr>
                <w:rFonts w:ascii="Arial" w:eastAsia="Times New Roman" w:hAnsi="Arial" w:cs="Arial"/>
                <w:kern w:val="0"/>
                <w:sz w:val="22"/>
                <w:szCs w:val="22"/>
                <w:lang w:val="en-US" w:eastAsia="zh-CN"/>
                <w14:ligatures w14:val="none"/>
              </w:rPr>
              <w:t xml:space="preserve"> infection</w:t>
            </w:r>
          </w:p>
        </w:tc>
        <w:tc>
          <w:tcPr>
            <w:tcW w:w="0" w:type="auto"/>
            <w:hideMark/>
          </w:tcPr>
          <w:p w14:paraId="0BBB0026"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lastRenderedPageBreak/>
              <w:t>Review article</w:t>
            </w:r>
          </w:p>
        </w:tc>
        <w:tc>
          <w:tcPr>
            <w:tcW w:w="0" w:type="auto"/>
            <w:hideMark/>
          </w:tcPr>
          <w:p w14:paraId="20016103"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Clinical literature</w:t>
            </w:r>
          </w:p>
        </w:tc>
        <w:tc>
          <w:tcPr>
            <w:tcW w:w="0" w:type="auto"/>
            <w:hideMark/>
          </w:tcPr>
          <w:p w14:paraId="6FF37432"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Treatment failure</w:t>
            </w:r>
          </w:p>
        </w:tc>
        <w:tc>
          <w:tcPr>
            <w:tcW w:w="0" w:type="auto"/>
            <w:hideMark/>
          </w:tcPr>
          <w:p w14:paraId="69BDA6A3"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Highlighted current guidance and future directions for managing treatment failure</w:t>
            </w:r>
          </w:p>
        </w:tc>
        <w:tc>
          <w:tcPr>
            <w:tcW w:w="0" w:type="auto"/>
            <w:hideMark/>
          </w:tcPr>
          <w:p w14:paraId="2BAE9A73" w14:textId="77777777" w:rsidR="00737DB2" w:rsidRPr="004511C8" w:rsidRDefault="00737DB2" w:rsidP="00737DB2">
            <w:pPr>
              <w:spacing w:line="240" w:lineRule="auto"/>
              <w:jc w:val="left"/>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 xml:space="preserve">Supports treatment failure discussion, though not necessarily a </w:t>
            </w:r>
            <w:r w:rsidRPr="004511C8">
              <w:rPr>
                <w:rFonts w:ascii="Arial" w:eastAsia="Times New Roman" w:hAnsi="Arial" w:cs="Arial"/>
                <w:kern w:val="0"/>
                <w:sz w:val="22"/>
                <w:szCs w:val="22"/>
                <w:lang w:val="en-US" w:eastAsia="zh-CN"/>
                <w14:ligatures w14:val="none"/>
              </w:rPr>
              <w:lastRenderedPageBreak/>
              <w:t>UK empirical study</w:t>
            </w:r>
          </w:p>
        </w:tc>
      </w:tr>
    </w:tbl>
    <w:p w14:paraId="094A6016" w14:textId="77777777" w:rsidR="00737DB2" w:rsidRPr="004511C8" w:rsidRDefault="00737DB2" w:rsidP="005F4984">
      <w:pPr>
        <w:rPr>
          <w:rFonts w:ascii="Arial" w:hAnsi="Arial" w:cs="Arial"/>
          <w:sz w:val="22"/>
          <w:szCs w:val="22"/>
          <w:lang w:val="en-US"/>
        </w:rPr>
      </w:pPr>
    </w:p>
    <w:p w14:paraId="3C9DB329" w14:textId="77777777" w:rsidR="00737DB2" w:rsidRPr="004511C8" w:rsidRDefault="00737DB2" w:rsidP="005F4984">
      <w:pPr>
        <w:rPr>
          <w:rFonts w:ascii="Arial" w:hAnsi="Arial" w:cs="Arial"/>
          <w:sz w:val="22"/>
          <w:szCs w:val="22"/>
          <w:lang w:val="en-US"/>
        </w:rPr>
      </w:pPr>
    </w:p>
    <w:p w14:paraId="32546981" w14:textId="64C6E1B2" w:rsidR="00737DB2" w:rsidRPr="004511C8" w:rsidRDefault="00737DB2" w:rsidP="00AB4E09">
      <w:pPr>
        <w:spacing w:line="278" w:lineRule="auto"/>
        <w:jc w:val="left"/>
        <w:rPr>
          <w:rFonts w:ascii="Arial" w:hAnsi="Arial" w:cs="Arial"/>
          <w:sz w:val="22"/>
          <w:szCs w:val="22"/>
          <w:lang w:val="en-US"/>
        </w:rPr>
      </w:pPr>
      <w:r w:rsidRPr="004511C8">
        <w:rPr>
          <w:rFonts w:ascii="Arial" w:hAnsi="Arial" w:cs="Arial"/>
          <w:sz w:val="22"/>
          <w:szCs w:val="22"/>
          <w:lang w:val="en-US"/>
        </w:rPr>
        <w:br w:type="page"/>
      </w:r>
      <w:bookmarkStart w:id="61" w:name="_Toc229082818"/>
      <w:r w:rsidRPr="004511C8">
        <w:rPr>
          <w:rFonts w:ascii="Arial" w:hAnsi="Arial" w:cs="Arial"/>
          <w:sz w:val="22"/>
          <w:szCs w:val="22"/>
          <w:lang w:val="en-US"/>
        </w:rPr>
        <w:lastRenderedPageBreak/>
        <w:t>Critical Appraisal Table Using MMAT (2018)</w:t>
      </w:r>
      <w:bookmarkEnd w:id="61"/>
    </w:p>
    <w:tbl>
      <w:tblPr>
        <w:tblStyle w:val="TableGridLight"/>
        <w:tblW w:w="0" w:type="auto"/>
        <w:tblLook w:val="04A0" w:firstRow="1" w:lastRow="0" w:firstColumn="1" w:lastColumn="0" w:noHBand="0" w:noVBand="1"/>
      </w:tblPr>
      <w:tblGrid>
        <w:gridCol w:w="1165"/>
        <w:gridCol w:w="1468"/>
        <w:gridCol w:w="1164"/>
        <w:gridCol w:w="1409"/>
        <w:gridCol w:w="2111"/>
        <w:gridCol w:w="1690"/>
        <w:gridCol w:w="2099"/>
        <w:gridCol w:w="1175"/>
        <w:gridCol w:w="1667"/>
      </w:tblGrid>
      <w:tr w:rsidR="00737DB2" w:rsidRPr="004511C8" w14:paraId="6A912DAB" w14:textId="77777777" w:rsidTr="00737DB2">
        <w:tc>
          <w:tcPr>
            <w:tcW w:w="0" w:type="auto"/>
            <w:vAlign w:val="center"/>
            <w:hideMark/>
          </w:tcPr>
          <w:p w14:paraId="7B60BA18" w14:textId="77777777" w:rsidR="00737DB2" w:rsidRPr="004511C8" w:rsidRDefault="00737DB2" w:rsidP="00737DB2">
            <w:pPr>
              <w:spacing w:line="240" w:lineRule="auto"/>
              <w:jc w:val="center"/>
              <w:rPr>
                <w:rFonts w:ascii="Arial" w:eastAsia="Times New Roman" w:hAnsi="Arial" w:cs="Arial"/>
                <w:b/>
                <w:bCs/>
                <w:kern w:val="0"/>
                <w:sz w:val="22"/>
                <w:szCs w:val="22"/>
                <w:lang w:val="en-US" w:eastAsia="zh-CN"/>
                <w14:ligatures w14:val="none"/>
              </w:rPr>
            </w:pPr>
            <w:r w:rsidRPr="004511C8">
              <w:rPr>
                <w:rFonts w:ascii="Arial" w:eastAsia="Times New Roman" w:hAnsi="Arial" w:cs="Arial"/>
                <w:b/>
                <w:bCs/>
                <w:kern w:val="0"/>
                <w:sz w:val="22"/>
                <w:szCs w:val="22"/>
                <w:lang w:val="en-US" w:eastAsia="zh-CN"/>
                <w14:ligatures w14:val="none"/>
              </w:rPr>
              <w:t>Study</w:t>
            </w:r>
          </w:p>
        </w:tc>
        <w:tc>
          <w:tcPr>
            <w:tcW w:w="0" w:type="auto"/>
            <w:vAlign w:val="center"/>
            <w:hideMark/>
          </w:tcPr>
          <w:p w14:paraId="48D027EC" w14:textId="77777777" w:rsidR="00737DB2" w:rsidRPr="004511C8" w:rsidRDefault="00737DB2" w:rsidP="00737DB2">
            <w:pPr>
              <w:spacing w:line="240" w:lineRule="auto"/>
              <w:jc w:val="center"/>
              <w:rPr>
                <w:rFonts w:ascii="Arial" w:eastAsia="Times New Roman" w:hAnsi="Arial" w:cs="Arial"/>
                <w:b/>
                <w:bCs/>
                <w:kern w:val="0"/>
                <w:sz w:val="22"/>
                <w:szCs w:val="22"/>
                <w:lang w:val="en-US" w:eastAsia="zh-CN"/>
                <w14:ligatures w14:val="none"/>
              </w:rPr>
            </w:pPr>
            <w:r w:rsidRPr="004511C8">
              <w:rPr>
                <w:rFonts w:ascii="Arial" w:eastAsia="Times New Roman" w:hAnsi="Arial" w:cs="Arial"/>
                <w:b/>
                <w:bCs/>
                <w:kern w:val="0"/>
                <w:sz w:val="22"/>
                <w:szCs w:val="22"/>
                <w:lang w:val="en-US" w:eastAsia="zh-CN"/>
                <w14:ligatures w14:val="none"/>
              </w:rPr>
              <w:t>Study Type</w:t>
            </w:r>
          </w:p>
        </w:tc>
        <w:tc>
          <w:tcPr>
            <w:tcW w:w="0" w:type="auto"/>
            <w:vAlign w:val="center"/>
            <w:hideMark/>
          </w:tcPr>
          <w:p w14:paraId="749876A7" w14:textId="77777777" w:rsidR="00737DB2" w:rsidRPr="004511C8" w:rsidRDefault="00737DB2" w:rsidP="00737DB2">
            <w:pPr>
              <w:spacing w:line="240" w:lineRule="auto"/>
              <w:jc w:val="center"/>
              <w:rPr>
                <w:rFonts w:ascii="Arial" w:eastAsia="Times New Roman" w:hAnsi="Arial" w:cs="Arial"/>
                <w:b/>
                <w:bCs/>
                <w:kern w:val="0"/>
                <w:sz w:val="22"/>
                <w:szCs w:val="22"/>
                <w:lang w:val="en-US" w:eastAsia="zh-CN"/>
                <w14:ligatures w14:val="none"/>
              </w:rPr>
            </w:pPr>
            <w:r w:rsidRPr="004511C8">
              <w:rPr>
                <w:rFonts w:ascii="Arial" w:eastAsia="Times New Roman" w:hAnsi="Arial" w:cs="Arial"/>
                <w:b/>
                <w:bCs/>
                <w:kern w:val="0"/>
                <w:sz w:val="22"/>
                <w:szCs w:val="22"/>
                <w:lang w:val="en-US" w:eastAsia="zh-CN"/>
                <w14:ligatures w14:val="none"/>
              </w:rPr>
              <w:t>Clear Research Question</w:t>
            </w:r>
          </w:p>
        </w:tc>
        <w:tc>
          <w:tcPr>
            <w:tcW w:w="0" w:type="auto"/>
            <w:vAlign w:val="center"/>
            <w:hideMark/>
          </w:tcPr>
          <w:p w14:paraId="180CD06B" w14:textId="77777777" w:rsidR="00737DB2" w:rsidRPr="004511C8" w:rsidRDefault="00737DB2" w:rsidP="00737DB2">
            <w:pPr>
              <w:spacing w:line="240" w:lineRule="auto"/>
              <w:jc w:val="center"/>
              <w:rPr>
                <w:rFonts w:ascii="Arial" w:eastAsia="Times New Roman" w:hAnsi="Arial" w:cs="Arial"/>
                <w:b/>
                <w:bCs/>
                <w:kern w:val="0"/>
                <w:sz w:val="22"/>
                <w:szCs w:val="22"/>
                <w:lang w:val="en-US" w:eastAsia="zh-CN"/>
                <w14:ligatures w14:val="none"/>
              </w:rPr>
            </w:pPr>
            <w:r w:rsidRPr="004511C8">
              <w:rPr>
                <w:rFonts w:ascii="Arial" w:eastAsia="Times New Roman" w:hAnsi="Arial" w:cs="Arial"/>
                <w:b/>
                <w:bCs/>
                <w:kern w:val="0"/>
                <w:sz w:val="22"/>
                <w:szCs w:val="22"/>
                <w:lang w:val="en-US" w:eastAsia="zh-CN"/>
                <w14:ligatures w14:val="none"/>
              </w:rPr>
              <w:t>Appropriate Data Collection Method</w:t>
            </w:r>
          </w:p>
        </w:tc>
        <w:tc>
          <w:tcPr>
            <w:tcW w:w="0" w:type="auto"/>
            <w:vAlign w:val="center"/>
            <w:hideMark/>
          </w:tcPr>
          <w:p w14:paraId="3EA45424" w14:textId="77777777" w:rsidR="00737DB2" w:rsidRPr="004511C8" w:rsidRDefault="00737DB2" w:rsidP="00737DB2">
            <w:pPr>
              <w:spacing w:line="240" w:lineRule="auto"/>
              <w:jc w:val="center"/>
              <w:rPr>
                <w:rFonts w:ascii="Arial" w:eastAsia="Times New Roman" w:hAnsi="Arial" w:cs="Arial"/>
                <w:b/>
                <w:bCs/>
                <w:kern w:val="0"/>
                <w:sz w:val="22"/>
                <w:szCs w:val="22"/>
                <w:lang w:val="en-US" w:eastAsia="zh-CN"/>
                <w14:ligatures w14:val="none"/>
              </w:rPr>
            </w:pPr>
            <w:r w:rsidRPr="004511C8">
              <w:rPr>
                <w:rFonts w:ascii="Arial" w:eastAsia="Times New Roman" w:hAnsi="Arial" w:cs="Arial"/>
                <w:b/>
                <w:bCs/>
                <w:kern w:val="0"/>
                <w:sz w:val="22"/>
                <w:szCs w:val="22"/>
                <w:lang w:val="en-US" w:eastAsia="zh-CN"/>
                <w14:ligatures w14:val="none"/>
              </w:rPr>
              <w:t>Sample/Population Appropriate</w:t>
            </w:r>
          </w:p>
        </w:tc>
        <w:tc>
          <w:tcPr>
            <w:tcW w:w="0" w:type="auto"/>
            <w:vAlign w:val="center"/>
            <w:hideMark/>
          </w:tcPr>
          <w:p w14:paraId="413CB68E" w14:textId="77777777" w:rsidR="00737DB2" w:rsidRPr="004511C8" w:rsidRDefault="00737DB2" w:rsidP="00737DB2">
            <w:pPr>
              <w:spacing w:line="240" w:lineRule="auto"/>
              <w:jc w:val="center"/>
              <w:rPr>
                <w:rFonts w:ascii="Arial" w:eastAsia="Times New Roman" w:hAnsi="Arial" w:cs="Arial"/>
                <w:b/>
                <w:bCs/>
                <w:kern w:val="0"/>
                <w:sz w:val="22"/>
                <w:szCs w:val="22"/>
                <w:lang w:val="en-US" w:eastAsia="zh-CN"/>
                <w14:ligatures w14:val="none"/>
              </w:rPr>
            </w:pPr>
            <w:r w:rsidRPr="004511C8">
              <w:rPr>
                <w:rFonts w:ascii="Arial" w:eastAsia="Times New Roman" w:hAnsi="Arial" w:cs="Arial"/>
                <w:b/>
                <w:bCs/>
                <w:kern w:val="0"/>
                <w:sz w:val="22"/>
                <w:szCs w:val="22"/>
                <w:lang w:val="en-US" w:eastAsia="zh-CN"/>
                <w14:ligatures w14:val="none"/>
              </w:rPr>
              <w:t>Measurements / Data Relevant</w:t>
            </w:r>
          </w:p>
        </w:tc>
        <w:tc>
          <w:tcPr>
            <w:tcW w:w="0" w:type="auto"/>
            <w:vAlign w:val="center"/>
            <w:hideMark/>
          </w:tcPr>
          <w:p w14:paraId="51343862" w14:textId="77777777" w:rsidR="00737DB2" w:rsidRPr="004511C8" w:rsidRDefault="00737DB2" w:rsidP="00737DB2">
            <w:pPr>
              <w:spacing w:line="240" w:lineRule="auto"/>
              <w:jc w:val="center"/>
              <w:rPr>
                <w:rFonts w:ascii="Arial" w:eastAsia="Times New Roman" w:hAnsi="Arial" w:cs="Arial"/>
                <w:b/>
                <w:bCs/>
                <w:kern w:val="0"/>
                <w:sz w:val="22"/>
                <w:szCs w:val="22"/>
                <w:lang w:val="en-US" w:eastAsia="zh-CN"/>
                <w14:ligatures w14:val="none"/>
              </w:rPr>
            </w:pPr>
            <w:r w:rsidRPr="004511C8">
              <w:rPr>
                <w:rFonts w:ascii="Arial" w:eastAsia="Times New Roman" w:hAnsi="Arial" w:cs="Arial"/>
                <w:b/>
                <w:bCs/>
                <w:kern w:val="0"/>
                <w:sz w:val="22"/>
                <w:szCs w:val="22"/>
                <w:lang w:val="en-US" w:eastAsia="zh-CN"/>
                <w14:ligatures w14:val="none"/>
              </w:rPr>
              <w:t>Risk of Bias / Limitations</w:t>
            </w:r>
          </w:p>
        </w:tc>
        <w:tc>
          <w:tcPr>
            <w:tcW w:w="0" w:type="auto"/>
            <w:vAlign w:val="center"/>
            <w:hideMark/>
          </w:tcPr>
          <w:p w14:paraId="5B63D66D" w14:textId="77777777" w:rsidR="00737DB2" w:rsidRPr="004511C8" w:rsidRDefault="00737DB2" w:rsidP="00737DB2">
            <w:pPr>
              <w:spacing w:line="240" w:lineRule="auto"/>
              <w:jc w:val="center"/>
              <w:rPr>
                <w:rFonts w:ascii="Arial" w:eastAsia="Times New Roman" w:hAnsi="Arial" w:cs="Arial"/>
                <w:b/>
                <w:bCs/>
                <w:kern w:val="0"/>
                <w:sz w:val="22"/>
                <w:szCs w:val="22"/>
                <w:lang w:val="en-US" w:eastAsia="zh-CN"/>
                <w14:ligatures w14:val="none"/>
              </w:rPr>
            </w:pPr>
            <w:r w:rsidRPr="004511C8">
              <w:rPr>
                <w:rFonts w:ascii="Arial" w:eastAsia="Times New Roman" w:hAnsi="Arial" w:cs="Arial"/>
                <w:b/>
                <w:bCs/>
                <w:kern w:val="0"/>
                <w:sz w:val="22"/>
                <w:szCs w:val="22"/>
                <w:lang w:val="en-US" w:eastAsia="zh-CN"/>
                <w14:ligatures w14:val="none"/>
              </w:rPr>
              <w:t>Overall Quality Appraisal</w:t>
            </w:r>
          </w:p>
        </w:tc>
        <w:tc>
          <w:tcPr>
            <w:tcW w:w="0" w:type="auto"/>
            <w:vAlign w:val="center"/>
            <w:hideMark/>
          </w:tcPr>
          <w:p w14:paraId="2025F0BC" w14:textId="77777777" w:rsidR="00737DB2" w:rsidRPr="004511C8" w:rsidRDefault="00737DB2" w:rsidP="00737DB2">
            <w:pPr>
              <w:spacing w:line="240" w:lineRule="auto"/>
              <w:jc w:val="center"/>
              <w:rPr>
                <w:rFonts w:ascii="Arial" w:eastAsia="Times New Roman" w:hAnsi="Arial" w:cs="Arial"/>
                <w:b/>
                <w:bCs/>
                <w:kern w:val="0"/>
                <w:sz w:val="22"/>
                <w:szCs w:val="22"/>
                <w:lang w:val="en-US" w:eastAsia="zh-CN"/>
                <w14:ligatures w14:val="none"/>
              </w:rPr>
            </w:pPr>
            <w:r w:rsidRPr="004511C8">
              <w:rPr>
                <w:rFonts w:ascii="Arial" w:eastAsia="Times New Roman" w:hAnsi="Arial" w:cs="Arial"/>
                <w:b/>
                <w:bCs/>
                <w:kern w:val="0"/>
                <w:sz w:val="22"/>
                <w:szCs w:val="22"/>
                <w:lang w:val="en-US" w:eastAsia="zh-CN"/>
                <w14:ligatures w14:val="none"/>
              </w:rPr>
              <w:t>Comments</w:t>
            </w:r>
          </w:p>
        </w:tc>
      </w:tr>
      <w:tr w:rsidR="00737DB2" w:rsidRPr="004511C8" w14:paraId="44B92E3D" w14:textId="77777777" w:rsidTr="00737DB2">
        <w:tc>
          <w:tcPr>
            <w:tcW w:w="0" w:type="auto"/>
            <w:vAlign w:val="center"/>
            <w:hideMark/>
          </w:tcPr>
          <w:p w14:paraId="5E91DD00"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Day et al. (2022)</w:t>
            </w:r>
          </w:p>
        </w:tc>
        <w:tc>
          <w:tcPr>
            <w:tcW w:w="0" w:type="auto"/>
            <w:vAlign w:val="center"/>
            <w:hideMark/>
          </w:tcPr>
          <w:p w14:paraId="1CD827B6" w14:textId="77777777" w:rsidR="00737DB2" w:rsidRPr="004511C8" w:rsidRDefault="00737DB2" w:rsidP="00737DB2">
            <w:pPr>
              <w:spacing w:line="240" w:lineRule="auto"/>
              <w:jc w:val="center"/>
              <w:rPr>
                <w:rFonts w:ascii="Arial" w:eastAsia="Times New Roman" w:hAnsi="Arial" w:cs="Arial"/>
                <w:kern w:val="0"/>
                <w:sz w:val="22"/>
                <w:szCs w:val="22"/>
                <w:lang w:val="fr-BE" w:eastAsia="zh-CN"/>
                <w14:ligatures w14:val="none"/>
              </w:rPr>
            </w:pPr>
            <w:r w:rsidRPr="004511C8">
              <w:rPr>
                <w:rFonts w:ascii="Arial" w:eastAsia="Times New Roman" w:hAnsi="Arial" w:cs="Arial"/>
                <w:kern w:val="0"/>
                <w:sz w:val="22"/>
                <w:szCs w:val="22"/>
                <w:lang w:val="fr-BE" w:eastAsia="zh-CN"/>
                <w14:ligatures w14:val="none"/>
              </w:rPr>
              <w:t xml:space="preserve">Quantitative / case </w:t>
            </w:r>
            <w:proofErr w:type="spellStart"/>
            <w:r w:rsidRPr="004511C8">
              <w:rPr>
                <w:rFonts w:ascii="Arial" w:eastAsia="Times New Roman" w:hAnsi="Arial" w:cs="Arial"/>
                <w:kern w:val="0"/>
                <w:sz w:val="22"/>
                <w:szCs w:val="22"/>
                <w:lang w:val="fr-BE" w:eastAsia="zh-CN"/>
                <w14:ligatures w14:val="none"/>
              </w:rPr>
              <w:t>series</w:t>
            </w:r>
            <w:proofErr w:type="spellEnd"/>
            <w:r w:rsidRPr="004511C8">
              <w:rPr>
                <w:rFonts w:ascii="Arial" w:eastAsia="Times New Roman" w:hAnsi="Arial" w:cs="Arial"/>
                <w:kern w:val="0"/>
                <w:sz w:val="22"/>
                <w:szCs w:val="22"/>
                <w:lang w:val="fr-BE" w:eastAsia="zh-CN"/>
                <w14:ligatures w14:val="none"/>
              </w:rPr>
              <w:t xml:space="preserve"> / surveillance report</w:t>
            </w:r>
          </w:p>
        </w:tc>
        <w:tc>
          <w:tcPr>
            <w:tcW w:w="0" w:type="auto"/>
            <w:vAlign w:val="center"/>
            <w:hideMark/>
          </w:tcPr>
          <w:p w14:paraId="2B783B5F"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Yes</w:t>
            </w:r>
          </w:p>
        </w:tc>
        <w:tc>
          <w:tcPr>
            <w:tcW w:w="0" w:type="auto"/>
            <w:vAlign w:val="center"/>
            <w:hideMark/>
          </w:tcPr>
          <w:p w14:paraId="3E8A8593"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Yes</w:t>
            </w:r>
          </w:p>
        </w:tc>
        <w:tc>
          <w:tcPr>
            <w:tcW w:w="0" w:type="auto"/>
            <w:vAlign w:val="center"/>
            <w:hideMark/>
          </w:tcPr>
          <w:p w14:paraId="63333EFA"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Yes</w:t>
            </w:r>
          </w:p>
        </w:tc>
        <w:tc>
          <w:tcPr>
            <w:tcW w:w="0" w:type="auto"/>
            <w:vAlign w:val="center"/>
            <w:hideMark/>
          </w:tcPr>
          <w:p w14:paraId="4003F036"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Yes</w:t>
            </w:r>
          </w:p>
        </w:tc>
        <w:tc>
          <w:tcPr>
            <w:tcW w:w="0" w:type="auto"/>
            <w:vAlign w:val="center"/>
            <w:hideMark/>
          </w:tcPr>
          <w:p w14:paraId="722316F7"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 xml:space="preserve">Small number of cases; limited </w:t>
            </w:r>
            <w:proofErr w:type="spellStart"/>
            <w:r w:rsidRPr="004511C8">
              <w:rPr>
                <w:rFonts w:ascii="Arial" w:eastAsia="Times New Roman" w:hAnsi="Arial" w:cs="Arial"/>
                <w:kern w:val="0"/>
                <w:sz w:val="22"/>
                <w:szCs w:val="22"/>
                <w:lang w:val="en-US" w:eastAsia="zh-CN"/>
                <w14:ligatures w14:val="none"/>
              </w:rPr>
              <w:t>generalisability</w:t>
            </w:r>
            <w:proofErr w:type="spellEnd"/>
          </w:p>
        </w:tc>
        <w:tc>
          <w:tcPr>
            <w:tcW w:w="0" w:type="auto"/>
            <w:vAlign w:val="center"/>
            <w:hideMark/>
          </w:tcPr>
          <w:p w14:paraId="4734E948"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High</w:t>
            </w:r>
          </w:p>
        </w:tc>
        <w:tc>
          <w:tcPr>
            <w:tcW w:w="0" w:type="auto"/>
            <w:vAlign w:val="center"/>
            <w:hideMark/>
          </w:tcPr>
          <w:p w14:paraId="53E64A31"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Strong for identifying ceftriaxone-resistant cases and immediate public health significance</w:t>
            </w:r>
          </w:p>
        </w:tc>
      </w:tr>
      <w:tr w:rsidR="00737DB2" w:rsidRPr="004511C8" w14:paraId="7BC57247" w14:textId="77777777" w:rsidTr="00737DB2">
        <w:tc>
          <w:tcPr>
            <w:tcW w:w="0" w:type="auto"/>
            <w:vAlign w:val="center"/>
            <w:hideMark/>
          </w:tcPr>
          <w:p w14:paraId="0F2FBE58"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Merrick et al. (2022)</w:t>
            </w:r>
          </w:p>
        </w:tc>
        <w:tc>
          <w:tcPr>
            <w:tcW w:w="0" w:type="auto"/>
            <w:vAlign w:val="center"/>
            <w:hideMark/>
          </w:tcPr>
          <w:p w14:paraId="35A5E3D3"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Quantitative / observational public health response study</w:t>
            </w:r>
          </w:p>
        </w:tc>
        <w:tc>
          <w:tcPr>
            <w:tcW w:w="0" w:type="auto"/>
            <w:vAlign w:val="center"/>
            <w:hideMark/>
          </w:tcPr>
          <w:p w14:paraId="3821F5C9"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Yes</w:t>
            </w:r>
          </w:p>
        </w:tc>
        <w:tc>
          <w:tcPr>
            <w:tcW w:w="0" w:type="auto"/>
            <w:vAlign w:val="center"/>
            <w:hideMark/>
          </w:tcPr>
          <w:p w14:paraId="09DEFB96"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Yes</w:t>
            </w:r>
          </w:p>
        </w:tc>
        <w:tc>
          <w:tcPr>
            <w:tcW w:w="0" w:type="auto"/>
            <w:vAlign w:val="center"/>
            <w:hideMark/>
          </w:tcPr>
          <w:p w14:paraId="4A665B9E"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Yes</w:t>
            </w:r>
          </w:p>
        </w:tc>
        <w:tc>
          <w:tcPr>
            <w:tcW w:w="0" w:type="auto"/>
            <w:vAlign w:val="center"/>
            <w:hideMark/>
          </w:tcPr>
          <w:p w14:paraId="53D5AA18"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Yes</w:t>
            </w:r>
          </w:p>
        </w:tc>
        <w:tc>
          <w:tcPr>
            <w:tcW w:w="0" w:type="auto"/>
            <w:vAlign w:val="center"/>
            <w:hideMark/>
          </w:tcPr>
          <w:p w14:paraId="46EB318F"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Focuses mainly on system response rather than patient experience</w:t>
            </w:r>
          </w:p>
        </w:tc>
        <w:tc>
          <w:tcPr>
            <w:tcW w:w="0" w:type="auto"/>
            <w:vAlign w:val="center"/>
            <w:hideMark/>
          </w:tcPr>
          <w:p w14:paraId="47D928CB"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High</w:t>
            </w:r>
          </w:p>
        </w:tc>
        <w:tc>
          <w:tcPr>
            <w:tcW w:w="0" w:type="auto"/>
            <w:vAlign w:val="center"/>
            <w:hideMark/>
          </w:tcPr>
          <w:p w14:paraId="70FED886"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Highly relevant for surveillance, coordination and public health implications</w:t>
            </w:r>
          </w:p>
        </w:tc>
      </w:tr>
      <w:tr w:rsidR="00737DB2" w:rsidRPr="004511C8" w14:paraId="0BE69276" w14:textId="77777777" w:rsidTr="00737DB2">
        <w:tc>
          <w:tcPr>
            <w:tcW w:w="0" w:type="auto"/>
            <w:vAlign w:val="center"/>
            <w:hideMark/>
          </w:tcPr>
          <w:p w14:paraId="60BE19AF"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UK Health Security Agency (2024)</w:t>
            </w:r>
          </w:p>
        </w:tc>
        <w:tc>
          <w:tcPr>
            <w:tcW w:w="0" w:type="auto"/>
            <w:vAlign w:val="center"/>
            <w:hideMark/>
          </w:tcPr>
          <w:p w14:paraId="77EC2D35"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Quantitative / surveillance report</w:t>
            </w:r>
          </w:p>
        </w:tc>
        <w:tc>
          <w:tcPr>
            <w:tcW w:w="0" w:type="auto"/>
            <w:vAlign w:val="center"/>
            <w:hideMark/>
          </w:tcPr>
          <w:p w14:paraId="3A8F33E7"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Yes</w:t>
            </w:r>
          </w:p>
        </w:tc>
        <w:tc>
          <w:tcPr>
            <w:tcW w:w="0" w:type="auto"/>
            <w:vAlign w:val="center"/>
            <w:hideMark/>
          </w:tcPr>
          <w:p w14:paraId="22C70341"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Yes</w:t>
            </w:r>
          </w:p>
        </w:tc>
        <w:tc>
          <w:tcPr>
            <w:tcW w:w="0" w:type="auto"/>
            <w:vAlign w:val="center"/>
            <w:hideMark/>
          </w:tcPr>
          <w:p w14:paraId="47D4A264"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Yes</w:t>
            </w:r>
          </w:p>
        </w:tc>
        <w:tc>
          <w:tcPr>
            <w:tcW w:w="0" w:type="auto"/>
            <w:vAlign w:val="center"/>
            <w:hideMark/>
          </w:tcPr>
          <w:p w14:paraId="43669EA2"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Yes</w:t>
            </w:r>
          </w:p>
        </w:tc>
        <w:tc>
          <w:tcPr>
            <w:tcW w:w="0" w:type="auto"/>
            <w:vAlign w:val="center"/>
            <w:hideMark/>
          </w:tcPr>
          <w:p w14:paraId="52E0918E"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Descriptive surveillance data; limited depth on causation</w:t>
            </w:r>
          </w:p>
        </w:tc>
        <w:tc>
          <w:tcPr>
            <w:tcW w:w="0" w:type="auto"/>
            <w:vAlign w:val="center"/>
            <w:hideMark/>
          </w:tcPr>
          <w:p w14:paraId="0C3CD339"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High</w:t>
            </w:r>
          </w:p>
        </w:tc>
        <w:tc>
          <w:tcPr>
            <w:tcW w:w="0" w:type="auto"/>
            <w:vAlign w:val="center"/>
            <w:hideMark/>
          </w:tcPr>
          <w:p w14:paraId="147FF4FF"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Useful for epidemiological context and relevance to younger populations</w:t>
            </w:r>
          </w:p>
        </w:tc>
      </w:tr>
      <w:tr w:rsidR="00737DB2" w:rsidRPr="004511C8" w14:paraId="53830960" w14:textId="77777777" w:rsidTr="00737DB2">
        <w:tc>
          <w:tcPr>
            <w:tcW w:w="0" w:type="auto"/>
            <w:vAlign w:val="center"/>
            <w:hideMark/>
          </w:tcPr>
          <w:p w14:paraId="278D78B5"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UK Health Security Agency (2025)</w:t>
            </w:r>
          </w:p>
        </w:tc>
        <w:tc>
          <w:tcPr>
            <w:tcW w:w="0" w:type="auto"/>
            <w:vAlign w:val="center"/>
            <w:hideMark/>
          </w:tcPr>
          <w:p w14:paraId="795C884C" w14:textId="77777777" w:rsidR="00737DB2" w:rsidRPr="004511C8" w:rsidRDefault="00737DB2" w:rsidP="00737DB2">
            <w:pPr>
              <w:spacing w:line="240" w:lineRule="auto"/>
              <w:jc w:val="center"/>
              <w:rPr>
                <w:rFonts w:ascii="Arial" w:eastAsia="Times New Roman" w:hAnsi="Arial" w:cs="Arial"/>
                <w:kern w:val="0"/>
                <w:sz w:val="22"/>
                <w:szCs w:val="22"/>
                <w:lang w:val="fr-BE" w:eastAsia="zh-CN"/>
                <w14:ligatures w14:val="none"/>
              </w:rPr>
            </w:pPr>
            <w:r w:rsidRPr="004511C8">
              <w:rPr>
                <w:rFonts w:ascii="Arial" w:eastAsia="Times New Roman" w:hAnsi="Arial" w:cs="Arial"/>
                <w:kern w:val="0"/>
                <w:sz w:val="22"/>
                <w:szCs w:val="22"/>
                <w:lang w:val="fr-BE" w:eastAsia="zh-CN"/>
                <w14:ligatures w14:val="none"/>
              </w:rPr>
              <w:t xml:space="preserve">Quantitative / national </w:t>
            </w:r>
            <w:proofErr w:type="spellStart"/>
            <w:r w:rsidRPr="004511C8">
              <w:rPr>
                <w:rFonts w:ascii="Arial" w:eastAsia="Times New Roman" w:hAnsi="Arial" w:cs="Arial"/>
                <w:kern w:val="0"/>
                <w:sz w:val="22"/>
                <w:szCs w:val="22"/>
                <w:lang w:val="fr-BE" w:eastAsia="zh-CN"/>
                <w14:ligatures w14:val="none"/>
              </w:rPr>
              <w:t>resistance</w:t>
            </w:r>
            <w:proofErr w:type="spellEnd"/>
            <w:r w:rsidRPr="004511C8">
              <w:rPr>
                <w:rFonts w:ascii="Arial" w:eastAsia="Times New Roman" w:hAnsi="Arial" w:cs="Arial"/>
                <w:kern w:val="0"/>
                <w:sz w:val="22"/>
                <w:szCs w:val="22"/>
                <w:lang w:val="fr-BE" w:eastAsia="zh-CN"/>
                <w14:ligatures w14:val="none"/>
              </w:rPr>
              <w:t xml:space="preserve"> surveillance report</w:t>
            </w:r>
          </w:p>
        </w:tc>
        <w:tc>
          <w:tcPr>
            <w:tcW w:w="0" w:type="auto"/>
            <w:vAlign w:val="center"/>
            <w:hideMark/>
          </w:tcPr>
          <w:p w14:paraId="6DE5D5ED"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Yes</w:t>
            </w:r>
          </w:p>
        </w:tc>
        <w:tc>
          <w:tcPr>
            <w:tcW w:w="0" w:type="auto"/>
            <w:vAlign w:val="center"/>
            <w:hideMark/>
          </w:tcPr>
          <w:p w14:paraId="254CCAED"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Yes</w:t>
            </w:r>
          </w:p>
        </w:tc>
        <w:tc>
          <w:tcPr>
            <w:tcW w:w="0" w:type="auto"/>
            <w:vAlign w:val="center"/>
            <w:hideMark/>
          </w:tcPr>
          <w:p w14:paraId="0E11BA3F"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Yes</w:t>
            </w:r>
          </w:p>
        </w:tc>
        <w:tc>
          <w:tcPr>
            <w:tcW w:w="0" w:type="auto"/>
            <w:vAlign w:val="center"/>
            <w:hideMark/>
          </w:tcPr>
          <w:p w14:paraId="5922B5B0"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Yes</w:t>
            </w:r>
          </w:p>
        </w:tc>
        <w:tc>
          <w:tcPr>
            <w:tcW w:w="0" w:type="auto"/>
            <w:vAlign w:val="center"/>
            <w:hideMark/>
          </w:tcPr>
          <w:p w14:paraId="23A1009F"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 xml:space="preserve">Surveillance-based; does not fully explain </w:t>
            </w:r>
            <w:proofErr w:type="spellStart"/>
            <w:r w:rsidRPr="004511C8">
              <w:rPr>
                <w:rFonts w:ascii="Arial" w:eastAsia="Times New Roman" w:hAnsi="Arial" w:cs="Arial"/>
                <w:kern w:val="0"/>
                <w:sz w:val="22"/>
                <w:szCs w:val="22"/>
                <w:lang w:val="en-US" w:eastAsia="zh-CN"/>
                <w14:ligatures w14:val="none"/>
              </w:rPr>
              <w:t>behavioural</w:t>
            </w:r>
            <w:proofErr w:type="spellEnd"/>
            <w:r w:rsidRPr="004511C8">
              <w:rPr>
                <w:rFonts w:ascii="Arial" w:eastAsia="Times New Roman" w:hAnsi="Arial" w:cs="Arial"/>
                <w:kern w:val="0"/>
                <w:sz w:val="22"/>
                <w:szCs w:val="22"/>
                <w:lang w:val="en-US" w:eastAsia="zh-CN"/>
                <w14:ligatures w14:val="none"/>
              </w:rPr>
              <w:t>/service-level causes</w:t>
            </w:r>
          </w:p>
        </w:tc>
        <w:tc>
          <w:tcPr>
            <w:tcW w:w="0" w:type="auto"/>
            <w:vAlign w:val="center"/>
            <w:hideMark/>
          </w:tcPr>
          <w:p w14:paraId="72A1ABE0"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High</w:t>
            </w:r>
          </w:p>
        </w:tc>
        <w:tc>
          <w:tcPr>
            <w:tcW w:w="0" w:type="auto"/>
            <w:vAlign w:val="center"/>
            <w:hideMark/>
          </w:tcPr>
          <w:p w14:paraId="3F4BA198"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One of the strongest current sources for UK resistance trends</w:t>
            </w:r>
          </w:p>
        </w:tc>
      </w:tr>
      <w:tr w:rsidR="00737DB2" w:rsidRPr="004511C8" w14:paraId="617EE64B" w14:textId="77777777" w:rsidTr="00737DB2">
        <w:tc>
          <w:tcPr>
            <w:tcW w:w="0" w:type="auto"/>
            <w:vAlign w:val="center"/>
            <w:hideMark/>
          </w:tcPr>
          <w:p w14:paraId="650B9AD0"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lastRenderedPageBreak/>
              <w:t>Fifer and Johnson (2025)</w:t>
            </w:r>
          </w:p>
        </w:tc>
        <w:tc>
          <w:tcPr>
            <w:tcW w:w="0" w:type="auto"/>
            <w:vAlign w:val="center"/>
            <w:hideMark/>
          </w:tcPr>
          <w:p w14:paraId="093F0FD5"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Review / interpretive paper</w:t>
            </w:r>
          </w:p>
        </w:tc>
        <w:tc>
          <w:tcPr>
            <w:tcW w:w="0" w:type="auto"/>
            <w:vAlign w:val="center"/>
            <w:hideMark/>
          </w:tcPr>
          <w:p w14:paraId="534F11EE"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Yes</w:t>
            </w:r>
          </w:p>
        </w:tc>
        <w:tc>
          <w:tcPr>
            <w:tcW w:w="0" w:type="auto"/>
            <w:vAlign w:val="center"/>
            <w:hideMark/>
          </w:tcPr>
          <w:p w14:paraId="1B6FB01B"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Partly</w:t>
            </w:r>
          </w:p>
        </w:tc>
        <w:tc>
          <w:tcPr>
            <w:tcW w:w="0" w:type="auto"/>
            <w:vAlign w:val="center"/>
            <w:hideMark/>
          </w:tcPr>
          <w:p w14:paraId="26C3AAB7"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Partly</w:t>
            </w:r>
          </w:p>
        </w:tc>
        <w:tc>
          <w:tcPr>
            <w:tcW w:w="0" w:type="auto"/>
            <w:vAlign w:val="center"/>
            <w:hideMark/>
          </w:tcPr>
          <w:p w14:paraId="3B78FD15"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Yes</w:t>
            </w:r>
          </w:p>
        </w:tc>
        <w:tc>
          <w:tcPr>
            <w:tcW w:w="0" w:type="auto"/>
            <w:vAlign w:val="center"/>
            <w:hideMark/>
          </w:tcPr>
          <w:p w14:paraId="2B91D6DD"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Not primary empirical research; interpretive in nature</w:t>
            </w:r>
          </w:p>
        </w:tc>
        <w:tc>
          <w:tcPr>
            <w:tcW w:w="0" w:type="auto"/>
            <w:vAlign w:val="center"/>
            <w:hideMark/>
          </w:tcPr>
          <w:p w14:paraId="14EC93A9"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Moderate</w:t>
            </w:r>
          </w:p>
        </w:tc>
        <w:tc>
          <w:tcPr>
            <w:tcW w:w="0" w:type="auto"/>
            <w:vAlign w:val="center"/>
            <w:hideMark/>
          </w:tcPr>
          <w:p w14:paraId="52E976C9"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Useful for discussion and interpretation, but weaker as primary included evidence</w:t>
            </w:r>
          </w:p>
        </w:tc>
      </w:tr>
      <w:tr w:rsidR="00737DB2" w:rsidRPr="004511C8" w14:paraId="1E165579" w14:textId="77777777" w:rsidTr="00737DB2">
        <w:tc>
          <w:tcPr>
            <w:tcW w:w="0" w:type="auto"/>
            <w:vAlign w:val="center"/>
            <w:hideMark/>
          </w:tcPr>
          <w:p w14:paraId="5C55ACF4"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Fifer et al. (2025)</w:t>
            </w:r>
          </w:p>
        </w:tc>
        <w:tc>
          <w:tcPr>
            <w:tcW w:w="0" w:type="auto"/>
            <w:vAlign w:val="center"/>
            <w:hideMark/>
          </w:tcPr>
          <w:p w14:paraId="5DD8E115"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Guideline / evidence-based national guideline</w:t>
            </w:r>
          </w:p>
        </w:tc>
        <w:tc>
          <w:tcPr>
            <w:tcW w:w="0" w:type="auto"/>
            <w:vAlign w:val="center"/>
            <w:hideMark/>
          </w:tcPr>
          <w:p w14:paraId="643FD7AA"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Yes</w:t>
            </w:r>
          </w:p>
        </w:tc>
        <w:tc>
          <w:tcPr>
            <w:tcW w:w="0" w:type="auto"/>
            <w:vAlign w:val="center"/>
            <w:hideMark/>
          </w:tcPr>
          <w:p w14:paraId="00418A53"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Partly</w:t>
            </w:r>
          </w:p>
        </w:tc>
        <w:tc>
          <w:tcPr>
            <w:tcW w:w="0" w:type="auto"/>
            <w:vAlign w:val="center"/>
            <w:hideMark/>
          </w:tcPr>
          <w:p w14:paraId="6D644567"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Partly</w:t>
            </w:r>
          </w:p>
        </w:tc>
        <w:tc>
          <w:tcPr>
            <w:tcW w:w="0" w:type="auto"/>
            <w:vAlign w:val="center"/>
            <w:hideMark/>
          </w:tcPr>
          <w:p w14:paraId="3AC7638D"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Yes</w:t>
            </w:r>
          </w:p>
        </w:tc>
        <w:tc>
          <w:tcPr>
            <w:tcW w:w="0" w:type="auto"/>
            <w:vAlign w:val="center"/>
            <w:hideMark/>
          </w:tcPr>
          <w:p w14:paraId="0E42E614"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Guideline rather than original primary study</w:t>
            </w:r>
          </w:p>
        </w:tc>
        <w:tc>
          <w:tcPr>
            <w:tcW w:w="0" w:type="auto"/>
            <w:vAlign w:val="center"/>
            <w:hideMark/>
          </w:tcPr>
          <w:p w14:paraId="3781362D"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Moderate to High</w:t>
            </w:r>
          </w:p>
        </w:tc>
        <w:tc>
          <w:tcPr>
            <w:tcW w:w="0" w:type="auto"/>
            <w:vAlign w:val="center"/>
            <w:hideMark/>
          </w:tcPr>
          <w:p w14:paraId="73083CED"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Strong for practice implications, but should be treated as guidance rather than primary research</w:t>
            </w:r>
          </w:p>
        </w:tc>
      </w:tr>
      <w:tr w:rsidR="00737DB2" w:rsidRPr="004511C8" w14:paraId="19DB98AE" w14:textId="77777777" w:rsidTr="00737DB2">
        <w:tc>
          <w:tcPr>
            <w:tcW w:w="0" w:type="auto"/>
            <w:vAlign w:val="center"/>
            <w:hideMark/>
          </w:tcPr>
          <w:p w14:paraId="59D9C2B8"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Brown et al. (2021)</w:t>
            </w:r>
          </w:p>
        </w:tc>
        <w:tc>
          <w:tcPr>
            <w:tcW w:w="0" w:type="auto"/>
            <w:vAlign w:val="center"/>
            <w:hideMark/>
          </w:tcPr>
          <w:p w14:paraId="120FFCCA"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Systematic review</w:t>
            </w:r>
          </w:p>
        </w:tc>
        <w:tc>
          <w:tcPr>
            <w:tcW w:w="0" w:type="auto"/>
            <w:vAlign w:val="center"/>
            <w:hideMark/>
          </w:tcPr>
          <w:p w14:paraId="0A619319"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Yes</w:t>
            </w:r>
          </w:p>
        </w:tc>
        <w:tc>
          <w:tcPr>
            <w:tcW w:w="0" w:type="auto"/>
            <w:vAlign w:val="center"/>
            <w:hideMark/>
          </w:tcPr>
          <w:p w14:paraId="5C54E505"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Yes</w:t>
            </w:r>
          </w:p>
        </w:tc>
        <w:tc>
          <w:tcPr>
            <w:tcW w:w="0" w:type="auto"/>
            <w:vAlign w:val="center"/>
            <w:hideMark/>
          </w:tcPr>
          <w:p w14:paraId="3FE2E0D6"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Yes</w:t>
            </w:r>
          </w:p>
        </w:tc>
        <w:tc>
          <w:tcPr>
            <w:tcW w:w="0" w:type="auto"/>
            <w:vAlign w:val="center"/>
            <w:hideMark/>
          </w:tcPr>
          <w:p w14:paraId="7DD83A6B"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Yes</w:t>
            </w:r>
          </w:p>
        </w:tc>
        <w:tc>
          <w:tcPr>
            <w:tcW w:w="0" w:type="auto"/>
            <w:vAlign w:val="center"/>
            <w:hideMark/>
          </w:tcPr>
          <w:p w14:paraId="6B46226A"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 xml:space="preserve">Not UK </w:t>
            </w:r>
            <w:proofErr w:type="spellStart"/>
            <w:r w:rsidRPr="004511C8">
              <w:rPr>
                <w:rFonts w:ascii="Arial" w:eastAsia="Times New Roman" w:hAnsi="Arial" w:cs="Arial"/>
                <w:kern w:val="0"/>
                <w:sz w:val="22"/>
                <w:szCs w:val="22"/>
                <w:lang w:val="en-US" w:eastAsia="zh-CN"/>
                <w14:ligatures w14:val="none"/>
              </w:rPr>
              <w:t>gonorrhoea</w:t>
            </w:r>
            <w:proofErr w:type="spellEnd"/>
            <w:r w:rsidRPr="004511C8">
              <w:rPr>
                <w:rFonts w:ascii="Arial" w:eastAsia="Times New Roman" w:hAnsi="Arial" w:cs="Arial"/>
                <w:kern w:val="0"/>
                <w:sz w:val="22"/>
                <w:szCs w:val="22"/>
                <w:lang w:val="en-US" w:eastAsia="zh-CN"/>
                <w14:ligatures w14:val="none"/>
              </w:rPr>
              <w:t xml:space="preserve"> AMR-specific</w:t>
            </w:r>
          </w:p>
        </w:tc>
        <w:tc>
          <w:tcPr>
            <w:tcW w:w="0" w:type="auto"/>
            <w:vAlign w:val="center"/>
            <w:hideMark/>
          </w:tcPr>
          <w:p w14:paraId="7CA32CF9"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Moderate</w:t>
            </w:r>
          </w:p>
        </w:tc>
        <w:tc>
          <w:tcPr>
            <w:tcW w:w="0" w:type="auto"/>
            <w:vAlign w:val="center"/>
            <w:hideMark/>
          </w:tcPr>
          <w:p w14:paraId="1B013F06"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Useful mainly for young adult sexual health relevance</w:t>
            </w:r>
          </w:p>
        </w:tc>
      </w:tr>
      <w:tr w:rsidR="00737DB2" w:rsidRPr="004511C8" w14:paraId="0C4DBFD3" w14:textId="77777777" w:rsidTr="00737DB2">
        <w:tc>
          <w:tcPr>
            <w:tcW w:w="0" w:type="auto"/>
            <w:vAlign w:val="center"/>
            <w:hideMark/>
          </w:tcPr>
          <w:p w14:paraId="187D1A57"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Medland et al. (2022)</w:t>
            </w:r>
          </w:p>
        </w:tc>
        <w:tc>
          <w:tcPr>
            <w:tcW w:w="0" w:type="auto"/>
            <w:vAlign w:val="center"/>
            <w:hideMark/>
          </w:tcPr>
          <w:p w14:paraId="126827E4"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Systematic review</w:t>
            </w:r>
          </w:p>
        </w:tc>
        <w:tc>
          <w:tcPr>
            <w:tcW w:w="0" w:type="auto"/>
            <w:vAlign w:val="center"/>
            <w:hideMark/>
          </w:tcPr>
          <w:p w14:paraId="40CF16B7"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Yes</w:t>
            </w:r>
          </w:p>
        </w:tc>
        <w:tc>
          <w:tcPr>
            <w:tcW w:w="0" w:type="auto"/>
            <w:vAlign w:val="center"/>
            <w:hideMark/>
          </w:tcPr>
          <w:p w14:paraId="63A74FDB"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Yes</w:t>
            </w:r>
          </w:p>
        </w:tc>
        <w:tc>
          <w:tcPr>
            <w:tcW w:w="0" w:type="auto"/>
            <w:vAlign w:val="center"/>
            <w:hideMark/>
          </w:tcPr>
          <w:p w14:paraId="24AF7B8C"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Yes</w:t>
            </w:r>
          </w:p>
        </w:tc>
        <w:tc>
          <w:tcPr>
            <w:tcW w:w="0" w:type="auto"/>
            <w:vAlign w:val="center"/>
            <w:hideMark/>
          </w:tcPr>
          <w:p w14:paraId="7B236E6A"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Yes</w:t>
            </w:r>
          </w:p>
        </w:tc>
        <w:tc>
          <w:tcPr>
            <w:tcW w:w="0" w:type="auto"/>
            <w:vAlign w:val="center"/>
            <w:hideMark/>
          </w:tcPr>
          <w:p w14:paraId="194FE06E"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Global rather than UK-specific</w:t>
            </w:r>
          </w:p>
        </w:tc>
        <w:tc>
          <w:tcPr>
            <w:tcW w:w="0" w:type="auto"/>
            <w:vAlign w:val="center"/>
            <w:hideMark/>
          </w:tcPr>
          <w:p w14:paraId="2861A29F"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Moderate to High</w:t>
            </w:r>
          </w:p>
        </w:tc>
        <w:tc>
          <w:tcPr>
            <w:tcW w:w="0" w:type="auto"/>
            <w:vAlign w:val="center"/>
            <w:hideMark/>
          </w:tcPr>
          <w:p w14:paraId="44A86C41"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Supports surveillance theme, but not a direct UK primary study</w:t>
            </w:r>
          </w:p>
        </w:tc>
      </w:tr>
      <w:tr w:rsidR="00737DB2" w:rsidRPr="004511C8" w14:paraId="142BC40D" w14:textId="77777777" w:rsidTr="00737DB2">
        <w:tc>
          <w:tcPr>
            <w:tcW w:w="0" w:type="auto"/>
            <w:vAlign w:val="center"/>
            <w:hideMark/>
          </w:tcPr>
          <w:p w14:paraId="1DC4BCB3"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proofErr w:type="spellStart"/>
            <w:r w:rsidRPr="004511C8">
              <w:rPr>
                <w:rFonts w:ascii="Arial" w:eastAsia="Times New Roman" w:hAnsi="Arial" w:cs="Arial"/>
                <w:kern w:val="0"/>
                <w:sz w:val="22"/>
                <w:szCs w:val="22"/>
                <w:lang w:val="en-US" w:eastAsia="zh-CN"/>
                <w14:ligatures w14:val="none"/>
              </w:rPr>
              <w:t>Mahapure</w:t>
            </w:r>
            <w:proofErr w:type="spellEnd"/>
            <w:r w:rsidRPr="004511C8">
              <w:rPr>
                <w:rFonts w:ascii="Arial" w:eastAsia="Times New Roman" w:hAnsi="Arial" w:cs="Arial"/>
                <w:kern w:val="0"/>
                <w:sz w:val="22"/>
                <w:szCs w:val="22"/>
                <w:lang w:val="en-US" w:eastAsia="zh-CN"/>
                <w14:ligatures w14:val="none"/>
              </w:rPr>
              <w:t xml:space="preserve"> et al. (2023)</w:t>
            </w:r>
          </w:p>
        </w:tc>
        <w:tc>
          <w:tcPr>
            <w:tcW w:w="0" w:type="auto"/>
            <w:vAlign w:val="center"/>
            <w:hideMark/>
          </w:tcPr>
          <w:p w14:paraId="1F87D79A"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Narrative review</w:t>
            </w:r>
          </w:p>
        </w:tc>
        <w:tc>
          <w:tcPr>
            <w:tcW w:w="0" w:type="auto"/>
            <w:vAlign w:val="center"/>
            <w:hideMark/>
          </w:tcPr>
          <w:p w14:paraId="3966E7BE"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Yes</w:t>
            </w:r>
          </w:p>
        </w:tc>
        <w:tc>
          <w:tcPr>
            <w:tcW w:w="0" w:type="auto"/>
            <w:vAlign w:val="center"/>
            <w:hideMark/>
          </w:tcPr>
          <w:p w14:paraId="3BD531BA"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Partly</w:t>
            </w:r>
          </w:p>
        </w:tc>
        <w:tc>
          <w:tcPr>
            <w:tcW w:w="0" w:type="auto"/>
            <w:vAlign w:val="center"/>
            <w:hideMark/>
          </w:tcPr>
          <w:p w14:paraId="7CE16DE8"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Partly</w:t>
            </w:r>
          </w:p>
        </w:tc>
        <w:tc>
          <w:tcPr>
            <w:tcW w:w="0" w:type="auto"/>
            <w:vAlign w:val="center"/>
            <w:hideMark/>
          </w:tcPr>
          <w:p w14:paraId="6F42461A"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Yes</w:t>
            </w:r>
          </w:p>
        </w:tc>
        <w:tc>
          <w:tcPr>
            <w:tcW w:w="0" w:type="auto"/>
            <w:vAlign w:val="center"/>
            <w:hideMark/>
          </w:tcPr>
          <w:p w14:paraId="5C885824"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Narrative review; not UK-specific; no primary empirical dataset</w:t>
            </w:r>
          </w:p>
        </w:tc>
        <w:tc>
          <w:tcPr>
            <w:tcW w:w="0" w:type="auto"/>
            <w:vAlign w:val="center"/>
            <w:hideMark/>
          </w:tcPr>
          <w:p w14:paraId="75AA514A"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Moderate</w:t>
            </w:r>
          </w:p>
        </w:tc>
        <w:tc>
          <w:tcPr>
            <w:tcW w:w="0" w:type="auto"/>
            <w:vAlign w:val="center"/>
            <w:hideMark/>
          </w:tcPr>
          <w:p w14:paraId="21FD7986"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Useful for background only</w:t>
            </w:r>
          </w:p>
        </w:tc>
      </w:tr>
      <w:tr w:rsidR="00737DB2" w:rsidRPr="004511C8" w14:paraId="35827E6B" w14:textId="77777777" w:rsidTr="00737DB2">
        <w:tc>
          <w:tcPr>
            <w:tcW w:w="0" w:type="auto"/>
            <w:vAlign w:val="center"/>
            <w:hideMark/>
          </w:tcPr>
          <w:p w14:paraId="6E0CED4D"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Ajmal et al. (2023)</w:t>
            </w:r>
          </w:p>
        </w:tc>
        <w:tc>
          <w:tcPr>
            <w:tcW w:w="0" w:type="auto"/>
            <w:vAlign w:val="center"/>
            <w:hideMark/>
          </w:tcPr>
          <w:p w14:paraId="00F8A73A"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Systematic review</w:t>
            </w:r>
          </w:p>
        </w:tc>
        <w:tc>
          <w:tcPr>
            <w:tcW w:w="0" w:type="auto"/>
            <w:vAlign w:val="center"/>
            <w:hideMark/>
          </w:tcPr>
          <w:p w14:paraId="5E34001C"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Yes</w:t>
            </w:r>
          </w:p>
        </w:tc>
        <w:tc>
          <w:tcPr>
            <w:tcW w:w="0" w:type="auto"/>
            <w:vAlign w:val="center"/>
            <w:hideMark/>
          </w:tcPr>
          <w:p w14:paraId="0BF51A2D"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Yes</w:t>
            </w:r>
          </w:p>
        </w:tc>
        <w:tc>
          <w:tcPr>
            <w:tcW w:w="0" w:type="auto"/>
            <w:vAlign w:val="center"/>
            <w:hideMark/>
          </w:tcPr>
          <w:p w14:paraId="54F9F3C8"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Yes</w:t>
            </w:r>
          </w:p>
        </w:tc>
        <w:tc>
          <w:tcPr>
            <w:tcW w:w="0" w:type="auto"/>
            <w:vAlign w:val="center"/>
            <w:hideMark/>
          </w:tcPr>
          <w:p w14:paraId="140A2BC8"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Yes</w:t>
            </w:r>
          </w:p>
        </w:tc>
        <w:tc>
          <w:tcPr>
            <w:tcW w:w="0" w:type="auto"/>
            <w:vAlign w:val="center"/>
            <w:hideMark/>
          </w:tcPr>
          <w:p w14:paraId="653E4F40"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 xml:space="preserve">Focuses on cefixime pharmacokinetics, </w:t>
            </w:r>
            <w:r w:rsidRPr="004511C8">
              <w:rPr>
                <w:rFonts w:ascii="Arial" w:eastAsia="Times New Roman" w:hAnsi="Arial" w:cs="Arial"/>
                <w:kern w:val="0"/>
                <w:sz w:val="22"/>
                <w:szCs w:val="22"/>
                <w:lang w:val="en-US" w:eastAsia="zh-CN"/>
                <w14:ligatures w14:val="none"/>
              </w:rPr>
              <w:lastRenderedPageBreak/>
              <w:t xml:space="preserve">not directly UK </w:t>
            </w:r>
            <w:proofErr w:type="spellStart"/>
            <w:r w:rsidRPr="004511C8">
              <w:rPr>
                <w:rFonts w:ascii="Arial" w:eastAsia="Times New Roman" w:hAnsi="Arial" w:cs="Arial"/>
                <w:kern w:val="0"/>
                <w:sz w:val="22"/>
                <w:szCs w:val="22"/>
                <w:lang w:val="en-US" w:eastAsia="zh-CN"/>
                <w14:ligatures w14:val="none"/>
              </w:rPr>
              <w:t>gonorrhoea</w:t>
            </w:r>
            <w:proofErr w:type="spellEnd"/>
            <w:r w:rsidRPr="004511C8">
              <w:rPr>
                <w:rFonts w:ascii="Arial" w:eastAsia="Times New Roman" w:hAnsi="Arial" w:cs="Arial"/>
                <w:kern w:val="0"/>
                <w:sz w:val="22"/>
                <w:szCs w:val="22"/>
                <w:lang w:val="en-US" w:eastAsia="zh-CN"/>
                <w14:ligatures w14:val="none"/>
              </w:rPr>
              <w:t xml:space="preserve"> AMR</w:t>
            </w:r>
          </w:p>
        </w:tc>
        <w:tc>
          <w:tcPr>
            <w:tcW w:w="0" w:type="auto"/>
            <w:vAlign w:val="center"/>
            <w:hideMark/>
          </w:tcPr>
          <w:p w14:paraId="227341EA"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lastRenderedPageBreak/>
              <w:t>Moderate</w:t>
            </w:r>
          </w:p>
        </w:tc>
        <w:tc>
          <w:tcPr>
            <w:tcW w:w="0" w:type="auto"/>
            <w:vAlign w:val="center"/>
            <w:hideMark/>
          </w:tcPr>
          <w:p w14:paraId="3AB4648E"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Helpful as supporting literature only</w:t>
            </w:r>
          </w:p>
        </w:tc>
      </w:tr>
      <w:tr w:rsidR="00737DB2" w:rsidRPr="004511C8" w14:paraId="2865A448" w14:textId="77777777" w:rsidTr="00737DB2">
        <w:tc>
          <w:tcPr>
            <w:tcW w:w="0" w:type="auto"/>
            <w:vAlign w:val="center"/>
            <w:hideMark/>
          </w:tcPr>
          <w:p w14:paraId="6A3898C0"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Davis et al. (2025)</w:t>
            </w:r>
          </w:p>
        </w:tc>
        <w:tc>
          <w:tcPr>
            <w:tcW w:w="0" w:type="auto"/>
            <w:vAlign w:val="center"/>
            <w:hideMark/>
          </w:tcPr>
          <w:p w14:paraId="1848DB57"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Commentary / review-style paper</w:t>
            </w:r>
          </w:p>
        </w:tc>
        <w:tc>
          <w:tcPr>
            <w:tcW w:w="0" w:type="auto"/>
            <w:vAlign w:val="center"/>
            <w:hideMark/>
          </w:tcPr>
          <w:p w14:paraId="3E134710"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Yes</w:t>
            </w:r>
          </w:p>
        </w:tc>
        <w:tc>
          <w:tcPr>
            <w:tcW w:w="0" w:type="auto"/>
            <w:vAlign w:val="center"/>
            <w:hideMark/>
          </w:tcPr>
          <w:p w14:paraId="0499FBF8"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Partly</w:t>
            </w:r>
          </w:p>
        </w:tc>
        <w:tc>
          <w:tcPr>
            <w:tcW w:w="0" w:type="auto"/>
            <w:vAlign w:val="center"/>
            <w:hideMark/>
          </w:tcPr>
          <w:p w14:paraId="226413B1"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Partly</w:t>
            </w:r>
          </w:p>
        </w:tc>
        <w:tc>
          <w:tcPr>
            <w:tcW w:w="0" w:type="auto"/>
            <w:vAlign w:val="center"/>
            <w:hideMark/>
          </w:tcPr>
          <w:p w14:paraId="7454226C"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Yes</w:t>
            </w:r>
          </w:p>
        </w:tc>
        <w:tc>
          <w:tcPr>
            <w:tcW w:w="0" w:type="auto"/>
            <w:vAlign w:val="center"/>
            <w:hideMark/>
          </w:tcPr>
          <w:p w14:paraId="5AB9811E"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Not primary empirical research</w:t>
            </w:r>
          </w:p>
        </w:tc>
        <w:tc>
          <w:tcPr>
            <w:tcW w:w="0" w:type="auto"/>
            <w:vAlign w:val="center"/>
            <w:hideMark/>
          </w:tcPr>
          <w:p w14:paraId="199B4DB8"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Moderate</w:t>
            </w:r>
          </w:p>
        </w:tc>
        <w:tc>
          <w:tcPr>
            <w:tcW w:w="0" w:type="auto"/>
            <w:vAlign w:val="center"/>
            <w:hideMark/>
          </w:tcPr>
          <w:p w14:paraId="76013BF2"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Good for current framing, weaker for formal appraisal dataset</w:t>
            </w:r>
          </w:p>
        </w:tc>
      </w:tr>
      <w:tr w:rsidR="00737DB2" w:rsidRPr="004511C8" w14:paraId="2620B737" w14:textId="77777777" w:rsidTr="00737DB2">
        <w:tc>
          <w:tcPr>
            <w:tcW w:w="0" w:type="auto"/>
            <w:vAlign w:val="center"/>
            <w:hideMark/>
          </w:tcPr>
          <w:p w14:paraId="5E5C3140"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Allan-Blitz et al. (2024)</w:t>
            </w:r>
          </w:p>
        </w:tc>
        <w:tc>
          <w:tcPr>
            <w:tcW w:w="0" w:type="auto"/>
            <w:vAlign w:val="center"/>
            <w:hideMark/>
          </w:tcPr>
          <w:p w14:paraId="11DA4EF3"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Review article</w:t>
            </w:r>
          </w:p>
        </w:tc>
        <w:tc>
          <w:tcPr>
            <w:tcW w:w="0" w:type="auto"/>
            <w:vAlign w:val="center"/>
            <w:hideMark/>
          </w:tcPr>
          <w:p w14:paraId="7F138CED"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Yes</w:t>
            </w:r>
          </w:p>
        </w:tc>
        <w:tc>
          <w:tcPr>
            <w:tcW w:w="0" w:type="auto"/>
            <w:vAlign w:val="center"/>
            <w:hideMark/>
          </w:tcPr>
          <w:p w14:paraId="2C125955"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Partly</w:t>
            </w:r>
          </w:p>
        </w:tc>
        <w:tc>
          <w:tcPr>
            <w:tcW w:w="0" w:type="auto"/>
            <w:vAlign w:val="center"/>
            <w:hideMark/>
          </w:tcPr>
          <w:p w14:paraId="56F9E7D2"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Partly</w:t>
            </w:r>
          </w:p>
        </w:tc>
        <w:tc>
          <w:tcPr>
            <w:tcW w:w="0" w:type="auto"/>
            <w:vAlign w:val="center"/>
            <w:hideMark/>
          </w:tcPr>
          <w:p w14:paraId="4C3F4A3D"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Yes</w:t>
            </w:r>
          </w:p>
        </w:tc>
        <w:tc>
          <w:tcPr>
            <w:tcW w:w="0" w:type="auto"/>
            <w:vAlign w:val="center"/>
            <w:hideMark/>
          </w:tcPr>
          <w:p w14:paraId="330FF607"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Not UK empirical evidence</w:t>
            </w:r>
          </w:p>
        </w:tc>
        <w:tc>
          <w:tcPr>
            <w:tcW w:w="0" w:type="auto"/>
            <w:vAlign w:val="center"/>
            <w:hideMark/>
          </w:tcPr>
          <w:p w14:paraId="065E4BA7"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Moderate</w:t>
            </w:r>
          </w:p>
        </w:tc>
        <w:tc>
          <w:tcPr>
            <w:tcW w:w="0" w:type="auto"/>
            <w:vAlign w:val="center"/>
            <w:hideMark/>
          </w:tcPr>
          <w:p w14:paraId="6A8908BA"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Useful for treatment failure discussion only</w:t>
            </w:r>
          </w:p>
        </w:tc>
      </w:tr>
      <w:tr w:rsidR="00737DB2" w:rsidRPr="004511C8" w14:paraId="6DF256C3" w14:textId="77777777" w:rsidTr="00737DB2">
        <w:tc>
          <w:tcPr>
            <w:tcW w:w="0" w:type="auto"/>
            <w:vAlign w:val="center"/>
            <w:hideMark/>
          </w:tcPr>
          <w:p w14:paraId="5021852F"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proofErr w:type="spellStart"/>
            <w:r w:rsidRPr="004511C8">
              <w:rPr>
                <w:rFonts w:ascii="Arial" w:eastAsia="Times New Roman" w:hAnsi="Arial" w:cs="Arial"/>
                <w:kern w:val="0"/>
                <w:sz w:val="22"/>
                <w:szCs w:val="22"/>
                <w:lang w:val="en-US" w:eastAsia="zh-CN"/>
                <w14:ligatures w14:val="none"/>
              </w:rPr>
              <w:t>Raccagni</w:t>
            </w:r>
            <w:proofErr w:type="spellEnd"/>
            <w:r w:rsidRPr="004511C8">
              <w:rPr>
                <w:rFonts w:ascii="Arial" w:eastAsia="Times New Roman" w:hAnsi="Arial" w:cs="Arial"/>
                <w:kern w:val="0"/>
                <w:sz w:val="22"/>
                <w:szCs w:val="22"/>
                <w:lang w:val="en-US" w:eastAsia="zh-CN"/>
                <w14:ligatures w14:val="none"/>
              </w:rPr>
              <w:t xml:space="preserve"> et al. (2023)</w:t>
            </w:r>
          </w:p>
        </w:tc>
        <w:tc>
          <w:tcPr>
            <w:tcW w:w="0" w:type="auto"/>
            <w:vAlign w:val="center"/>
            <w:hideMark/>
          </w:tcPr>
          <w:p w14:paraId="30FF2B80"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Review article</w:t>
            </w:r>
          </w:p>
        </w:tc>
        <w:tc>
          <w:tcPr>
            <w:tcW w:w="0" w:type="auto"/>
            <w:vAlign w:val="center"/>
            <w:hideMark/>
          </w:tcPr>
          <w:p w14:paraId="483495A8"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Yes</w:t>
            </w:r>
          </w:p>
        </w:tc>
        <w:tc>
          <w:tcPr>
            <w:tcW w:w="0" w:type="auto"/>
            <w:vAlign w:val="center"/>
            <w:hideMark/>
          </w:tcPr>
          <w:p w14:paraId="245E24CD"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Partly</w:t>
            </w:r>
          </w:p>
        </w:tc>
        <w:tc>
          <w:tcPr>
            <w:tcW w:w="0" w:type="auto"/>
            <w:vAlign w:val="center"/>
            <w:hideMark/>
          </w:tcPr>
          <w:p w14:paraId="4AB68CFC"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Partly</w:t>
            </w:r>
          </w:p>
        </w:tc>
        <w:tc>
          <w:tcPr>
            <w:tcW w:w="0" w:type="auto"/>
            <w:vAlign w:val="center"/>
            <w:hideMark/>
          </w:tcPr>
          <w:p w14:paraId="584B8872"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Yes</w:t>
            </w:r>
          </w:p>
        </w:tc>
        <w:tc>
          <w:tcPr>
            <w:tcW w:w="0" w:type="auto"/>
            <w:vAlign w:val="center"/>
            <w:hideMark/>
          </w:tcPr>
          <w:p w14:paraId="64BE62A4"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Broad review, not UK-specific</w:t>
            </w:r>
          </w:p>
        </w:tc>
        <w:tc>
          <w:tcPr>
            <w:tcW w:w="0" w:type="auto"/>
            <w:vAlign w:val="center"/>
            <w:hideMark/>
          </w:tcPr>
          <w:p w14:paraId="76DB16A0"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Moderate</w:t>
            </w:r>
          </w:p>
        </w:tc>
        <w:tc>
          <w:tcPr>
            <w:tcW w:w="0" w:type="auto"/>
            <w:vAlign w:val="center"/>
            <w:hideMark/>
          </w:tcPr>
          <w:p w14:paraId="4DFFEB4A" w14:textId="77777777" w:rsidR="00737DB2" w:rsidRPr="004511C8" w:rsidRDefault="00737DB2" w:rsidP="00737DB2">
            <w:pPr>
              <w:spacing w:line="240" w:lineRule="auto"/>
              <w:jc w:val="center"/>
              <w:rPr>
                <w:rFonts w:ascii="Arial" w:eastAsia="Times New Roman" w:hAnsi="Arial" w:cs="Arial"/>
                <w:kern w:val="0"/>
                <w:sz w:val="22"/>
                <w:szCs w:val="22"/>
                <w:lang w:val="en-US" w:eastAsia="zh-CN"/>
                <w14:ligatures w14:val="none"/>
              </w:rPr>
            </w:pPr>
            <w:r w:rsidRPr="004511C8">
              <w:rPr>
                <w:rFonts w:ascii="Arial" w:eastAsia="Times New Roman" w:hAnsi="Arial" w:cs="Arial"/>
                <w:kern w:val="0"/>
                <w:sz w:val="22"/>
                <w:szCs w:val="22"/>
                <w:lang w:val="en-US" w:eastAsia="zh-CN"/>
                <w14:ligatures w14:val="none"/>
              </w:rPr>
              <w:t>Background support only</w:t>
            </w:r>
          </w:p>
        </w:tc>
      </w:tr>
    </w:tbl>
    <w:p w14:paraId="66223878" w14:textId="77777777" w:rsidR="00737DB2" w:rsidRPr="004511C8" w:rsidRDefault="00737DB2" w:rsidP="005F4984">
      <w:pPr>
        <w:rPr>
          <w:rFonts w:ascii="Arial" w:hAnsi="Arial" w:cs="Arial"/>
          <w:sz w:val="22"/>
          <w:szCs w:val="22"/>
          <w:lang w:val="en-US"/>
        </w:rPr>
      </w:pPr>
    </w:p>
    <w:p w14:paraId="4D3CE6E0" w14:textId="77777777" w:rsidR="00C75057" w:rsidRPr="004511C8" w:rsidRDefault="00C75057" w:rsidP="005F4984">
      <w:pPr>
        <w:rPr>
          <w:rFonts w:ascii="Arial" w:hAnsi="Arial" w:cs="Arial"/>
          <w:sz w:val="22"/>
          <w:szCs w:val="22"/>
          <w:lang w:val="en-US"/>
        </w:rPr>
      </w:pPr>
    </w:p>
    <w:p w14:paraId="1C4B2E0C" w14:textId="77777777" w:rsidR="002772F9" w:rsidRPr="004511C8" w:rsidRDefault="002772F9" w:rsidP="005F4984">
      <w:pPr>
        <w:rPr>
          <w:rFonts w:ascii="Arial" w:hAnsi="Arial" w:cs="Arial"/>
          <w:sz w:val="22"/>
          <w:szCs w:val="22"/>
          <w:lang w:val="en-US"/>
        </w:rPr>
      </w:pPr>
    </w:p>
    <w:p w14:paraId="22F445A3" w14:textId="77777777" w:rsidR="002772F9" w:rsidRPr="004511C8" w:rsidRDefault="002772F9" w:rsidP="005F4984">
      <w:pPr>
        <w:rPr>
          <w:rFonts w:ascii="Arial" w:hAnsi="Arial" w:cs="Arial"/>
          <w:sz w:val="22"/>
          <w:szCs w:val="22"/>
          <w:lang w:val="en-US"/>
        </w:rPr>
      </w:pPr>
    </w:p>
    <w:p w14:paraId="74E0D766" w14:textId="77777777" w:rsidR="004511C8" w:rsidRDefault="004511C8" w:rsidP="002772F9">
      <w:pPr>
        <w:rPr>
          <w:rFonts w:ascii="Arial" w:hAnsi="Arial" w:cs="Arial"/>
          <w:sz w:val="22"/>
          <w:szCs w:val="22"/>
          <w:lang w:val="en-US"/>
        </w:rPr>
      </w:pPr>
    </w:p>
    <w:p w14:paraId="5043CEA8" w14:textId="77777777" w:rsidR="004511C8" w:rsidRDefault="004511C8" w:rsidP="002772F9">
      <w:pPr>
        <w:rPr>
          <w:rFonts w:ascii="Arial" w:hAnsi="Arial" w:cs="Arial"/>
          <w:sz w:val="22"/>
          <w:szCs w:val="22"/>
          <w:lang w:val="en-US"/>
        </w:rPr>
      </w:pPr>
    </w:p>
    <w:p w14:paraId="63072AC0" w14:textId="77777777" w:rsidR="004511C8" w:rsidRDefault="004511C8" w:rsidP="002772F9">
      <w:pPr>
        <w:rPr>
          <w:rFonts w:ascii="Arial" w:hAnsi="Arial" w:cs="Arial"/>
          <w:sz w:val="22"/>
          <w:szCs w:val="22"/>
          <w:lang w:val="en-US"/>
        </w:rPr>
      </w:pPr>
    </w:p>
    <w:p w14:paraId="0B8EC0B7" w14:textId="77777777" w:rsidR="004511C8" w:rsidRDefault="004511C8" w:rsidP="002772F9">
      <w:pPr>
        <w:rPr>
          <w:rFonts w:ascii="Arial" w:hAnsi="Arial" w:cs="Arial"/>
          <w:sz w:val="22"/>
          <w:szCs w:val="22"/>
          <w:lang w:val="en-US"/>
        </w:rPr>
      </w:pPr>
    </w:p>
    <w:p w14:paraId="24C904F4" w14:textId="77777777" w:rsidR="004511C8" w:rsidRDefault="004511C8" w:rsidP="002772F9">
      <w:pPr>
        <w:rPr>
          <w:rFonts w:ascii="Arial" w:hAnsi="Arial" w:cs="Arial"/>
          <w:sz w:val="22"/>
          <w:szCs w:val="22"/>
          <w:lang w:val="en-US"/>
        </w:rPr>
      </w:pPr>
    </w:p>
    <w:p w14:paraId="780E7731" w14:textId="7E83E3D9" w:rsidR="002772F9" w:rsidRPr="004511C8" w:rsidRDefault="002772F9" w:rsidP="002772F9">
      <w:pPr>
        <w:rPr>
          <w:rFonts w:ascii="Arial" w:hAnsi="Arial" w:cs="Arial"/>
          <w:sz w:val="22"/>
          <w:szCs w:val="22"/>
          <w:lang w:val="en-US"/>
        </w:rPr>
      </w:pPr>
      <w:r w:rsidRPr="004511C8">
        <w:rPr>
          <w:rFonts w:ascii="Arial" w:hAnsi="Arial" w:cs="Arial"/>
          <w:sz w:val="22"/>
          <w:szCs w:val="22"/>
          <w:lang w:val="en-US"/>
        </w:rPr>
        <w:lastRenderedPageBreak/>
        <w:t>DECLARATION</w:t>
      </w:r>
    </w:p>
    <w:p w14:paraId="5DFF9579" w14:textId="77777777" w:rsidR="002772F9" w:rsidRPr="004511C8" w:rsidRDefault="002772F9" w:rsidP="002772F9">
      <w:pPr>
        <w:rPr>
          <w:rFonts w:ascii="Arial" w:hAnsi="Arial" w:cs="Arial"/>
          <w:sz w:val="22"/>
          <w:szCs w:val="22"/>
          <w:lang w:val="en-US"/>
        </w:rPr>
      </w:pPr>
    </w:p>
    <w:p w14:paraId="31163AC5" w14:textId="3666088E" w:rsidR="002772F9" w:rsidRPr="004511C8" w:rsidRDefault="002772F9" w:rsidP="002772F9">
      <w:pPr>
        <w:rPr>
          <w:rFonts w:ascii="Arial" w:hAnsi="Arial" w:cs="Arial"/>
          <w:sz w:val="22"/>
          <w:szCs w:val="22"/>
          <w:lang w:val="en-US"/>
        </w:rPr>
      </w:pPr>
      <w:r w:rsidRPr="004511C8">
        <w:rPr>
          <w:rFonts w:ascii="Arial" w:hAnsi="Arial" w:cs="Arial"/>
          <w:noProof/>
          <w:sz w:val="22"/>
          <w:szCs w:val="22"/>
          <w:lang w:val="en-US"/>
        </w:rPr>
        <mc:AlternateContent>
          <mc:Choice Requires="wpi">
            <w:drawing>
              <wp:anchor distT="0" distB="0" distL="114300" distR="114300" simplePos="0" relativeHeight="251659264" behindDoc="0" locked="0" layoutInCell="1" allowOverlap="1" wp14:anchorId="03630229" wp14:editId="562840F8">
                <wp:simplePos x="0" y="0"/>
                <wp:positionH relativeFrom="column">
                  <wp:posOffset>2984320</wp:posOffset>
                </wp:positionH>
                <wp:positionV relativeFrom="paragraph">
                  <wp:posOffset>655190</wp:posOffset>
                </wp:positionV>
                <wp:extent cx="360" cy="360"/>
                <wp:effectExtent l="38100" t="38100" r="38100" b="38100"/>
                <wp:wrapNone/>
                <wp:docPr id="821145505" name="Ink 2"/>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type w14:anchorId="556BE4B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234.65pt;margin-top:51.25pt;width:.75pt;height:.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">
                <v:imagedata r:id="rId15" o:title=""/>
              </v:shape>
            </w:pict>
          </mc:Fallback>
        </mc:AlternateContent>
      </w:r>
      <w:r w:rsidRPr="004511C8">
        <w:rPr>
          <w:rFonts w:ascii="Arial" w:hAnsi="Arial" w:cs="Arial"/>
          <w:sz w:val="22"/>
          <w:szCs w:val="22"/>
          <w:lang w:val="en-US"/>
        </w:rPr>
        <w:t>I</w:t>
      </w:r>
      <w:r w:rsidRPr="004511C8">
        <w:rPr>
          <w:rFonts w:ascii="Arial" w:hAnsi="Arial" w:cs="Arial"/>
          <w:sz w:val="22"/>
          <w:szCs w:val="22"/>
          <w:lang w:val="en-US"/>
        </w:rPr>
        <w:t xml:space="preserve">, Adji Makangila, </w:t>
      </w:r>
      <w:proofErr w:type="gramStart"/>
      <w:r w:rsidRPr="004511C8">
        <w:rPr>
          <w:rFonts w:ascii="Arial" w:hAnsi="Arial" w:cs="Arial"/>
          <w:sz w:val="22"/>
          <w:szCs w:val="22"/>
          <w:lang w:val="en-US"/>
        </w:rPr>
        <w:t>declare</w:t>
      </w:r>
      <w:proofErr w:type="gramEnd"/>
      <w:r w:rsidRPr="004511C8">
        <w:rPr>
          <w:rFonts w:ascii="Arial" w:hAnsi="Arial" w:cs="Arial"/>
          <w:sz w:val="22"/>
          <w:szCs w:val="22"/>
          <w:lang w:val="en-US"/>
        </w:rPr>
        <w:t xml:space="preserv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3CD95C0D" w14:textId="68E27CAF" w:rsidR="002772F9" w:rsidRPr="004511C8" w:rsidRDefault="002772F9" w:rsidP="002772F9">
      <w:pPr>
        <w:rPr>
          <w:rFonts w:ascii="Arial" w:hAnsi="Arial" w:cs="Arial"/>
          <w:sz w:val="22"/>
          <w:szCs w:val="22"/>
          <w:lang w:val="en-US"/>
        </w:rPr>
      </w:pPr>
      <w:r w:rsidRPr="004511C8">
        <w:rPr>
          <w:rFonts w:ascii="Arial" w:hAnsi="Arial" w:cs="Arial"/>
          <w:noProof/>
          <w:sz w:val="22"/>
          <w:szCs w:val="22"/>
          <w:lang w:val="en-US"/>
        </w:rPr>
        <mc:AlternateContent>
          <mc:Choice Requires="wpi">
            <w:drawing>
              <wp:anchor distT="0" distB="0" distL="114300" distR="114300" simplePos="0" relativeHeight="251669504" behindDoc="0" locked="0" layoutInCell="1" allowOverlap="1" wp14:anchorId="41F551E7" wp14:editId="71C22E48">
                <wp:simplePos x="0" y="0"/>
                <wp:positionH relativeFrom="column">
                  <wp:posOffset>1187450</wp:posOffset>
                </wp:positionH>
                <wp:positionV relativeFrom="paragraph">
                  <wp:posOffset>19050</wp:posOffset>
                </wp:positionV>
                <wp:extent cx="1992630" cy="469900"/>
                <wp:effectExtent l="38100" t="38100" r="26670" b="44450"/>
                <wp:wrapNone/>
                <wp:docPr id="1077256845" name="Ink 12"/>
                <wp:cNvGraphicFramePr/>
                <a:graphic xmlns:a="http://schemas.openxmlformats.org/drawingml/2006/main">
                  <a:graphicData uri="http://schemas.microsoft.com/office/word/2010/wordprocessingInk">
                    <w14:contentPart bwMode="auto" r:id="rId16">
                      <w14:nvContentPartPr>
                        <w14:cNvContentPartPr/>
                      </w14:nvContentPartPr>
                      <w14:xfrm>
                        <a:off x="0" y="0"/>
                        <a:ext cx="1992630" cy="469900"/>
                      </w14:xfrm>
                    </w14:contentPart>
                  </a:graphicData>
                </a:graphic>
                <wp14:sizeRelH relativeFrom="margin">
                  <wp14:pctWidth>0</wp14:pctWidth>
                </wp14:sizeRelH>
                <wp14:sizeRelV relativeFrom="margin">
                  <wp14:pctHeight>0</wp14:pctHeight>
                </wp14:sizeRelV>
              </wp:anchor>
            </w:drawing>
          </mc:Choice>
          <mc:Fallback>
            <w:pict>
              <v:shape w14:anchorId="3F7912FD" id="Ink 12" o:spid="_x0000_s1026" type="#_x0000_t75" style="position:absolute;margin-left:93.15pt;margin-top:1.15pt;width:157.6pt;height:37.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">
                <v:imagedata r:id="rId17" o:title=""/>
              </v:shape>
            </w:pict>
          </mc:Fallback>
        </mc:AlternateContent>
      </w:r>
      <w:r w:rsidRPr="004511C8">
        <w:rPr>
          <w:rFonts w:ascii="Arial" w:hAnsi="Arial" w:cs="Arial"/>
          <w:noProof/>
          <w:sz w:val="22"/>
          <w:szCs w:val="22"/>
          <w:lang w:val="en-US"/>
        </w:rPr>
        <mc:AlternateContent>
          <mc:Choice Requires="wpi">
            <w:drawing>
              <wp:anchor distT="0" distB="0" distL="114300" distR="114300" simplePos="0" relativeHeight="251668480" behindDoc="0" locked="0" layoutInCell="1" allowOverlap="1" wp14:anchorId="4B7DC58F" wp14:editId="3573C5C7">
                <wp:simplePos x="0" y="0"/>
                <wp:positionH relativeFrom="column">
                  <wp:posOffset>2132965</wp:posOffset>
                </wp:positionH>
                <wp:positionV relativeFrom="paragraph">
                  <wp:posOffset>266065</wp:posOffset>
                </wp:positionV>
                <wp:extent cx="360" cy="360"/>
                <wp:effectExtent l="38100" t="38100" r="38100" b="38100"/>
                <wp:wrapNone/>
                <wp:docPr id="975293509" name="Ink 11"/>
                <wp:cNvGraphicFramePr/>
                <a:graphic xmlns:a="http://schemas.openxmlformats.org/drawingml/2006/main">
                  <a:graphicData uri="http://schemas.microsoft.com/office/word/2010/wordprocessingInk">
                    <w14:contentPart bwMode="auto" r:id="rId18">
                      <w14:nvContentPartPr>
                        <w14:cNvContentPartPr/>
                      </w14:nvContentPartPr>
                      <w14:xfrm>
                        <a:off x="0" y="0"/>
                        <a:ext cx="360" cy="360"/>
                      </w14:xfrm>
                    </w14:contentPart>
                  </a:graphicData>
                </a:graphic>
              </wp:anchor>
            </w:drawing>
          </mc:Choice>
          <mc:Fallback>
            <w:pict>
              <v:shape w14:anchorId="1F061379" id="Ink 11" o:spid="_x0000_s1026" type="#_x0000_t75" style="position:absolute;margin-left:167.6pt;margin-top:20.6pt;width:.75pt;height:.7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">
                <v:imagedata r:id="rId15" o:title=""/>
              </v:shape>
            </w:pict>
          </mc:Fallback>
        </mc:AlternateContent>
      </w:r>
    </w:p>
    <w:p w14:paraId="79AD394F" w14:textId="302A7BF7" w:rsidR="002772F9" w:rsidRPr="004511C8" w:rsidRDefault="002772F9" w:rsidP="002772F9">
      <w:pPr>
        <w:rPr>
          <w:rFonts w:ascii="Arial" w:hAnsi="Arial" w:cs="Arial"/>
          <w:sz w:val="22"/>
          <w:szCs w:val="22"/>
          <w:lang w:val="en-US"/>
        </w:rPr>
      </w:pPr>
      <w:r w:rsidRPr="004511C8">
        <w:rPr>
          <w:rFonts w:ascii="Arial" w:hAnsi="Arial" w:cs="Arial"/>
          <w:noProof/>
          <w:sz w:val="22"/>
          <w:szCs w:val="22"/>
          <w:lang w:val="en-US"/>
        </w:rPr>
        <mc:AlternateContent>
          <mc:Choice Requires="wpi">
            <w:drawing>
              <wp:anchor distT="0" distB="0" distL="114300" distR="114300" simplePos="0" relativeHeight="251670528" behindDoc="0" locked="0" layoutInCell="1" allowOverlap="1" wp14:anchorId="2B46FBD7" wp14:editId="53D64121">
                <wp:simplePos x="0" y="0"/>
                <wp:positionH relativeFrom="column">
                  <wp:posOffset>2495080</wp:posOffset>
                </wp:positionH>
                <wp:positionV relativeFrom="paragraph">
                  <wp:posOffset>9910</wp:posOffset>
                </wp:positionV>
                <wp:extent cx="360" cy="360"/>
                <wp:effectExtent l="38100" t="38100" r="38100" b="38100"/>
                <wp:wrapNone/>
                <wp:docPr id="1469401510" name="Ink 13"/>
                <wp:cNvGraphicFramePr/>
                <a:graphic xmlns:a="http://schemas.openxmlformats.org/drawingml/2006/main">
                  <a:graphicData uri="http://schemas.microsoft.com/office/word/2010/wordprocessingInk">
                    <w14:contentPart bwMode="auto" r:id="rId19">
                      <w14:nvContentPartPr>
                        <w14:cNvContentPartPr/>
                      </w14:nvContentPartPr>
                      <w14:xfrm>
                        <a:off x="0" y="0"/>
                        <a:ext cx="360" cy="360"/>
                      </w14:xfrm>
                    </w14:contentPart>
                  </a:graphicData>
                </a:graphic>
              </wp:anchor>
            </w:drawing>
          </mc:Choice>
          <mc:Fallback>
            <w:pict>
              <v:shape w14:anchorId="55B3A8AE" id="Ink 13" o:spid="_x0000_s1026" type="#_x0000_t75" style="position:absolute;margin-left:196.1pt;margin-top:.45pt;width:.75pt;height:.7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">
                <v:imagedata r:id="rId15" o:title=""/>
              </v:shape>
            </w:pict>
          </mc:Fallback>
        </mc:AlternateContent>
      </w:r>
      <w:r w:rsidRPr="004511C8">
        <w:rPr>
          <w:rFonts w:ascii="Arial" w:hAnsi="Arial" w:cs="Arial"/>
          <w:noProof/>
          <w:sz w:val="22"/>
          <w:szCs w:val="22"/>
          <w:lang w:val="en-US"/>
        </w:rPr>
        <mc:AlternateContent>
          <mc:Choice Requires="wpi">
            <w:drawing>
              <wp:anchor distT="0" distB="0" distL="114300" distR="114300" simplePos="0" relativeHeight="251665408" behindDoc="0" locked="0" layoutInCell="1" allowOverlap="1" wp14:anchorId="427FFA6E" wp14:editId="2FB490A1">
                <wp:simplePos x="0" y="0"/>
                <wp:positionH relativeFrom="column">
                  <wp:posOffset>2228215</wp:posOffset>
                </wp:positionH>
                <wp:positionV relativeFrom="paragraph">
                  <wp:posOffset>47625</wp:posOffset>
                </wp:positionV>
                <wp:extent cx="360" cy="360"/>
                <wp:effectExtent l="38100" t="38100" r="38100" b="38100"/>
                <wp:wrapNone/>
                <wp:docPr id="1413525709" name="Ink 8"/>
                <wp:cNvGraphicFramePr/>
                <a:graphic xmlns:a="http://schemas.openxmlformats.org/drawingml/2006/main">
                  <a:graphicData uri="http://schemas.microsoft.com/office/word/2010/wordprocessingInk">
                    <w14:contentPart bwMode="auto" r:id="rId20">
                      <w14:nvContentPartPr>
                        <w14:cNvContentPartPr/>
                      </w14:nvContentPartPr>
                      <w14:xfrm>
                        <a:off x="0" y="0"/>
                        <a:ext cx="360" cy="360"/>
                      </w14:xfrm>
                    </w14:contentPart>
                  </a:graphicData>
                </a:graphic>
              </wp:anchor>
            </w:drawing>
          </mc:Choice>
          <mc:Fallback>
            <w:pict>
              <v:shape w14:anchorId="2609744F" id="Ink 8" o:spid="_x0000_s1026" type="#_x0000_t75" style="position:absolute;margin-left:175.1pt;margin-top:3.4pt;width:.75pt;height:.7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">
                <v:imagedata r:id="rId15" o:title=""/>
              </v:shape>
            </w:pict>
          </mc:Fallback>
        </mc:AlternateContent>
      </w:r>
      <w:proofErr w:type="gramStart"/>
      <w:r w:rsidRPr="004511C8">
        <w:rPr>
          <w:rFonts w:ascii="Arial" w:hAnsi="Arial" w:cs="Arial"/>
          <w:sz w:val="22"/>
          <w:szCs w:val="22"/>
          <w:lang w:val="en-US"/>
        </w:rPr>
        <w:t>Signature:......................................................</w:t>
      </w:r>
      <w:proofErr w:type="gramEnd"/>
    </w:p>
    <w:p w14:paraId="057C7CB2" w14:textId="77777777" w:rsidR="002772F9" w:rsidRPr="004511C8" w:rsidRDefault="002772F9" w:rsidP="002772F9">
      <w:pPr>
        <w:rPr>
          <w:rFonts w:ascii="Arial" w:hAnsi="Arial" w:cs="Arial"/>
          <w:sz w:val="22"/>
          <w:szCs w:val="22"/>
          <w:lang w:val="en-US"/>
        </w:rPr>
      </w:pPr>
    </w:p>
    <w:p w14:paraId="13C868D9" w14:textId="7E0F1412" w:rsidR="002772F9" w:rsidRPr="004511C8" w:rsidRDefault="002772F9" w:rsidP="002772F9">
      <w:pPr>
        <w:rPr>
          <w:rFonts w:ascii="Arial" w:hAnsi="Arial" w:cs="Arial"/>
          <w:sz w:val="22"/>
          <w:szCs w:val="22"/>
          <w:lang w:val="en-US"/>
        </w:rPr>
      </w:pPr>
      <w:r w:rsidRPr="004511C8">
        <w:rPr>
          <w:rFonts w:ascii="Arial" w:hAnsi="Arial" w:cs="Arial"/>
          <w:sz w:val="22"/>
          <w:szCs w:val="22"/>
          <w:lang w:val="en-US"/>
        </w:rPr>
        <w:t>Date: …</w:t>
      </w:r>
      <w:r w:rsidRPr="004511C8">
        <w:rPr>
          <w:rFonts w:ascii="Arial" w:hAnsi="Arial" w:cs="Arial"/>
          <w:sz w:val="22"/>
          <w:szCs w:val="22"/>
          <w:lang w:val="en-US"/>
        </w:rPr>
        <w:t>09/05/2026</w:t>
      </w:r>
      <w:r w:rsidRPr="004511C8">
        <w:rPr>
          <w:rFonts w:ascii="Arial" w:hAnsi="Arial" w:cs="Arial"/>
          <w:sz w:val="22"/>
          <w:szCs w:val="22"/>
          <w:lang w:val="en-US"/>
        </w:rPr>
        <w:t>……………………………............................</w:t>
      </w:r>
    </w:p>
    <w:p w14:paraId="0A6AF872" w14:textId="77777777" w:rsidR="002772F9" w:rsidRPr="004511C8" w:rsidRDefault="002772F9" w:rsidP="002772F9">
      <w:pPr>
        <w:rPr>
          <w:rFonts w:ascii="Arial" w:hAnsi="Arial" w:cs="Arial"/>
          <w:sz w:val="22"/>
          <w:szCs w:val="22"/>
          <w:lang w:val="en-US"/>
        </w:rPr>
      </w:pPr>
    </w:p>
    <w:p w14:paraId="408C090A" w14:textId="77777777" w:rsidR="002772F9" w:rsidRPr="004511C8" w:rsidRDefault="002772F9" w:rsidP="005F4984">
      <w:pPr>
        <w:rPr>
          <w:rFonts w:ascii="Arial" w:hAnsi="Arial" w:cs="Arial"/>
          <w:sz w:val="22"/>
          <w:szCs w:val="22"/>
          <w:lang w:val="en-US"/>
        </w:rPr>
      </w:pPr>
    </w:p>
    <w:sectPr w:rsidR="002772F9" w:rsidRPr="004511C8" w:rsidSect="00737DB2">
      <w:pgSz w:w="16838" w:h="11906" w:orient="landscape"/>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799864" w14:textId="77777777" w:rsidR="001B298D" w:rsidRPr="00C651BC" w:rsidRDefault="001B298D" w:rsidP="00D16F63">
      <w:pPr>
        <w:spacing w:after="0" w:line="240" w:lineRule="auto"/>
      </w:pPr>
      <w:r w:rsidRPr="00C651BC">
        <w:separator/>
      </w:r>
    </w:p>
  </w:endnote>
  <w:endnote w:type="continuationSeparator" w:id="0">
    <w:p w14:paraId="74B1BF1F" w14:textId="77777777" w:rsidR="001B298D" w:rsidRPr="00C651BC" w:rsidRDefault="001B298D" w:rsidP="00D16F63">
      <w:pPr>
        <w:spacing w:after="0" w:line="240" w:lineRule="auto"/>
      </w:pPr>
      <w:r w:rsidRPr="00C651B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2"/>
        <w:szCs w:val="22"/>
      </w:rPr>
      <w:id w:val="803354215"/>
      <w:docPartObj>
        <w:docPartGallery w:val="Page Numbers (Bottom of Page)"/>
        <w:docPartUnique/>
      </w:docPartObj>
    </w:sdtPr>
    <w:sdtContent>
      <w:p w14:paraId="4A5F6B32" w14:textId="200C6E53" w:rsidR="00D16F63" w:rsidRPr="00C651BC" w:rsidRDefault="00D16F63">
        <w:pPr>
          <w:pStyle w:val="Footer"/>
          <w:jc w:val="center"/>
          <w:rPr>
            <w:sz w:val="22"/>
            <w:szCs w:val="22"/>
          </w:rPr>
        </w:pPr>
        <w:r w:rsidRPr="00C651BC">
          <w:rPr>
            <w:sz w:val="22"/>
            <w:szCs w:val="22"/>
          </w:rPr>
          <w:fldChar w:fldCharType="begin"/>
        </w:r>
        <w:r w:rsidRPr="00C651BC">
          <w:rPr>
            <w:sz w:val="22"/>
            <w:szCs w:val="22"/>
          </w:rPr>
          <w:instrText xml:space="preserve"> PAGE   \* MERGEFORMAT </w:instrText>
        </w:r>
        <w:r w:rsidRPr="00C651BC">
          <w:rPr>
            <w:sz w:val="22"/>
            <w:szCs w:val="22"/>
          </w:rPr>
          <w:fldChar w:fldCharType="separate"/>
        </w:r>
        <w:r w:rsidRPr="00C651BC">
          <w:rPr>
            <w:sz w:val="22"/>
            <w:szCs w:val="22"/>
          </w:rPr>
          <w:t>2</w:t>
        </w:r>
        <w:r w:rsidRPr="00C651BC">
          <w:rPr>
            <w:sz w:val="22"/>
            <w:szCs w:val="22"/>
          </w:rPr>
          <w:fldChar w:fldCharType="end"/>
        </w:r>
      </w:p>
    </w:sdtContent>
  </w:sdt>
  <w:p w14:paraId="651A9736" w14:textId="77777777" w:rsidR="00D16F63" w:rsidRPr="00C651BC" w:rsidRDefault="00D16F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F5CCB0" w14:textId="77777777" w:rsidR="001B298D" w:rsidRPr="00C651BC" w:rsidRDefault="001B298D" w:rsidP="00D16F63">
      <w:pPr>
        <w:spacing w:after="0" w:line="240" w:lineRule="auto"/>
      </w:pPr>
      <w:r w:rsidRPr="00C651BC">
        <w:separator/>
      </w:r>
    </w:p>
  </w:footnote>
  <w:footnote w:type="continuationSeparator" w:id="0">
    <w:p w14:paraId="3FE99FEC" w14:textId="77777777" w:rsidR="001B298D" w:rsidRPr="00C651BC" w:rsidRDefault="001B298D" w:rsidP="00D16F63">
      <w:pPr>
        <w:spacing w:after="0" w:line="240" w:lineRule="auto"/>
      </w:pPr>
      <w:r w:rsidRPr="00C651BC">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57E8BB" w14:textId="59DFB582" w:rsidR="0014257E" w:rsidRPr="00C651BC" w:rsidRDefault="001425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4A73F1"/>
    <w:multiLevelType w:val="hybridMultilevel"/>
    <w:tmpl w:val="4F70E5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6B641FB"/>
    <w:multiLevelType w:val="hybridMultilevel"/>
    <w:tmpl w:val="E8F20A0C"/>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6B4B64B7"/>
    <w:multiLevelType w:val="multilevel"/>
    <w:tmpl w:val="2FD8BA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975567F"/>
    <w:multiLevelType w:val="hybridMultilevel"/>
    <w:tmpl w:val="4612A68C"/>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959721698">
    <w:abstractNumId w:val="2"/>
  </w:num>
  <w:num w:numId="2" w16cid:durableId="1829518223">
    <w:abstractNumId w:val="1"/>
  </w:num>
  <w:num w:numId="3" w16cid:durableId="144006544">
    <w:abstractNumId w:val="3"/>
  </w:num>
  <w:num w:numId="4" w16cid:durableId="13004562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F50"/>
    <w:rsid w:val="00015F25"/>
    <w:rsid w:val="00017BD6"/>
    <w:rsid w:val="00021F50"/>
    <w:rsid w:val="00023E6B"/>
    <w:rsid w:val="00042D7F"/>
    <w:rsid w:val="000605FA"/>
    <w:rsid w:val="00060C87"/>
    <w:rsid w:val="00073A73"/>
    <w:rsid w:val="00086E79"/>
    <w:rsid w:val="00090D8A"/>
    <w:rsid w:val="00092EE3"/>
    <w:rsid w:val="00096E52"/>
    <w:rsid w:val="000A0F50"/>
    <w:rsid w:val="000A2300"/>
    <w:rsid w:val="000B0A8D"/>
    <w:rsid w:val="000B13CF"/>
    <w:rsid w:val="000B2270"/>
    <w:rsid w:val="000C32C7"/>
    <w:rsid w:val="000D1499"/>
    <w:rsid w:val="000D346C"/>
    <w:rsid w:val="000E1D97"/>
    <w:rsid w:val="00104A8F"/>
    <w:rsid w:val="00115776"/>
    <w:rsid w:val="00131AC6"/>
    <w:rsid w:val="0014257E"/>
    <w:rsid w:val="0014693B"/>
    <w:rsid w:val="00153DF7"/>
    <w:rsid w:val="00172725"/>
    <w:rsid w:val="00174A61"/>
    <w:rsid w:val="001776BD"/>
    <w:rsid w:val="001A2CB3"/>
    <w:rsid w:val="001A3E3C"/>
    <w:rsid w:val="001A751B"/>
    <w:rsid w:val="001B0F5E"/>
    <w:rsid w:val="001B298D"/>
    <w:rsid w:val="001C3BEB"/>
    <w:rsid w:val="001E0DA2"/>
    <w:rsid w:val="001F3941"/>
    <w:rsid w:val="001F626B"/>
    <w:rsid w:val="00201B78"/>
    <w:rsid w:val="00205AA9"/>
    <w:rsid w:val="002105B1"/>
    <w:rsid w:val="00220E33"/>
    <w:rsid w:val="00236822"/>
    <w:rsid w:val="00250E65"/>
    <w:rsid w:val="00255EA8"/>
    <w:rsid w:val="00256E3F"/>
    <w:rsid w:val="00261A51"/>
    <w:rsid w:val="002719A2"/>
    <w:rsid w:val="00274DD5"/>
    <w:rsid w:val="002772F9"/>
    <w:rsid w:val="0028370F"/>
    <w:rsid w:val="00291F6F"/>
    <w:rsid w:val="002B1332"/>
    <w:rsid w:val="002C4B08"/>
    <w:rsid w:val="002D0E5A"/>
    <w:rsid w:val="002D5FB6"/>
    <w:rsid w:val="002F29FC"/>
    <w:rsid w:val="002F482B"/>
    <w:rsid w:val="00320C18"/>
    <w:rsid w:val="00322943"/>
    <w:rsid w:val="003417A7"/>
    <w:rsid w:val="0035193A"/>
    <w:rsid w:val="003802C9"/>
    <w:rsid w:val="003A473C"/>
    <w:rsid w:val="003D0034"/>
    <w:rsid w:val="003D7390"/>
    <w:rsid w:val="003E1E74"/>
    <w:rsid w:val="003F51B7"/>
    <w:rsid w:val="003F6B9A"/>
    <w:rsid w:val="00406991"/>
    <w:rsid w:val="00410434"/>
    <w:rsid w:val="0041329C"/>
    <w:rsid w:val="00437B14"/>
    <w:rsid w:val="004511C8"/>
    <w:rsid w:val="004A123F"/>
    <w:rsid w:val="004A7744"/>
    <w:rsid w:val="004B5565"/>
    <w:rsid w:val="004C590D"/>
    <w:rsid w:val="004D3FB6"/>
    <w:rsid w:val="004D594C"/>
    <w:rsid w:val="004E6260"/>
    <w:rsid w:val="00503433"/>
    <w:rsid w:val="00507305"/>
    <w:rsid w:val="00514ECA"/>
    <w:rsid w:val="00517D4F"/>
    <w:rsid w:val="00526742"/>
    <w:rsid w:val="00532917"/>
    <w:rsid w:val="00535D61"/>
    <w:rsid w:val="00544309"/>
    <w:rsid w:val="00560FA9"/>
    <w:rsid w:val="00574DB7"/>
    <w:rsid w:val="0058576B"/>
    <w:rsid w:val="00591639"/>
    <w:rsid w:val="005A3BF2"/>
    <w:rsid w:val="005B35D3"/>
    <w:rsid w:val="005D18D9"/>
    <w:rsid w:val="005E6D81"/>
    <w:rsid w:val="005F4984"/>
    <w:rsid w:val="0060431B"/>
    <w:rsid w:val="0060616B"/>
    <w:rsid w:val="00614D9D"/>
    <w:rsid w:val="00636DA8"/>
    <w:rsid w:val="0064645C"/>
    <w:rsid w:val="0065672E"/>
    <w:rsid w:val="0067191F"/>
    <w:rsid w:val="00677215"/>
    <w:rsid w:val="006803BC"/>
    <w:rsid w:val="00684835"/>
    <w:rsid w:val="006D1565"/>
    <w:rsid w:val="006E4938"/>
    <w:rsid w:val="00704E45"/>
    <w:rsid w:val="00722EFE"/>
    <w:rsid w:val="00727CF7"/>
    <w:rsid w:val="00732508"/>
    <w:rsid w:val="00736329"/>
    <w:rsid w:val="00737DB2"/>
    <w:rsid w:val="00740C23"/>
    <w:rsid w:val="00742DCF"/>
    <w:rsid w:val="00765668"/>
    <w:rsid w:val="00766543"/>
    <w:rsid w:val="00771812"/>
    <w:rsid w:val="00793DB3"/>
    <w:rsid w:val="007B641F"/>
    <w:rsid w:val="007C090F"/>
    <w:rsid w:val="007C0D82"/>
    <w:rsid w:val="007C1AE8"/>
    <w:rsid w:val="007C588A"/>
    <w:rsid w:val="007D60CE"/>
    <w:rsid w:val="007E2C80"/>
    <w:rsid w:val="008229D4"/>
    <w:rsid w:val="00835948"/>
    <w:rsid w:val="00841D50"/>
    <w:rsid w:val="00844A4B"/>
    <w:rsid w:val="00844D55"/>
    <w:rsid w:val="00845A42"/>
    <w:rsid w:val="008668C2"/>
    <w:rsid w:val="00887155"/>
    <w:rsid w:val="008928CD"/>
    <w:rsid w:val="00894A65"/>
    <w:rsid w:val="008953DE"/>
    <w:rsid w:val="008A7135"/>
    <w:rsid w:val="008D3BE2"/>
    <w:rsid w:val="008F1BFE"/>
    <w:rsid w:val="00905EA5"/>
    <w:rsid w:val="009259C0"/>
    <w:rsid w:val="00944355"/>
    <w:rsid w:val="00945ED1"/>
    <w:rsid w:val="0096107A"/>
    <w:rsid w:val="00961E73"/>
    <w:rsid w:val="009728F4"/>
    <w:rsid w:val="00972DAE"/>
    <w:rsid w:val="009A1EF0"/>
    <w:rsid w:val="009A4090"/>
    <w:rsid w:val="009A7D6C"/>
    <w:rsid w:val="009D004E"/>
    <w:rsid w:val="009D1EA6"/>
    <w:rsid w:val="009D510C"/>
    <w:rsid w:val="009E3D21"/>
    <w:rsid w:val="009F6776"/>
    <w:rsid w:val="00A00011"/>
    <w:rsid w:val="00A006D9"/>
    <w:rsid w:val="00A23133"/>
    <w:rsid w:val="00A45BC0"/>
    <w:rsid w:val="00A511A0"/>
    <w:rsid w:val="00A7196E"/>
    <w:rsid w:val="00AA0B18"/>
    <w:rsid w:val="00AB3932"/>
    <w:rsid w:val="00AB4E09"/>
    <w:rsid w:val="00AB56AB"/>
    <w:rsid w:val="00AD00FF"/>
    <w:rsid w:val="00AD3771"/>
    <w:rsid w:val="00AE17A3"/>
    <w:rsid w:val="00B242B4"/>
    <w:rsid w:val="00B35FE5"/>
    <w:rsid w:val="00B43D59"/>
    <w:rsid w:val="00B46DC1"/>
    <w:rsid w:val="00B51EF3"/>
    <w:rsid w:val="00B64C23"/>
    <w:rsid w:val="00B701F7"/>
    <w:rsid w:val="00B838D2"/>
    <w:rsid w:val="00BC1DE2"/>
    <w:rsid w:val="00BD0BE5"/>
    <w:rsid w:val="00BD3F3B"/>
    <w:rsid w:val="00BD41FB"/>
    <w:rsid w:val="00BD6FC7"/>
    <w:rsid w:val="00BF2D18"/>
    <w:rsid w:val="00BF3496"/>
    <w:rsid w:val="00BF70D3"/>
    <w:rsid w:val="00C067BC"/>
    <w:rsid w:val="00C14D3C"/>
    <w:rsid w:val="00C30B2A"/>
    <w:rsid w:val="00C32C08"/>
    <w:rsid w:val="00C651BC"/>
    <w:rsid w:val="00C75057"/>
    <w:rsid w:val="00C76201"/>
    <w:rsid w:val="00C8220D"/>
    <w:rsid w:val="00C94479"/>
    <w:rsid w:val="00CB4C83"/>
    <w:rsid w:val="00CB4E62"/>
    <w:rsid w:val="00CC19B8"/>
    <w:rsid w:val="00CD0966"/>
    <w:rsid w:val="00D0053E"/>
    <w:rsid w:val="00D01F03"/>
    <w:rsid w:val="00D118A6"/>
    <w:rsid w:val="00D16F63"/>
    <w:rsid w:val="00D61458"/>
    <w:rsid w:val="00D712C3"/>
    <w:rsid w:val="00D84441"/>
    <w:rsid w:val="00DA0AE7"/>
    <w:rsid w:val="00DA6394"/>
    <w:rsid w:val="00DD28A5"/>
    <w:rsid w:val="00DD2929"/>
    <w:rsid w:val="00DD324D"/>
    <w:rsid w:val="00DE7A0E"/>
    <w:rsid w:val="00DF73D1"/>
    <w:rsid w:val="00E02A7F"/>
    <w:rsid w:val="00E26266"/>
    <w:rsid w:val="00E3757C"/>
    <w:rsid w:val="00E55E62"/>
    <w:rsid w:val="00E74BCA"/>
    <w:rsid w:val="00E85144"/>
    <w:rsid w:val="00E9183A"/>
    <w:rsid w:val="00EA1A51"/>
    <w:rsid w:val="00EB798A"/>
    <w:rsid w:val="00EC1122"/>
    <w:rsid w:val="00ED3E76"/>
    <w:rsid w:val="00ED7A11"/>
    <w:rsid w:val="00F041AA"/>
    <w:rsid w:val="00F06FE9"/>
    <w:rsid w:val="00F36DDA"/>
    <w:rsid w:val="00F37EDF"/>
    <w:rsid w:val="00F40EC3"/>
    <w:rsid w:val="00F426C7"/>
    <w:rsid w:val="00F554DE"/>
    <w:rsid w:val="00F5767E"/>
    <w:rsid w:val="00F6483D"/>
    <w:rsid w:val="00F87B51"/>
    <w:rsid w:val="00F921ED"/>
    <w:rsid w:val="00F948D2"/>
    <w:rsid w:val="00FB1081"/>
    <w:rsid w:val="00FB29E1"/>
    <w:rsid w:val="00FC790B"/>
    <w:rsid w:val="00FD187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1030D"/>
  <w15:chartTrackingRefBased/>
  <w15:docId w15:val="{0293171B-1256-4CB6-97A8-F068D36C54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4938"/>
    <w:pPr>
      <w:spacing w:line="360" w:lineRule="auto"/>
      <w:jc w:val="both"/>
    </w:pPr>
    <w:rPr>
      <w:rFonts w:ascii="Times New Roman" w:hAnsi="Times New Roman" w:cs="Times New Roman"/>
      <w:lang w:val="en-GB"/>
    </w:rPr>
  </w:style>
  <w:style w:type="paragraph" w:styleId="Heading1">
    <w:name w:val="heading 1"/>
    <w:basedOn w:val="Normal"/>
    <w:next w:val="Normal"/>
    <w:link w:val="Heading1Char"/>
    <w:uiPriority w:val="9"/>
    <w:qFormat/>
    <w:rsid w:val="00096E52"/>
    <w:pPr>
      <w:jc w:val="center"/>
      <w:outlineLvl w:val="0"/>
    </w:pPr>
    <w:rPr>
      <w:b/>
      <w:bCs/>
    </w:rPr>
  </w:style>
  <w:style w:type="paragraph" w:styleId="Heading2">
    <w:name w:val="heading 2"/>
    <w:basedOn w:val="Heading1"/>
    <w:next w:val="Normal"/>
    <w:link w:val="Heading2Char"/>
    <w:uiPriority w:val="9"/>
    <w:unhideWhenUsed/>
    <w:qFormat/>
    <w:rsid w:val="00096E52"/>
    <w:pPr>
      <w:jc w:val="both"/>
      <w:outlineLvl w:val="1"/>
    </w:pPr>
    <w:rPr>
      <w:i/>
      <w:iCs/>
    </w:rPr>
  </w:style>
  <w:style w:type="paragraph" w:styleId="Heading3">
    <w:name w:val="heading 3"/>
    <w:basedOn w:val="Normal"/>
    <w:next w:val="Normal"/>
    <w:link w:val="Heading3Char"/>
    <w:uiPriority w:val="9"/>
    <w:unhideWhenUsed/>
    <w:qFormat/>
    <w:rsid w:val="006E4938"/>
    <w:pPr>
      <w:keepNext/>
      <w:keepLines/>
      <w:spacing w:before="160" w:after="80"/>
      <w:outlineLvl w:val="2"/>
    </w:pPr>
    <w:rPr>
      <w:rFonts w:eastAsiaTheme="majorEastAsia" w:cstheme="majorBidi"/>
      <w:color w:val="0F4761" w:themeColor="accent1" w:themeShade="BF"/>
      <w:szCs w:val="28"/>
    </w:rPr>
  </w:style>
  <w:style w:type="paragraph" w:styleId="Heading4">
    <w:name w:val="heading 4"/>
    <w:basedOn w:val="Normal"/>
    <w:next w:val="Normal"/>
    <w:link w:val="Heading4Char"/>
    <w:uiPriority w:val="9"/>
    <w:semiHidden/>
    <w:unhideWhenUsed/>
    <w:qFormat/>
    <w:rsid w:val="000A0F50"/>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A0F50"/>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A0F5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A0F5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A0F5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A0F5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6E52"/>
    <w:rPr>
      <w:rFonts w:ascii="Times New Roman" w:hAnsi="Times New Roman" w:cs="Times New Roman"/>
      <w:b/>
      <w:bCs/>
      <w:lang w:val="en-GB"/>
    </w:rPr>
  </w:style>
  <w:style w:type="character" w:customStyle="1" w:styleId="Heading2Char">
    <w:name w:val="Heading 2 Char"/>
    <w:basedOn w:val="DefaultParagraphFont"/>
    <w:link w:val="Heading2"/>
    <w:uiPriority w:val="9"/>
    <w:rsid w:val="00096E52"/>
    <w:rPr>
      <w:rFonts w:ascii="Times New Roman" w:hAnsi="Times New Roman" w:cs="Times New Roman"/>
      <w:b/>
      <w:bCs/>
      <w:i/>
      <w:iCs/>
      <w:lang w:val="en-GB"/>
    </w:rPr>
  </w:style>
  <w:style w:type="character" w:customStyle="1" w:styleId="Heading3Char">
    <w:name w:val="Heading 3 Char"/>
    <w:basedOn w:val="DefaultParagraphFont"/>
    <w:link w:val="Heading3"/>
    <w:uiPriority w:val="9"/>
    <w:rsid w:val="006E4938"/>
    <w:rPr>
      <w:rFonts w:ascii="Times New Roman" w:eastAsiaTheme="majorEastAsia" w:hAnsi="Times New Roman" w:cstheme="majorBidi"/>
      <w:color w:val="0F4761" w:themeColor="accent1" w:themeShade="BF"/>
      <w:szCs w:val="28"/>
    </w:rPr>
  </w:style>
  <w:style w:type="paragraph" w:styleId="Title">
    <w:name w:val="Title"/>
    <w:basedOn w:val="Normal"/>
    <w:next w:val="Normal"/>
    <w:link w:val="TitleChar"/>
    <w:uiPriority w:val="10"/>
    <w:qFormat/>
    <w:rsid w:val="0067191F"/>
    <w:pPr>
      <w:spacing w:after="80" w:line="240" w:lineRule="auto"/>
      <w:contextualSpacing/>
      <w:jc w:val="center"/>
    </w:pPr>
    <w:rPr>
      <w:rFonts w:eastAsiaTheme="majorEastAsia"/>
      <w:b/>
      <w:bCs/>
      <w:spacing w:val="-10"/>
      <w:kern w:val="28"/>
      <w:sz w:val="32"/>
      <w:szCs w:val="32"/>
    </w:rPr>
  </w:style>
  <w:style w:type="character" w:customStyle="1" w:styleId="TitleChar">
    <w:name w:val="Title Char"/>
    <w:basedOn w:val="DefaultParagraphFont"/>
    <w:link w:val="Title"/>
    <w:uiPriority w:val="10"/>
    <w:rsid w:val="0067191F"/>
    <w:rPr>
      <w:rFonts w:ascii="Times New Roman" w:eastAsiaTheme="majorEastAsia" w:hAnsi="Times New Roman" w:cs="Times New Roman"/>
      <w:b/>
      <w:bCs/>
      <w:spacing w:val="-10"/>
      <w:kern w:val="28"/>
      <w:sz w:val="32"/>
      <w:szCs w:val="32"/>
      <w:lang w:val="en-US"/>
    </w:rPr>
  </w:style>
  <w:style w:type="paragraph" w:customStyle="1" w:styleId="Image">
    <w:name w:val="Image"/>
    <w:basedOn w:val="Normal"/>
    <w:qFormat/>
    <w:rsid w:val="00201B78"/>
    <w:pPr>
      <w:jc w:val="center"/>
    </w:pPr>
    <w:rPr>
      <w:rFonts w:cstheme="minorBidi"/>
      <w:i/>
      <w:noProof/>
      <w:color w:val="000000" w:themeColor="text1"/>
      <w:kern w:val="0"/>
      <w:szCs w:val="22"/>
      <w:lang w:eastAsia="en-GB"/>
      <w14:ligatures w14:val="none"/>
    </w:rPr>
  </w:style>
  <w:style w:type="character" w:customStyle="1" w:styleId="Heading4Char">
    <w:name w:val="Heading 4 Char"/>
    <w:basedOn w:val="DefaultParagraphFont"/>
    <w:link w:val="Heading4"/>
    <w:uiPriority w:val="9"/>
    <w:semiHidden/>
    <w:rsid w:val="000A0F50"/>
    <w:rPr>
      <w:rFonts w:eastAsiaTheme="majorEastAsia" w:cstheme="majorBidi"/>
      <w:i/>
      <w:iCs/>
      <w:color w:val="0F4761" w:themeColor="accent1" w:themeShade="BF"/>
      <w:lang w:val="en-US"/>
    </w:rPr>
  </w:style>
  <w:style w:type="character" w:customStyle="1" w:styleId="Heading5Char">
    <w:name w:val="Heading 5 Char"/>
    <w:basedOn w:val="DefaultParagraphFont"/>
    <w:link w:val="Heading5"/>
    <w:uiPriority w:val="9"/>
    <w:semiHidden/>
    <w:rsid w:val="000A0F50"/>
    <w:rPr>
      <w:rFonts w:eastAsiaTheme="majorEastAsia" w:cstheme="majorBidi"/>
      <w:color w:val="0F4761" w:themeColor="accent1" w:themeShade="BF"/>
      <w:lang w:val="en-US"/>
    </w:rPr>
  </w:style>
  <w:style w:type="character" w:customStyle="1" w:styleId="Heading6Char">
    <w:name w:val="Heading 6 Char"/>
    <w:basedOn w:val="DefaultParagraphFont"/>
    <w:link w:val="Heading6"/>
    <w:uiPriority w:val="9"/>
    <w:semiHidden/>
    <w:rsid w:val="000A0F50"/>
    <w:rPr>
      <w:rFonts w:eastAsiaTheme="majorEastAsia" w:cstheme="majorBidi"/>
      <w:i/>
      <w:iCs/>
      <w:color w:val="595959" w:themeColor="text1" w:themeTint="A6"/>
      <w:lang w:val="en-US"/>
    </w:rPr>
  </w:style>
  <w:style w:type="character" w:customStyle="1" w:styleId="Heading7Char">
    <w:name w:val="Heading 7 Char"/>
    <w:basedOn w:val="DefaultParagraphFont"/>
    <w:link w:val="Heading7"/>
    <w:uiPriority w:val="9"/>
    <w:semiHidden/>
    <w:rsid w:val="000A0F50"/>
    <w:rPr>
      <w:rFonts w:eastAsiaTheme="majorEastAsia" w:cstheme="majorBidi"/>
      <w:color w:val="595959" w:themeColor="text1" w:themeTint="A6"/>
      <w:lang w:val="en-US"/>
    </w:rPr>
  </w:style>
  <w:style w:type="character" w:customStyle="1" w:styleId="Heading8Char">
    <w:name w:val="Heading 8 Char"/>
    <w:basedOn w:val="DefaultParagraphFont"/>
    <w:link w:val="Heading8"/>
    <w:uiPriority w:val="9"/>
    <w:semiHidden/>
    <w:rsid w:val="000A0F50"/>
    <w:rPr>
      <w:rFonts w:eastAsiaTheme="majorEastAsia" w:cstheme="majorBidi"/>
      <w:i/>
      <w:iCs/>
      <w:color w:val="272727" w:themeColor="text1" w:themeTint="D8"/>
      <w:lang w:val="en-US"/>
    </w:rPr>
  </w:style>
  <w:style w:type="character" w:customStyle="1" w:styleId="Heading9Char">
    <w:name w:val="Heading 9 Char"/>
    <w:basedOn w:val="DefaultParagraphFont"/>
    <w:link w:val="Heading9"/>
    <w:uiPriority w:val="9"/>
    <w:semiHidden/>
    <w:rsid w:val="000A0F50"/>
    <w:rPr>
      <w:rFonts w:eastAsiaTheme="majorEastAsia" w:cstheme="majorBidi"/>
      <w:color w:val="272727" w:themeColor="text1" w:themeTint="D8"/>
      <w:lang w:val="en-US"/>
    </w:rPr>
  </w:style>
  <w:style w:type="paragraph" w:styleId="Subtitle">
    <w:name w:val="Subtitle"/>
    <w:basedOn w:val="Normal"/>
    <w:next w:val="Normal"/>
    <w:link w:val="SubtitleChar"/>
    <w:uiPriority w:val="11"/>
    <w:qFormat/>
    <w:rsid w:val="000A0F5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0F50"/>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0A0F50"/>
    <w:pPr>
      <w:spacing w:before="160"/>
      <w:jc w:val="center"/>
    </w:pPr>
    <w:rPr>
      <w:i/>
      <w:iCs/>
      <w:color w:val="404040" w:themeColor="text1" w:themeTint="BF"/>
    </w:rPr>
  </w:style>
  <w:style w:type="character" w:customStyle="1" w:styleId="QuoteChar">
    <w:name w:val="Quote Char"/>
    <w:basedOn w:val="DefaultParagraphFont"/>
    <w:link w:val="Quote"/>
    <w:uiPriority w:val="29"/>
    <w:rsid w:val="000A0F50"/>
    <w:rPr>
      <w:rFonts w:ascii="Times New Roman" w:hAnsi="Times New Roman" w:cs="Times New Roman"/>
      <w:i/>
      <w:iCs/>
      <w:color w:val="404040" w:themeColor="text1" w:themeTint="BF"/>
      <w:lang w:val="en-US"/>
    </w:rPr>
  </w:style>
  <w:style w:type="paragraph" w:styleId="ListParagraph">
    <w:name w:val="List Paragraph"/>
    <w:basedOn w:val="Normal"/>
    <w:uiPriority w:val="34"/>
    <w:qFormat/>
    <w:rsid w:val="000A0F50"/>
    <w:pPr>
      <w:ind w:left="720"/>
      <w:contextualSpacing/>
    </w:pPr>
  </w:style>
  <w:style w:type="character" w:styleId="IntenseEmphasis">
    <w:name w:val="Intense Emphasis"/>
    <w:basedOn w:val="DefaultParagraphFont"/>
    <w:uiPriority w:val="21"/>
    <w:qFormat/>
    <w:rsid w:val="000A0F50"/>
    <w:rPr>
      <w:i/>
      <w:iCs/>
      <w:color w:val="0F4761" w:themeColor="accent1" w:themeShade="BF"/>
    </w:rPr>
  </w:style>
  <w:style w:type="paragraph" w:styleId="IntenseQuote">
    <w:name w:val="Intense Quote"/>
    <w:basedOn w:val="Normal"/>
    <w:next w:val="Normal"/>
    <w:link w:val="IntenseQuoteChar"/>
    <w:uiPriority w:val="30"/>
    <w:qFormat/>
    <w:rsid w:val="000A0F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0F50"/>
    <w:rPr>
      <w:rFonts w:ascii="Times New Roman" w:hAnsi="Times New Roman" w:cs="Times New Roman"/>
      <w:i/>
      <w:iCs/>
      <w:color w:val="0F4761" w:themeColor="accent1" w:themeShade="BF"/>
      <w:lang w:val="en-US"/>
    </w:rPr>
  </w:style>
  <w:style w:type="character" w:styleId="IntenseReference">
    <w:name w:val="Intense Reference"/>
    <w:basedOn w:val="DefaultParagraphFont"/>
    <w:uiPriority w:val="32"/>
    <w:qFormat/>
    <w:rsid w:val="000A0F50"/>
    <w:rPr>
      <w:b/>
      <w:bCs/>
      <w:smallCaps/>
      <w:color w:val="0F4761" w:themeColor="accent1" w:themeShade="BF"/>
      <w:spacing w:val="5"/>
    </w:rPr>
  </w:style>
  <w:style w:type="paragraph" w:styleId="NormalWeb">
    <w:name w:val="Normal (Web)"/>
    <w:basedOn w:val="Normal"/>
    <w:uiPriority w:val="99"/>
    <w:semiHidden/>
    <w:unhideWhenUsed/>
    <w:rsid w:val="00096E52"/>
    <w:pPr>
      <w:spacing w:before="100" w:beforeAutospacing="1" w:after="100" w:afterAutospacing="1" w:line="240" w:lineRule="auto"/>
      <w:jc w:val="left"/>
    </w:pPr>
    <w:rPr>
      <w:rFonts w:eastAsia="Times New Roman"/>
      <w:kern w:val="0"/>
      <w14:ligatures w14:val="none"/>
    </w:rPr>
  </w:style>
  <w:style w:type="paragraph" w:styleId="TOCHeading">
    <w:name w:val="TOC Heading"/>
    <w:basedOn w:val="Heading1"/>
    <w:next w:val="Normal"/>
    <w:uiPriority w:val="39"/>
    <w:unhideWhenUsed/>
    <w:qFormat/>
    <w:rsid w:val="00172725"/>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172725"/>
    <w:pPr>
      <w:spacing w:after="100"/>
    </w:pPr>
  </w:style>
  <w:style w:type="paragraph" w:styleId="TOC2">
    <w:name w:val="toc 2"/>
    <w:basedOn w:val="Normal"/>
    <w:next w:val="Normal"/>
    <w:autoRedefine/>
    <w:uiPriority w:val="39"/>
    <w:unhideWhenUsed/>
    <w:rsid w:val="00172725"/>
    <w:pPr>
      <w:spacing w:after="100"/>
      <w:ind w:left="240"/>
    </w:pPr>
  </w:style>
  <w:style w:type="character" w:styleId="Hyperlink">
    <w:name w:val="Hyperlink"/>
    <w:basedOn w:val="DefaultParagraphFont"/>
    <w:uiPriority w:val="99"/>
    <w:unhideWhenUsed/>
    <w:rsid w:val="00172725"/>
    <w:rPr>
      <w:color w:val="467886" w:themeColor="hyperlink"/>
      <w:u w:val="single"/>
    </w:rPr>
  </w:style>
  <w:style w:type="paragraph" w:styleId="Header">
    <w:name w:val="header"/>
    <w:basedOn w:val="Normal"/>
    <w:link w:val="HeaderChar"/>
    <w:uiPriority w:val="99"/>
    <w:unhideWhenUsed/>
    <w:rsid w:val="00D16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6F63"/>
    <w:rPr>
      <w:rFonts w:ascii="Times New Roman" w:hAnsi="Times New Roman" w:cs="Times New Roman"/>
      <w:lang w:val="en-GB"/>
    </w:rPr>
  </w:style>
  <w:style w:type="paragraph" w:styleId="Footer">
    <w:name w:val="footer"/>
    <w:basedOn w:val="Normal"/>
    <w:link w:val="FooterChar"/>
    <w:uiPriority w:val="99"/>
    <w:unhideWhenUsed/>
    <w:rsid w:val="00D16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6F63"/>
    <w:rPr>
      <w:rFonts w:ascii="Times New Roman" w:hAnsi="Times New Roman" w:cs="Times New Roman"/>
      <w:lang w:val="en-GB"/>
    </w:rPr>
  </w:style>
  <w:style w:type="table" w:customStyle="1" w:styleId="PlainTable11">
    <w:name w:val="Plain Table 11"/>
    <w:basedOn w:val="TableNormal"/>
    <w:next w:val="PlainTable1"/>
    <w:uiPriority w:val="41"/>
    <w:rsid w:val="009A7D6C"/>
    <w:pPr>
      <w:spacing w:after="0" w:line="240" w:lineRule="auto"/>
    </w:pPr>
    <w:rPr>
      <w:rFonts w:ascii="Calibri" w:eastAsia="Calibri" w:hAnsi="Calibri" w:cs="Arial"/>
      <w:kern w:val="0"/>
      <w:sz w:val="22"/>
      <w:szCs w:val="22"/>
      <w:lang w:val="en-GB"/>
      <w14:ligatures w14:val="none"/>
    </w:rPr>
    <w:tblPr>
      <w:tblStyleRowBandSize w:val="1"/>
      <w:tblStyleColBandSize w:val="1"/>
      <w:tblInd w:w="0" w:type="nil"/>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styleId="PlainTable1">
    <w:name w:val="Plain Table 1"/>
    <w:basedOn w:val="TableNormal"/>
    <w:uiPriority w:val="41"/>
    <w:rsid w:val="009A7D6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9A7D6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3">
    <w:name w:val="toc 3"/>
    <w:basedOn w:val="Normal"/>
    <w:next w:val="Normal"/>
    <w:autoRedefine/>
    <w:uiPriority w:val="39"/>
    <w:unhideWhenUsed/>
    <w:rsid w:val="00E85144"/>
    <w:pPr>
      <w:spacing w:after="100"/>
      <w:ind w:left="480"/>
    </w:pPr>
  </w:style>
  <w:style w:type="table" w:styleId="GridTable1Light">
    <w:name w:val="Grid Table 1 Light"/>
    <w:basedOn w:val="TableNormal"/>
    <w:uiPriority w:val="46"/>
    <w:rsid w:val="002105B1"/>
    <w:pPr>
      <w:spacing w:after="0" w:line="240" w:lineRule="auto"/>
    </w:pPr>
    <w:rPr>
      <w:rFonts w:eastAsiaTheme="minorEastAsia"/>
      <w:lang w:eastAsia="zh-CN"/>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customXml" Target="ink/ink3.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customXml" Target="ink/ink2.xml"/><Relationship Id="rId20" Type="http://schemas.openxmlformats.org/officeDocument/2006/relationships/customXml" Target="ink/ink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image" Target="media/image3.png"/><Relationship Id="rId19" Type="http://schemas.openxmlformats.org/officeDocument/2006/relationships/customXml" Target="ink/ink4.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ustomXml" Target="ink/ink1.xml"/><Relationship Id="rId22"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5-09T17:22:12.513"/>
    </inkml:context>
    <inkml:brush xml:id="br0">
      <inkml:brushProperty name="width" value="0.025" units="cm"/>
      <inkml:brushProperty name="height" value="0.025" units="cm"/>
    </inkml:brush>
  </inkml:definitions>
  <inkml:trace contextRef="#ctx0" brushRef="#br0">1 0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5-09T17:23:03.916"/>
    </inkml:context>
    <inkml:brush xml:id="br0">
      <inkml:brushProperty name="width" value="0.025" units="cm"/>
      <inkml:brushProperty name="height" value="0.025" units="cm"/>
    </inkml:brush>
  </inkml:definitions>
  <inkml:trace contextRef="#ctx0" brushRef="#br0">1249 87 24575,'-12'0'0,"-1"1"0,1 0 0,0 0 0,0 1 0,0 0 0,-18 5 0,-64 22 0,52-15 0,-56 17 0,-123 45 0,172-56 0,-65 27 0,-165 70 0,215-91 0,59-24 0,1-1 0,0 1 0,-1 0 0,1 0 0,0 0 0,1 0 0,-1 0 0,1 1 0,-1-1 0,1 1 0,0-1 0,1 1 0,-1 0 0,1 0 0,-1 0 0,1 0 0,-2 6 0,-110 299 0,111-298 0,1-1 0,0 1 0,0 9 0,2-15 0,1-1 0,-1 1 0,1 0 0,1-1 0,-1 1 0,0-1 0,1 1 0,0-1 0,1 0 0,-1 1 0,5 3 0,17 14 0,2 1 0,1-2 0,2-1 0,1 0 0,57 27 0,-27-19 0,2-3 0,2-1 0,0-2 0,3-2 0,0-2 0,1-1 0,111 14 0,138-2 0,3-15 0,-174-10 0,1-4 0,231-22 0,281-60 0,20-58 0,-367 57 0,109-24 0,627-132 0,-938 215 0,-103 23 0,7-1 0,-1 0 0,0-1 0,0 0 0,0 0 0,-1 0 0,18-10 0,-29 14 0,-1 0 0,1 0 0,-1-1 0,1 1 0,-1 0 0,0-1 0,1 1 0,-1 0 0,0 0 0,1-1 0,-1 1 0,0 0 0,1-1 0,-1 1 0,0-1 0,0 1 0,0 0 0,0-1 0,0 1 0,1 0 0,-1-1 0,0 1 0,0-1 0,0 1 0,-1 0 0,1-1 0,0 1 0,0 0 0,0-1 0,0 1 0,0-1 0,-1 1 0,1 0 0,0-1 0,-1 1 0,1 0 0,0-1 0,-1 1 0,1 0 0,-3-2 0,0 0 0,0 1 0,0-1 0,0 1 0,0 0 0,-4-1 0,-22-7 0,0 2 0,-1 0 0,-36-5 0,-62-6-337,-1 3 0,-165-5-1,-266 16-673,314 13 419,1 7 0,-291 44 0,-459 127-1737,625-102 1986,-288 66 1471,482-110 359,-149 28 2254,311-66-3622,9-2-120,1 0 1,-1 0-1,1 0 0,-1-1 1,-8 1-1,26-5 1,197-51 0,51-16-772,103-34-2317,1859-633-4233,-2058 677 9479,-144 52-1811,-12 5 3269,-33 11-2188,-31 12 1,31-11-863,-107 40-22,-83 30-963,-88 29-1262,-604 186-181,-26-14-869,409-124 2283,489-144 315,-149 47 69,183-58 65,-31 14 756,31-14-736,0 0-1,-1 0 1,1 0-1,0 0 1,0 1-1,0-1 1,-1 0-1,1 0 0,0 0 1,0 0-1,0 0 1,0 1-1,0-1 1,-1 0-1,1 0 1,0 0-1,0 0 0,0 1 1,0-1-1,0 0 1,0 0-1,0 0 1,0 0-1,0 1 1,0-1-1,0 0 0,0 0 1,0 0-1,0 1 1,0-1-1,1 0 1,-1 0-1,0 0 1,0 0-1,0 1 0,1-1 35,1 1 0,-1-1 0,0 0 0,1 1 0,-1-1-1,0 0 1,1 0 0,-1 1 0,0-1 0,1 0 0,-1 0 0,2 0-1,16-1 91,-1 1 0,29-5 0,122-20-144,109-29 99,89-27 297,1442-373-4198,-1590 393 3560,56-17 242,-167 48 2073,-106 29-2048,9-2 1175,-22 9 1781,-125 45-247,-15 1-2339,-74 26-958,-73 20-1688,-912 280-32,441-142 280,494-151 1345,214-66 658,42-10 733,21-9-636,-1 0 0,1 0 1,-1 0-1,1 0 0,-1 0 0,1 0 0,-1-1 1,0 1-1,1 0 0,-1 0 0,1-1 0,-1 1 0,2-1 1,161-38 356,-115 27-490,190-51 160,93-28 372,126-38-1119,903-242-3262,-1327 362 3855,91-20 451,-104 27 636,-21 2-1021,0 0-1,1 0 1,-1 0-1,0 0 1,0 0-1,0 0 1,1 0-1,-1 0 1,0 0-1,0 0 0,0 0 1,1 0-1,-1 0 1,0 1-1,0-1 1,0 0-1,0 0 1,1 0-1,-1 0 1,0 0-1,0 0 1,0 0-1,0 0 1,0 0-1,1 1 1,-1-1-1,0 0 1,0 0-1,0 0 1,0 0-1,0 0 1,0 0-1,0 1 1,0-1-1,0 0 1,0 0-1,0 0 1,0 0-1,0 0 1,0 0-1,0 1 1,0-1-1,-2 2 382,1 0-1,-1 0 1,0 0-1,-1 0 0,1 0 1,0 0-1,-4 2 1,-229 156 2348,71-57-3227,-275 134 0,437-237 462,-14 8 0,0 0 0,-33 10 0,48-18 0,1 1 0,-1-1-1,0 0 1,0 0 0,0 1 0,0-1 0,0 0 0,1 0-1,-1 0 1,0 0 0,0 1 0,0-1 0,0 0-1,0 0 1,0 0 0,0 0 0,0-1 0,0 1-1,0 0 1,0 0 0,1 0 0,-1 0 0,0-1 0,0 1-1,0 0 1,0 0 0,1-1 0,-1 1 0,0 0-1,0-1 1,1 1 0,-1-1 0,0 1 0,1-1-1,-1 1 1,1-1 0,-1 0 0,-1-2 20,0 0 0,1 0 0,0 0 0,0 0 0,0 0 0,0-4 0,0 4 12,-20-184 790,-44-104-822,-29 3 0,90 271 0,4 16 0,3 3 0,16 29 0,7 12-12,202 341-768,19-4 108,-225-352 672,-22-28 0,0 1 0,0-1 0,1 0 0,-1 1 0,0-1 0,0 0 0,1 0 0,-1 1 0,0-1 0,1 0 0,-1 0 0,0 0 0,1 1 0,-1-1 0,0 0 0,1 0 0,-1 0 0,1 0 0,-1 0 0,1 1 0,-1-1 0,1 0 0,4-5 0,-2-15 0,-8-55 715,-28-108 0,16 103-930,-86-405-520,100 471 735,3 14 0,0 0 0,0 0 0,-1 0 0,1 0 0,0 0 0,0 0 0,0 1 0,0-1 0,0 0 0,0-1 0,0 1 0,0 0 0,0 0 0,0 0 0,0 0 0,0 0 0,0 0 0,0 0 0,0 0 0,-1 0 0,1 0 0,0 0 0,0 0 0,0 0 0,0 0 0,0 0 0,0 0 0,0 0 0,0 0 0,0 0 0,0 26 0,38 342-433,-31-309 124,57 320-28,-56-348 337,-4-22 0,-4-9 0,0 0 0,0 0 0,0 0 0,0 0 0,0 0 0,0 0 0,0 0 0,0 0 0,0 0 0,1 0 0,-1 0 0,0 0 0,0 0 0,0 0 0,0 0 0,0 0 0,0 0 0,0 0 0,0 0 0,0 0 0,0 0 0,1 0 0,-1 0 0,0 0 0,0 0 0,0 0 0,0 0 0,0 0 0,0 0 0,0 0 0,0 0 0,0 0 0,0 0 0,0 0 0,1 0 0,-1 0 0,0 0 0,0 0 0,0 0 0,0 0 0,0 0 0,0 0 0,0 0 0,0 0 0,0 0 0,0 0 0,0 0 0,0 0 0,0 0 0,0 0 0,0-1 0,0 1 0,0 0 0,0 0 0,0 0 0,0 0 0,0 0 0,0 0 0,0 0 0,0 0 0,0 0 0,5-19 0,7-127 0,-21-699 305,1 749-146,43 234-159,80 176 0,-100-277 800,42 62-1,-44-85-799,-13-13 0,0-1 0,0 0 0,0 0 0,0 0 0,0 0 0,0 0 0,1 0 0,-1 0 0,0 0 0,0 1 0,0-1 0,0 0 0,1 0 0,-1 0 0,0 0 0,0 0 0,0 0 0,1 0 0,-1 0 0,0 0 0,0 0 0,0 0 0,1 0 0,-1 0 0,0 0 0,0 0 0,0 0 0,1 0 0,-1 0 0,0 0 0,0 0 0,0 0 0,1 0 0,-1 0 0,0 0 0,0 0 0,0 0 0,0-1 0,1 1 0,-1 0 0,0 0 0,0 0 0,0 0 0,0 0 0,0 0 0,1 0 0,-1 0 0,0 0 0,0-1 0,0 1 0,0 0 0,0 0 0,0 0 0,0 0 0,0 0 0,0 0 0,0-1 0,0 1 0,0 0 0,0 0 0,0 0 0,3-11 0,-3 11 0,-1-130 0,-2 26 0,6 87 0,1 10 0,-4 7 0,0 0 0,0 0 0,0 0 0,0 0 0,0 0 0,1 0 0,-1 0 0,0 0 0,0-1 0,0 1 0,0 0 0,1 0 0,-1 0 0,0 0 0,0 0 0,0 0 0,0 0 0,1 0 0,-1 0 0,0 1 0,0-1 0,0 0 0,0 0 0,1 0 0,-1 0 0,0 0 0,0 0 0,0 0 0,0 0 0,0 0 0,1 0 0,-1 0 0,0 0 0,0 0 0,0 0 0,0 1 0,0-1 0,0 0 0,0 0 0,0 0 0,1 0 0,-1 0 0,0 0 0,0 0 0,0 0 0,0 1 0,0-1 0,12 15 0,-2 0 0,0 1 0,8 22 0,-2-6 0,-6-14 0,18 34 0,21 68 0,-48-118-136,-1 0-1,1 0 1,0 0-1,0 0 1,0-1-1,0 1 1,0 0-1,0 0 0,3 1 1,2 1-6690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5-09T17:22:40.614"/>
    </inkml:context>
    <inkml:brush xml:id="br0">
      <inkml:brushProperty name="width" value="0.025" units="cm"/>
      <inkml:brushProperty name="height" value="0.025" units="cm"/>
    </inkml:brush>
  </inkml:definitions>
  <inkml:trace contextRef="#ctx0" brushRef="#br0">1 0 24575,'0'0'-8191</inkml:trace>
  <inkml:trace contextRef="#ctx0" brushRef="#br0" timeOffset="206.82">1 0 24575,'0'0'-8191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5-09T17:23:16.464"/>
    </inkml:context>
    <inkml:brush xml:id="br0">
      <inkml:brushProperty name="width" value="0.025" units="cm"/>
      <inkml:brushProperty name="height" value="0.025" units="cm"/>
    </inkml:brush>
  </inkml:definitions>
  <inkml:trace contextRef="#ctx0" brushRef="#br0">1 0 24575,'0'0'-8191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5-09T17:22:39.117"/>
    </inkml:context>
    <inkml:brush xml:id="br0">
      <inkml:brushProperty name="width" value="0.025" units="cm"/>
      <inkml:brushProperty name="height" value="0.025" units="cm"/>
    </inkml:brush>
  </inkml:definitions>
  <inkml:trace contextRef="#ctx0" brushRef="#br0">1 0 24575</inkml:trace>
  <inkml:trace contextRef="#ctx0" brushRef="#br0" timeOffset="175.8">1 0 24575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17C860-FB6D-4CA0-AF0D-181D561F64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72</Pages>
  <Words>23282</Words>
  <Characters>132714</Characters>
  <Application>Microsoft Office Word</Application>
  <DocSecurity>0</DocSecurity>
  <Lines>1105</Lines>
  <Paragraphs>311</Paragraphs>
  <ScaleCrop>false</ScaleCrop>
  <Company/>
  <LinksUpToDate>false</LinksUpToDate>
  <CharactersWithSpaces>155685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Workplace</dc:creator>
  <cp:keywords/>
  <dc:description/>
  <cp:lastModifiedBy>Adji makangila</cp:lastModifiedBy>
  <cp:revision>2</cp:revision>
  <dcterms:created xsi:type="dcterms:W3CDTF">2026-05-09T20:47:00Z</dcterms:created>
  <dcterms:modified xsi:type="dcterms:W3CDTF">2026-05-09T20:47:00Z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44c86ccc-5f3c-4e78-a755-2d50086fbadc</vt:lpwstr>
  </property>
</Properties>
</file>