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52BDAE" w14:textId="77777777" w:rsidR="00304F1C" w:rsidRDefault="00304F1C" w:rsidP="00304F1C">
      <w:pPr>
        <w:ind w:left="720" w:hanging="360"/>
        <w:jc w:val="center"/>
        <w:rPr>
          <w:u w:val="single"/>
        </w:rPr>
      </w:pPr>
      <w:r w:rsidRPr="00304F1C">
        <w:rPr>
          <w:u w:val="single"/>
        </w:rPr>
        <w:t>Supporting Children with Additional Learning Needs</w:t>
      </w:r>
    </w:p>
    <w:p w14:paraId="76822905" w14:textId="1B54332F" w:rsidR="006A45F7" w:rsidRDefault="006A45F7" w:rsidP="00304F1C">
      <w:pPr>
        <w:ind w:left="720" w:hanging="360"/>
        <w:jc w:val="center"/>
        <w:rPr>
          <w:u w:val="single"/>
        </w:rPr>
      </w:pPr>
      <w:r>
        <w:rPr>
          <w:u w:val="single"/>
        </w:rPr>
        <w:t>Autism spectrum disorder.</w:t>
      </w:r>
    </w:p>
    <w:p w14:paraId="68B6B4CE" w14:textId="77777777" w:rsidR="00BB5F6D" w:rsidRPr="005671B3" w:rsidRDefault="00BB5F6D" w:rsidP="00BB5F6D">
      <w:pPr>
        <w:ind w:left="720" w:hanging="360"/>
        <w:rPr>
          <w:u w:val="single"/>
        </w:rPr>
      </w:pPr>
    </w:p>
    <w:p w14:paraId="314597C0" w14:textId="24424DFC" w:rsidR="00CA4CFF" w:rsidRPr="005671B3" w:rsidRDefault="008606AF" w:rsidP="00CA4CFF">
      <w:r w:rsidRPr="005671B3">
        <w:t>Thank you for that warm introduction, Joe,</w:t>
      </w:r>
      <w:r w:rsidR="00CA4CFF" w:rsidRPr="005671B3">
        <w:rPr>
          <w:rFonts w:ascii="Times New Roman" w:eastAsia="Times New Roman" w:hAnsi="Times New Roman" w:cs="Times New Roman"/>
          <w:kern w:val="0"/>
          <w:lang w:eastAsia="en-GB"/>
          <w14:ligatures w14:val="none"/>
        </w:rPr>
        <w:t xml:space="preserve"> </w:t>
      </w:r>
      <w:r w:rsidR="00CA4CFF" w:rsidRPr="005671B3">
        <w:t xml:space="preserve">I chose </w:t>
      </w:r>
      <w:r w:rsidR="00C91F93" w:rsidRPr="005671B3">
        <w:t>autism spectrum disorder</w:t>
      </w:r>
      <w:r w:rsidR="00CA4CFF" w:rsidRPr="005671B3">
        <w:t xml:space="preserve"> (ASD) as the focus of my work due to a deeply personal connection. My son was referred for assessment at the age of three, which marked the beginning of our family's journey into understanding the complexities of ASD and navigating the support systems in place. This personal experience opened my eyes to both the challenges and the gaps in provision for children with suspected or diagnosed autism.</w:t>
      </w:r>
    </w:p>
    <w:p w14:paraId="55DB74F8" w14:textId="32B81C60" w:rsidR="00CA4CFF" w:rsidRPr="00CA4CFF" w:rsidRDefault="00042FAE" w:rsidP="00CA4CFF">
      <w:r w:rsidRPr="00CA4CFF">
        <w:t>I</w:t>
      </w:r>
      <w:r w:rsidR="00CA4CFF" w:rsidRPr="00CA4CFF">
        <w:t xml:space="preserve"> feel that there is not enough support available for children who do not have an</w:t>
      </w:r>
      <w:r w:rsidR="00CA4CFF" w:rsidRPr="005671B3">
        <w:t xml:space="preserve"> (IDP) Individual Development Plan</w:t>
      </w:r>
      <w:r w:rsidR="00CA4CFF" w:rsidRPr="00CA4CFF">
        <w:t>, as well as for their families. Many parents, including myself, often feel overwhelmed, isolated, and unsure of where to turn for guidance or practical help. The process can be long and emotionally draining, and in the meantime, children can miss out on valuable early intervention.</w:t>
      </w:r>
    </w:p>
    <w:p w14:paraId="2B7F4E72" w14:textId="447C8E06" w:rsidR="008606AF" w:rsidRPr="005671B3" w:rsidRDefault="005671B3" w:rsidP="008606AF">
      <w:pPr>
        <w:rPr>
          <w:u w:val="single"/>
        </w:rPr>
      </w:pPr>
      <w:r>
        <w:rPr>
          <w:u w:val="single"/>
        </w:rPr>
        <w:t>I</w:t>
      </w:r>
      <w:r w:rsidR="00983D07" w:rsidRPr="005671B3">
        <w:rPr>
          <w:u w:val="single"/>
        </w:rPr>
        <w:t>dentifi</w:t>
      </w:r>
      <w:r w:rsidRPr="005671B3">
        <w:rPr>
          <w:u w:val="single"/>
        </w:rPr>
        <w:t>cation</w:t>
      </w:r>
      <w:r w:rsidR="00983D07" w:rsidRPr="005671B3">
        <w:rPr>
          <w:u w:val="single"/>
        </w:rPr>
        <w:t xml:space="preserve"> and diagnos</w:t>
      </w:r>
      <w:r w:rsidRPr="005671B3">
        <w:rPr>
          <w:u w:val="single"/>
        </w:rPr>
        <w:t>es</w:t>
      </w:r>
      <w:r>
        <w:rPr>
          <w:u w:val="single"/>
        </w:rPr>
        <w:t>.</w:t>
      </w:r>
    </w:p>
    <w:p w14:paraId="627A4CBD" w14:textId="1F03D05D" w:rsidR="003F2373" w:rsidRPr="003F2373" w:rsidRDefault="008606AF" w:rsidP="003F2373">
      <w:bookmarkStart w:id="0" w:name="_Hlk198151557"/>
      <w:r w:rsidRPr="005671B3">
        <w:t xml:space="preserve">What is ASD </w:t>
      </w:r>
      <w:r w:rsidR="00CA4CFF" w:rsidRPr="005671B3">
        <w:t xml:space="preserve">– The abbreviation stands for autism spectrum disorder, the word spectrum </w:t>
      </w:r>
      <w:r w:rsidR="00393928" w:rsidRPr="005671B3">
        <w:t xml:space="preserve">is used </w:t>
      </w:r>
      <w:r w:rsidR="003F2373" w:rsidRPr="003F2373">
        <w:t>because it encompasses a wide range of characteristics, abilities, and support needs.</w:t>
      </w:r>
      <w:r w:rsidR="003F2373">
        <w:t xml:space="preserve"> T</w:t>
      </w:r>
      <w:r w:rsidR="003F2373" w:rsidRPr="003F2373">
        <w:t xml:space="preserve">he identification and diagnosis of </w:t>
      </w:r>
      <w:proofErr w:type="spellStart"/>
      <w:r w:rsidR="003D38EA" w:rsidRPr="003F2373">
        <w:t>a</w:t>
      </w:r>
      <w:r w:rsidR="003D38EA">
        <w:t>sd</w:t>
      </w:r>
      <w:proofErr w:type="spellEnd"/>
      <w:r w:rsidR="003D38EA">
        <w:t xml:space="preserve"> </w:t>
      </w:r>
      <w:r w:rsidR="003F2373" w:rsidRPr="003F2373">
        <w:t>var</w:t>
      </w:r>
      <w:r w:rsidR="003D38EA">
        <w:t>ies</w:t>
      </w:r>
      <w:r w:rsidR="003F2373" w:rsidRPr="003F2373">
        <w:t xml:space="preserve"> across countries, reflecting differences in healthcare systems, diagnostic criteria, cultural attitudes, and professional training. </w:t>
      </w:r>
    </w:p>
    <w:bookmarkEnd w:id="0"/>
    <w:p w14:paraId="08DECF3F" w14:textId="3B291F7B" w:rsidR="003F2373" w:rsidRPr="003F2373" w:rsidRDefault="003F2373" w:rsidP="003F2373">
      <w:r w:rsidRPr="003F2373">
        <w:t>In the United States, clinicians typically follow the Diagnostic and Statistical Manual of Mental Disorders, published by the American Psychiatric Association. The DSM-5 defines ASD as a single condition with varying degrees of severity, combining previous subcategories such as Asperger’s Syndrome and Pervasive Developmental Disorder-Not Otherwise Specified (PDD-NOS) into one spectrum diagnosis (APA, 2013).</w:t>
      </w:r>
      <w:r w:rsidRPr="00780CAE">
        <w:t xml:space="preserve"> </w:t>
      </w:r>
    </w:p>
    <w:p w14:paraId="573195A5" w14:textId="02D6E136" w:rsidR="003F2373" w:rsidRDefault="003F2373" w:rsidP="003F2373">
      <w:r w:rsidRPr="003F2373">
        <w:t xml:space="preserve">In contrast, many European countries, including the UK, often rely on the International Classification of Diseases, 11th Revision issued by the World Health Organization. The ICD-11 also acknowledges ASD as a spectrum but employs different terminology and frameworks for its diagnostic criteria. </w:t>
      </w:r>
    </w:p>
    <w:p w14:paraId="2307B389" w14:textId="4D52175F" w:rsidR="003F2373" w:rsidRDefault="003F2373" w:rsidP="003F2373">
      <w:r w:rsidRPr="003F2373">
        <w:t xml:space="preserve">Cultural perceptions also influence diagnosis. For instance, a study </w:t>
      </w:r>
      <w:r w:rsidR="006A45F7">
        <w:t xml:space="preserve">looking at </w:t>
      </w:r>
      <w:r w:rsidRPr="003F2373">
        <w:t xml:space="preserve">diagnosis in South Korea found that autism was underdiagnosed in due to stigma and cultural beliefs about developmental disorders. When researchers used standardized screening tools across the general population, the estimated prevalence of ASD in South Korea was much higher than previously reported through clinical identification alone (Kim </w:t>
      </w:r>
      <w:r w:rsidRPr="006A45F7">
        <w:rPr>
          <w:i/>
          <w:iCs/>
        </w:rPr>
        <w:t>et al</w:t>
      </w:r>
      <w:r w:rsidRPr="003F2373">
        <w:t>., 2011).</w:t>
      </w:r>
    </w:p>
    <w:p w14:paraId="05E4BB4A" w14:textId="3267E94E" w:rsidR="00BE651E" w:rsidRPr="00BE651E" w:rsidRDefault="00BE651E" w:rsidP="00BE651E">
      <w:bookmarkStart w:id="1" w:name="_Hlk198062899"/>
      <w:r w:rsidRPr="00BE651E">
        <w:lastRenderedPageBreak/>
        <w:t xml:space="preserve">Identifying </w:t>
      </w:r>
      <w:proofErr w:type="spellStart"/>
      <w:r w:rsidR="003D38EA">
        <w:t>asd</w:t>
      </w:r>
      <w:proofErr w:type="spellEnd"/>
      <w:r w:rsidR="003D38EA">
        <w:t xml:space="preserve"> </w:t>
      </w:r>
      <w:r w:rsidRPr="00BE651E">
        <w:t xml:space="preserve">in the early years involves observing a child’s social, communication, and behavioural development. Early signs often emerge between 12 and 24 months of age but can sometimes be noticed even earlier (CDC, 2022). </w:t>
      </w:r>
      <w:bookmarkEnd w:id="1"/>
      <w:r w:rsidRPr="00BE651E">
        <w:t xml:space="preserve">Children with ASD may show limited eye contact, reduced response to their name, and delays in nonverbal communication such as pointing or waving (NICE, 2011). They might struggle to engage in social games like peek-a-boo or to share enjoyment with others through smiling or showing objects (APA, 2013). Language development may be delayed, with some children showing little interest in communicating through speech or gestures (Robins </w:t>
      </w:r>
      <w:r w:rsidRPr="006A45F7">
        <w:rPr>
          <w:i/>
          <w:iCs/>
        </w:rPr>
        <w:t>et al</w:t>
      </w:r>
      <w:r w:rsidRPr="00BE651E">
        <w:t>., 2009).</w:t>
      </w:r>
    </w:p>
    <w:p w14:paraId="32F1C666" w14:textId="652D36C9" w:rsidR="00BE651E" w:rsidRPr="00BE651E" w:rsidRDefault="00BE651E" w:rsidP="00BE651E">
      <w:r w:rsidRPr="00BE651E">
        <w:t>In terms of behaviour, children with ASD often exhibit repetitive movements such as hand-flapping or rocking, and they may develop intense interests in specific objects or routines (APA, 2013). Changes in routine or environment can cause distress. Some children might also display unusual sensory responses, such as being overly sensitive to sounds or textures (NICE, 2011).</w:t>
      </w:r>
    </w:p>
    <w:p w14:paraId="0054F998" w14:textId="53FF940D" w:rsidR="00BE651E" w:rsidRDefault="00BE651E" w:rsidP="00BE651E">
      <w:r w:rsidRPr="00BE651E">
        <w:t xml:space="preserve">Early identification is often supported through developmental screening and standardized tools like the Modified Checklist for Autism in Toddlers, typically used at 18 and 24 months during well-child visits (Robins et al., 2009). </w:t>
      </w:r>
      <w:bookmarkStart w:id="2" w:name="_Hlk198062978"/>
      <w:r w:rsidRPr="00BE651E">
        <w:t>Health professionals and early years practitioners play a critical role in noticing early signs and initiating referrals for further assessment.</w:t>
      </w:r>
      <w:bookmarkEnd w:id="2"/>
    </w:p>
    <w:p w14:paraId="5CE69819" w14:textId="48B77A9F" w:rsidR="00356C6A" w:rsidRPr="00356C6A" w:rsidRDefault="00356C6A" w:rsidP="00356C6A">
      <w:bookmarkStart w:id="3" w:name="_Hlk198151301"/>
      <w:r w:rsidRPr="00356C6A">
        <w:t xml:space="preserve">There is a significant difference in the identification and diagnosis of </w:t>
      </w:r>
      <w:r w:rsidR="003D38EA">
        <w:t>ASD</w:t>
      </w:r>
      <w:r w:rsidRPr="00356C6A">
        <w:t xml:space="preserve"> between boys and girls, both in how frequently they are diagnosed and in how their symptoms tend to present. Statistically, boys are diagnosed with ASD at a much higher rate than girls</w:t>
      </w:r>
      <w:r w:rsidR="003D38EA">
        <w:t xml:space="preserve"> </w:t>
      </w:r>
      <w:r w:rsidRPr="00356C6A">
        <w:t>on average, around 3 to 4 times more often (</w:t>
      </w:r>
      <w:proofErr w:type="spellStart"/>
      <w:r w:rsidRPr="00356C6A">
        <w:t>Loomes</w:t>
      </w:r>
      <w:proofErr w:type="spellEnd"/>
      <w:r w:rsidRPr="00356C6A">
        <w:t xml:space="preserve">, Hull &amp; Mandy, 2017). </w:t>
      </w:r>
      <w:bookmarkEnd w:id="3"/>
      <w:r w:rsidRPr="00356C6A">
        <w:t>This long-standing gender gap in diagnosis is increasingly understood not to reflect a true difference in prevalence, but rather differences in how autism manifests and is identified in boys and girls.</w:t>
      </w:r>
    </w:p>
    <w:p w14:paraId="1565E4EE" w14:textId="77777777" w:rsidR="00356C6A" w:rsidRPr="00356C6A" w:rsidRDefault="00356C6A" w:rsidP="00356C6A">
      <w:r w:rsidRPr="00356C6A">
        <w:t>Boys with ASD often display behaviours that are more easily recognised, such as repetitive actions, strong adherence to routines, and overt social difficulties. These behaviours tend to align more closely with traditional diagnostic criteria, which were largely developed based on male populations (Rutherford et al., 2016). As a result, boys are more likely to be referred for assessment at a younger age.</w:t>
      </w:r>
    </w:p>
    <w:p w14:paraId="010C3CE1" w14:textId="3E1FD9D8" w:rsidR="00356C6A" w:rsidRPr="00356C6A" w:rsidRDefault="003D38EA" w:rsidP="00356C6A">
      <w:r w:rsidRPr="00356C6A">
        <w:t>Girls</w:t>
      </w:r>
      <w:r w:rsidR="00356C6A" w:rsidRPr="00356C6A">
        <w:t xml:space="preserve"> are more likely to mask or "camouflage" their difficulties by imitating socially appropriate behaviours. They may show fewer externalising behaviours and are often better at mimicking social cues, which can make their struggles less visible to parents, teachers, and clinicians (Dean et al., 2017). This camouflaging contributes to delayed or missed diagnoses, especially in girls who are verbally able or do not display intellectual disabilities.</w:t>
      </w:r>
    </w:p>
    <w:p w14:paraId="7F7E5659" w14:textId="7ACB552A" w:rsidR="00356C6A" w:rsidRPr="00356C6A" w:rsidRDefault="00356C6A" w:rsidP="00356C6A">
      <w:r w:rsidRPr="00356C6A">
        <w:lastRenderedPageBreak/>
        <w:t>Moreover, autistic traits in girls are sometimes misinterpreted or attributed to other conditions, such as anxiety, depression, or ADHD (</w:t>
      </w:r>
      <w:proofErr w:type="spellStart"/>
      <w:r w:rsidRPr="00356C6A">
        <w:t>Kirkovski</w:t>
      </w:r>
      <w:proofErr w:type="spellEnd"/>
      <w:r w:rsidRPr="00356C6A">
        <w:t xml:space="preserve">, </w:t>
      </w:r>
      <w:proofErr w:type="spellStart"/>
      <w:r w:rsidRPr="00356C6A">
        <w:t>Enticott</w:t>
      </w:r>
      <w:proofErr w:type="spellEnd"/>
      <w:r w:rsidRPr="00356C6A">
        <w:t xml:space="preserve"> &amp; Fitzgerald, 2013). Girls may also express restricted interests in ways that appear more socially acceptable</w:t>
      </w:r>
      <w:r w:rsidR="003D38EA">
        <w:t xml:space="preserve"> </w:t>
      </w:r>
      <w:r w:rsidRPr="00356C6A">
        <w:t>such as being intensely interested in animals, books, or celebrities</w:t>
      </w:r>
      <w:r w:rsidR="005012E6">
        <w:t xml:space="preserve"> </w:t>
      </w:r>
      <w:r w:rsidRPr="00356C6A">
        <w:t>which can further mask autistic traits and lead to under-identification.</w:t>
      </w:r>
      <w:r>
        <w:t xml:space="preserve"> </w:t>
      </w:r>
      <w:r w:rsidRPr="00356C6A">
        <w:t>Due to these differences, girls with ASD are often diagnosed later than boys, sometimes not until adolescence or adulthood (Hiller, Young &amp; Weber, 2014). This delay can prevent them from accessing early interventions and support services that are critical to their development and well-being.</w:t>
      </w:r>
      <w:r w:rsidR="005012E6" w:rsidRPr="005012E6">
        <w:t xml:space="preserve"> </w:t>
      </w:r>
      <w:r w:rsidR="005012E6" w:rsidRPr="00C91F93">
        <w:t xml:space="preserve">As a result, many girls and women are either misdiagnosed or diagnosed later in life (Rynkiewicz </w:t>
      </w:r>
      <w:r w:rsidR="005012E6" w:rsidRPr="003D38EA">
        <w:rPr>
          <w:i/>
          <w:iCs/>
        </w:rPr>
        <w:t>et al</w:t>
      </w:r>
      <w:r w:rsidR="005012E6" w:rsidRPr="00C91F93">
        <w:t>., 2023).</w:t>
      </w:r>
    </w:p>
    <w:p w14:paraId="2AB12356" w14:textId="50D6A326" w:rsidR="00C91F93" w:rsidRPr="00C91F93" w:rsidRDefault="00C91F93" w:rsidP="00C91F93">
      <w:r w:rsidRPr="00C91F93">
        <w:t xml:space="preserve">ASD is a neurodevelopmental condition that requires a </w:t>
      </w:r>
      <w:r w:rsidRPr="005671B3">
        <w:t>complex</w:t>
      </w:r>
      <w:r w:rsidRPr="00C91F93">
        <w:t xml:space="preserve"> and comprehensive diagnostic process. In Wales, the identification and diagnosis of ASD are guided by national frameworks and supported by services such as the Integrated Autism Service. Despite this structure, significant challenges remain. Diagnosis typically involves multi-agency input, including paediatricians, psychologists, speech and language therapists, and specialist autism practitioners. This multidisciplinary approach is a strength, as it allows for a holistic understanding of the individual's needs. However, access to such teams is inconsistent across regions in Wales, contributing to geographical inequalities in service provision (Welsh Government, 2021).</w:t>
      </w:r>
    </w:p>
    <w:p w14:paraId="68A55B34" w14:textId="77777777" w:rsidR="00C91F93" w:rsidRPr="00C91F93" w:rsidRDefault="00C91F93" w:rsidP="00C91F93">
      <w:r w:rsidRPr="00C91F93">
        <w:t>One of the most prominent issues in Wales is the prolonged waiting time for assessments. The Welsh Government set a target that 80% of children referred for autism assessments should be seen within 26 weeks, but this goal has rarely been achieved in practice. In many areas, children wait over a year, and in some cases over two years, for a full diagnostic assessment (Senedd Research, 2023). This delay can have a significant impact on families and children, leading to missed opportunities for early intervention and support during critical developmental periods.</w:t>
      </w:r>
    </w:p>
    <w:p w14:paraId="6ECD6DC0" w14:textId="77FD59B6" w:rsidR="00356C6A" w:rsidRDefault="00C91F93" w:rsidP="00356C6A">
      <w:r w:rsidRPr="00C91F93">
        <w:t>Furthermore, families from ethnic minority communities may face additional barriers due to language, stigma, or a lack of culturally sensitive assessment practices (National Autistic Society, 2023).</w:t>
      </w:r>
    </w:p>
    <w:p w14:paraId="5DBDF61C" w14:textId="59F840C1" w:rsidR="00356C6A" w:rsidRPr="00C91F93" w:rsidRDefault="00356C6A" w:rsidP="00356C6A">
      <w:bookmarkStart w:id="4" w:name="_Hlk198065728"/>
      <w:bookmarkStart w:id="5" w:name="_Hlk198151211"/>
      <w:r>
        <w:t xml:space="preserve">The percentage of children being diagnosed in Wales is around 2% of children ages 5 -15 years. </w:t>
      </w:r>
      <w:r w:rsidRPr="006F44EB">
        <w:t xml:space="preserve">It's important to note that prevalence rates can vary across different regions and populations. For instance, among children receiving care and support services in Wales, the </w:t>
      </w:r>
      <w:r>
        <w:t>commonness</w:t>
      </w:r>
      <w:r w:rsidRPr="006F44EB">
        <w:t xml:space="preserve"> of ASD is notably higher, with 14% of those aged 5 to 15 years reported as having the condition. This suggests that children within the care system may have a higher incidence of ASD diagnoses, potentially due to increased monitoring and assessment within these services.</w:t>
      </w:r>
      <w:r>
        <w:t xml:space="preserve"> </w:t>
      </w:r>
    </w:p>
    <w:bookmarkEnd w:id="4"/>
    <w:p w14:paraId="27C9DEAA" w14:textId="77777777" w:rsidR="00C91F93" w:rsidRDefault="00C91F93" w:rsidP="00C91F93">
      <w:r w:rsidRPr="00C91F93">
        <w:t xml:space="preserve">Despite these challenges, Wales has taken steps to improve services. In 2023, the Welsh Government announced a £13.7 million investment aimed at transforming </w:t>
      </w:r>
      <w:r w:rsidRPr="00C91F93">
        <w:lastRenderedPageBreak/>
        <w:t xml:space="preserve">neurodivergence services, including reducing waiting times for autism and ADHD assessments (Welsh Government, 2023). </w:t>
      </w:r>
      <w:bookmarkEnd w:id="5"/>
      <w:r w:rsidRPr="00C91F93">
        <w:t>This funding is intended to support workforce development, increase diagnostic capacity, and better align services with the needs of neurodivergent individuals. Nevertheless, critics argue that while investment is welcome, structural reform and ongoing evaluation are essential to ensure consistent, equitable, and timely access to diagnostic services across Wales.</w:t>
      </w:r>
    </w:p>
    <w:p w14:paraId="066FE4B2" w14:textId="77777777" w:rsidR="00C91F93" w:rsidRPr="00C91F93" w:rsidRDefault="00C91F93" w:rsidP="00C91F93">
      <w:r w:rsidRPr="00C91F93">
        <w:t>In conclusion, while Wales has made efforts to create a coordinated and multidisciplinary framework for identifying and diagnosing ASD, significant barriers remain. These include long waiting times, regional disparities, and diagnostic biases related to gender and culture. Continued investment, professional training, and a commitment to inclusive practice are essential to improving the diagnostic pathway for all individuals in Wales.</w:t>
      </w:r>
    </w:p>
    <w:p w14:paraId="36BF652F" w14:textId="11413B25" w:rsidR="00983D07" w:rsidRPr="005671B3" w:rsidRDefault="005671B3" w:rsidP="008606AF">
      <w:pPr>
        <w:rPr>
          <w:u w:val="single"/>
        </w:rPr>
      </w:pPr>
      <w:r>
        <w:rPr>
          <w:u w:val="single"/>
        </w:rPr>
        <w:t>B</w:t>
      </w:r>
      <w:r w:rsidR="00983D07" w:rsidRPr="005671B3">
        <w:rPr>
          <w:u w:val="single"/>
        </w:rPr>
        <w:t xml:space="preserve">arriers </w:t>
      </w:r>
    </w:p>
    <w:p w14:paraId="690DE759" w14:textId="2708A53A" w:rsidR="00780CAE" w:rsidRDefault="00780CAE" w:rsidP="008606AF">
      <w:bookmarkStart w:id="6" w:name="_Hlk198064236"/>
      <w:r w:rsidRPr="00780CAE">
        <w:t xml:space="preserve">Children with ASD often face significant </w:t>
      </w:r>
      <w:bookmarkEnd w:id="6"/>
      <w:r w:rsidRPr="00780CAE">
        <w:t>challenges</w:t>
      </w:r>
      <w:r w:rsidR="005012E6">
        <w:t>,</w:t>
      </w:r>
      <w:r w:rsidRPr="00780CAE">
        <w:t xml:space="preserve"> in school environments</w:t>
      </w:r>
      <w:r w:rsidR="005012E6">
        <w:t xml:space="preserve"> t</w:t>
      </w:r>
      <w:r w:rsidRPr="00780CAE">
        <w:t>hese include sensory sensitivities (e.g., to noise, lighting), difficulties with transitions, and lack of appropriate support or understanding from educators. Mainstream classrooms may not be tailored to meet the needs of autistic pupils, leading to anxiety, behavioural issues, and academic underperformance. Moreover, teachers may lack adequate training in autism-specific strategies (Hebron &amp; Bond, 2017).</w:t>
      </w:r>
    </w:p>
    <w:p w14:paraId="2A7BFFCD" w14:textId="75BCDA41" w:rsidR="00780CAE" w:rsidRDefault="00780CAE" w:rsidP="008606AF">
      <w:r w:rsidRPr="00780CAE">
        <w:t>Within the home environment, families of autistic children may encounter emotional, financial, and logistical difficulties. Parents often report high levels of stress due to the demands of managing challenging behaviours, attending frequent appointments, and navigating complex systems for support and education (Karst &amp; Van Hecke, 2012). The lack of consistent professional support or respite services can exacerbate caregiver burnout. Siblings may also be affected, sometimes receiving less parental attention or struggling to understand their autistic brother or sister’s behaviours (Macks &amp; Reeve, 2007).</w:t>
      </w:r>
    </w:p>
    <w:p w14:paraId="75B171FF" w14:textId="5B280CB2" w:rsidR="00780CAE" w:rsidRDefault="00780CAE" w:rsidP="008606AF">
      <w:r w:rsidRPr="00780CAE">
        <w:t xml:space="preserve">Social communication is one of the core areas affected in ASD. Many autistic individuals have difficulty understanding non-verbal cues, turn-taking in conversation, and abstract language such as idioms or sarcasm. These challenges can lead to misunderstandings or the perception that the individual is rude or uninterested, even when they are trying to engage appropriately (Tager-Flusberg, 2003). Limited access to therapies such as speech and language intervention can further restrict development in this </w:t>
      </w:r>
      <w:r>
        <w:t>area</w:t>
      </w:r>
      <w:r w:rsidRPr="00780CAE">
        <w:t>.</w:t>
      </w:r>
    </w:p>
    <w:p w14:paraId="0A59D238" w14:textId="1FCF7B14" w:rsidR="00983D07" w:rsidRPr="005671B3" w:rsidRDefault="00780CAE" w:rsidP="008606AF">
      <w:r w:rsidRPr="00780CAE">
        <w:t xml:space="preserve">Forming and maintaining friendships can be particularly difficult for autistic children and adolescents. Difficulties in interpreting social rules, sensory discomfort in group settings, and a preference for routine may lead to isolation or exclusion by peers. Even when autistic individuals desire social connection, their different ways of interacting </w:t>
      </w:r>
      <w:r w:rsidRPr="00780CAE">
        <w:lastRenderedPageBreak/>
        <w:t>can be misunderstood by neurotypical peers, leading to bullying or social rejection (</w:t>
      </w:r>
      <w:proofErr w:type="spellStart"/>
      <w:r w:rsidRPr="00780CAE">
        <w:t>Bauminger</w:t>
      </w:r>
      <w:proofErr w:type="spellEnd"/>
      <w:r w:rsidRPr="00780CAE">
        <w:t xml:space="preserve"> &amp; </w:t>
      </w:r>
      <w:proofErr w:type="spellStart"/>
      <w:r w:rsidRPr="00780CAE">
        <w:t>Kasari</w:t>
      </w:r>
      <w:proofErr w:type="spellEnd"/>
      <w:r w:rsidRPr="00780CAE">
        <w:t>, 2000). Structured social skills groups or peer-mediated interventions have been shown to help but are not always readily available in schools or communities</w:t>
      </w:r>
      <w:r>
        <w:t xml:space="preserve"> (</w:t>
      </w:r>
      <w:proofErr w:type="spellStart"/>
      <w:r w:rsidRPr="00780CAE">
        <w:t>Kasar</w:t>
      </w:r>
      <w:r>
        <w:t>i</w:t>
      </w:r>
      <w:proofErr w:type="spellEnd"/>
      <w:r>
        <w:t xml:space="preserve"> </w:t>
      </w:r>
      <w:r w:rsidRPr="00780CAE">
        <w:rPr>
          <w:i/>
          <w:iCs/>
        </w:rPr>
        <w:t>et al</w:t>
      </w:r>
      <w:r>
        <w:t xml:space="preserve">., </w:t>
      </w:r>
      <w:r w:rsidRPr="00780CAE">
        <w:t>2012).</w:t>
      </w:r>
    </w:p>
    <w:p w14:paraId="6799832E" w14:textId="5942D6CF" w:rsidR="00983D07" w:rsidRPr="005671B3" w:rsidRDefault="005671B3" w:rsidP="008606AF">
      <w:pPr>
        <w:rPr>
          <w:u w:val="single"/>
        </w:rPr>
      </w:pPr>
      <w:r w:rsidRPr="005671B3">
        <w:rPr>
          <w:u w:val="single"/>
        </w:rPr>
        <w:t>S</w:t>
      </w:r>
      <w:r w:rsidR="00983D07" w:rsidRPr="005671B3">
        <w:rPr>
          <w:u w:val="single"/>
        </w:rPr>
        <w:t>upport strateg</w:t>
      </w:r>
      <w:r w:rsidRPr="005671B3">
        <w:rPr>
          <w:u w:val="single"/>
        </w:rPr>
        <w:t>ies</w:t>
      </w:r>
    </w:p>
    <w:p w14:paraId="7FD0465B" w14:textId="39D56513" w:rsidR="00B93564" w:rsidRPr="005671B3" w:rsidRDefault="00B93564" w:rsidP="00B93564">
      <w:bookmarkStart w:id="7" w:name="_Hlk198151135"/>
      <w:r w:rsidRPr="005671B3">
        <w:t xml:space="preserve">The specific type of ASD that a child exhibits, along with their sensory processing tendencies and the stimming </w:t>
      </w:r>
      <w:r w:rsidR="005671B3" w:rsidRPr="005671B3">
        <w:t>behaviours</w:t>
      </w:r>
      <w:r w:rsidRPr="005671B3">
        <w:t xml:space="preserve"> they display, is vital in identifying suitable support strategies. There is significant variability in how autism manifests, ranging from individuals with limited verbal communication and heightened sensory sensitivities to those who are very verbal but face challenges with social interactions or anxiety. Recognizing these distinctions is crucial for customizing interventions that are both supportive and considerate of each child's unique needs and coping strategies.</w:t>
      </w:r>
    </w:p>
    <w:bookmarkEnd w:id="7"/>
    <w:p w14:paraId="0226A4C4" w14:textId="3CDC83FB" w:rsidR="00B93564" w:rsidRPr="005671B3" w:rsidRDefault="00B93564" w:rsidP="00B93564">
      <w:r w:rsidRPr="005671B3">
        <w:t xml:space="preserve">Stimming, which stands for self-stimulatory </w:t>
      </w:r>
      <w:r w:rsidR="005671B3" w:rsidRPr="005671B3">
        <w:t>behaviour</w:t>
      </w:r>
      <w:r w:rsidRPr="005671B3">
        <w:t>, encompasses repetitive movements or sounds that assist individuals in managing their emotions,</w:t>
      </w:r>
      <w:r w:rsidR="005671B3" w:rsidRPr="005671B3">
        <w:t xml:space="preserve"> helping to regulate while</w:t>
      </w:r>
      <w:r w:rsidRPr="005671B3">
        <w:t xml:space="preserve"> navigating overwhelming situations, or expressing joy. Examples of common stims include hand-flapping, rocking, spinning, and vocalizations, but these </w:t>
      </w:r>
      <w:r w:rsidR="005671B3" w:rsidRPr="005671B3">
        <w:t>behaviours</w:t>
      </w:r>
      <w:r w:rsidRPr="005671B3">
        <w:t xml:space="preserve"> can manifest in numerous ways and are highly personal. Rather than viewing stimming as inherently negative, it is important to recognize its valuable role in helping autistic children regulate their experiences. Consequently, rather than attempting to eliminate these </w:t>
      </w:r>
      <w:r w:rsidR="005671B3" w:rsidRPr="005671B3">
        <w:t>behaviours</w:t>
      </w:r>
      <w:r w:rsidRPr="005671B3">
        <w:t>, the emphasis should be on understanding their function and providing children with safe and appropriate methods to regulate their sensory and emotional states (Kapp et al., 2019).</w:t>
      </w:r>
    </w:p>
    <w:p w14:paraId="1B11C917" w14:textId="1F8BA170" w:rsidR="00B93564" w:rsidRPr="00B93564" w:rsidRDefault="00B93564" w:rsidP="00B93564">
      <w:bookmarkStart w:id="8" w:name="_Hlk198064894"/>
      <w:bookmarkStart w:id="9" w:name="_Hlk198151164"/>
      <w:r w:rsidRPr="00B93564">
        <w:t xml:space="preserve">Support strategies should be chosen based on a child’s sensory profile, communication needs, cognitive functioning, and behavioural tendencies. For example, a child who engages in repetitive hand movements due to sensory seeking may benefit from sensory fidget tools, weighted blankets, or movement breaks throughout the day </w:t>
      </w:r>
      <w:bookmarkEnd w:id="8"/>
      <w:r w:rsidRPr="00B93564">
        <w:t>(Schaaf et al., 2014). For children who stim in response to sensory overload, creating low-stimulation environments, using noise-cancelling headphones, or establishing quiet zones in classrooms may be more appropriate.</w:t>
      </w:r>
    </w:p>
    <w:bookmarkEnd w:id="9"/>
    <w:p w14:paraId="145C40A3" w14:textId="12FB6CFA" w:rsidR="00B93564" w:rsidRPr="00B93564" w:rsidRDefault="00B93564" w:rsidP="00B93564">
      <w:r w:rsidRPr="00B93564">
        <w:t>Communication-based interventions should also be adapted based on the child's language and social development. A non-verbal child who stims due to frustration or a need for sensory input might benefit from augmentative and alternative communication tools like Picture Exchange Communication System</w:t>
      </w:r>
      <w:r w:rsidR="00207A8F">
        <w:t xml:space="preserve"> </w:t>
      </w:r>
      <w:r w:rsidRPr="00B93564">
        <w:t xml:space="preserve">or speech-generating devices, allowing them to express their needs without distress (Bondy &amp; Frost, 2001). </w:t>
      </w:r>
      <w:r w:rsidRPr="005671B3">
        <w:t xml:space="preserve">Tools such as these are sometimes hard to come by in mainstream schools due to funding and staffing. </w:t>
      </w:r>
      <w:r w:rsidRPr="00B93564">
        <w:t xml:space="preserve">Conversely, a verbally able child who </w:t>
      </w:r>
      <w:r w:rsidR="005671B3" w:rsidRPr="00B93564">
        <w:t>stims</w:t>
      </w:r>
      <w:r w:rsidRPr="00B93564">
        <w:t xml:space="preserve"> to manage anxiety might benefit from cognitive behavioural strategies, social stories, or emotional regulation tools.</w:t>
      </w:r>
    </w:p>
    <w:p w14:paraId="3228796B" w14:textId="77777777" w:rsidR="00B93564" w:rsidRPr="00B93564" w:rsidRDefault="00B93564" w:rsidP="00B93564">
      <w:r w:rsidRPr="00B93564">
        <w:lastRenderedPageBreak/>
        <w:t xml:space="preserve">Moreover, </w:t>
      </w:r>
      <w:bookmarkStart w:id="10" w:name="_Hlk198064948"/>
      <w:r w:rsidRPr="00B93564">
        <w:t xml:space="preserve">it is important to involve families in planning and delivering these strategies. Parents and caregivers are often best placed to observe patterns in their child’s behaviour and can offer valuable insights into what stimming behaviours are functional or problematic. Collaborative planning with educators, therapists, and parents can ensure consistency across settings and increase the likelihood of successful intervention outcomes </w:t>
      </w:r>
      <w:bookmarkEnd w:id="10"/>
      <w:r w:rsidRPr="00B93564">
        <w:t>(National Institute for Health and Care Excellence [NICE], 2013).</w:t>
      </w:r>
    </w:p>
    <w:p w14:paraId="55C6CD4B" w14:textId="77777777" w:rsidR="00B93564" w:rsidRDefault="00B93564" w:rsidP="00B93564">
      <w:r w:rsidRPr="00B93564">
        <w:t>In conclusion, support strategies for children with ASD should never follow a one-size-fits-all model. Instead, they must be flexible, respectful of neurodivergent behaviours like stimming, and carefully matched to the child’s specific sensory, emotional, and communicative needs. A well-informed and individualised approach not only supports development and well-being but also fosters acceptance and understanding.</w:t>
      </w:r>
    </w:p>
    <w:p w14:paraId="0E3605B4" w14:textId="1A65ECA6" w:rsidR="004F1C37" w:rsidRDefault="004F1C37" w:rsidP="00B93564">
      <w:pPr>
        <w:rPr>
          <w:u w:val="single"/>
        </w:rPr>
      </w:pPr>
      <w:r w:rsidRPr="004F1C37">
        <w:rPr>
          <w:u w:val="single"/>
        </w:rPr>
        <w:t>Questions</w:t>
      </w:r>
    </w:p>
    <w:p w14:paraId="5CD7146D" w14:textId="7B623F81" w:rsidR="004F1C37" w:rsidRPr="004F1C37" w:rsidRDefault="004F1C37" w:rsidP="004F1C37">
      <w:pPr>
        <w:rPr>
          <w:b/>
          <w:bCs/>
        </w:rPr>
      </w:pPr>
      <w:r w:rsidRPr="004F1C37">
        <w:rPr>
          <w:b/>
          <w:bCs/>
        </w:rPr>
        <w:t xml:space="preserve">How do you think </w:t>
      </w:r>
      <w:r>
        <w:rPr>
          <w:b/>
          <w:bCs/>
        </w:rPr>
        <w:t xml:space="preserve">local authorities, </w:t>
      </w:r>
      <w:r w:rsidRPr="004F1C37">
        <w:rPr>
          <w:b/>
          <w:bCs/>
        </w:rPr>
        <w:t>schools or communities can better support individuals with ASD?</w:t>
      </w:r>
    </w:p>
    <w:p w14:paraId="42376F17" w14:textId="22C2BAA4" w:rsidR="004F1C37" w:rsidRDefault="004F1C37" w:rsidP="004F1C37">
      <w:r w:rsidRPr="004F1C37">
        <w:rPr>
          <w:b/>
          <w:bCs/>
        </w:rPr>
        <w:t>Answer:</w:t>
      </w:r>
      <w:r w:rsidRPr="004F1C37">
        <w:br/>
        <w:t xml:space="preserve">By providing </w:t>
      </w:r>
      <w:r>
        <w:t xml:space="preserve">a wider range of funding, </w:t>
      </w:r>
      <w:r w:rsidRPr="004F1C37">
        <w:t>proper training for staff, promoting sensory-friendly environments, and encouraging peer understanding through inclusive education.</w:t>
      </w:r>
    </w:p>
    <w:p w14:paraId="2D6BBB30" w14:textId="516BCF19" w:rsidR="002A4476" w:rsidRPr="002621B6" w:rsidRDefault="002621B6" w:rsidP="004F1C37">
      <w:pPr>
        <w:rPr>
          <w:b/>
          <w:bCs/>
        </w:rPr>
      </w:pPr>
      <w:r w:rsidRPr="002621B6">
        <w:rPr>
          <w:b/>
          <w:bCs/>
        </w:rPr>
        <w:t>Being bilingual yourself d</w:t>
      </w:r>
      <w:r w:rsidR="004F1C37" w:rsidRPr="002621B6">
        <w:rPr>
          <w:b/>
          <w:bCs/>
        </w:rPr>
        <w:t xml:space="preserve">o you believe that </w:t>
      </w:r>
      <w:r w:rsidRPr="002621B6">
        <w:rPr>
          <w:b/>
          <w:bCs/>
        </w:rPr>
        <w:t>bilingualism</w:t>
      </w:r>
      <w:r w:rsidR="002A4476">
        <w:rPr>
          <w:b/>
          <w:bCs/>
        </w:rPr>
        <w:t xml:space="preserve"> </w:t>
      </w:r>
      <w:r w:rsidR="005012E6" w:rsidRPr="002621B6">
        <w:rPr>
          <w:b/>
          <w:bCs/>
        </w:rPr>
        <w:t xml:space="preserve">has </w:t>
      </w:r>
      <w:r w:rsidR="005012E6">
        <w:rPr>
          <w:b/>
          <w:bCs/>
        </w:rPr>
        <w:t>a</w:t>
      </w:r>
      <w:r w:rsidR="002A4476">
        <w:rPr>
          <w:b/>
          <w:bCs/>
        </w:rPr>
        <w:t xml:space="preserve"> negative</w:t>
      </w:r>
      <w:r w:rsidRPr="002621B6">
        <w:rPr>
          <w:b/>
          <w:bCs/>
        </w:rPr>
        <w:t xml:space="preserve"> impact</w:t>
      </w:r>
      <w:r w:rsidR="002A4476">
        <w:rPr>
          <w:b/>
          <w:bCs/>
        </w:rPr>
        <w:t xml:space="preserve"> on </w:t>
      </w:r>
      <w:proofErr w:type="spellStart"/>
      <w:r w:rsidR="002A4476">
        <w:rPr>
          <w:b/>
          <w:bCs/>
        </w:rPr>
        <w:t>asd</w:t>
      </w:r>
      <w:proofErr w:type="spellEnd"/>
      <w:r w:rsidRPr="002621B6">
        <w:rPr>
          <w:b/>
          <w:bCs/>
        </w:rPr>
        <w:t xml:space="preserve">? </w:t>
      </w:r>
      <w:r w:rsidR="004F1C37" w:rsidRPr="002621B6">
        <w:rPr>
          <w:b/>
          <w:bCs/>
        </w:rPr>
        <w:t xml:space="preserve"> </w:t>
      </w:r>
    </w:p>
    <w:p w14:paraId="17EE4874" w14:textId="6BF8686F" w:rsidR="004F1C37" w:rsidRPr="007752E5" w:rsidRDefault="002A4476" w:rsidP="00B93564">
      <w:r>
        <w:t>Being bilingual or multilingual does not harm language development, r</w:t>
      </w:r>
      <w:r w:rsidR="004F1C37" w:rsidRPr="004F1C37">
        <w:t xml:space="preserve">esearch by Hambly &amp; </w:t>
      </w:r>
      <w:proofErr w:type="spellStart"/>
      <w:r w:rsidR="004F1C37" w:rsidRPr="004F1C37">
        <w:t>Fombonne</w:t>
      </w:r>
      <w:proofErr w:type="spellEnd"/>
      <w:r w:rsidR="004F1C37" w:rsidRPr="004F1C37">
        <w:t xml:space="preserve"> (2012) found that bilingual autistic children developed language skills at a rate </w:t>
      </w:r>
      <w:proofErr w:type="gramStart"/>
      <w:r w:rsidR="004F1C37" w:rsidRPr="004F1C37">
        <w:t>similar to</w:t>
      </w:r>
      <w:proofErr w:type="gramEnd"/>
      <w:r w:rsidR="004F1C37" w:rsidRPr="004F1C37">
        <w:t xml:space="preserve"> monolingual autistic children.</w:t>
      </w:r>
    </w:p>
    <w:p w14:paraId="6FC0E499" w14:textId="77777777" w:rsidR="00983D07" w:rsidRPr="005671B3" w:rsidRDefault="00983D07">
      <w:pPr>
        <w:rPr>
          <w:u w:val="single"/>
        </w:rPr>
      </w:pPr>
    </w:p>
    <w:p w14:paraId="54BF7C3D" w14:textId="0E907609" w:rsidR="005671B3" w:rsidRPr="005671B3" w:rsidRDefault="005671B3">
      <w:pPr>
        <w:rPr>
          <w:u w:val="single"/>
        </w:rPr>
      </w:pPr>
      <w:r w:rsidRPr="005671B3">
        <w:rPr>
          <w:u w:val="single"/>
        </w:rPr>
        <w:t xml:space="preserve">Reference List </w:t>
      </w:r>
    </w:p>
    <w:p w14:paraId="748C54DD" w14:textId="15B098FC" w:rsidR="005671B3" w:rsidRPr="005671B3" w:rsidRDefault="005671B3" w:rsidP="005671B3">
      <w:r w:rsidRPr="005671B3">
        <w:t xml:space="preserve">Bondy, A., &amp; Frost, L. (2001). </w:t>
      </w:r>
      <w:r w:rsidRPr="005671B3">
        <w:rPr>
          <w:i/>
          <w:iCs/>
        </w:rPr>
        <w:t>The Picture Exchange Communication System</w:t>
      </w:r>
      <w:r w:rsidRPr="005671B3">
        <w:t xml:space="preserve">. </w:t>
      </w:r>
      <w:r w:rsidRPr="005671B3">
        <w:rPr>
          <w:i/>
          <w:iCs/>
        </w:rPr>
        <w:t>Behaviour Modification</w:t>
      </w:r>
      <w:r w:rsidRPr="005671B3">
        <w:t>, 25(5), 725–744.</w:t>
      </w:r>
    </w:p>
    <w:p w14:paraId="46A098BF" w14:textId="48B2CD34" w:rsidR="005671B3" w:rsidRPr="005671B3" w:rsidRDefault="005671B3" w:rsidP="005671B3">
      <w:r w:rsidRPr="005671B3">
        <w:t xml:space="preserve">Kapp, S. K., Steward, R., Crane, L., Elliott, D., Elphick, C., Pellicano, E., &amp; Milton, D. (2019). "People should be allowed to do what they like": Autistic adults' views and experiences of stimming. </w:t>
      </w:r>
      <w:r w:rsidRPr="005671B3">
        <w:rPr>
          <w:i/>
          <w:iCs/>
        </w:rPr>
        <w:t>Autism</w:t>
      </w:r>
      <w:r w:rsidRPr="005671B3">
        <w:t>, 23(7), 1782–1792.</w:t>
      </w:r>
    </w:p>
    <w:p w14:paraId="1A10B7F9" w14:textId="134DCD41" w:rsidR="005671B3" w:rsidRPr="005671B3" w:rsidRDefault="005671B3" w:rsidP="005671B3">
      <w:r w:rsidRPr="005671B3">
        <w:t xml:space="preserve">National Autistic Society (2023). </w:t>
      </w:r>
      <w:r w:rsidRPr="005671B3">
        <w:rPr>
          <w:i/>
          <w:iCs/>
        </w:rPr>
        <w:t>Autism and stigma in different communities</w:t>
      </w:r>
      <w:r w:rsidRPr="005671B3">
        <w:t>. https://www.autism.org.uk</w:t>
      </w:r>
    </w:p>
    <w:p w14:paraId="0E6E841B" w14:textId="0475FE6E" w:rsidR="005671B3" w:rsidRPr="005671B3" w:rsidRDefault="005671B3" w:rsidP="005671B3">
      <w:r w:rsidRPr="005671B3">
        <w:t xml:space="preserve">National Institute for Health and Care Excellence (NICE). (2013). </w:t>
      </w:r>
      <w:r w:rsidRPr="005671B3">
        <w:rPr>
          <w:i/>
          <w:iCs/>
        </w:rPr>
        <w:t>Autism spectrum disorder in under 19s: Support and management</w:t>
      </w:r>
      <w:r w:rsidRPr="005671B3">
        <w:t xml:space="preserve"> [CG170]. https://www.nice.org.uk/guidance/cg170</w:t>
      </w:r>
    </w:p>
    <w:p w14:paraId="40CEBF93" w14:textId="7F8E8F0A" w:rsidR="005671B3" w:rsidRPr="005671B3" w:rsidRDefault="005671B3" w:rsidP="005671B3">
      <w:r w:rsidRPr="005671B3">
        <w:lastRenderedPageBreak/>
        <w:t xml:space="preserve">Rynkiewicz, A., </w:t>
      </w:r>
      <w:proofErr w:type="spellStart"/>
      <w:r w:rsidRPr="005671B3">
        <w:t>Łucka</w:t>
      </w:r>
      <w:proofErr w:type="spellEnd"/>
      <w:r w:rsidRPr="005671B3">
        <w:t xml:space="preserve">, I., &amp; Bolling, D. Z. (2023). </w:t>
      </w:r>
      <w:r w:rsidRPr="005671B3">
        <w:rPr>
          <w:i/>
          <w:iCs/>
        </w:rPr>
        <w:t>Autism Spectrum Disorder in Females: Underdiagnosis, Clinical Features and Research Needs</w:t>
      </w:r>
      <w:r w:rsidRPr="005671B3">
        <w:t xml:space="preserve">. </w:t>
      </w:r>
      <w:r w:rsidRPr="005671B3">
        <w:rPr>
          <w:i/>
          <w:iCs/>
        </w:rPr>
        <w:t>Frontiers in Psychiatry</w:t>
      </w:r>
      <w:r w:rsidRPr="005671B3">
        <w:t>, 14, 1117238.</w:t>
      </w:r>
    </w:p>
    <w:p w14:paraId="569833FB" w14:textId="28EEF440" w:rsidR="005671B3" w:rsidRPr="005671B3" w:rsidRDefault="005671B3" w:rsidP="005671B3">
      <w:r w:rsidRPr="005671B3">
        <w:t xml:space="preserve">Schaaf, R. C., Benevides, T. W., Kelly, D., &amp; Mailloux, Z. (2014). Occupational therapy and sensory integration for children with autism: A feasibility, safety, acceptability and fidelity study. </w:t>
      </w:r>
      <w:r w:rsidRPr="005671B3">
        <w:rPr>
          <w:i/>
          <w:iCs/>
        </w:rPr>
        <w:t>Autism</w:t>
      </w:r>
      <w:r w:rsidRPr="005671B3">
        <w:t>, 18(6), 736–744.</w:t>
      </w:r>
    </w:p>
    <w:p w14:paraId="280F0C43" w14:textId="74CF217E" w:rsidR="005671B3" w:rsidRPr="005671B3" w:rsidRDefault="005671B3" w:rsidP="005671B3">
      <w:r w:rsidRPr="005671B3">
        <w:t xml:space="preserve">Senedd Research (2023). </w:t>
      </w:r>
      <w:r w:rsidRPr="005671B3">
        <w:rPr>
          <w:i/>
          <w:iCs/>
        </w:rPr>
        <w:t>The Growing Demand for ADHD and Autism Assessments in Wales</w:t>
      </w:r>
      <w:r w:rsidRPr="005671B3">
        <w:t>. https://research.senedd.wales</w:t>
      </w:r>
    </w:p>
    <w:p w14:paraId="64562547" w14:textId="50784106" w:rsidR="005671B3" w:rsidRPr="005671B3" w:rsidRDefault="005671B3" w:rsidP="005671B3">
      <w:r w:rsidRPr="005671B3">
        <w:t xml:space="preserve">Welsh Government (2021). </w:t>
      </w:r>
      <w:r w:rsidRPr="005671B3">
        <w:rPr>
          <w:i/>
          <w:iCs/>
        </w:rPr>
        <w:t>Autism Code of Practice for Wales</w:t>
      </w:r>
      <w:r w:rsidRPr="005671B3">
        <w:t>. https://gov.wales/autism-code-practice</w:t>
      </w:r>
    </w:p>
    <w:p w14:paraId="57E104CF" w14:textId="3723881E" w:rsidR="005671B3" w:rsidRPr="005671B3" w:rsidRDefault="005671B3" w:rsidP="005671B3">
      <w:r w:rsidRPr="005671B3">
        <w:t xml:space="preserve">Welsh Government (2023). </w:t>
      </w:r>
      <w:r w:rsidRPr="005671B3">
        <w:rPr>
          <w:i/>
          <w:iCs/>
        </w:rPr>
        <w:t>£13.7 million to transform services and cut ADHD and autism waiting times</w:t>
      </w:r>
      <w:r w:rsidRPr="005671B3">
        <w:t>. https://www.gov.wales/137-million-transform-services-and-cut-adhd-and-autism-waiting-times</w:t>
      </w:r>
    </w:p>
    <w:p w14:paraId="124E5BC3" w14:textId="71DC740F" w:rsidR="00780CAE" w:rsidRPr="00780CAE" w:rsidRDefault="00780CAE" w:rsidP="00780CAE">
      <w:r w:rsidRPr="00780CAE">
        <w:t xml:space="preserve">Psychiatric Association. (2013). </w:t>
      </w:r>
      <w:r w:rsidRPr="00780CAE">
        <w:rPr>
          <w:i/>
          <w:iCs/>
        </w:rPr>
        <w:t>Diagnostic and Statistical Manual of Mental Disorders (5th ed.)</w:t>
      </w:r>
      <w:r w:rsidRPr="00780CAE">
        <w:t>. Arlington, VA: American Psychiatric Publishing.</w:t>
      </w:r>
    </w:p>
    <w:p w14:paraId="632311B8" w14:textId="6D3E6815" w:rsidR="00780CAE" w:rsidRPr="00780CAE" w:rsidRDefault="00780CAE" w:rsidP="00780CAE">
      <w:r w:rsidRPr="00780CAE">
        <w:t xml:space="preserve">World Health Organization. (2021). </w:t>
      </w:r>
      <w:r w:rsidRPr="00780CAE">
        <w:rPr>
          <w:i/>
          <w:iCs/>
        </w:rPr>
        <w:t>International Classification of Diseases, 11th Revision (ICD-11)</w:t>
      </w:r>
      <w:r w:rsidRPr="00780CAE">
        <w:t xml:space="preserve">. </w:t>
      </w:r>
      <w:hyperlink r:id="rId7" w:tgtFrame="_new" w:history="1">
        <w:r w:rsidRPr="00780CAE">
          <w:rPr>
            <w:rStyle w:val="Hyperlink"/>
            <w:u w:val="none"/>
          </w:rPr>
          <w:t>https://icd.who.int</w:t>
        </w:r>
      </w:hyperlink>
    </w:p>
    <w:p w14:paraId="536B9D6E" w14:textId="62EC8862" w:rsidR="00780CAE" w:rsidRDefault="00780CAE" w:rsidP="00780CAE">
      <w:r w:rsidRPr="00780CAE">
        <w:t xml:space="preserve">Kim, Y. S., Leventhal, B. L., Koh, Y. J., </w:t>
      </w:r>
      <w:proofErr w:type="spellStart"/>
      <w:r w:rsidRPr="00780CAE">
        <w:t>Fombonne</w:t>
      </w:r>
      <w:proofErr w:type="spellEnd"/>
      <w:r w:rsidRPr="00780CAE">
        <w:t xml:space="preserve">, E., Laska, E., Lim, E. C., ... &amp; Grinker, R. R. (2011). Prevalence of autism spectrum disorders in a total population sample. </w:t>
      </w:r>
      <w:r w:rsidRPr="00780CAE">
        <w:rPr>
          <w:i/>
          <w:iCs/>
        </w:rPr>
        <w:t>American Journal of Psychiatry</w:t>
      </w:r>
      <w:r w:rsidRPr="00780CAE">
        <w:t xml:space="preserve">, 168(9), 904-912. </w:t>
      </w:r>
      <w:hyperlink r:id="rId8" w:history="1">
        <w:r w:rsidRPr="00362BD1">
          <w:rPr>
            <w:rStyle w:val="Hyperlink"/>
          </w:rPr>
          <w:t>https://doi.org/10.1176/appi.ajp.2011.10101532</w:t>
        </w:r>
      </w:hyperlink>
    </w:p>
    <w:p w14:paraId="7650E57D" w14:textId="29217908" w:rsidR="00780CAE" w:rsidRPr="00780CAE" w:rsidRDefault="00780CAE" w:rsidP="00780CAE">
      <w:proofErr w:type="spellStart"/>
      <w:r w:rsidRPr="00780CAE">
        <w:t>Bauminger</w:t>
      </w:r>
      <w:proofErr w:type="spellEnd"/>
      <w:r w:rsidRPr="00780CAE">
        <w:t xml:space="preserve">, N., &amp; </w:t>
      </w:r>
      <w:proofErr w:type="spellStart"/>
      <w:r w:rsidRPr="00780CAE">
        <w:t>Kasari</w:t>
      </w:r>
      <w:proofErr w:type="spellEnd"/>
      <w:r w:rsidRPr="00780CAE">
        <w:t xml:space="preserve">, C. (2000). Loneliness and friendship in high-functioning children with autism. </w:t>
      </w:r>
      <w:r w:rsidRPr="00780CAE">
        <w:rPr>
          <w:i/>
          <w:iCs/>
        </w:rPr>
        <w:t>Child Development</w:t>
      </w:r>
      <w:r w:rsidRPr="00780CAE">
        <w:t>, 71(2), 447–456.</w:t>
      </w:r>
    </w:p>
    <w:p w14:paraId="1880F468" w14:textId="089C349C" w:rsidR="00780CAE" w:rsidRPr="00780CAE" w:rsidRDefault="00780CAE" w:rsidP="00780CAE">
      <w:r w:rsidRPr="00780CAE">
        <w:t xml:space="preserve">Hebron, J., &amp; Bond, C. (2017). Developing mainstream resource provision for pupils with autism spectrum disorder: Staff perceptions and satisfaction. </w:t>
      </w:r>
      <w:r w:rsidRPr="00780CAE">
        <w:rPr>
          <w:i/>
          <w:iCs/>
        </w:rPr>
        <w:t>European Journal of Special Needs Education</w:t>
      </w:r>
      <w:r w:rsidRPr="00780CAE">
        <w:t>, 32(4), 556–571.</w:t>
      </w:r>
    </w:p>
    <w:p w14:paraId="262D0755" w14:textId="5938EACA" w:rsidR="00780CAE" w:rsidRPr="00780CAE" w:rsidRDefault="00780CAE" w:rsidP="00780CAE">
      <w:r w:rsidRPr="00780CAE">
        <w:t xml:space="preserve">Karst, J. S., &amp; Van Hecke, A. V. (2012). Parent and family impact of autism spectrum disorders: A review and proposed model for intervention evaluation. </w:t>
      </w:r>
      <w:r w:rsidRPr="00780CAE">
        <w:rPr>
          <w:i/>
          <w:iCs/>
        </w:rPr>
        <w:t>Clinical Child and Family Psychology Review</w:t>
      </w:r>
      <w:r w:rsidRPr="00780CAE">
        <w:t>, 15(3), 247–277.</w:t>
      </w:r>
    </w:p>
    <w:p w14:paraId="287F21A5" w14:textId="1639BCDB" w:rsidR="00780CAE" w:rsidRPr="00780CAE" w:rsidRDefault="00780CAE" w:rsidP="00780CAE">
      <w:r w:rsidRPr="00780CAE">
        <w:t xml:space="preserve">Macks, R. J., &amp; Reeve, R. E. (2007). The adjustment of non-disabled siblings of children with autism. </w:t>
      </w:r>
      <w:r w:rsidRPr="00780CAE">
        <w:rPr>
          <w:i/>
          <w:iCs/>
        </w:rPr>
        <w:t>Journal of Autism and Developmental Disorders</w:t>
      </w:r>
      <w:r w:rsidRPr="00780CAE">
        <w:t>, 37(6), 1060–1067.</w:t>
      </w:r>
    </w:p>
    <w:p w14:paraId="303A81A5" w14:textId="25B2BB32" w:rsidR="00780CAE" w:rsidRDefault="00780CAE" w:rsidP="00780CAE">
      <w:r w:rsidRPr="00780CAE">
        <w:t xml:space="preserve">Tager-Flusberg, H. (2003). Language impairments in children with complex neurodevelopmental disorders: The case of autism. In Levy, Y., &amp; Schaeffer, J. (Eds.), </w:t>
      </w:r>
      <w:r w:rsidRPr="00780CAE">
        <w:rPr>
          <w:i/>
          <w:iCs/>
        </w:rPr>
        <w:t>Language competence across populations: Toward a definition of specific language impairment</w:t>
      </w:r>
      <w:r w:rsidRPr="00780CAE">
        <w:t xml:space="preserve"> (pp. 297–321). Psychology Press.</w:t>
      </w:r>
    </w:p>
    <w:p w14:paraId="7C72D977" w14:textId="77777777" w:rsidR="002A4476" w:rsidRPr="002A4476" w:rsidRDefault="002A4476" w:rsidP="002A4476">
      <w:r w:rsidRPr="002A4476">
        <w:lastRenderedPageBreak/>
        <w:t xml:space="preserve">Hambly, C., &amp; </w:t>
      </w:r>
      <w:proofErr w:type="spellStart"/>
      <w:r w:rsidRPr="002A4476">
        <w:t>Fombonne</w:t>
      </w:r>
      <w:proofErr w:type="spellEnd"/>
      <w:r w:rsidRPr="002A4476">
        <w:t xml:space="preserve">, E. (2012). </w:t>
      </w:r>
      <w:r w:rsidRPr="002A4476">
        <w:rPr>
          <w:i/>
          <w:iCs/>
        </w:rPr>
        <w:t>The impact of bilingual environments on language development in children with autism spectrum disorders.</w:t>
      </w:r>
      <w:r w:rsidRPr="002A4476">
        <w:t xml:space="preserve"> Journal of Autism and Developmental Disorders, </w:t>
      </w:r>
      <w:r w:rsidRPr="002A4476">
        <w:rPr>
          <w:b/>
          <w:bCs/>
        </w:rPr>
        <w:t>42</w:t>
      </w:r>
      <w:r w:rsidRPr="002A4476">
        <w:t>(7), 1342–1352. https://doi.org/10.1007/s10803-011-1365-z</w:t>
      </w:r>
    </w:p>
    <w:p w14:paraId="154208B4" w14:textId="77777777" w:rsidR="00BE651E" w:rsidRPr="00BE651E" w:rsidRDefault="00BE651E" w:rsidP="00BE651E">
      <w:r w:rsidRPr="00BE651E">
        <w:t xml:space="preserve">American Psychiatric Association. (2013). </w:t>
      </w:r>
      <w:r w:rsidRPr="00BE651E">
        <w:rPr>
          <w:i/>
          <w:iCs/>
        </w:rPr>
        <w:t>Diagnostic and Statistical Manual of Mental Disorders</w:t>
      </w:r>
      <w:r w:rsidRPr="00BE651E">
        <w:t xml:space="preserve"> (5th ed., DSM-5). Washington, DC: APA.</w:t>
      </w:r>
    </w:p>
    <w:p w14:paraId="2154AE69" w14:textId="628BC1CB" w:rsidR="00BE651E" w:rsidRPr="00BE651E" w:rsidRDefault="00BE651E" w:rsidP="00BE651E">
      <w:r w:rsidRPr="00BE651E">
        <w:t xml:space="preserve">Centres for Disease Control and Prevention. (2022). </w:t>
      </w:r>
      <w:r w:rsidRPr="00BE651E">
        <w:rPr>
          <w:i/>
          <w:iCs/>
        </w:rPr>
        <w:t>Learn the Signs. Act Early</w:t>
      </w:r>
      <w:r w:rsidRPr="00BE651E">
        <w:t xml:space="preserve">. Retrieved from </w:t>
      </w:r>
      <w:hyperlink r:id="rId9" w:tgtFrame="_new" w:history="1">
        <w:r w:rsidRPr="00BE651E">
          <w:rPr>
            <w:rStyle w:val="Hyperlink"/>
          </w:rPr>
          <w:t>https://www.cdc.gov/ncbddd/actearly/index.html</w:t>
        </w:r>
      </w:hyperlink>
    </w:p>
    <w:p w14:paraId="48B3B23F" w14:textId="77777777" w:rsidR="00BE651E" w:rsidRPr="00BE651E" w:rsidRDefault="00BE651E" w:rsidP="00BE651E">
      <w:r w:rsidRPr="00BE651E">
        <w:t xml:space="preserve">National Institute for Health and Care Excellence (NICE). (2011). </w:t>
      </w:r>
      <w:r w:rsidRPr="00BE651E">
        <w:rPr>
          <w:i/>
          <w:iCs/>
        </w:rPr>
        <w:t>Autism spectrum disorder in under 19s: recognition, referral and diagnosis (CG128)</w:t>
      </w:r>
      <w:r w:rsidRPr="00BE651E">
        <w:t>. Retrieved from https://www.nice.org.uk/guidance/cg128</w:t>
      </w:r>
    </w:p>
    <w:p w14:paraId="30C9F0A5" w14:textId="08A6646F" w:rsidR="00BE651E" w:rsidRDefault="00BE651E" w:rsidP="00BE651E">
      <w:r w:rsidRPr="00BE651E">
        <w:t xml:space="preserve">Robins, D. L., Fein, D., &amp; Barton, M. L. (2009). Modified Checklist for Autism in Toddlers, Revised with Follow-Up (M-CHAT-R/F). </w:t>
      </w:r>
      <w:r w:rsidRPr="00BE651E">
        <w:rPr>
          <w:i/>
          <w:iCs/>
        </w:rPr>
        <w:t>Paediatrics</w:t>
      </w:r>
      <w:r w:rsidRPr="00BE651E">
        <w:t xml:space="preserve">, 123(5), 1344–1350. </w:t>
      </w:r>
      <w:hyperlink r:id="rId10" w:history="1">
        <w:r w:rsidR="006F44EB" w:rsidRPr="00BE651E">
          <w:rPr>
            <w:rStyle w:val="Hyperlink"/>
          </w:rPr>
          <w:t>https://doi.org/10.1542/peds.2008-1455</w:t>
        </w:r>
      </w:hyperlink>
    </w:p>
    <w:p w14:paraId="2B610FEE" w14:textId="1C2FC263" w:rsidR="006F44EB" w:rsidRPr="006F44EB" w:rsidRDefault="006F44EB" w:rsidP="006F44EB">
      <w:r w:rsidRPr="006F44EB">
        <w:t xml:space="preserve">Dean, M., Harwood, R., &amp; </w:t>
      </w:r>
      <w:proofErr w:type="spellStart"/>
      <w:r w:rsidRPr="006F44EB">
        <w:t>Kasari</w:t>
      </w:r>
      <w:proofErr w:type="spellEnd"/>
      <w:r w:rsidRPr="006F44EB">
        <w:t xml:space="preserve">, C. (2017). The art of camouflage: Gender differences in the social </w:t>
      </w:r>
      <w:proofErr w:type="spellStart"/>
      <w:r w:rsidRPr="006F44EB">
        <w:t>behaviors</w:t>
      </w:r>
      <w:proofErr w:type="spellEnd"/>
      <w:r w:rsidRPr="006F44EB">
        <w:t xml:space="preserve"> of girls and boys with autism spectrum disorder. </w:t>
      </w:r>
      <w:r w:rsidRPr="006F44EB">
        <w:rPr>
          <w:i/>
          <w:iCs/>
        </w:rPr>
        <w:t>Autism</w:t>
      </w:r>
      <w:r w:rsidRPr="006F44EB">
        <w:t>, 21(6), 678–689. https://doi.org/10.1177/1362361316671845</w:t>
      </w:r>
    </w:p>
    <w:p w14:paraId="45ACD907" w14:textId="74A92572" w:rsidR="006F44EB" w:rsidRPr="006F44EB" w:rsidRDefault="006F44EB" w:rsidP="006F44EB">
      <w:r w:rsidRPr="006F44EB">
        <w:t xml:space="preserve">Hiller, R. M., Young, R. L., &amp; Weber, N. (2014). Sex differences in autism spectrum disorder based on DSM-5 criteria: Evidence from clinician and teacher reporting. </w:t>
      </w:r>
      <w:r w:rsidRPr="006F44EB">
        <w:rPr>
          <w:i/>
          <w:iCs/>
        </w:rPr>
        <w:t>Journal of Abnormal Child Psychology</w:t>
      </w:r>
      <w:r w:rsidRPr="006F44EB">
        <w:t>, 42(8), 1381–1393. https://doi.org/10.1007/s10802-014-9871-2</w:t>
      </w:r>
    </w:p>
    <w:p w14:paraId="130ECAE5" w14:textId="56436A76" w:rsidR="006F44EB" w:rsidRPr="006F44EB" w:rsidRDefault="006F44EB" w:rsidP="006F44EB">
      <w:proofErr w:type="spellStart"/>
      <w:r w:rsidRPr="006F44EB">
        <w:t>Kirkovski</w:t>
      </w:r>
      <w:proofErr w:type="spellEnd"/>
      <w:r w:rsidRPr="006F44EB">
        <w:t xml:space="preserve">, M., </w:t>
      </w:r>
      <w:proofErr w:type="spellStart"/>
      <w:r w:rsidRPr="006F44EB">
        <w:t>Enticott</w:t>
      </w:r>
      <w:proofErr w:type="spellEnd"/>
      <w:r w:rsidRPr="006F44EB">
        <w:t xml:space="preserve">, P. G., &amp; Fitzgerald, P. B. (2013). A review of the role of female gender in autism spectrum disorders. </w:t>
      </w:r>
      <w:r w:rsidRPr="006F44EB">
        <w:rPr>
          <w:i/>
          <w:iCs/>
        </w:rPr>
        <w:t>Journal of Autism and Developmental Disorders</w:t>
      </w:r>
      <w:r w:rsidRPr="006F44EB">
        <w:t>, 43(11), 2584–2603. https://doi.org/10.1007/s10803-013-1811-1</w:t>
      </w:r>
    </w:p>
    <w:p w14:paraId="398A7581" w14:textId="2AC27F6D" w:rsidR="006F44EB" w:rsidRPr="006F44EB" w:rsidRDefault="006F44EB" w:rsidP="006F44EB">
      <w:proofErr w:type="spellStart"/>
      <w:r w:rsidRPr="006F44EB">
        <w:t>Loomes</w:t>
      </w:r>
      <w:proofErr w:type="spellEnd"/>
      <w:r w:rsidRPr="006F44EB">
        <w:t xml:space="preserve">, R., Hull, L., &amp; Mandy, W. P. (2017). What is the male-to-female ratio in autism spectrum disorder? A systematic review and meta-analysis. </w:t>
      </w:r>
      <w:r w:rsidRPr="006F44EB">
        <w:rPr>
          <w:i/>
          <w:iCs/>
        </w:rPr>
        <w:t>Journal of the American Academy of Child &amp; Adolescent Psychiatry</w:t>
      </w:r>
      <w:r w:rsidRPr="006F44EB">
        <w:t>, 56(6), 466–474. https://doi.org/10.1016/j.jaac.2017.03.013</w:t>
      </w:r>
    </w:p>
    <w:p w14:paraId="0FCAA631" w14:textId="3CB0AE6F" w:rsidR="006F44EB" w:rsidRDefault="006F44EB" w:rsidP="006F44EB">
      <w:r w:rsidRPr="006F44EB">
        <w:t xml:space="preserve">Rutherford, M., McKenzie, K., Johnson, T., Catchpole, C., O'Hare, A., McClure, I., &amp; Murray, A. (2016). Gender ratio in a clinical population sample, age of diagnosis and duration of assessment in children and adults with autism spectrum disorder. </w:t>
      </w:r>
      <w:r w:rsidRPr="006F44EB">
        <w:rPr>
          <w:i/>
          <w:iCs/>
        </w:rPr>
        <w:t>Autism</w:t>
      </w:r>
      <w:r w:rsidRPr="006F44EB">
        <w:t xml:space="preserve">, 20(5), 628–634. </w:t>
      </w:r>
      <w:hyperlink r:id="rId11" w:history="1">
        <w:r w:rsidR="002B2055" w:rsidRPr="00D87F3D">
          <w:rPr>
            <w:rStyle w:val="Hyperlink"/>
          </w:rPr>
          <w:t>https://doi.org/10.1177/1362361315617879</w:t>
        </w:r>
      </w:hyperlink>
    </w:p>
    <w:p w14:paraId="66B67022" w14:textId="3F4FF372" w:rsidR="002B2055" w:rsidRDefault="002B2055" w:rsidP="006F44EB">
      <w:r w:rsidRPr="002B2055">
        <w:t xml:space="preserve">Humphrey, N., &amp; Lewis, S. (2008). 'Make me normal': The views and experiences of pupils on the autistic spectrum in mainstream secondary schools. </w:t>
      </w:r>
      <w:r w:rsidRPr="002B2055">
        <w:rPr>
          <w:i/>
          <w:iCs/>
        </w:rPr>
        <w:t>Autism</w:t>
      </w:r>
      <w:r w:rsidRPr="002B2055">
        <w:t>, 12(1), 23–46.</w:t>
      </w:r>
    </w:p>
    <w:p w14:paraId="41B052D3" w14:textId="5F7ECB6E" w:rsidR="003D730B" w:rsidRPr="006F44EB" w:rsidRDefault="003D730B" w:rsidP="006F44EB">
      <w:r w:rsidRPr="003D730B">
        <w:lastRenderedPageBreak/>
        <w:t xml:space="preserve">National Institute of Mental Health. (2022). </w:t>
      </w:r>
      <w:r w:rsidRPr="003D730B">
        <w:rPr>
          <w:i/>
          <w:iCs/>
        </w:rPr>
        <w:t>Autism Spectrum Disorder</w:t>
      </w:r>
      <w:r w:rsidRPr="003D730B">
        <w:t xml:space="preserve">. </w:t>
      </w:r>
      <w:hyperlink r:id="rId12" w:tgtFrame="_new" w:history="1">
        <w:r w:rsidRPr="003D730B">
          <w:rPr>
            <w:rStyle w:val="Hyperlink"/>
          </w:rPr>
          <w:t>https://www.nimh.nih.gov/health/topics/autism-spectrum-disorders-asd</w:t>
        </w:r>
      </w:hyperlink>
    </w:p>
    <w:p w14:paraId="046091A2" w14:textId="77777777" w:rsidR="006F44EB" w:rsidRPr="00BE651E" w:rsidRDefault="006F44EB" w:rsidP="00BE651E"/>
    <w:p w14:paraId="50BC1615" w14:textId="77777777" w:rsidR="002A4476" w:rsidRPr="00780CAE" w:rsidRDefault="002A4476" w:rsidP="00780CAE"/>
    <w:p w14:paraId="70B32711" w14:textId="77777777" w:rsidR="00780CAE" w:rsidRPr="00780CAE" w:rsidRDefault="00780CAE" w:rsidP="00780CAE"/>
    <w:p w14:paraId="25E12FB3" w14:textId="77777777" w:rsidR="005671B3" w:rsidRPr="005671B3" w:rsidRDefault="005671B3">
      <w:pPr>
        <w:rPr>
          <w:u w:val="single"/>
        </w:rPr>
      </w:pPr>
    </w:p>
    <w:sectPr w:rsidR="005671B3" w:rsidRPr="005671B3">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842DDE" w14:textId="77777777" w:rsidR="0022576F" w:rsidRPr="005671B3" w:rsidRDefault="0022576F" w:rsidP="00304F1C">
      <w:pPr>
        <w:spacing w:after="0" w:line="240" w:lineRule="auto"/>
      </w:pPr>
      <w:r w:rsidRPr="005671B3">
        <w:separator/>
      </w:r>
    </w:p>
  </w:endnote>
  <w:endnote w:type="continuationSeparator" w:id="0">
    <w:p w14:paraId="59A13418" w14:textId="77777777" w:rsidR="0022576F" w:rsidRPr="005671B3" w:rsidRDefault="0022576F" w:rsidP="00304F1C">
      <w:pPr>
        <w:spacing w:after="0" w:line="240" w:lineRule="auto"/>
      </w:pPr>
      <w:r w:rsidRPr="005671B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6E3B25" w14:textId="77777777" w:rsidR="0022576F" w:rsidRPr="005671B3" w:rsidRDefault="0022576F" w:rsidP="00304F1C">
      <w:pPr>
        <w:spacing w:after="0" w:line="240" w:lineRule="auto"/>
      </w:pPr>
      <w:r w:rsidRPr="005671B3">
        <w:separator/>
      </w:r>
    </w:p>
  </w:footnote>
  <w:footnote w:type="continuationSeparator" w:id="0">
    <w:p w14:paraId="514514DA" w14:textId="77777777" w:rsidR="0022576F" w:rsidRPr="005671B3" w:rsidRDefault="0022576F" w:rsidP="00304F1C">
      <w:pPr>
        <w:spacing w:after="0" w:line="240" w:lineRule="auto"/>
      </w:pPr>
      <w:r w:rsidRPr="005671B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D04CFE" w14:textId="1C661571" w:rsidR="00304F1C" w:rsidRPr="005671B3" w:rsidRDefault="00304F1C">
    <w:pPr>
      <w:pStyle w:val="Header"/>
    </w:pPr>
    <w:r w:rsidRPr="005671B3">
      <w:t>Rachel Thomas</w:t>
    </w:r>
    <w:r w:rsidRPr="005671B3">
      <w:tab/>
      <w:t>ECEY6006</w:t>
    </w:r>
    <w:r w:rsidRPr="005671B3">
      <w:ptab w:relativeTo="margin" w:alignment="right" w:leader="none"/>
    </w:r>
    <w:r w:rsidRPr="005671B3">
      <w:t>2312291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C803FB"/>
    <w:multiLevelType w:val="hybridMultilevel"/>
    <w:tmpl w:val="C4A20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420ACD"/>
    <w:multiLevelType w:val="hybridMultilevel"/>
    <w:tmpl w:val="0A5E3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5D1C95"/>
    <w:multiLevelType w:val="hybridMultilevel"/>
    <w:tmpl w:val="5FC6B6C0"/>
    <w:lvl w:ilvl="0" w:tplc="78642826">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A7615F"/>
    <w:multiLevelType w:val="hybridMultilevel"/>
    <w:tmpl w:val="231AFB8A"/>
    <w:lvl w:ilvl="0" w:tplc="78642826">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565356"/>
    <w:multiLevelType w:val="hybridMultilevel"/>
    <w:tmpl w:val="44E211E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01436C0"/>
    <w:multiLevelType w:val="hybridMultilevel"/>
    <w:tmpl w:val="BB9E452C"/>
    <w:lvl w:ilvl="0" w:tplc="78642826">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2E0083D"/>
    <w:multiLevelType w:val="hybridMultilevel"/>
    <w:tmpl w:val="E3B2DBEC"/>
    <w:lvl w:ilvl="0" w:tplc="8D2C3CE8">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AE824F2"/>
    <w:multiLevelType w:val="hybridMultilevel"/>
    <w:tmpl w:val="FD58DBB8"/>
    <w:lvl w:ilvl="0" w:tplc="78642826">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7B23CF5"/>
    <w:multiLevelType w:val="hybridMultilevel"/>
    <w:tmpl w:val="676AA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E6A75E7"/>
    <w:multiLevelType w:val="hybridMultilevel"/>
    <w:tmpl w:val="932CA8CE"/>
    <w:lvl w:ilvl="0" w:tplc="78642826">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68179647">
    <w:abstractNumId w:val="4"/>
  </w:num>
  <w:num w:numId="2" w16cid:durableId="905722032">
    <w:abstractNumId w:val="8"/>
  </w:num>
  <w:num w:numId="3" w16cid:durableId="1618372641">
    <w:abstractNumId w:val="0"/>
  </w:num>
  <w:num w:numId="4" w16cid:durableId="1943880863">
    <w:abstractNumId w:val="5"/>
  </w:num>
  <w:num w:numId="5" w16cid:durableId="180825441">
    <w:abstractNumId w:val="2"/>
  </w:num>
  <w:num w:numId="6" w16cid:durableId="1891916564">
    <w:abstractNumId w:val="9"/>
  </w:num>
  <w:num w:numId="7" w16cid:durableId="762993372">
    <w:abstractNumId w:val="7"/>
  </w:num>
  <w:num w:numId="8" w16cid:durableId="653486040">
    <w:abstractNumId w:val="3"/>
  </w:num>
  <w:num w:numId="9" w16cid:durableId="564339247">
    <w:abstractNumId w:val="1"/>
  </w:num>
  <w:num w:numId="10" w16cid:durableId="200844233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D07"/>
    <w:rsid w:val="00042FAE"/>
    <w:rsid w:val="00112D2A"/>
    <w:rsid w:val="001F27A9"/>
    <w:rsid w:val="00207A8F"/>
    <w:rsid w:val="0022576F"/>
    <w:rsid w:val="002621B6"/>
    <w:rsid w:val="002A4476"/>
    <w:rsid w:val="002B2055"/>
    <w:rsid w:val="00304F1C"/>
    <w:rsid w:val="00356C6A"/>
    <w:rsid w:val="00393928"/>
    <w:rsid w:val="003D38EA"/>
    <w:rsid w:val="003D730B"/>
    <w:rsid w:val="003F2373"/>
    <w:rsid w:val="004C3EED"/>
    <w:rsid w:val="004F1C37"/>
    <w:rsid w:val="005012E6"/>
    <w:rsid w:val="005671B3"/>
    <w:rsid w:val="006A45F7"/>
    <w:rsid w:val="006D1DF6"/>
    <w:rsid w:val="006F44EB"/>
    <w:rsid w:val="007103A2"/>
    <w:rsid w:val="007175F0"/>
    <w:rsid w:val="00723680"/>
    <w:rsid w:val="007752E5"/>
    <w:rsid w:val="00780CAE"/>
    <w:rsid w:val="008606AF"/>
    <w:rsid w:val="00983D07"/>
    <w:rsid w:val="00AD6D04"/>
    <w:rsid w:val="00B93564"/>
    <w:rsid w:val="00BA4D3C"/>
    <w:rsid w:val="00BB5F6D"/>
    <w:rsid w:val="00BD3E84"/>
    <w:rsid w:val="00BE651E"/>
    <w:rsid w:val="00C91F93"/>
    <w:rsid w:val="00CA4CFF"/>
    <w:rsid w:val="00DB2AFD"/>
    <w:rsid w:val="00E71BEB"/>
    <w:rsid w:val="00EB1651"/>
    <w:rsid w:val="00F978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E577DB"/>
  <w15:chartTrackingRefBased/>
  <w15:docId w15:val="{6F75052A-26E2-4355-8C1B-AB2CE8401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3D0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3D0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3D0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3D0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3D0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3D0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3D0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3D0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3D0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3D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3D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3D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3D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3D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3D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3D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3D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3D07"/>
    <w:rPr>
      <w:rFonts w:eastAsiaTheme="majorEastAsia" w:cstheme="majorBidi"/>
      <w:color w:val="272727" w:themeColor="text1" w:themeTint="D8"/>
    </w:rPr>
  </w:style>
  <w:style w:type="paragraph" w:styleId="Title">
    <w:name w:val="Title"/>
    <w:basedOn w:val="Normal"/>
    <w:next w:val="Normal"/>
    <w:link w:val="TitleChar"/>
    <w:uiPriority w:val="10"/>
    <w:qFormat/>
    <w:rsid w:val="00983D0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3D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3D0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3D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3D07"/>
    <w:pPr>
      <w:spacing w:before="160"/>
      <w:jc w:val="center"/>
    </w:pPr>
    <w:rPr>
      <w:i/>
      <w:iCs/>
      <w:color w:val="404040" w:themeColor="text1" w:themeTint="BF"/>
    </w:rPr>
  </w:style>
  <w:style w:type="character" w:customStyle="1" w:styleId="QuoteChar">
    <w:name w:val="Quote Char"/>
    <w:basedOn w:val="DefaultParagraphFont"/>
    <w:link w:val="Quote"/>
    <w:uiPriority w:val="29"/>
    <w:rsid w:val="00983D07"/>
    <w:rPr>
      <w:i/>
      <w:iCs/>
      <w:color w:val="404040" w:themeColor="text1" w:themeTint="BF"/>
    </w:rPr>
  </w:style>
  <w:style w:type="paragraph" w:styleId="ListParagraph">
    <w:name w:val="List Paragraph"/>
    <w:basedOn w:val="Normal"/>
    <w:uiPriority w:val="34"/>
    <w:qFormat/>
    <w:rsid w:val="00983D07"/>
    <w:pPr>
      <w:ind w:left="720"/>
      <w:contextualSpacing/>
    </w:pPr>
  </w:style>
  <w:style w:type="character" w:styleId="IntenseEmphasis">
    <w:name w:val="Intense Emphasis"/>
    <w:basedOn w:val="DefaultParagraphFont"/>
    <w:uiPriority w:val="21"/>
    <w:qFormat/>
    <w:rsid w:val="00983D07"/>
    <w:rPr>
      <w:i/>
      <w:iCs/>
      <w:color w:val="0F4761" w:themeColor="accent1" w:themeShade="BF"/>
    </w:rPr>
  </w:style>
  <w:style w:type="paragraph" w:styleId="IntenseQuote">
    <w:name w:val="Intense Quote"/>
    <w:basedOn w:val="Normal"/>
    <w:next w:val="Normal"/>
    <w:link w:val="IntenseQuoteChar"/>
    <w:uiPriority w:val="30"/>
    <w:qFormat/>
    <w:rsid w:val="00983D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3D07"/>
    <w:rPr>
      <w:i/>
      <w:iCs/>
      <w:color w:val="0F4761" w:themeColor="accent1" w:themeShade="BF"/>
    </w:rPr>
  </w:style>
  <w:style w:type="character" w:styleId="IntenseReference">
    <w:name w:val="Intense Reference"/>
    <w:basedOn w:val="DefaultParagraphFont"/>
    <w:uiPriority w:val="32"/>
    <w:qFormat/>
    <w:rsid w:val="00983D07"/>
    <w:rPr>
      <w:b/>
      <w:bCs/>
      <w:smallCaps/>
      <w:color w:val="0F4761" w:themeColor="accent1" w:themeShade="BF"/>
      <w:spacing w:val="5"/>
    </w:rPr>
  </w:style>
  <w:style w:type="paragraph" w:styleId="Header">
    <w:name w:val="header"/>
    <w:basedOn w:val="Normal"/>
    <w:link w:val="HeaderChar"/>
    <w:uiPriority w:val="99"/>
    <w:unhideWhenUsed/>
    <w:rsid w:val="00304F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4F1C"/>
  </w:style>
  <w:style w:type="paragraph" w:styleId="Footer">
    <w:name w:val="footer"/>
    <w:basedOn w:val="Normal"/>
    <w:link w:val="FooterChar"/>
    <w:uiPriority w:val="99"/>
    <w:unhideWhenUsed/>
    <w:rsid w:val="00304F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4F1C"/>
  </w:style>
  <w:style w:type="character" w:styleId="Hyperlink">
    <w:name w:val="Hyperlink"/>
    <w:basedOn w:val="DefaultParagraphFont"/>
    <w:uiPriority w:val="99"/>
    <w:unhideWhenUsed/>
    <w:rsid w:val="00780CAE"/>
    <w:rPr>
      <w:color w:val="467886" w:themeColor="hyperlink"/>
      <w:u w:val="single"/>
    </w:rPr>
  </w:style>
  <w:style w:type="character" w:styleId="UnresolvedMention">
    <w:name w:val="Unresolved Mention"/>
    <w:basedOn w:val="DefaultParagraphFont"/>
    <w:uiPriority w:val="99"/>
    <w:semiHidden/>
    <w:unhideWhenUsed/>
    <w:rsid w:val="00780C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24387">
      <w:bodyDiv w:val="1"/>
      <w:marLeft w:val="0"/>
      <w:marRight w:val="0"/>
      <w:marTop w:val="0"/>
      <w:marBottom w:val="0"/>
      <w:divBdr>
        <w:top w:val="none" w:sz="0" w:space="0" w:color="auto"/>
        <w:left w:val="none" w:sz="0" w:space="0" w:color="auto"/>
        <w:bottom w:val="none" w:sz="0" w:space="0" w:color="auto"/>
        <w:right w:val="none" w:sz="0" w:space="0" w:color="auto"/>
      </w:divBdr>
    </w:div>
    <w:div w:id="87360360">
      <w:bodyDiv w:val="1"/>
      <w:marLeft w:val="0"/>
      <w:marRight w:val="0"/>
      <w:marTop w:val="0"/>
      <w:marBottom w:val="0"/>
      <w:divBdr>
        <w:top w:val="none" w:sz="0" w:space="0" w:color="auto"/>
        <w:left w:val="none" w:sz="0" w:space="0" w:color="auto"/>
        <w:bottom w:val="none" w:sz="0" w:space="0" w:color="auto"/>
        <w:right w:val="none" w:sz="0" w:space="0" w:color="auto"/>
      </w:divBdr>
    </w:div>
    <w:div w:id="103312234">
      <w:bodyDiv w:val="1"/>
      <w:marLeft w:val="0"/>
      <w:marRight w:val="0"/>
      <w:marTop w:val="0"/>
      <w:marBottom w:val="0"/>
      <w:divBdr>
        <w:top w:val="none" w:sz="0" w:space="0" w:color="auto"/>
        <w:left w:val="none" w:sz="0" w:space="0" w:color="auto"/>
        <w:bottom w:val="none" w:sz="0" w:space="0" w:color="auto"/>
        <w:right w:val="none" w:sz="0" w:space="0" w:color="auto"/>
      </w:divBdr>
    </w:div>
    <w:div w:id="290521762">
      <w:bodyDiv w:val="1"/>
      <w:marLeft w:val="0"/>
      <w:marRight w:val="0"/>
      <w:marTop w:val="0"/>
      <w:marBottom w:val="0"/>
      <w:divBdr>
        <w:top w:val="none" w:sz="0" w:space="0" w:color="auto"/>
        <w:left w:val="none" w:sz="0" w:space="0" w:color="auto"/>
        <w:bottom w:val="none" w:sz="0" w:space="0" w:color="auto"/>
        <w:right w:val="none" w:sz="0" w:space="0" w:color="auto"/>
      </w:divBdr>
    </w:div>
    <w:div w:id="341782047">
      <w:bodyDiv w:val="1"/>
      <w:marLeft w:val="0"/>
      <w:marRight w:val="0"/>
      <w:marTop w:val="0"/>
      <w:marBottom w:val="0"/>
      <w:divBdr>
        <w:top w:val="none" w:sz="0" w:space="0" w:color="auto"/>
        <w:left w:val="none" w:sz="0" w:space="0" w:color="auto"/>
        <w:bottom w:val="none" w:sz="0" w:space="0" w:color="auto"/>
        <w:right w:val="none" w:sz="0" w:space="0" w:color="auto"/>
      </w:divBdr>
    </w:div>
    <w:div w:id="350763180">
      <w:bodyDiv w:val="1"/>
      <w:marLeft w:val="0"/>
      <w:marRight w:val="0"/>
      <w:marTop w:val="0"/>
      <w:marBottom w:val="0"/>
      <w:divBdr>
        <w:top w:val="none" w:sz="0" w:space="0" w:color="auto"/>
        <w:left w:val="none" w:sz="0" w:space="0" w:color="auto"/>
        <w:bottom w:val="none" w:sz="0" w:space="0" w:color="auto"/>
        <w:right w:val="none" w:sz="0" w:space="0" w:color="auto"/>
      </w:divBdr>
    </w:div>
    <w:div w:id="359552315">
      <w:bodyDiv w:val="1"/>
      <w:marLeft w:val="0"/>
      <w:marRight w:val="0"/>
      <w:marTop w:val="0"/>
      <w:marBottom w:val="0"/>
      <w:divBdr>
        <w:top w:val="none" w:sz="0" w:space="0" w:color="auto"/>
        <w:left w:val="none" w:sz="0" w:space="0" w:color="auto"/>
        <w:bottom w:val="none" w:sz="0" w:space="0" w:color="auto"/>
        <w:right w:val="none" w:sz="0" w:space="0" w:color="auto"/>
      </w:divBdr>
    </w:div>
    <w:div w:id="424300503">
      <w:bodyDiv w:val="1"/>
      <w:marLeft w:val="0"/>
      <w:marRight w:val="0"/>
      <w:marTop w:val="0"/>
      <w:marBottom w:val="0"/>
      <w:divBdr>
        <w:top w:val="none" w:sz="0" w:space="0" w:color="auto"/>
        <w:left w:val="none" w:sz="0" w:space="0" w:color="auto"/>
        <w:bottom w:val="none" w:sz="0" w:space="0" w:color="auto"/>
        <w:right w:val="none" w:sz="0" w:space="0" w:color="auto"/>
      </w:divBdr>
    </w:div>
    <w:div w:id="591284435">
      <w:bodyDiv w:val="1"/>
      <w:marLeft w:val="0"/>
      <w:marRight w:val="0"/>
      <w:marTop w:val="0"/>
      <w:marBottom w:val="0"/>
      <w:divBdr>
        <w:top w:val="none" w:sz="0" w:space="0" w:color="auto"/>
        <w:left w:val="none" w:sz="0" w:space="0" w:color="auto"/>
        <w:bottom w:val="none" w:sz="0" w:space="0" w:color="auto"/>
        <w:right w:val="none" w:sz="0" w:space="0" w:color="auto"/>
      </w:divBdr>
    </w:div>
    <w:div w:id="732312200">
      <w:bodyDiv w:val="1"/>
      <w:marLeft w:val="0"/>
      <w:marRight w:val="0"/>
      <w:marTop w:val="0"/>
      <w:marBottom w:val="0"/>
      <w:divBdr>
        <w:top w:val="none" w:sz="0" w:space="0" w:color="auto"/>
        <w:left w:val="none" w:sz="0" w:space="0" w:color="auto"/>
        <w:bottom w:val="none" w:sz="0" w:space="0" w:color="auto"/>
        <w:right w:val="none" w:sz="0" w:space="0" w:color="auto"/>
      </w:divBdr>
    </w:div>
    <w:div w:id="805853162">
      <w:bodyDiv w:val="1"/>
      <w:marLeft w:val="0"/>
      <w:marRight w:val="0"/>
      <w:marTop w:val="0"/>
      <w:marBottom w:val="0"/>
      <w:divBdr>
        <w:top w:val="none" w:sz="0" w:space="0" w:color="auto"/>
        <w:left w:val="none" w:sz="0" w:space="0" w:color="auto"/>
        <w:bottom w:val="none" w:sz="0" w:space="0" w:color="auto"/>
        <w:right w:val="none" w:sz="0" w:space="0" w:color="auto"/>
      </w:divBdr>
    </w:div>
    <w:div w:id="851921083">
      <w:bodyDiv w:val="1"/>
      <w:marLeft w:val="0"/>
      <w:marRight w:val="0"/>
      <w:marTop w:val="0"/>
      <w:marBottom w:val="0"/>
      <w:divBdr>
        <w:top w:val="none" w:sz="0" w:space="0" w:color="auto"/>
        <w:left w:val="none" w:sz="0" w:space="0" w:color="auto"/>
        <w:bottom w:val="none" w:sz="0" w:space="0" w:color="auto"/>
        <w:right w:val="none" w:sz="0" w:space="0" w:color="auto"/>
      </w:divBdr>
    </w:div>
    <w:div w:id="852721254">
      <w:bodyDiv w:val="1"/>
      <w:marLeft w:val="0"/>
      <w:marRight w:val="0"/>
      <w:marTop w:val="0"/>
      <w:marBottom w:val="0"/>
      <w:divBdr>
        <w:top w:val="none" w:sz="0" w:space="0" w:color="auto"/>
        <w:left w:val="none" w:sz="0" w:space="0" w:color="auto"/>
        <w:bottom w:val="none" w:sz="0" w:space="0" w:color="auto"/>
        <w:right w:val="none" w:sz="0" w:space="0" w:color="auto"/>
      </w:divBdr>
    </w:div>
    <w:div w:id="898517024">
      <w:bodyDiv w:val="1"/>
      <w:marLeft w:val="0"/>
      <w:marRight w:val="0"/>
      <w:marTop w:val="0"/>
      <w:marBottom w:val="0"/>
      <w:divBdr>
        <w:top w:val="none" w:sz="0" w:space="0" w:color="auto"/>
        <w:left w:val="none" w:sz="0" w:space="0" w:color="auto"/>
        <w:bottom w:val="none" w:sz="0" w:space="0" w:color="auto"/>
        <w:right w:val="none" w:sz="0" w:space="0" w:color="auto"/>
      </w:divBdr>
    </w:div>
    <w:div w:id="899292414">
      <w:bodyDiv w:val="1"/>
      <w:marLeft w:val="0"/>
      <w:marRight w:val="0"/>
      <w:marTop w:val="0"/>
      <w:marBottom w:val="0"/>
      <w:divBdr>
        <w:top w:val="none" w:sz="0" w:space="0" w:color="auto"/>
        <w:left w:val="none" w:sz="0" w:space="0" w:color="auto"/>
        <w:bottom w:val="none" w:sz="0" w:space="0" w:color="auto"/>
        <w:right w:val="none" w:sz="0" w:space="0" w:color="auto"/>
      </w:divBdr>
    </w:div>
    <w:div w:id="899708492">
      <w:bodyDiv w:val="1"/>
      <w:marLeft w:val="0"/>
      <w:marRight w:val="0"/>
      <w:marTop w:val="0"/>
      <w:marBottom w:val="0"/>
      <w:divBdr>
        <w:top w:val="none" w:sz="0" w:space="0" w:color="auto"/>
        <w:left w:val="none" w:sz="0" w:space="0" w:color="auto"/>
        <w:bottom w:val="none" w:sz="0" w:space="0" w:color="auto"/>
        <w:right w:val="none" w:sz="0" w:space="0" w:color="auto"/>
      </w:divBdr>
    </w:div>
    <w:div w:id="959382723">
      <w:bodyDiv w:val="1"/>
      <w:marLeft w:val="0"/>
      <w:marRight w:val="0"/>
      <w:marTop w:val="0"/>
      <w:marBottom w:val="0"/>
      <w:divBdr>
        <w:top w:val="none" w:sz="0" w:space="0" w:color="auto"/>
        <w:left w:val="none" w:sz="0" w:space="0" w:color="auto"/>
        <w:bottom w:val="none" w:sz="0" w:space="0" w:color="auto"/>
        <w:right w:val="none" w:sz="0" w:space="0" w:color="auto"/>
      </w:divBdr>
    </w:div>
    <w:div w:id="1065756762">
      <w:bodyDiv w:val="1"/>
      <w:marLeft w:val="0"/>
      <w:marRight w:val="0"/>
      <w:marTop w:val="0"/>
      <w:marBottom w:val="0"/>
      <w:divBdr>
        <w:top w:val="none" w:sz="0" w:space="0" w:color="auto"/>
        <w:left w:val="none" w:sz="0" w:space="0" w:color="auto"/>
        <w:bottom w:val="none" w:sz="0" w:space="0" w:color="auto"/>
        <w:right w:val="none" w:sz="0" w:space="0" w:color="auto"/>
      </w:divBdr>
    </w:div>
    <w:div w:id="1185941142">
      <w:bodyDiv w:val="1"/>
      <w:marLeft w:val="0"/>
      <w:marRight w:val="0"/>
      <w:marTop w:val="0"/>
      <w:marBottom w:val="0"/>
      <w:divBdr>
        <w:top w:val="none" w:sz="0" w:space="0" w:color="auto"/>
        <w:left w:val="none" w:sz="0" w:space="0" w:color="auto"/>
        <w:bottom w:val="none" w:sz="0" w:space="0" w:color="auto"/>
        <w:right w:val="none" w:sz="0" w:space="0" w:color="auto"/>
      </w:divBdr>
    </w:div>
    <w:div w:id="1236671862">
      <w:bodyDiv w:val="1"/>
      <w:marLeft w:val="0"/>
      <w:marRight w:val="0"/>
      <w:marTop w:val="0"/>
      <w:marBottom w:val="0"/>
      <w:divBdr>
        <w:top w:val="none" w:sz="0" w:space="0" w:color="auto"/>
        <w:left w:val="none" w:sz="0" w:space="0" w:color="auto"/>
        <w:bottom w:val="none" w:sz="0" w:space="0" w:color="auto"/>
        <w:right w:val="none" w:sz="0" w:space="0" w:color="auto"/>
      </w:divBdr>
    </w:div>
    <w:div w:id="1264068181">
      <w:bodyDiv w:val="1"/>
      <w:marLeft w:val="0"/>
      <w:marRight w:val="0"/>
      <w:marTop w:val="0"/>
      <w:marBottom w:val="0"/>
      <w:divBdr>
        <w:top w:val="none" w:sz="0" w:space="0" w:color="auto"/>
        <w:left w:val="none" w:sz="0" w:space="0" w:color="auto"/>
        <w:bottom w:val="none" w:sz="0" w:space="0" w:color="auto"/>
        <w:right w:val="none" w:sz="0" w:space="0" w:color="auto"/>
      </w:divBdr>
    </w:div>
    <w:div w:id="1274946995">
      <w:bodyDiv w:val="1"/>
      <w:marLeft w:val="0"/>
      <w:marRight w:val="0"/>
      <w:marTop w:val="0"/>
      <w:marBottom w:val="0"/>
      <w:divBdr>
        <w:top w:val="none" w:sz="0" w:space="0" w:color="auto"/>
        <w:left w:val="none" w:sz="0" w:space="0" w:color="auto"/>
        <w:bottom w:val="none" w:sz="0" w:space="0" w:color="auto"/>
        <w:right w:val="none" w:sz="0" w:space="0" w:color="auto"/>
      </w:divBdr>
    </w:div>
    <w:div w:id="1275283662">
      <w:bodyDiv w:val="1"/>
      <w:marLeft w:val="0"/>
      <w:marRight w:val="0"/>
      <w:marTop w:val="0"/>
      <w:marBottom w:val="0"/>
      <w:divBdr>
        <w:top w:val="none" w:sz="0" w:space="0" w:color="auto"/>
        <w:left w:val="none" w:sz="0" w:space="0" w:color="auto"/>
        <w:bottom w:val="none" w:sz="0" w:space="0" w:color="auto"/>
        <w:right w:val="none" w:sz="0" w:space="0" w:color="auto"/>
      </w:divBdr>
    </w:div>
    <w:div w:id="1287931323">
      <w:bodyDiv w:val="1"/>
      <w:marLeft w:val="0"/>
      <w:marRight w:val="0"/>
      <w:marTop w:val="0"/>
      <w:marBottom w:val="0"/>
      <w:divBdr>
        <w:top w:val="none" w:sz="0" w:space="0" w:color="auto"/>
        <w:left w:val="none" w:sz="0" w:space="0" w:color="auto"/>
        <w:bottom w:val="none" w:sz="0" w:space="0" w:color="auto"/>
        <w:right w:val="none" w:sz="0" w:space="0" w:color="auto"/>
      </w:divBdr>
    </w:div>
    <w:div w:id="1325476798">
      <w:bodyDiv w:val="1"/>
      <w:marLeft w:val="0"/>
      <w:marRight w:val="0"/>
      <w:marTop w:val="0"/>
      <w:marBottom w:val="0"/>
      <w:divBdr>
        <w:top w:val="none" w:sz="0" w:space="0" w:color="auto"/>
        <w:left w:val="none" w:sz="0" w:space="0" w:color="auto"/>
        <w:bottom w:val="none" w:sz="0" w:space="0" w:color="auto"/>
        <w:right w:val="none" w:sz="0" w:space="0" w:color="auto"/>
      </w:divBdr>
    </w:div>
    <w:div w:id="1357921185">
      <w:bodyDiv w:val="1"/>
      <w:marLeft w:val="0"/>
      <w:marRight w:val="0"/>
      <w:marTop w:val="0"/>
      <w:marBottom w:val="0"/>
      <w:divBdr>
        <w:top w:val="none" w:sz="0" w:space="0" w:color="auto"/>
        <w:left w:val="none" w:sz="0" w:space="0" w:color="auto"/>
        <w:bottom w:val="none" w:sz="0" w:space="0" w:color="auto"/>
        <w:right w:val="none" w:sz="0" w:space="0" w:color="auto"/>
      </w:divBdr>
    </w:div>
    <w:div w:id="1379016107">
      <w:bodyDiv w:val="1"/>
      <w:marLeft w:val="0"/>
      <w:marRight w:val="0"/>
      <w:marTop w:val="0"/>
      <w:marBottom w:val="0"/>
      <w:divBdr>
        <w:top w:val="none" w:sz="0" w:space="0" w:color="auto"/>
        <w:left w:val="none" w:sz="0" w:space="0" w:color="auto"/>
        <w:bottom w:val="none" w:sz="0" w:space="0" w:color="auto"/>
        <w:right w:val="none" w:sz="0" w:space="0" w:color="auto"/>
      </w:divBdr>
    </w:div>
    <w:div w:id="1418015876">
      <w:bodyDiv w:val="1"/>
      <w:marLeft w:val="0"/>
      <w:marRight w:val="0"/>
      <w:marTop w:val="0"/>
      <w:marBottom w:val="0"/>
      <w:divBdr>
        <w:top w:val="none" w:sz="0" w:space="0" w:color="auto"/>
        <w:left w:val="none" w:sz="0" w:space="0" w:color="auto"/>
        <w:bottom w:val="none" w:sz="0" w:space="0" w:color="auto"/>
        <w:right w:val="none" w:sz="0" w:space="0" w:color="auto"/>
      </w:divBdr>
    </w:div>
    <w:div w:id="1537429835">
      <w:bodyDiv w:val="1"/>
      <w:marLeft w:val="0"/>
      <w:marRight w:val="0"/>
      <w:marTop w:val="0"/>
      <w:marBottom w:val="0"/>
      <w:divBdr>
        <w:top w:val="none" w:sz="0" w:space="0" w:color="auto"/>
        <w:left w:val="none" w:sz="0" w:space="0" w:color="auto"/>
        <w:bottom w:val="none" w:sz="0" w:space="0" w:color="auto"/>
        <w:right w:val="none" w:sz="0" w:space="0" w:color="auto"/>
      </w:divBdr>
    </w:div>
    <w:div w:id="1553804712">
      <w:bodyDiv w:val="1"/>
      <w:marLeft w:val="0"/>
      <w:marRight w:val="0"/>
      <w:marTop w:val="0"/>
      <w:marBottom w:val="0"/>
      <w:divBdr>
        <w:top w:val="none" w:sz="0" w:space="0" w:color="auto"/>
        <w:left w:val="none" w:sz="0" w:space="0" w:color="auto"/>
        <w:bottom w:val="none" w:sz="0" w:space="0" w:color="auto"/>
        <w:right w:val="none" w:sz="0" w:space="0" w:color="auto"/>
      </w:divBdr>
    </w:div>
    <w:div w:id="1576012190">
      <w:bodyDiv w:val="1"/>
      <w:marLeft w:val="0"/>
      <w:marRight w:val="0"/>
      <w:marTop w:val="0"/>
      <w:marBottom w:val="0"/>
      <w:divBdr>
        <w:top w:val="none" w:sz="0" w:space="0" w:color="auto"/>
        <w:left w:val="none" w:sz="0" w:space="0" w:color="auto"/>
        <w:bottom w:val="none" w:sz="0" w:space="0" w:color="auto"/>
        <w:right w:val="none" w:sz="0" w:space="0" w:color="auto"/>
      </w:divBdr>
    </w:div>
    <w:div w:id="1686714894">
      <w:bodyDiv w:val="1"/>
      <w:marLeft w:val="0"/>
      <w:marRight w:val="0"/>
      <w:marTop w:val="0"/>
      <w:marBottom w:val="0"/>
      <w:divBdr>
        <w:top w:val="none" w:sz="0" w:space="0" w:color="auto"/>
        <w:left w:val="none" w:sz="0" w:space="0" w:color="auto"/>
        <w:bottom w:val="none" w:sz="0" w:space="0" w:color="auto"/>
        <w:right w:val="none" w:sz="0" w:space="0" w:color="auto"/>
      </w:divBdr>
    </w:div>
    <w:div w:id="2135364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6/appi.ajp.2011.10101532"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icd.who.int" TargetMode="External"/><Relationship Id="rId12" Type="http://schemas.openxmlformats.org/officeDocument/2006/relationships/hyperlink" Target="https://www.nimh.nih.gov/health/topics/autism-spectrum-disorders-as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77/1362361315617879"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doi.org/10.1542/peds.2008-1455" TargetMode="External"/><Relationship Id="rId4" Type="http://schemas.openxmlformats.org/officeDocument/2006/relationships/webSettings" Target="webSettings.xml"/><Relationship Id="rId9" Type="http://schemas.openxmlformats.org/officeDocument/2006/relationships/hyperlink" Target="https://www.cdc.gov/ncbddd/actearly/index.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9891</TotalTime>
  <Pages>9</Pages>
  <Words>3224</Words>
  <Characters>18381</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Thomas (2312291)</dc:creator>
  <cp:keywords/>
  <dc:description/>
  <cp:lastModifiedBy>Rachel Thomas (2312291)</cp:lastModifiedBy>
  <cp:revision>6</cp:revision>
  <dcterms:created xsi:type="dcterms:W3CDTF">2025-05-05T06:32:00Z</dcterms:created>
  <dcterms:modified xsi:type="dcterms:W3CDTF">2025-05-15T15:56:00Z</dcterms:modified>
</cp:coreProperties>
</file>