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27F1C03" w:rsidR="7908378C" w:rsidRDefault="7908378C" w:rsidP="33572C6E">
            <w:pPr>
              <w:ind w:right="237"/>
              <w:rPr>
                <w:b/>
                <w:bCs/>
                <w:color w:val="auto"/>
                <w:sz w:val="32"/>
                <w:szCs w:val="32"/>
              </w:rPr>
            </w:pPr>
            <w:r w:rsidRPr="33572C6E">
              <w:rPr>
                <w:b/>
                <w:bCs/>
                <w:color w:val="auto"/>
                <w:sz w:val="32"/>
                <w:szCs w:val="32"/>
              </w:rPr>
              <w:t>Learner name: _______</w:t>
            </w:r>
            <w:r w:rsidR="003568D9">
              <w:rPr>
                <w:b/>
                <w:bCs/>
                <w:color w:val="auto"/>
                <w:sz w:val="32"/>
                <w:szCs w:val="32"/>
              </w:rPr>
              <w:t>Alexander Radford</w:t>
            </w:r>
            <w:r w:rsidRPr="33572C6E">
              <w:rPr>
                <w:b/>
                <w:bCs/>
                <w:color w:val="auto"/>
                <w:sz w:val="32"/>
                <w:szCs w:val="32"/>
              </w:rPr>
              <w:t>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D086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Default="5B843AF0" w:rsidP="5B843AF0">
      <w:pPr>
        <w:ind w:right="237"/>
        <w:jc w:val="center"/>
        <w:rPr>
          <w:b/>
          <w:bCs/>
          <w:sz w:val="24"/>
          <w:szCs w:val="24"/>
        </w:rPr>
      </w:pPr>
    </w:p>
    <w:p w14:paraId="657536CC" w14:textId="07E1F01C" w:rsidR="00896AAC" w:rsidRDefault="00896AAC" w:rsidP="00896AAC">
      <w:pPr>
        <w:spacing w:line="480" w:lineRule="auto"/>
      </w:pPr>
      <w:r>
        <w:t xml:space="preserve">      This paper will explore a vulnerability and how the police and other agencies manage this vulnerability through collaboration to ensure the safety and well-being of individuals in sensitive situations. This can be best achieved by using the ‘THRIVE’ approach to every incident the police attends. The ‘threat, harm, risk investigation, vulnerability, engagement’ allows the police to gauge a victim’s vulnerability, which is defined by the college of policing (2021) as a person being considered vulnerable due to their situation or circumstance where they </w:t>
      </w:r>
      <w:r>
        <w:t>cannot</w:t>
      </w:r>
      <w:r>
        <w:t xml:space="preserve"> take care of or protect themselves or others from harm or exploitation.</w:t>
      </w:r>
    </w:p>
    <w:p w14:paraId="5CC42CB7" w14:textId="77777777" w:rsidR="00896AAC" w:rsidRDefault="00896AAC" w:rsidP="00896AAC">
      <w:pPr>
        <w:spacing w:line="480" w:lineRule="auto"/>
      </w:pPr>
      <w:r>
        <w:t xml:space="preserve">     I will then discuss a policing incident that I have attended involving domestic violence whereby the perpetrator is a prolific domestic violence aggressor. I will discuss the actions I had taken and to assess if they have the outcome desired in both a policing aspect and the vulnerable victim.</w:t>
      </w:r>
    </w:p>
    <w:p w14:paraId="6CF444F1" w14:textId="77777777" w:rsidR="00896AAC" w:rsidRDefault="00896AAC" w:rsidP="00896AAC">
      <w:pPr>
        <w:spacing w:line="480" w:lineRule="auto"/>
      </w:pPr>
      <w:r>
        <w:t xml:space="preserve">     In terms of protecting those vulnerable, there are different partnering agencies which are available to help and support these persons. Multi-Agency Safeguarding Hubs (MASH) are central points where the variety of agencies such as police, social services, healthcare collaborate to assess and respond to cases of vulnerability such as the victim in this incident I attended.  </w:t>
      </w:r>
    </w:p>
    <w:p w14:paraId="7205B0EF" w14:textId="77777777" w:rsidR="00896AAC" w:rsidRDefault="00896AAC" w:rsidP="00896AAC">
      <w:pPr>
        <w:spacing w:line="480" w:lineRule="auto"/>
      </w:pPr>
      <w:r>
        <w:lastRenderedPageBreak/>
        <w:t xml:space="preserve">     The incident I attended originally came across to us as an ‘abandoned 999’ call. This is where the caller has contacted the public service centre (PSC) but ended the call prior to speaking to a call taker. It is paramount that police attend and investigate all abandoned 999 calls to ensure safeguarding even if the call was made in error.</w:t>
      </w:r>
    </w:p>
    <w:p w14:paraId="5F61A381" w14:textId="77777777" w:rsidR="00896AAC" w:rsidRDefault="00896AAC" w:rsidP="00896AAC">
      <w:pPr>
        <w:spacing w:line="480" w:lineRule="auto"/>
      </w:pPr>
    </w:p>
    <w:p w14:paraId="3FCA6E3F" w14:textId="77777777" w:rsidR="00896AAC" w:rsidRDefault="00896AAC" w:rsidP="00896AAC">
      <w:pPr>
        <w:spacing w:line="480" w:lineRule="auto"/>
      </w:pPr>
      <w:r>
        <w:t xml:space="preserve">     This abandoned call occurred on a late Saturday evening and from doing the relevant phone checks the PSC found this phone was linked to a female at an address where her partner is a known DV aggressor against her. I asked for all the relevant warning markers of both persons involved before attending the address for mine and my colleague’s safety and we attended on a grade 1 response due to the potential risk of harm.</w:t>
      </w:r>
    </w:p>
    <w:p w14:paraId="53F42D52" w14:textId="77777777" w:rsidR="00896AAC" w:rsidRDefault="00896AAC" w:rsidP="00896AAC">
      <w:pPr>
        <w:spacing w:line="480" w:lineRule="auto"/>
      </w:pPr>
      <w:r>
        <w:t xml:space="preserve">     When we arrived on the street, I activated my police body worn video (BWV) to capture the initial scene and any to obtain best evidence. Prior to attending the address, a nearby neighbour approached us and said that they heard shouting and things smash inside the property approximately 5 minutes before we arrived. When I approached the house, the lights to the property were on however there was no sounds inside. The front door was locked which gave us clear grounds under Section 17 of PACE to enter to protect life and limb, however after knocking a female answered the door.</w:t>
      </w:r>
    </w:p>
    <w:p w14:paraId="597B72BC" w14:textId="77777777" w:rsidR="00896AAC" w:rsidRDefault="00896AAC" w:rsidP="00896AAC">
      <w:pPr>
        <w:spacing w:line="480" w:lineRule="auto"/>
      </w:pPr>
      <w:r>
        <w:t xml:space="preserve">     The female had looked dishevelled and visibly upset, she had looked like she had been crying and her demeanour and surprise to seeing us indicated that something had happened inside the property. I asked her initially if everything was alright as she made a call to the emergency services. The female replied, “yes that was made by accident I am sorry”. I followed up this by asking if there was anybody else inside the property to which she replied to her partner. This is the partner who has a history of DV. When speaking on the front door myself and my colleague noticed how she did not wish to engage with us and was avoiding eye contact by looking down at the floor.</w:t>
      </w:r>
    </w:p>
    <w:p w14:paraId="6FED8F3B" w14:textId="77777777" w:rsidR="00896AAC" w:rsidRDefault="00896AAC" w:rsidP="00896AAC">
      <w:pPr>
        <w:spacing w:line="480" w:lineRule="auto"/>
      </w:pPr>
      <w:r>
        <w:t xml:space="preserve">     With the initial call made to us and the disclosure from the neighbour, combined with the female’s appearance and demeanour, I asked if we could come into the property. At first the female was reluctant, trying to ensure that everything was fine to us. I informed her that I need to ensure that she is safe and that would involve checking inside the property. She agreed, my colleague and I were taking into the living room where I saw smashed plates on the floor and the coffee table had been flipped to its side. I asked the female where her partner was, and she said in the bedroom upstairs, </w:t>
      </w:r>
      <w:r>
        <w:lastRenderedPageBreak/>
        <w:t>this allowed me the opportunity to speak with the female alone and without influence. The female opened and disclosed that her and her partner had an argument after he came home after drinking and accused her of having an affair. The argument escalated to the extent where the partner has smashed plates and has pushed the female over causing bruising to her arms and shoulders. The male was subsequently arrested and taken from the property.</w:t>
      </w:r>
    </w:p>
    <w:p w14:paraId="079CAAB8" w14:textId="77777777" w:rsidR="00896AAC" w:rsidRDefault="00896AAC" w:rsidP="00896AAC">
      <w:pPr>
        <w:spacing w:line="480" w:lineRule="auto"/>
      </w:pPr>
      <w:r>
        <w:t xml:space="preserve">     I then conducted a public protection notification (PPN) which is a legal framework provided by the Multi-Agency Public Protection Arrangements (MAPPA) and is a system in assessing and managing the risks posed by violent offenders on vulnerable people and victims. A PPN will include information about the incident and those involved and any previous history which is relevant which partnering agencies can assess to formulate an outcome. One of the tools of the PPN in assessing and managing the risk is the Domestic Abuse, Stalking and Harassment (DASH). This is a comprehensive questionnaire designed to evaluate the level of risk posed to individuals by partnering agencies, this highlights the importance of this risk assessment in relation to this essay in terms of helping those who are vulnerable.</w:t>
      </w:r>
    </w:p>
    <w:p w14:paraId="204E180F" w14:textId="77777777" w:rsidR="00896AAC" w:rsidRDefault="00896AAC" w:rsidP="00896AAC">
      <w:pPr>
        <w:spacing w:line="480" w:lineRule="auto"/>
      </w:pPr>
      <w:r>
        <w:t xml:space="preserve">     There are many positive actions that could be implemented from the completion of a DASH questionnaire based on the risk involved. Safety planning can include strategies such as helping a vulnerable person leave a dangerous situation and finding a safe place. Another form of support to a victim or vulnerable person is referrals to support services such as social services and domestic abuse agencies for example Independent Domestic Violence Advisors (IDVAs). This could involve counselling or even legal aid. Depending on the offence and the risk the perpetrator poses a Non-Molestation Order may be acquire; this is a legal power that prevents the perpetrator from engaging in certain behaviours such as contacting or approaching the victim.</w:t>
      </w:r>
    </w:p>
    <w:p w14:paraId="6EFDA84D" w14:textId="77777777" w:rsidR="00896AAC" w:rsidRDefault="00896AAC" w:rsidP="00896AAC">
      <w:pPr>
        <w:spacing w:line="480" w:lineRule="auto"/>
      </w:pPr>
      <w:r>
        <w:t xml:space="preserve">     It could be construed that the DASH questionnaires are a short term fix and do not cover the complexity and nuances of a domestic abuse situation. This gives this assessment a limited scope as it is highly focussed on the physical aspects of the incident and not the mental, emotional, or financial abuse that may be perpetrated by the partner. This being raised, the DASH questions have an over emphasis on immediate risk and not the pattern of incidents and behaviour of the aggressor. Another potential negative of the DASH questionnaire is its subjectivity. The questions in the DASH questionnaire are often open to interpretation and are often looked at by different assessors with different outlooks, this could potentially lead to variations in responses and risks that follow them. </w:t>
      </w:r>
      <w:r>
        <w:lastRenderedPageBreak/>
        <w:t xml:space="preserve">Furthermore, a highly worrying but potential aspect when completing a DASH is the lack of honesty by the victim. The assessment needs to assume that the victim is providing an honest account and accurate information, however in terms of severe controlling and coercive relationships a victim could potentially ‘downplay’ the level of abuse in her relationship or be hesitant to disclose information at all. This would be due to fear of repercussions or other reasons. One other weakness of the DASH questions which I believe needs to be addressed is the lack of continuation from the DASH questionnaire. Having a ‘follow up’ assessment would allow assessors to see a greater picture of the relationship and to see any potential patterns in risk. The DASH is typically conducted as a one-time evaluation which does not capture the dynamics of the abusive relationship. </w:t>
      </w:r>
    </w:p>
    <w:p w14:paraId="142E7C4D" w14:textId="77777777" w:rsidR="00896AAC" w:rsidRDefault="00896AAC" w:rsidP="00896AAC">
      <w:pPr>
        <w:spacing w:line="480" w:lineRule="auto"/>
      </w:pPr>
      <w:r>
        <w:t xml:space="preserve">     This next section of this paper will discuss what works in tackling repeat victimisation and repeat offending, discussing various options and contingencies through ‘evidence – based policing’ (EBP). EBP is police officers working with academics and partners to create, review and use the best available evidence to inform, challenge policing policies practices and principles (College of Policing, 2023). EBP is highly relevant when addressing repeat offending and victimisation: by using data and evidence, police can identify patterns in behaviour and risks and develop working strategies to for effective outcomes. An example of this would be targeted policing: focusing policing resources on high crime areas using data to analyse hot spots. Another example would be to implement higher community engagement. Involving the community in crime prevention by encouraging those to report crimes and suspicious activity would assist policing in preventing or lowering criminal offences taking place.</w:t>
      </w:r>
    </w:p>
    <w:p w14:paraId="56633FDB" w14:textId="77777777" w:rsidR="00896AAC" w:rsidRDefault="00896AAC" w:rsidP="00896AAC">
      <w:pPr>
        <w:spacing w:line="480" w:lineRule="auto"/>
      </w:pPr>
      <w:r>
        <w:t xml:space="preserve">     To prevent repeat victimisation and reoffending in terms of domestic abuse, this requires multiple approaches from different agencies. South Wales Police has shown it is victim led whereby there is a </w:t>
      </w:r>
      <w:proofErr w:type="spellStart"/>
      <w:r>
        <w:t>a</w:t>
      </w:r>
      <w:proofErr w:type="spellEnd"/>
      <w:r>
        <w:t xml:space="preserve"> mandatory policy to arrest where there is evidence of domestic abuse, this is even without co-operation from the victim (‘victimless’). To further aid prosecutions, all domestic violence cases are sent to the CPS for a charging decision, this ensures consistency and that all instances of domestic violence (DV) are addressed. As discussed previously assessments into the risk level posed to the victim can help form strategies to intervene or prevent any further danger. With the appropriate interventions in place further help to victims such as access to mental health services to address any underlying issues. Mental health support could assist in any traumatic experiences or substance abuse for example.</w:t>
      </w:r>
    </w:p>
    <w:p w14:paraId="3895A301" w14:textId="77777777" w:rsidR="00896AAC" w:rsidRDefault="00896AAC" w:rsidP="00896AAC">
      <w:pPr>
        <w:spacing w:line="480" w:lineRule="auto"/>
      </w:pPr>
      <w:r>
        <w:lastRenderedPageBreak/>
        <w:t xml:space="preserve">     I believe a big factor in preventing repeat victimisations is for further follow ups from the police and partnering agencies after the incident. Help from services like the Domestic Abuse Referral Team (DART) is a professional team designed to support victims of DV. They are excellent service who provide an effective response to domestic abuse cases where their goal is in supporting victims. DART also collects data from number of cases they deal with which aid in helping collaborating agencies such as police in tackling repeat victims. </w:t>
      </w:r>
    </w:p>
    <w:p w14:paraId="5F9B2D29" w14:textId="77777777" w:rsidR="00896AAC" w:rsidRDefault="00896AAC" w:rsidP="00896AAC">
      <w:pPr>
        <w:spacing w:line="480" w:lineRule="auto"/>
      </w:pPr>
      <w:r>
        <w:t xml:space="preserve">     Another aspect available to victims of domestic abuse is a ‘Claire’s Law’ request, this is a Domestic Violence Disclosure Scheme (DVDS) aimed to help people know if their ex or current partner has any previous history of violence or abuse. This is positive development in preventing harm and risk through reoffending and victimisations as it allows individuals to take proactive steps in ensuring their safety and to make informed decisions about their relationships. Claire’s Law has also helped raise public awareness for domestic abuse and the importance of recognising any potential signs of abuse in relationships. It is to be considered by the police as to why an individual is requesting this information to begin with, and that potentially that is a sign of risk in itself from an objective viewpoint. </w:t>
      </w:r>
    </w:p>
    <w:p w14:paraId="5F2068E4" w14:textId="77777777" w:rsidR="00896AAC" w:rsidRDefault="00896AAC" w:rsidP="00896AAC">
      <w:pPr>
        <w:spacing w:line="480" w:lineRule="auto"/>
      </w:pPr>
      <w:r>
        <w:t xml:space="preserve">     Preventing reoffending be misconstrued as an ‘easy fix’ as being just sentencing the offender to prison. It is in fact more complex and challenging issue that countries such as the UK face. The prisons in the UK are at bursting point, to the extent where judges are now being urged to delay sentencing for those on bail (Siddique &amp; Dodd, 2023). With this challenge, there is more need for other alternatives such as restorative programmes and behavioural interventions. Offering mental health support to those who may be suffering with psychological issues or challenges can help address any issues that contribute to re-offending, this may can also be said for substance abuse where alcohol or drugs are a major factor in their re-offending.</w:t>
      </w:r>
    </w:p>
    <w:p w14:paraId="3A76C35F" w14:textId="77777777" w:rsidR="00896AAC" w:rsidRDefault="00896AAC" w:rsidP="00896AAC">
      <w:pPr>
        <w:spacing w:line="360" w:lineRule="auto"/>
      </w:pPr>
    </w:p>
    <w:p w14:paraId="7964DB5A" w14:textId="0BBF06DB" w:rsidR="00896AAC" w:rsidRDefault="00896AAC" w:rsidP="00896AAC">
      <w:pPr>
        <w:spacing w:line="360" w:lineRule="auto"/>
      </w:pPr>
      <w:r>
        <w:t>[1886 Count]</w:t>
      </w:r>
    </w:p>
    <w:p w14:paraId="4FBF4BB5" w14:textId="77777777" w:rsidR="00896AAC" w:rsidRDefault="00896AAC" w:rsidP="00896AAC">
      <w:pPr>
        <w:ind w:right="237"/>
        <w:rPr>
          <w:b/>
          <w:bCs/>
          <w:sz w:val="24"/>
          <w:szCs w:val="24"/>
        </w:rPr>
      </w:pPr>
    </w:p>
    <w:p w14:paraId="33163D91" w14:textId="77777777" w:rsidR="00896AAC" w:rsidRDefault="00896AAC" w:rsidP="5B843AF0">
      <w:pPr>
        <w:ind w:right="237"/>
        <w:jc w:val="center"/>
        <w:rPr>
          <w:b/>
          <w:bCs/>
          <w:sz w:val="24"/>
          <w:szCs w:val="24"/>
        </w:rPr>
      </w:pPr>
    </w:p>
    <w:p w14:paraId="603F316F" w14:textId="4B49977A" w:rsidR="00896AAC" w:rsidRPr="00896AAC" w:rsidRDefault="00896AAC" w:rsidP="00896AAC">
      <w:pPr>
        <w:pStyle w:val="NormalWeb"/>
        <w:rPr>
          <w:b/>
          <w:bCs/>
        </w:rPr>
      </w:pPr>
      <w:r>
        <w:rPr>
          <w:b/>
          <w:bCs/>
        </w:rPr>
        <w:t>REFERENCES:</w:t>
      </w:r>
    </w:p>
    <w:p w14:paraId="50DB9725" w14:textId="77777777" w:rsidR="00896AAC" w:rsidRPr="00896AAC" w:rsidRDefault="00896AAC" w:rsidP="00896AAC">
      <w:pPr>
        <w:pStyle w:val="NormalWeb"/>
        <w:ind w:left="720"/>
        <w:rPr>
          <w:color w:val="000000" w:themeColor="text1"/>
        </w:rPr>
      </w:pPr>
    </w:p>
    <w:p w14:paraId="13424F45" w14:textId="77777777" w:rsidR="00896AAC" w:rsidRPr="00896AAC" w:rsidRDefault="00896AAC" w:rsidP="00E20769">
      <w:pPr>
        <w:pStyle w:val="ListParagraph"/>
        <w:numPr>
          <w:ilvl w:val="0"/>
          <w:numId w:val="50"/>
        </w:numPr>
        <w:ind w:right="237"/>
        <w:jc w:val="center"/>
        <w:rPr>
          <w:b/>
          <w:bCs/>
          <w:color w:val="000000" w:themeColor="text1"/>
          <w:sz w:val="24"/>
          <w:szCs w:val="24"/>
        </w:rPr>
      </w:pPr>
    </w:p>
    <w:p w14:paraId="71E7C1F6" w14:textId="77777777" w:rsidR="00896AAC" w:rsidRPr="00896AAC" w:rsidRDefault="00896AAC" w:rsidP="00896AAC">
      <w:pPr>
        <w:pStyle w:val="NormalWeb"/>
        <w:numPr>
          <w:ilvl w:val="0"/>
          <w:numId w:val="50"/>
        </w:numPr>
        <w:rPr>
          <w:color w:val="000000" w:themeColor="text1"/>
        </w:rPr>
      </w:pPr>
      <w:r w:rsidRPr="00896AAC">
        <w:rPr>
          <w:color w:val="000000" w:themeColor="text1"/>
        </w:rPr>
        <w:t xml:space="preserve">College of Policing (2021) </w:t>
      </w:r>
      <w:r w:rsidRPr="00896AAC">
        <w:rPr>
          <w:i/>
          <w:iCs/>
          <w:color w:val="000000" w:themeColor="text1"/>
        </w:rPr>
        <w:t>Introduction to vulnerability-related risk</w:t>
      </w:r>
      <w:r w:rsidRPr="00896AAC">
        <w:rPr>
          <w:color w:val="000000" w:themeColor="text1"/>
        </w:rPr>
        <w:t xml:space="preserve">, </w:t>
      </w:r>
      <w:r w:rsidRPr="00896AAC">
        <w:rPr>
          <w:i/>
          <w:iCs/>
          <w:color w:val="000000" w:themeColor="text1"/>
        </w:rPr>
        <w:t>College of Policing</w:t>
      </w:r>
      <w:r w:rsidRPr="00896AAC">
        <w:rPr>
          <w:color w:val="000000" w:themeColor="text1"/>
        </w:rPr>
        <w:t>. Available at: https://www.college.police.uk/guidance/vulnerability-related-</w:t>
      </w:r>
      <w:r w:rsidRPr="00896AAC">
        <w:rPr>
          <w:color w:val="000000" w:themeColor="text1"/>
        </w:rPr>
        <w:lastRenderedPageBreak/>
        <w:t xml:space="preserve">risks/introduction-vulnerability-related-risk#:~:text=This%20states%20that%20a%20person,others%20from%20harm%20or%20exploitation. </w:t>
      </w:r>
    </w:p>
    <w:p w14:paraId="6308E789" w14:textId="77777777" w:rsidR="00896AAC" w:rsidRPr="00896AAC" w:rsidRDefault="00896AAC" w:rsidP="00E20769">
      <w:pPr>
        <w:pStyle w:val="NormalWeb"/>
        <w:numPr>
          <w:ilvl w:val="0"/>
          <w:numId w:val="50"/>
        </w:numPr>
        <w:rPr>
          <w:color w:val="000000" w:themeColor="text1"/>
        </w:rPr>
      </w:pPr>
      <w:r w:rsidRPr="00896AAC">
        <w:rPr>
          <w:color w:val="000000" w:themeColor="text1"/>
        </w:rPr>
        <w:t xml:space="preserve">College of Policing (2023) </w:t>
      </w:r>
      <w:r w:rsidRPr="00896AAC">
        <w:rPr>
          <w:i/>
          <w:iCs/>
          <w:color w:val="000000" w:themeColor="text1"/>
        </w:rPr>
        <w:t>Evidence-based policing</w:t>
      </w:r>
      <w:r w:rsidRPr="00896AAC">
        <w:rPr>
          <w:color w:val="000000" w:themeColor="text1"/>
        </w:rPr>
        <w:t xml:space="preserve">, </w:t>
      </w:r>
      <w:r w:rsidRPr="00896AAC">
        <w:rPr>
          <w:i/>
          <w:iCs/>
          <w:color w:val="000000" w:themeColor="text1"/>
        </w:rPr>
        <w:t>College of Policing</w:t>
      </w:r>
      <w:r w:rsidRPr="00896AAC">
        <w:rPr>
          <w:color w:val="000000" w:themeColor="text1"/>
        </w:rPr>
        <w:t xml:space="preserve">. Available at: https://www.college.police.uk/research/evidence-based-policing-EBP. </w:t>
      </w:r>
    </w:p>
    <w:p w14:paraId="67A765A2" w14:textId="77777777" w:rsidR="00896AAC" w:rsidRPr="00896AAC" w:rsidRDefault="00896AAC" w:rsidP="00E20769">
      <w:pPr>
        <w:pStyle w:val="NormalWeb"/>
        <w:numPr>
          <w:ilvl w:val="0"/>
          <w:numId w:val="50"/>
        </w:numPr>
        <w:rPr>
          <w:color w:val="000000" w:themeColor="text1"/>
        </w:rPr>
      </w:pPr>
      <w:r w:rsidRPr="00896AAC">
        <w:rPr>
          <w:color w:val="000000" w:themeColor="text1"/>
        </w:rPr>
        <w:t xml:space="preserve">HMICFRS (2023) </w:t>
      </w:r>
      <w:r w:rsidRPr="00896AAC">
        <w:rPr>
          <w:i/>
          <w:iCs/>
          <w:color w:val="000000" w:themeColor="text1"/>
        </w:rPr>
        <w:t>Public protection notice (PPN)</w:t>
      </w:r>
      <w:r w:rsidRPr="00896AAC">
        <w:rPr>
          <w:color w:val="000000" w:themeColor="text1"/>
        </w:rPr>
        <w:t xml:space="preserve">, </w:t>
      </w:r>
      <w:r w:rsidRPr="00896AAC">
        <w:rPr>
          <w:i/>
          <w:iCs/>
          <w:color w:val="000000" w:themeColor="text1"/>
        </w:rPr>
        <w:t>His Majesty’s Inspectorate of Constabulary and Fire &amp; Rescue Services</w:t>
      </w:r>
      <w:r w:rsidRPr="00896AAC">
        <w:rPr>
          <w:color w:val="000000" w:themeColor="text1"/>
        </w:rPr>
        <w:t xml:space="preserve">. Available at: </w:t>
      </w:r>
      <w:hyperlink r:id="rId15" w:history="1">
        <w:r w:rsidRPr="00896AAC">
          <w:rPr>
            <w:rStyle w:val="Hyperlink"/>
            <w:color w:val="000000" w:themeColor="text1"/>
            <w:u w:val="none"/>
          </w:rPr>
          <w:t>https://hmicfrs.justiceinspectorates.gov.uk/glossary/public-protection-notice/#:~:text=A%20PPN%20is%20an%20information,inform%20a%20multi%2Dagency%20response</w:t>
        </w:r>
      </w:hyperlink>
      <w:r w:rsidRPr="00896AAC">
        <w:rPr>
          <w:color w:val="000000" w:themeColor="text1"/>
        </w:rPr>
        <w:t xml:space="preserve">. </w:t>
      </w:r>
    </w:p>
    <w:p w14:paraId="1BF2E327" w14:textId="77777777" w:rsidR="00896AAC" w:rsidRPr="00896AAC" w:rsidRDefault="00896AAC" w:rsidP="00E93652">
      <w:pPr>
        <w:pStyle w:val="NormalWeb"/>
        <w:numPr>
          <w:ilvl w:val="0"/>
          <w:numId w:val="50"/>
        </w:numPr>
        <w:rPr>
          <w:color w:val="000000" w:themeColor="text1"/>
        </w:rPr>
      </w:pPr>
      <w:r w:rsidRPr="00896AAC">
        <w:rPr>
          <w:color w:val="000000" w:themeColor="text1"/>
        </w:rPr>
        <w:t xml:space="preserve">Siddique, H. and Dodd, V. (2023) </w:t>
      </w:r>
      <w:r w:rsidRPr="00896AAC">
        <w:rPr>
          <w:i/>
          <w:iCs/>
          <w:color w:val="000000" w:themeColor="text1"/>
        </w:rPr>
        <w:t>England and Wales judges told not to jail criminals as prisons full – report</w:t>
      </w:r>
      <w:r w:rsidRPr="00896AAC">
        <w:rPr>
          <w:color w:val="000000" w:themeColor="text1"/>
        </w:rPr>
        <w:t xml:space="preserve">, </w:t>
      </w:r>
      <w:r w:rsidRPr="00896AAC">
        <w:rPr>
          <w:i/>
          <w:iCs/>
          <w:color w:val="000000" w:themeColor="text1"/>
        </w:rPr>
        <w:t>The Guardian</w:t>
      </w:r>
      <w:r w:rsidRPr="00896AAC">
        <w:rPr>
          <w:color w:val="000000" w:themeColor="text1"/>
        </w:rPr>
        <w:t xml:space="preserve">. Available at: https://www.theguardian.com/law/2023/oct/12/england-and-wales-judges-told-not-to-jail-criminals-because-prisons-full-report. </w:t>
      </w:r>
    </w:p>
    <w:p w14:paraId="0376BBB4" w14:textId="77777777" w:rsidR="00896AAC" w:rsidRDefault="00896AAC" w:rsidP="00896AAC">
      <w:pPr>
        <w:overflowPunct/>
        <w:autoSpaceDE/>
        <w:autoSpaceDN/>
        <w:adjustRightInd/>
        <w:textAlignment w:val="auto"/>
        <w:rPr>
          <w:b/>
          <w:bCs/>
          <w:sz w:val="24"/>
          <w:szCs w:val="24"/>
        </w:rPr>
      </w:pPr>
    </w:p>
    <w:p w14:paraId="3FFA55BF" w14:textId="77777777" w:rsidR="00896AAC" w:rsidRDefault="00896AAC" w:rsidP="00896AAC">
      <w:pPr>
        <w:overflowPunct/>
        <w:autoSpaceDE/>
        <w:autoSpaceDN/>
        <w:adjustRightInd/>
        <w:textAlignment w:val="auto"/>
        <w:rPr>
          <w:b/>
          <w:bCs/>
          <w:sz w:val="24"/>
          <w:szCs w:val="24"/>
        </w:rPr>
      </w:pPr>
    </w:p>
    <w:p w14:paraId="164DCD0F" w14:textId="77777777" w:rsidR="00896AAC" w:rsidRDefault="00896AAC" w:rsidP="00896AAC">
      <w:pPr>
        <w:overflowPunct/>
        <w:autoSpaceDE/>
        <w:autoSpaceDN/>
        <w:adjustRightInd/>
        <w:textAlignment w:val="auto"/>
        <w:rPr>
          <w:b/>
          <w:bCs/>
          <w:sz w:val="24"/>
          <w:szCs w:val="24"/>
        </w:rPr>
      </w:pPr>
    </w:p>
    <w:p w14:paraId="0F077F9F" w14:textId="77777777" w:rsidR="00896AAC" w:rsidRDefault="00896AAC" w:rsidP="00896AAC">
      <w:pPr>
        <w:overflowPunct/>
        <w:autoSpaceDE/>
        <w:autoSpaceDN/>
        <w:adjustRightInd/>
        <w:textAlignment w:val="auto"/>
        <w:rPr>
          <w:b/>
          <w:bCs/>
          <w:sz w:val="24"/>
          <w:szCs w:val="24"/>
        </w:rPr>
      </w:pPr>
    </w:p>
    <w:p w14:paraId="780DEEB8" w14:textId="77777777" w:rsidR="00896AAC" w:rsidRDefault="00896AAC" w:rsidP="00896AAC">
      <w:pPr>
        <w:overflowPunct/>
        <w:autoSpaceDE/>
        <w:autoSpaceDN/>
        <w:adjustRightInd/>
        <w:jc w:val="center"/>
        <w:textAlignment w:val="auto"/>
        <w:rPr>
          <w:b/>
          <w:bCs/>
          <w:sz w:val="24"/>
          <w:szCs w:val="24"/>
        </w:rPr>
      </w:pPr>
    </w:p>
    <w:p w14:paraId="1C46C2E8" w14:textId="77777777" w:rsidR="00896AAC" w:rsidRDefault="00896AAC" w:rsidP="00896AAC">
      <w:pPr>
        <w:overflowPunct/>
        <w:autoSpaceDE/>
        <w:autoSpaceDN/>
        <w:adjustRightInd/>
        <w:jc w:val="center"/>
        <w:textAlignment w:val="auto"/>
        <w:rPr>
          <w:b/>
          <w:bCs/>
          <w:sz w:val="24"/>
          <w:szCs w:val="24"/>
        </w:rPr>
      </w:pPr>
    </w:p>
    <w:p w14:paraId="352B190A" w14:textId="77777777" w:rsidR="00896AAC" w:rsidRDefault="00896AAC" w:rsidP="00896AAC">
      <w:pPr>
        <w:overflowPunct/>
        <w:autoSpaceDE/>
        <w:autoSpaceDN/>
        <w:adjustRightInd/>
        <w:jc w:val="center"/>
        <w:textAlignment w:val="auto"/>
        <w:rPr>
          <w:b/>
          <w:bCs/>
          <w:sz w:val="24"/>
          <w:szCs w:val="24"/>
        </w:rPr>
      </w:pPr>
    </w:p>
    <w:p w14:paraId="45336805" w14:textId="77777777" w:rsidR="00896AAC" w:rsidRDefault="00896AAC" w:rsidP="00896AAC">
      <w:pPr>
        <w:overflowPunct/>
        <w:autoSpaceDE/>
        <w:autoSpaceDN/>
        <w:adjustRightInd/>
        <w:jc w:val="center"/>
        <w:textAlignment w:val="auto"/>
        <w:rPr>
          <w:b/>
          <w:bCs/>
          <w:sz w:val="24"/>
          <w:szCs w:val="24"/>
        </w:rPr>
      </w:pPr>
    </w:p>
    <w:p w14:paraId="56474C50" w14:textId="77777777" w:rsidR="00896AAC" w:rsidRDefault="00896AAC" w:rsidP="00896AAC">
      <w:pPr>
        <w:overflowPunct/>
        <w:autoSpaceDE/>
        <w:autoSpaceDN/>
        <w:adjustRightInd/>
        <w:jc w:val="center"/>
        <w:textAlignment w:val="auto"/>
        <w:rPr>
          <w:b/>
          <w:bCs/>
          <w:sz w:val="24"/>
          <w:szCs w:val="24"/>
        </w:rPr>
      </w:pPr>
    </w:p>
    <w:p w14:paraId="393DAC03" w14:textId="77777777" w:rsidR="00896AAC" w:rsidRDefault="00896AAC" w:rsidP="00896AAC">
      <w:pPr>
        <w:overflowPunct/>
        <w:autoSpaceDE/>
        <w:autoSpaceDN/>
        <w:adjustRightInd/>
        <w:jc w:val="center"/>
        <w:textAlignment w:val="auto"/>
        <w:rPr>
          <w:b/>
          <w:bCs/>
          <w:sz w:val="24"/>
          <w:szCs w:val="24"/>
        </w:rPr>
      </w:pPr>
    </w:p>
    <w:p w14:paraId="6B0989EF" w14:textId="08477AC6" w:rsidR="00025650" w:rsidRPr="00896AAC" w:rsidRDefault="5B843AF0" w:rsidP="00896AAC">
      <w:pPr>
        <w:overflowPunct/>
        <w:autoSpaceDE/>
        <w:autoSpaceDN/>
        <w:adjustRightInd/>
        <w:jc w:val="center"/>
        <w:textAlignment w:val="auto"/>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0C94F5BE" w:rsidR="005C76DE" w:rsidRDefault="005C76DE" w:rsidP="5CE196A1">
      <w:pPr>
        <w:ind w:right="237"/>
        <w:jc w:val="both"/>
        <w:rPr>
          <w:b/>
          <w:bCs/>
          <w:sz w:val="24"/>
          <w:szCs w:val="24"/>
        </w:rPr>
      </w:pPr>
      <w:r w:rsidRPr="5CE196A1">
        <w:rPr>
          <w:b/>
          <w:bCs/>
          <w:sz w:val="24"/>
          <w:szCs w:val="24"/>
        </w:rPr>
        <w:t>ANSWER:</w:t>
      </w:r>
    </w:p>
    <w:p w14:paraId="3BA8CB35" w14:textId="77777777" w:rsidR="00B83581" w:rsidRPr="00B83581" w:rsidRDefault="00B83581" w:rsidP="00B83581">
      <w:pPr>
        <w:rPr>
          <w:sz w:val="24"/>
          <w:szCs w:val="24"/>
        </w:rPr>
      </w:pPr>
    </w:p>
    <w:p w14:paraId="6E9FF4FF" w14:textId="77777777" w:rsidR="00B83581" w:rsidRPr="00B83581" w:rsidRDefault="00B83581" w:rsidP="00B83581">
      <w:pPr>
        <w:rPr>
          <w:sz w:val="24"/>
          <w:szCs w:val="24"/>
        </w:rPr>
      </w:pPr>
    </w:p>
    <w:p w14:paraId="13E84E7A" w14:textId="77777777" w:rsidR="00B83581" w:rsidRPr="00B83581" w:rsidRDefault="00B83581" w:rsidP="00B83581">
      <w:pPr>
        <w:rPr>
          <w:sz w:val="24"/>
          <w:szCs w:val="24"/>
        </w:rPr>
      </w:pPr>
    </w:p>
    <w:p w14:paraId="6755C67D" w14:textId="77777777" w:rsidR="00B83581" w:rsidRPr="00B83581" w:rsidRDefault="00B83581" w:rsidP="00B83581">
      <w:pPr>
        <w:rPr>
          <w:sz w:val="24"/>
          <w:szCs w:val="24"/>
        </w:rPr>
      </w:pPr>
    </w:p>
    <w:p w14:paraId="5A27A6E3" w14:textId="77777777" w:rsidR="00B83581" w:rsidRPr="00B83581" w:rsidRDefault="00B83581" w:rsidP="00B83581">
      <w:pPr>
        <w:rPr>
          <w:sz w:val="24"/>
          <w:szCs w:val="24"/>
        </w:rPr>
      </w:pPr>
    </w:p>
    <w:p w14:paraId="5C4BF545" w14:textId="77777777" w:rsidR="00B83581" w:rsidRPr="00B83581" w:rsidRDefault="00B83581" w:rsidP="00B83581">
      <w:pPr>
        <w:rPr>
          <w:sz w:val="24"/>
          <w:szCs w:val="24"/>
        </w:rPr>
      </w:pPr>
    </w:p>
    <w:p w14:paraId="3B1DB8FF" w14:textId="77777777" w:rsidR="00B83581" w:rsidRPr="00B83581" w:rsidRDefault="00B83581" w:rsidP="00B83581">
      <w:pPr>
        <w:rPr>
          <w:sz w:val="24"/>
          <w:szCs w:val="24"/>
        </w:rPr>
      </w:pPr>
    </w:p>
    <w:p w14:paraId="5F07D83C" w14:textId="77777777" w:rsidR="00B83581" w:rsidRPr="00B83581" w:rsidRDefault="00B83581" w:rsidP="00B83581">
      <w:pPr>
        <w:rPr>
          <w:sz w:val="24"/>
          <w:szCs w:val="24"/>
        </w:rPr>
      </w:pPr>
    </w:p>
    <w:p w14:paraId="4F0C0EFD" w14:textId="56618537" w:rsidR="00B83581" w:rsidRPr="00B83581" w:rsidRDefault="00B83581" w:rsidP="00B83581">
      <w:pPr>
        <w:pStyle w:val="Heading3"/>
        <w:shd w:val="clear" w:color="auto" w:fill="FFFFFF"/>
        <w:spacing w:before="150" w:after="300" w:line="420" w:lineRule="atLeast"/>
        <w:rPr>
          <w:rFonts w:asciiTheme="minorHAnsi" w:hAnsiTheme="minorHAnsi" w:cstheme="minorHAnsi"/>
          <w:sz w:val="22"/>
          <w:szCs w:val="22"/>
        </w:rPr>
      </w:pPr>
      <w:r w:rsidRPr="00B83581">
        <w:rPr>
          <w:rFonts w:asciiTheme="minorHAnsi" w:hAnsiTheme="minorHAnsi" w:cstheme="minorHAnsi"/>
          <w:sz w:val="22"/>
          <w:szCs w:val="22"/>
        </w:rPr>
        <w:lastRenderedPageBreak/>
        <w:t xml:space="preserve"> This essay will discuss a complex domestic violence incident I attended whereby I was the initial attending officer. This essay will then continue to critically assess the challenges associated with this incident in terms of domestic abuse. This paper will then conclude with a discussion on the working strategies and implementations for police to deal with these incidents effectively and to summarise the points discussed along with emphasis on the importance of ongoing efforts to address domestic abuse.</w:t>
      </w:r>
    </w:p>
    <w:p w14:paraId="1CA7EB96"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sz w:val="22"/>
          <w:szCs w:val="22"/>
        </w:rPr>
        <w:t xml:space="preserve">     Domestic abuse is defined as “</w:t>
      </w:r>
      <w:r w:rsidRPr="00B83581">
        <w:rPr>
          <w:rFonts w:asciiTheme="minorHAnsi" w:hAnsiTheme="minorHAnsi" w:cstheme="minorHAnsi"/>
          <w:color w:val="000000"/>
          <w:sz w:val="22"/>
          <w:szCs w:val="22"/>
        </w:rPr>
        <w:t>an incident or pattern of incidents of controlling, coercive, threatening, degrading and violent behaviour, including sexual violence, in most cases by a partner or ex-partner, but also by a family member or carer. It is very common. In most cases, it is experienced by women and is perpetrated by men.” (Women’s Aid, 2003). Domestic abuse is one of the leading crimes in the UK, where 1,500,369 cases of domestic abuse incidents were recorded by police in England and Wales in the year ending March 2022 according to Domestic Abuse Statistics (2023). South Wales Police have a domestic abuse policy whereby they focus on prevention, protection and pursue perpetrators of domestic violence. The organisation also has an action plan in place to reduce harm posed to those vulnerable by 2025 (South Wales Police, 2020). This can be utilised through the use of raising awareness of domestic abuse, providing safeguarding to those victims who are vulnerable and to disrupt and arrest/prosecute offenders.</w:t>
      </w:r>
    </w:p>
    <w:p w14:paraId="71058DA4"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t xml:space="preserve">     The incident I attended in question was a female stating that she had been stabbed by her ex-partner and is now taking refuge in a neighbouring house. This was a high risk incident where there is potentially a critically injured victim and a perpetrator with a knife. At the time there were multiple risks and safeguarding concerns as the female stated there was a child at the property and the last location of the perpetrator was in the property. Our force incident manager (FIM) had advised to attend with a taser carrying officer and to attend to the victim as a priority to ensure she is safe. When I attended the neighbours address, I activated my body worn video in line with force policy and attended to the female who was visibly upset and crying. My colleagues and I had concerns due to the disclosure that she had been stabbed and that there were no evident injuries on herself. The female then stated her ex-partner has tried to stab her, however failed. The next priority was the alleged child in the property. The female stated that she did not know where the child was, causing further safeguarding concerns.</w:t>
      </w:r>
    </w:p>
    <w:p w14:paraId="7D17B699"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lastRenderedPageBreak/>
        <w:t xml:space="preserve">     Due to the information if there is a potential male with a knife inside her property myself and my colleague contained him inside the property by covering both front and back entry points. Whilst going to the property my colleague notices a male in the passenger seat a car outside the property with another male. He presents himself to me and says, “I HAVE BEEN STABBED BY MY EX”. As I had reasonable suspicion for this to be the male, I immediately placed him in handcuffs for safety reasons. This male was covered in blood and his t shirt was soaked with blood also. From checking the male, he had stab wounds on his shoulder blade and upper back and shoulder. It was clear that this male had been stabbed. The person who was with him at the time was his brother. I spoke to the brother gave a key bit of evidence in this investigation: he stated that both the female and male are ex-partners however they were both drinking inside the property. When a verbal argument ensued and got heated the male video called his new partner. The brother showed me the video which was screen recorded by the male’s new partner at the time. The male can be seen in the video with his back to the female whilst there is an argument continuing, the female then approaches him from behind and stabs him 3 times in the back. </w:t>
      </w:r>
    </w:p>
    <w:p w14:paraId="11C50CB0"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t xml:space="preserve">       With this new crucial information, I alerted my colleagues over the radio that in fact the female will need to be arrested and to stay safe in doing so. After bandaging the males’ wounds, I then took him to hospital where I seized his clothes for evidence and took contact details for officers to attend when he has recovered. The brother also confirmed that the child was with grandparents at the time of this incident.</w:t>
      </w:r>
    </w:p>
    <w:p w14:paraId="4F846E37"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t xml:space="preserve">     One of the many complexities of this incident was that it was initially reported by the female to say she was the victim. As a police officer, the vast majority of domestic incidents police attend are where the woman is the victim. In the year ending March 2020, an estimated 1.6 million women aged 16-74 experienced domestic abuse in the last year (Stripe, 2020). It is prevalent that women are more susceptible to domestic harm then men as I have previously mentioned. With regards to this incident, where such a serious offence has taken place, there needs to be an assumption of honesty from the reporting person.</w:t>
      </w:r>
    </w:p>
    <w:p w14:paraId="26850940"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t xml:space="preserve">     Another complexity in this domestic incident I attended does corroborate with the previous paragraph of we attended the perpetrator first. Although there is no possible way of finding out further details prior to police attending unless information provided by witnesses. The police will always attend to those who are injured as our role is to safeguard as a number one priority. </w:t>
      </w:r>
    </w:p>
    <w:p w14:paraId="58C0AAD9"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lastRenderedPageBreak/>
        <w:t xml:space="preserve">     Another potential complexity of this incident is that of the legal and procedural issues. With such a serious and indictable offence, evidence gathering, and enquiries can delay proceedings. Although the severity of this instance, an urgent confirmation from the CPS will be needed on whether to charge the suspect. The female was not remanded in this incident and was bailed, this may be due to not sending sufficient evidence off in time to the CPS, or supervisors deeming that the victim would be safeguarded sufficiently whilst the suspect is on bail. A complication with having </w:t>
      </w:r>
      <w:proofErr w:type="spellStart"/>
      <w:r w:rsidRPr="00B83581">
        <w:rPr>
          <w:rFonts w:asciiTheme="minorHAnsi" w:hAnsiTheme="minorHAnsi" w:cstheme="minorHAnsi"/>
          <w:color w:val="000000"/>
          <w:sz w:val="22"/>
          <w:szCs w:val="22"/>
        </w:rPr>
        <w:t>a</w:t>
      </w:r>
      <w:proofErr w:type="spellEnd"/>
      <w:r w:rsidRPr="00B83581">
        <w:rPr>
          <w:rFonts w:asciiTheme="minorHAnsi" w:hAnsiTheme="minorHAnsi" w:cstheme="minorHAnsi"/>
          <w:color w:val="000000"/>
          <w:sz w:val="22"/>
          <w:szCs w:val="22"/>
        </w:rPr>
        <w:t xml:space="preserve"> offender on bail for a indicatable domestic abuse offence is that there is a chance for the offender to breach their bail. As both live in the same house and have children together, it does pose greater risk of both parties crossing paths which highlights the importance of having stringent and secured bail conditions.</w:t>
      </w:r>
    </w:p>
    <w:p w14:paraId="7267356C"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t xml:space="preserve">     Furthermore, this incident creates complex and overwhelming emotions and psychological factors not only for the victim and perpetrator but for witnesses and officers who are attending. The traumatic stress on a victim from being stabbed could lead to acute stress reactions such as flashbacks, nightmares, and anxieties. This would impact their life greatly post incident by living in fear especially in situations that would remind them of the incident. In this instance, the victim may develop trust issues that could impact on any future relationships. In the year ending March 2023 there was a reported 50,500 offences involving sharp instruments in the UK which was 4.7% higher than in the previous year (Allen, 2023). With this data, the increase in domestic abuse incidents would imply that the policies in place are not adequate or there are not enough resources to respond and deal with these incidents accordingly. There is case studies evidencing this, with the Victim Support webpage stating that victims of domestic abuse having to report abuse to the police multiple times before appropriate action is taken (Blackwell, 2023). </w:t>
      </w:r>
    </w:p>
    <w:p w14:paraId="7C797454"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t xml:space="preserve">     This incident has two factors in which there are strategies and contingencies in providing adequate response and support. Police and partnering agencies implement a variety of strategies to protect victims prosecute offenders. </w:t>
      </w:r>
    </w:p>
    <w:p w14:paraId="5A70C3B5"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lastRenderedPageBreak/>
        <w:t xml:space="preserve">     The first factor is of the immediate risk from domestic abuse where there is a weapon involved. The strategy with dealing with weapons would be developed and established in a timely manner by Force Incident Managers (FIM) who’s responsibility is to ensure that the victim is safeguarded, and the perpetrator is apprehended quickly and safely to stop further harm from occurring. The second is post incident where police collaborate with partnering agencies to help the victim of domestic abuse. South Wales Police through its policies has centred its focus around the victim, ensuring they are safeguarded and supported from the initial incident and throughout the prosecution. In instances there are victims in an abusive relationship who do not support police action or prosecution, this may be to fear or guilt or other factors. This highlights the importance of evidence gathering through ‘Golden hour’ opportunities where evidence is best available, this allows the police to persecute offenders without the support of victims. An example, of an effective strategy of assisting in prosecuting an offender is the use of body worn camera. As mentioned in the incident I attended, body worn cameras allow the police to capture crucial evidence that might have been missed or overlooked. The footage captured could aid in documenting the scene and the behaviours of those parties involved as well as injuries. The use of body worn camera demonstrates the benefits and impact on technology in holding perpetrators accountable. Technology can also provide further evidence where digital evidence can be preserved such as phone texts and emails which can provide further circumstantial meaning.</w:t>
      </w:r>
    </w:p>
    <w:p w14:paraId="3310E713"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t xml:space="preserve">South Wales Police also provide their officers with substantial training specialising in domestic abuse. These officers attend ‘training days’ where they are refreshed on what they have learnt whilst also providing new and updated training in terms of legislative and policies surrounding domestic abuse. Other strategies this police force have provided in ensuring effective response to domestic abuse is what is known as ‘the hub’. This is a specialised unit that deal with domestic abuse cases where officers interview suspects and prepare the files for CPS. These officers also liase with the victims providing them updates on the case whilst also at times communicating with partnering agencies and victim support teams. With things in place such as the hub, the police can ensure that the voices of victims are heard and respected throughout the process. </w:t>
      </w:r>
    </w:p>
    <w:p w14:paraId="2A7D8218" w14:textId="77777777" w:rsidR="00B83581" w:rsidRPr="00B83581" w:rsidRDefault="00B83581" w:rsidP="00B83581">
      <w:pPr>
        <w:pStyle w:val="Heading3"/>
        <w:shd w:val="clear" w:color="auto" w:fill="FFFFFF"/>
        <w:spacing w:before="150" w:after="300" w:line="420" w:lineRule="atLeast"/>
        <w:rPr>
          <w:rFonts w:asciiTheme="minorHAnsi" w:hAnsiTheme="minorHAnsi" w:cstheme="minorHAnsi"/>
          <w:color w:val="000000"/>
          <w:sz w:val="22"/>
          <w:szCs w:val="22"/>
        </w:rPr>
      </w:pPr>
      <w:r w:rsidRPr="00B83581">
        <w:rPr>
          <w:rFonts w:asciiTheme="minorHAnsi" w:hAnsiTheme="minorHAnsi" w:cstheme="minorHAnsi"/>
          <w:color w:val="000000"/>
          <w:sz w:val="22"/>
          <w:szCs w:val="22"/>
        </w:rPr>
        <w:lastRenderedPageBreak/>
        <w:t xml:space="preserve">   Where the police have been victim focused, they have also implemented a DRIVE programme which is aimed at tackling domestic abuse by focusing on high risk/harm perpetrators. This programme’s goal is to address and change the behaviour of the domestic abusers with the goal of increasing the safety and wellbeing of victims. The programme offers support services that aim to assist perpetrators in changing their ways. This could range from counselling and anger management to drug and alcohol rehabilitation in line with mental health services. This programme which was implemented by the Drive Project (2023) has had positive impacts on domestic abuse, with 82% reduction in risk to victims in a 3 year period.     </w:t>
      </w:r>
    </w:p>
    <w:p w14:paraId="2BF4A36B" w14:textId="77777777" w:rsidR="00B83581" w:rsidRPr="00B83581" w:rsidRDefault="00B83581" w:rsidP="00B83581">
      <w:pPr>
        <w:spacing w:line="480" w:lineRule="auto"/>
      </w:pPr>
      <w:r w:rsidRPr="00B83581">
        <w:t xml:space="preserve">     To conclude this paper, no domestic abuse incident is the same, and the police need to keep an open mind when dealing with the dynamics of an incident such as domestic abuse. As the number one priority for police is to safeguard those who are vulnerable, it is paramount that the perpetrators are pursued to maintain confidence in the police but to help the victim by limiting their trauma. The DRIVE strategy which is aimed at changing the behaviour of perpetrators whilst maintaining their accountability has shown improvements in decreasing domestic abuse incidents. Whilst this is a positive movement this is a post incident strategy where the goal is to reduce harm and risk to victims. There still needs to be greater safeguarding by providing support and response to potential victims when signs of domestic abuse arise.</w:t>
      </w:r>
    </w:p>
    <w:p w14:paraId="70313750" w14:textId="771157CF" w:rsidR="00B83581" w:rsidRDefault="00B83581" w:rsidP="0FF883D4">
      <w:pPr>
        <w:ind w:right="237"/>
        <w:jc w:val="both"/>
        <w:rPr>
          <w:color w:val="000000" w:themeColor="text1"/>
          <w:sz w:val="24"/>
          <w:szCs w:val="24"/>
        </w:rPr>
      </w:pPr>
    </w:p>
    <w:p w14:paraId="36C174F4" w14:textId="77777777" w:rsidR="00B83581" w:rsidRDefault="00B83581" w:rsidP="0FF883D4">
      <w:pPr>
        <w:ind w:right="237"/>
        <w:jc w:val="both"/>
        <w:rPr>
          <w:color w:val="000000" w:themeColor="text1"/>
          <w:sz w:val="24"/>
          <w:szCs w:val="24"/>
        </w:rPr>
      </w:pPr>
    </w:p>
    <w:p w14:paraId="2F314C87" w14:textId="5F3393DD" w:rsidR="00B83581" w:rsidRPr="00B83581" w:rsidRDefault="00B83581" w:rsidP="0FF883D4">
      <w:pPr>
        <w:ind w:right="237"/>
        <w:jc w:val="both"/>
        <w:rPr>
          <w:b/>
          <w:bCs/>
          <w:color w:val="000000" w:themeColor="text1"/>
          <w:sz w:val="24"/>
          <w:szCs w:val="24"/>
        </w:rPr>
      </w:pPr>
      <w:r>
        <w:rPr>
          <w:b/>
          <w:bCs/>
          <w:color w:val="000000" w:themeColor="text1"/>
          <w:sz w:val="24"/>
          <w:szCs w:val="24"/>
        </w:rPr>
        <w:t>[1939 count]</w:t>
      </w:r>
    </w:p>
    <w:p w14:paraId="1ADBF547" w14:textId="77777777" w:rsidR="00B83581" w:rsidRDefault="00B83581" w:rsidP="0FF883D4">
      <w:pPr>
        <w:ind w:right="237"/>
        <w:jc w:val="both"/>
        <w:rPr>
          <w:b/>
          <w:bCs/>
          <w:color w:val="000000" w:themeColor="text1"/>
          <w:sz w:val="24"/>
          <w:szCs w:val="24"/>
          <w:u w:val="single"/>
        </w:rPr>
      </w:pPr>
    </w:p>
    <w:p w14:paraId="3306D316" w14:textId="77777777" w:rsidR="00B83581" w:rsidRDefault="00B83581" w:rsidP="0FF883D4">
      <w:pPr>
        <w:ind w:right="237"/>
        <w:jc w:val="both"/>
        <w:rPr>
          <w:b/>
          <w:bCs/>
          <w:color w:val="000000" w:themeColor="text1"/>
          <w:sz w:val="24"/>
          <w:szCs w:val="24"/>
          <w:u w:val="single"/>
        </w:rPr>
      </w:pPr>
    </w:p>
    <w:p w14:paraId="5D0F7486" w14:textId="77777777" w:rsidR="00B83581" w:rsidRDefault="00B83581" w:rsidP="0FF883D4">
      <w:pPr>
        <w:ind w:right="237"/>
        <w:jc w:val="both"/>
        <w:rPr>
          <w:b/>
          <w:bCs/>
          <w:color w:val="000000" w:themeColor="text1"/>
          <w:sz w:val="24"/>
          <w:szCs w:val="24"/>
          <w:u w:val="single"/>
        </w:rPr>
      </w:pPr>
    </w:p>
    <w:p w14:paraId="60819ADB" w14:textId="77777777" w:rsidR="00B83581" w:rsidRDefault="00B83581" w:rsidP="0FF883D4">
      <w:pPr>
        <w:ind w:right="237"/>
        <w:jc w:val="both"/>
        <w:rPr>
          <w:b/>
          <w:bCs/>
          <w:color w:val="000000" w:themeColor="text1"/>
          <w:sz w:val="24"/>
          <w:szCs w:val="24"/>
          <w:u w:val="single"/>
        </w:rPr>
      </w:pPr>
    </w:p>
    <w:p w14:paraId="1EF327EC" w14:textId="77777777" w:rsidR="00B83581" w:rsidRDefault="00B83581" w:rsidP="0FF883D4">
      <w:pPr>
        <w:ind w:right="237"/>
        <w:jc w:val="both"/>
        <w:rPr>
          <w:b/>
          <w:bCs/>
          <w:color w:val="000000" w:themeColor="text1"/>
          <w:sz w:val="24"/>
          <w:szCs w:val="24"/>
          <w:u w:val="single"/>
        </w:rPr>
      </w:pPr>
    </w:p>
    <w:p w14:paraId="0CE75A31" w14:textId="77777777" w:rsidR="00B83581" w:rsidRDefault="00B83581" w:rsidP="0FF883D4">
      <w:pPr>
        <w:ind w:right="237"/>
        <w:jc w:val="both"/>
        <w:rPr>
          <w:b/>
          <w:bCs/>
          <w:color w:val="000000" w:themeColor="text1"/>
          <w:sz w:val="24"/>
          <w:szCs w:val="24"/>
          <w:u w:val="single"/>
        </w:rPr>
      </w:pPr>
    </w:p>
    <w:p w14:paraId="7F83A530" w14:textId="77777777" w:rsidR="00B83581" w:rsidRDefault="00B83581" w:rsidP="0FF883D4">
      <w:pPr>
        <w:ind w:right="237"/>
        <w:jc w:val="both"/>
        <w:rPr>
          <w:b/>
          <w:bCs/>
          <w:color w:val="000000" w:themeColor="text1"/>
          <w:sz w:val="24"/>
          <w:szCs w:val="24"/>
          <w:u w:val="single"/>
        </w:rPr>
      </w:pPr>
    </w:p>
    <w:p w14:paraId="587C1B84" w14:textId="77777777" w:rsidR="00B83581" w:rsidRDefault="00B83581" w:rsidP="0FF883D4">
      <w:pPr>
        <w:ind w:right="237"/>
        <w:jc w:val="both"/>
        <w:rPr>
          <w:b/>
          <w:bCs/>
          <w:color w:val="000000" w:themeColor="text1"/>
          <w:sz w:val="24"/>
          <w:szCs w:val="24"/>
          <w:u w:val="single"/>
        </w:rPr>
      </w:pPr>
    </w:p>
    <w:p w14:paraId="0D18B96B" w14:textId="76FD8DC4" w:rsidR="00B83581" w:rsidRPr="00B83581" w:rsidRDefault="00B83581" w:rsidP="0FF883D4">
      <w:pPr>
        <w:ind w:right="237"/>
        <w:jc w:val="both"/>
        <w:rPr>
          <w:b/>
          <w:bCs/>
          <w:color w:val="000000" w:themeColor="text1"/>
          <w:sz w:val="24"/>
          <w:szCs w:val="24"/>
          <w:u w:val="single"/>
        </w:rPr>
      </w:pPr>
      <w:r>
        <w:rPr>
          <w:b/>
          <w:bCs/>
          <w:color w:val="000000" w:themeColor="text1"/>
          <w:sz w:val="24"/>
          <w:szCs w:val="24"/>
          <w:u w:val="single"/>
        </w:rPr>
        <w:t>References:</w:t>
      </w:r>
    </w:p>
    <w:p w14:paraId="77185B9A" w14:textId="5DE3C839" w:rsidR="00025650" w:rsidRPr="00E676F7" w:rsidRDefault="00025650" w:rsidP="0FF883D4">
      <w:pPr>
        <w:ind w:right="237"/>
        <w:jc w:val="both"/>
        <w:rPr>
          <w:color w:val="000000" w:themeColor="text1"/>
          <w:sz w:val="24"/>
          <w:szCs w:val="24"/>
        </w:rPr>
      </w:pPr>
    </w:p>
    <w:p w14:paraId="385E1CEF" w14:textId="77777777" w:rsidR="00B83581" w:rsidRDefault="00B83581" w:rsidP="00056687">
      <w:pPr>
        <w:pStyle w:val="NormalWeb"/>
        <w:numPr>
          <w:ilvl w:val="0"/>
          <w:numId w:val="50"/>
        </w:numPr>
      </w:pPr>
      <w:r>
        <w:t xml:space="preserve">Allen, G. (2023) </w:t>
      </w:r>
      <w:r>
        <w:rPr>
          <w:i/>
          <w:iCs/>
        </w:rPr>
        <w:t>Knife crime statistics : England and Wales</w:t>
      </w:r>
      <w:r>
        <w:t xml:space="preserve">. Available at: https://researchbriefings.files.parliament.uk/documents/SN04304/SN04304.pdf. </w:t>
      </w:r>
    </w:p>
    <w:p w14:paraId="0D88BC4B" w14:textId="77777777" w:rsidR="00B83581" w:rsidRDefault="00B83581" w:rsidP="00835A75">
      <w:pPr>
        <w:pStyle w:val="NormalWeb"/>
        <w:numPr>
          <w:ilvl w:val="0"/>
          <w:numId w:val="50"/>
        </w:numPr>
      </w:pPr>
      <w:r>
        <w:t xml:space="preserve">Blackwell, J. (2023) </w:t>
      </w:r>
      <w:r>
        <w:rPr>
          <w:i/>
          <w:iCs/>
        </w:rPr>
        <w:t>New research shows police failing to act on domestic abuse reports - ethnic minority victims worst affected</w:t>
      </w:r>
      <w:r>
        <w:t xml:space="preserve">, </w:t>
      </w:r>
      <w:r>
        <w:rPr>
          <w:i/>
          <w:iCs/>
        </w:rPr>
        <w:t>Victim Support</w:t>
      </w:r>
      <w:r>
        <w:t xml:space="preserve">. Available at: https://www.victimsupport.org.uk/new-research-shows-police-failing-to-act-on-domestic-abuse-reports-ethnic-minority-victims-worst-affected/. </w:t>
      </w:r>
    </w:p>
    <w:p w14:paraId="51AC36F4" w14:textId="77777777" w:rsidR="00B83581" w:rsidRDefault="00B83581" w:rsidP="00FD585F">
      <w:pPr>
        <w:pStyle w:val="NormalWeb"/>
        <w:numPr>
          <w:ilvl w:val="0"/>
          <w:numId w:val="50"/>
        </w:numPr>
      </w:pPr>
      <w:r>
        <w:lastRenderedPageBreak/>
        <w:t xml:space="preserve">South Wales Police (2020) </w:t>
      </w:r>
      <w:r>
        <w:rPr>
          <w:i/>
          <w:iCs/>
        </w:rPr>
        <w:t>South Wales Police &amp; Crime Plan 2021-25</w:t>
      </w:r>
      <w:r>
        <w:t xml:space="preserve">. Available at: https://commissioner.south-wales.police.uk/media/1923/crp002-crime-plan-2020-eng-p5.pdf. </w:t>
      </w:r>
    </w:p>
    <w:p w14:paraId="56C500D6" w14:textId="77777777" w:rsidR="00B83581" w:rsidRDefault="00B83581" w:rsidP="00697AFB">
      <w:pPr>
        <w:pStyle w:val="NormalWeb"/>
        <w:numPr>
          <w:ilvl w:val="0"/>
          <w:numId w:val="50"/>
        </w:numPr>
      </w:pPr>
      <w:r>
        <w:t xml:space="preserve">Stripe, N. (2020) </w:t>
      </w:r>
      <w:r>
        <w:rPr>
          <w:i/>
          <w:iCs/>
        </w:rPr>
        <w:t>Domestic abuse victim characteristics, England and Wales: Year Ending March 2020</w:t>
      </w:r>
      <w:r>
        <w:t xml:space="preserve">, </w:t>
      </w:r>
      <w:r>
        <w:rPr>
          <w:i/>
          <w:iCs/>
        </w:rPr>
        <w:t>Domestic abuse victim characteristics, England and Wales - Office for National Statistics</w:t>
      </w:r>
      <w:r>
        <w:t xml:space="preserve">. Available at: https://www.ons.gov.uk/peoplepopulationandcommunity/crimeandjustice/articles/domesticabusevictimcharacteristicsenglandandwales/yearendingmarch2020#sex. </w:t>
      </w:r>
    </w:p>
    <w:p w14:paraId="5EBDF58C" w14:textId="77777777" w:rsidR="00B83581" w:rsidRDefault="00B83581" w:rsidP="00795A72">
      <w:pPr>
        <w:pStyle w:val="NormalWeb"/>
        <w:numPr>
          <w:ilvl w:val="0"/>
          <w:numId w:val="50"/>
        </w:numPr>
      </w:pPr>
      <w:r>
        <w:rPr>
          <w:i/>
          <w:iCs/>
        </w:rPr>
        <w:t>The drive project</w:t>
      </w:r>
      <w:r>
        <w:t xml:space="preserve"> (2023) </w:t>
      </w:r>
      <w:r>
        <w:rPr>
          <w:i/>
          <w:iCs/>
        </w:rPr>
        <w:t>The Drive Project – The Drive Partnership</w:t>
      </w:r>
      <w:r>
        <w:t xml:space="preserve">. Available at: https://drivepartnership.org.uk/about-us/the-drive-project/. </w:t>
      </w:r>
    </w:p>
    <w:p w14:paraId="3881D39A" w14:textId="77777777" w:rsidR="00B83581" w:rsidRDefault="00B83581" w:rsidP="00856618">
      <w:pPr>
        <w:pStyle w:val="NormalWeb"/>
        <w:numPr>
          <w:ilvl w:val="0"/>
          <w:numId w:val="50"/>
        </w:numPr>
      </w:pPr>
      <w:r>
        <w:t xml:space="preserve">Women’s Aid (2023) </w:t>
      </w:r>
      <w:r>
        <w:rPr>
          <w:i/>
          <w:iCs/>
        </w:rPr>
        <w:t>What is domestic abuse?</w:t>
      </w:r>
      <w:r>
        <w:t xml:space="preserve">, </w:t>
      </w:r>
      <w:r>
        <w:rPr>
          <w:i/>
          <w:iCs/>
        </w:rPr>
        <w:t>Women’s Aid</w:t>
      </w:r>
      <w:r>
        <w:t xml:space="preserve">. Available at: https://www.womensaid.org.uk/information-support/what-is-domestic-abuse/. </w:t>
      </w:r>
    </w:p>
    <w:p w14:paraId="00BED0F7" w14:textId="6B36DAD2" w:rsidR="00025650" w:rsidRPr="00856618" w:rsidRDefault="00025650" w:rsidP="00B83581">
      <w:pPr>
        <w:pStyle w:val="ListParagraph"/>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829542E" w:rsidR="0FF883D4" w:rsidRDefault="5CE196A1" w:rsidP="5CE196A1">
      <w:r w:rsidRPr="5CE196A1">
        <w:rPr>
          <w:rFonts w:eastAsia="Arial"/>
          <w:b/>
          <w:bCs/>
          <w:color w:val="000000" w:themeColor="text1"/>
          <w:sz w:val="24"/>
          <w:szCs w:val="24"/>
        </w:rPr>
        <w:t xml:space="preserve">Signed: </w:t>
      </w:r>
      <w:r w:rsidR="008D086C">
        <w:rPr>
          <w:rFonts w:eastAsia="Arial"/>
          <w:b/>
          <w:bCs/>
          <w:color w:val="000000" w:themeColor="text1"/>
          <w:sz w:val="24"/>
          <w:szCs w:val="24"/>
        </w:rPr>
        <w:t>A RADFORD</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2DF96526" w:rsidR="0FF883D4" w:rsidRDefault="008D086C" w:rsidP="5CE196A1">
      <w:pPr>
        <w:ind w:left="2880" w:right="225" w:firstLine="720"/>
        <w:rPr>
          <w:b/>
          <w:bCs/>
          <w:sz w:val="24"/>
          <w:szCs w:val="24"/>
          <w:lang w:eastAsia="zh-TW"/>
        </w:rPr>
        <w:sectPr w:rsidR="0FF883D4" w:rsidSect="0022001B">
          <w:footerReference w:type="default" r:id="rId16"/>
          <w:pgSz w:w="11906" w:h="16838" w:code="9"/>
          <w:pgMar w:top="1440" w:right="1440" w:bottom="1440" w:left="1440" w:header="720" w:footer="720" w:gutter="0"/>
          <w:cols w:space="720"/>
          <w:docGrid w:linePitch="272"/>
        </w:sectPr>
      </w:pPr>
      <w:r>
        <w:rPr>
          <w:b/>
          <w:bCs/>
          <w:sz w:val="24"/>
          <w:szCs w:val="24"/>
          <w:lang w:eastAsia="zh-TW"/>
        </w:rPr>
        <w:t>30/10/2023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93581"/>
    <w:multiLevelType w:val="hybridMultilevel"/>
    <w:tmpl w:val="27DA22F4"/>
    <w:lvl w:ilvl="0" w:tplc="9F7268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55ECFC"/>
    <w:multiLevelType w:val="hybridMultilevel"/>
    <w:tmpl w:val="70D88216"/>
    <w:lvl w:ilvl="0" w:tplc="FFC256DA">
      <w:start w:val="1"/>
      <w:numFmt w:val="decimal"/>
      <w:lvlText w:val="%1."/>
      <w:lvlJc w:val="left"/>
      <w:pPr>
        <w:ind w:left="720" w:hanging="360"/>
      </w:pPr>
    </w:lvl>
    <w:lvl w:ilvl="1" w:tplc="4DA64D0A">
      <w:start w:val="1"/>
      <w:numFmt w:val="lowerLetter"/>
      <w:lvlText w:val="%2."/>
      <w:lvlJc w:val="left"/>
      <w:pPr>
        <w:ind w:left="1440" w:hanging="360"/>
      </w:pPr>
    </w:lvl>
    <w:lvl w:ilvl="2" w:tplc="F37A2A40">
      <w:start w:val="1"/>
      <w:numFmt w:val="lowerRoman"/>
      <w:lvlText w:val="%3."/>
      <w:lvlJc w:val="right"/>
      <w:pPr>
        <w:ind w:left="2160" w:hanging="180"/>
      </w:pPr>
    </w:lvl>
    <w:lvl w:ilvl="3" w:tplc="60D064EE">
      <w:start w:val="1"/>
      <w:numFmt w:val="decimal"/>
      <w:lvlText w:val="%4."/>
      <w:lvlJc w:val="left"/>
      <w:pPr>
        <w:ind w:left="2880" w:hanging="360"/>
      </w:pPr>
    </w:lvl>
    <w:lvl w:ilvl="4" w:tplc="9D6000E2">
      <w:start w:val="1"/>
      <w:numFmt w:val="lowerLetter"/>
      <w:lvlText w:val="%5."/>
      <w:lvlJc w:val="left"/>
      <w:pPr>
        <w:ind w:left="3600" w:hanging="360"/>
      </w:pPr>
    </w:lvl>
    <w:lvl w:ilvl="5" w:tplc="4FA26A3E">
      <w:start w:val="1"/>
      <w:numFmt w:val="lowerRoman"/>
      <w:lvlText w:val="%6."/>
      <w:lvlJc w:val="right"/>
      <w:pPr>
        <w:ind w:left="4320" w:hanging="180"/>
      </w:pPr>
    </w:lvl>
    <w:lvl w:ilvl="6" w:tplc="34E46B5C">
      <w:start w:val="1"/>
      <w:numFmt w:val="decimal"/>
      <w:lvlText w:val="%7."/>
      <w:lvlJc w:val="left"/>
      <w:pPr>
        <w:ind w:left="5040" w:hanging="360"/>
      </w:pPr>
    </w:lvl>
    <w:lvl w:ilvl="7" w:tplc="1898E146">
      <w:start w:val="1"/>
      <w:numFmt w:val="lowerLetter"/>
      <w:lvlText w:val="%8."/>
      <w:lvlJc w:val="left"/>
      <w:pPr>
        <w:ind w:left="5760" w:hanging="360"/>
      </w:pPr>
    </w:lvl>
    <w:lvl w:ilvl="8" w:tplc="EC4E15CE">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EE1AEC80"/>
    <w:lvl w:ilvl="0" w:tplc="8FA8826E">
      <w:start w:val="1"/>
      <w:numFmt w:val="decimal"/>
      <w:lvlText w:val="%1."/>
      <w:lvlJc w:val="left"/>
      <w:pPr>
        <w:ind w:left="720" w:hanging="360"/>
      </w:pPr>
    </w:lvl>
    <w:lvl w:ilvl="1" w:tplc="19926182">
      <w:start w:val="1"/>
      <w:numFmt w:val="decimal"/>
      <w:lvlText w:val="%2."/>
      <w:lvlJc w:val="left"/>
      <w:pPr>
        <w:ind w:left="1440" w:hanging="360"/>
      </w:pPr>
    </w:lvl>
    <w:lvl w:ilvl="2" w:tplc="1D7A2FF2">
      <w:start w:val="1"/>
      <w:numFmt w:val="lowerRoman"/>
      <w:lvlText w:val="%3."/>
      <w:lvlJc w:val="right"/>
      <w:pPr>
        <w:ind w:left="2160" w:hanging="180"/>
      </w:pPr>
    </w:lvl>
    <w:lvl w:ilvl="3" w:tplc="9BEEA5AC">
      <w:start w:val="1"/>
      <w:numFmt w:val="decimal"/>
      <w:lvlText w:val="%4."/>
      <w:lvlJc w:val="left"/>
      <w:pPr>
        <w:ind w:left="2880" w:hanging="360"/>
      </w:pPr>
    </w:lvl>
    <w:lvl w:ilvl="4" w:tplc="1FE62148">
      <w:start w:val="1"/>
      <w:numFmt w:val="lowerLetter"/>
      <w:lvlText w:val="%5."/>
      <w:lvlJc w:val="left"/>
      <w:pPr>
        <w:ind w:left="3600" w:hanging="360"/>
      </w:pPr>
    </w:lvl>
    <w:lvl w:ilvl="5" w:tplc="22660D84">
      <w:start w:val="1"/>
      <w:numFmt w:val="lowerRoman"/>
      <w:lvlText w:val="%6."/>
      <w:lvlJc w:val="right"/>
      <w:pPr>
        <w:ind w:left="4320" w:hanging="180"/>
      </w:pPr>
    </w:lvl>
    <w:lvl w:ilvl="6" w:tplc="C4BA915E">
      <w:start w:val="1"/>
      <w:numFmt w:val="decimal"/>
      <w:lvlText w:val="%7."/>
      <w:lvlJc w:val="left"/>
      <w:pPr>
        <w:ind w:left="5040" w:hanging="360"/>
      </w:pPr>
    </w:lvl>
    <w:lvl w:ilvl="7" w:tplc="635C315A">
      <w:start w:val="1"/>
      <w:numFmt w:val="lowerLetter"/>
      <w:lvlText w:val="%8."/>
      <w:lvlJc w:val="left"/>
      <w:pPr>
        <w:ind w:left="5760" w:hanging="360"/>
      </w:pPr>
    </w:lvl>
    <w:lvl w:ilvl="8" w:tplc="A204EAA0">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0831788">
    <w:abstractNumId w:val="48"/>
  </w:num>
  <w:num w:numId="2" w16cid:durableId="1839808742">
    <w:abstractNumId w:val="11"/>
  </w:num>
  <w:num w:numId="3" w16cid:durableId="1452167494">
    <w:abstractNumId w:val="1"/>
    <w:lvlOverride w:ilvl="0">
      <w:lvl w:ilvl="0">
        <w:start w:val="1"/>
        <w:numFmt w:val="bullet"/>
        <w:lvlText w:val=""/>
        <w:lvlJc w:val="left"/>
        <w:pPr>
          <w:ind w:left="720" w:hanging="360"/>
        </w:pPr>
        <w:rPr>
          <w:rFonts w:ascii="Symbol" w:hAnsi="Symbol" w:hint="default"/>
        </w:rPr>
      </w:lvl>
    </w:lvlOverride>
  </w:num>
  <w:num w:numId="4" w16cid:durableId="1918247645">
    <w:abstractNumId w:val="23"/>
  </w:num>
  <w:num w:numId="5" w16cid:durableId="60636573">
    <w:abstractNumId w:val="45"/>
  </w:num>
  <w:num w:numId="6" w16cid:durableId="1632057490">
    <w:abstractNumId w:val="47"/>
  </w:num>
  <w:num w:numId="7" w16cid:durableId="1900509251">
    <w:abstractNumId w:val="35"/>
  </w:num>
  <w:num w:numId="8" w16cid:durableId="1187250935">
    <w:abstractNumId w:val="33"/>
  </w:num>
  <w:num w:numId="9" w16cid:durableId="537356228">
    <w:abstractNumId w:val="30"/>
  </w:num>
  <w:num w:numId="10" w16cid:durableId="672532468">
    <w:abstractNumId w:val="31"/>
  </w:num>
  <w:num w:numId="11" w16cid:durableId="1987005904">
    <w:abstractNumId w:val="10"/>
  </w:num>
  <w:num w:numId="12" w16cid:durableId="2008362431">
    <w:abstractNumId w:val="34"/>
  </w:num>
  <w:num w:numId="13" w16cid:durableId="458836973">
    <w:abstractNumId w:val="18"/>
  </w:num>
  <w:num w:numId="14" w16cid:durableId="1848254124">
    <w:abstractNumId w:val="17"/>
  </w:num>
  <w:num w:numId="15" w16cid:durableId="1273322353">
    <w:abstractNumId w:val="27"/>
  </w:num>
  <w:num w:numId="16" w16cid:durableId="1220628579">
    <w:abstractNumId w:val="8"/>
  </w:num>
  <w:num w:numId="17" w16cid:durableId="1761491177">
    <w:abstractNumId w:val="26"/>
  </w:num>
  <w:num w:numId="18" w16cid:durableId="795948700">
    <w:abstractNumId w:val="16"/>
  </w:num>
  <w:num w:numId="19" w16cid:durableId="64031040">
    <w:abstractNumId w:val="14"/>
  </w:num>
  <w:num w:numId="20" w16cid:durableId="1205409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8315586">
    <w:abstractNumId w:val="24"/>
  </w:num>
  <w:num w:numId="22" w16cid:durableId="962462185">
    <w:abstractNumId w:val="19"/>
  </w:num>
  <w:num w:numId="23" w16cid:durableId="739518668">
    <w:abstractNumId w:val="15"/>
  </w:num>
  <w:num w:numId="24" w16cid:durableId="1535383023">
    <w:abstractNumId w:val="12"/>
  </w:num>
  <w:num w:numId="25" w16cid:durableId="282201702">
    <w:abstractNumId w:val="28"/>
  </w:num>
  <w:num w:numId="26" w16cid:durableId="558320797">
    <w:abstractNumId w:val="20"/>
  </w:num>
  <w:num w:numId="27" w16cid:durableId="1770195511">
    <w:abstractNumId w:val="41"/>
  </w:num>
  <w:num w:numId="28" w16cid:durableId="949355196">
    <w:abstractNumId w:val="36"/>
  </w:num>
  <w:num w:numId="29" w16cid:durableId="1391029643">
    <w:abstractNumId w:val="40"/>
  </w:num>
  <w:num w:numId="30" w16cid:durableId="1864325217">
    <w:abstractNumId w:val="21"/>
  </w:num>
  <w:num w:numId="31" w16cid:durableId="2120250496">
    <w:abstractNumId w:val="43"/>
  </w:num>
  <w:num w:numId="32" w16cid:durableId="1366171352">
    <w:abstractNumId w:val="32"/>
  </w:num>
  <w:num w:numId="33" w16cid:durableId="750855278">
    <w:abstractNumId w:val="13"/>
  </w:num>
  <w:num w:numId="34" w16cid:durableId="1845507695">
    <w:abstractNumId w:val="44"/>
  </w:num>
  <w:num w:numId="35" w16cid:durableId="2032028953">
    <w:abstractNumId w:val="39"/>
  </w:num>
  <w:num w:numId="36" w16cid:durableId="1708331256">
    <w:abstractNumId w:val="5"/>
  </w:num>
  <w:num w:numId="37" w16cid:durableId="701518127">
    <w:abstractNumId w:val="46"/>
  </w:num>
  <w:num w:numId="38" w16cid:durableId="66655279">
    <w:abstractNumId w:val="42"/>
  </w:num>
  <w:num w:numId="39" w16cid:durableId="180975113">
    <w:abstractNumId w:val="37"/>
  </w:num>
  <w:num w:numId="40" w16cid:durableId="931277702">
    <w:abstractNumId w:val="38"/>
  </w:num>
  <w:num w:numId="41" w16cid:durableId="1053040838">
    <w:abstractNumId w:val="3"/>
  </w:num>
  <w:num w:numId="42" w16cid:durableId="1559781219">
    <w:abstractNumId w:val="6"/>
  </w:num>
  <w:num w:numId="43" w16cid:durableId="306205577">
    <w:abstractNumId w:val="25"/>
  </w:num>
  <w:num w:numId="44" w16cid:durableId="812143054">
    <w:abstractNumId w:val="7"/>
  </w:num>
  <w:num w:numId="45" w16cid:durableId="1821386514">
    <w:abstractNumId w:val="2"/>
  </w:num>
  <w:num w:numId="46" w16cid:durableId="1008413274">
    <w:abstractNumId w:val="0"/>
  </w:num>
  <w:num w:numId="47" w16cid:durableId="1285499550">
    <w:abstractNumId w:val="22"/>
  </w:num>
  <w:num w:numId="48" w16cid:durableId="340163253">
    <w:abstractNumId w:val="29"/>
  </w:num>
  <w:num w:numId="49" w16cid:durableId="362292063">
    <w:abstractNumId w:val="49"/>
  </w:num>
  <w:num w:numId="50" w16cid:durableId="60812761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687"/>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568D9"/>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97AFB"/>
    <w:rsid w:val="006A7A6D"/>
    <w:rsid w:val="006B5E67"/>
    <w:rsid w:val="006C2EB5"/>
    <w:rsid w:val="006D18A3"/>
    <w:rsid w:val="006D5970"/>
    <w:rsid w:val="006E481E"/>
    <w:rsid w:val="006E795F"/>
    <w:rsid w:val="006F4289"/>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5A72"/>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5A75"/>
    <w:rsid w:val="00836FEC"/>
    <w:rsid w:val="00841F9D"/>
    <w:rsid w:val="008420E1"/>
    <w:rsid w:val="00843D58"/>
    <w:rsid w:val="00843EBA"/>
    <w:rsid w:val="00844D98"/>
    <w:rsid w:val="00846D84"/>
    <w:rsid w:val="0085230E"/>
    <w:rsid w:val="0085355E"/>
    <w:rsid w:val="008550A1"/>
    <w:rsid w:val="00856618"/>
    <w:rsid w:val="00861035"/>
    <w:rsid w:val="00861038"/>
    <w:rsid w:val="00865008"/>
    <w:rsid w:val="00866B50"/>
    <w:rsid w:val="008708F1"/>
    <w:rsid w:val="00880539"/>
    <w:rsid w:val="008859E8"/>
    <w:rsid w:val="0088737B"/>
    <w:rsid w:val="00892716"/>
    <w:rsid w:val="00893067"/>
    <w:rsid w:val="008933DE"/>
    <w:rsid w:val="00895FCE"/>
    <w:rsid w:val="00896AAC"/>
    <w:rsid w:val="00897F3E"/>
    <w:rsid w:val="008A1BA8"/>
    <w:rsid w:val="008A21B4"/>
    <w:rsid w:val="008A4576"/>
    <w:rsid w:val="008B07DE"/>
    <w:rsid w:val="008B28E7"/>
    <w:rsid w:val="008C14C7"/>
    <w:rsid w:val="008C2FFB"/>
    <w:rsid w:val="008C6EEA"/>
    <w:rsid w:val="008D086C"/>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1CFB"/>
    <w:rsid w:val="00B7502A"/>
    <w:rsid w:val="00B77305"/>
    <w:rsid w:val="00B82CC2"/>
    <w:rsid w:val="00B83581"/>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20769"/>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3652"/>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585F"/>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8358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E2076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93652"/>
    <w:rPr>
      <w:color w:val="605E5C"/>
      <w:shd w:val="clear" w:color="auto" w:fill="E1DFDD"/>
    </w:rPr>
  </w:style>
  <w:style w:type="character" w:customStyle="1" w:styleId="Heading3Char">
    <w:name w:val="Heading 3 Char"/>
    <w:basedOn w:val="DefaultParagraphFont"/>
    <w:link w:val="Heading3"/>
    <w:uiPriority w:val="9"/>
    <w:semiHidden/>
    <w:rsid w:val="00B83581"/>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6081">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661393264">
      <w:bodyDiv w:val="1"/>
      <w:marLeft w:val="0"/>
      <w:marRight w:val="0"/>
      <w:marTop w:val="0"/>
      <w:marBottom w:val="0"/>
      <w:divBdr>
        <w:top w:val="none" w:sz="0" w:space="0" w:color="auto"/>
        <w:left w:val="none" w:sz="0" w:space="0" w:color="auto"/>
        <w:bottom w:val="none" w:sz="0" w:space="0" w:color="auto"/>
        <w:right w:val="none" w:sz="0" w:space="0" w:color="auto"/>
      </w:divBdr>
    </w:div>
    <w:div w:id="781071580">
      <w:bodyDiv w:val="1"/>
      <w:marLeft w:val="0"/>
      <w:marRight w:val="0"/>
      <w:marTop w:val="0"/>
      <w:marBottom w:val="0"/>
      <w:divBdr>
        <w:top w:val="none" w:sz="0" w:space="0" w:color="auto"/>
        <w:left w:val="none" w:sz="0" w:space="0" w:color="auto"/>
        <w:bottom w:val="none" w:sz="0" w:space="0" w:color="auto"/>
        <w:right w:val="none" w:sz="0" w:space="0" w:color="auto"/>
      </w:divBdr>
    </w:div>
    <w:div w:id="97579517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4931894">
      <w:bodyDiv w:val="1"/>
      <w:marLeft w:val="0"/>
      <w:marRight w:val="0"/>
      <w:marTop w:val="0"/>
      <w:marBottom w:val="0"/>
      <w:divBdr>
        <w:top w:val="none" w:sz="0" w:space="0" w:color="auto"/>
        <w:left w:val="none" w:sz="0" w:space="0" w:color="auto"/>
        <w:bottom w:val="none" w:sz="0" w:space="0" w:color="auto"/>
        <w:right w:val="none" w:sz="0" w:space="0" w:color="auto"/>
      </w:divBdr>
    </w:div>
    <w:div w:id="1471555376">
      <w:bodyDiv w:val="1"/>
      <w:marLeft w:val="0"/>
      <w:marRight w:val="0"/>
      <w:marTop w:val="0"/>
      <w:marBottom w:val="0"/>
      <w:divBdr>
        <w:top w:val="none" w:sz="0" w:space="0" w:color="auto"/>
        <w:left w:val="none" w:sz="0" w:space="0" w:color="auto"/>
        <w:bottom w:val="none" w:sz="0" w:space="0" w:color="auto"/>
        <w:right w:val="none" w:sz="0" w:space="0" w:color="auto"/>
      </w:divBdr>
    </w:div>
    <w:div w:id="1580481289">
      <w:bodyDiv w:val="1"/>
      <w:marLeft w:val="0"/>
      <w:marRight w:val="0"/>
      <w:marTop w:val="0"/>
      <w:marBottom w:val="0"/>
      <w:divBdr>
        <w:top w:val="none" w:sz="0" w:space="0" w:color="auto"/>
        <w:left w:val="none" w:sz="0" w:space="0" w:color="auto"/>
        <w:bottom w:val="none" w:sz="0" w:space="0" w:color="auto"/>
        <w:right w:val="none" w:sz="0" w:space="0" w:color="auto"/>
      </w:divBdr>
    </w:div>
    <w:div w:id="162013673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638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hmicfrs.justiceinspectorates.gov.uk/glossary/public-protection-notice/#:~:text=A%20PPN%20is%20an%20information,inform%20a%20multi%2Dagency%20response" TargetMode="Externa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infopath/2007/PartnerControls"/>
    <ds:schemaRef ds:uri="http://www.w3.org/XML/1998/namespace"/>
    <ds:schemaRef ds:uri="http://schemas.microsoft.com/office/2006/documentManagement/types"/>
    <ds:schemaRef ds:uri="http://purl.org/dc/terms/"/>
    <ds:schemaRef ds:uri="http://purl.org/dc/elements/1.1/"/>
    <ds:schemaRef ds:uri="http://schemas.microsoft.com/office/2006/metadata/properties"/>
    <ds:schemaRef ds:uri="http://purl.org/dc/dcmitype/"/>
    <ds:schemaRef ds:uri="http://schemas.openxmlformats.org/package/2006/metadata/core-properties"/>
    <ds:schemaRef ds:uri="1ecf5648-3750-43f5-867d-bfaa16e6e17e"/>
    <ds:schemaRef ds:uri="2e89cfda-a374-4413-9f0d-8b601eddeb70"/>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6240</Words>
  <Characters>31577</Characters>
  <Application>Microsoft Office Word</Application>
  <DocSecurity>0</DocSecurity>
  <Lines>421</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Radford,Alexander swp8254</cp:lastModifiedBy>
  <cp:revision>3</cp:revision>
  <cp:lastPrinted>2014-08-26T08:55:00Z</cp:lastPrinted>
  <dcterms:created xsi:type="dcterms:W3CDTF">2023-10-30T11:11:00Z</dcterms:created>
  <dcterms:modified xsi:type="dcterms:W3CDTF">2023-10-30T11:13:00Z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2023-10-30T11:10:52Z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d5c8624d-4c83-4d98-93d7-e9cd3739a002</vt:lpwstr>
  </property>
  <property fmtid="{D5CDD505-2E9C-101B-9397-08002B2CF9AE}" pid="9" name="MSIP_Label_66cf8fe5-b7b7-4df7-b38d-1c61ac2f6639_ContentBits">
    <vt:lpwstr>0</vt:lpwstr>
  </property>
</Properties>
</file>