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i/>
          <w:sz w:val="44"/>
        </w:rPr>
      </w:pPr>
    </w:p>
    <w:p>
      <w:pPr>
        <w:spacing w:after="160" w:line="259" w:lineRule="auto"/>
        <w:jc w:val="center"/>
        <w:rPr>
          <w:rFonts w:ascii="Verdana" w:hAnsi="Verdana"/>
          <w:b/>
          <w:i/>
          <w:sz w:val="44"/>
        </w:rPr>
      </w:pPr>
    </w:p>
    <w:p>
      <w:pPr>
        <w:spacing w:after="160" w:line="259" w:lineRule="auto"/>
        <w:jc w:val="center"/>
        <w:rPr>
          <w:rFonts w:hint="default" w:ascii="Verdana" w:hAnsi="Verdana" w:eastAsia="宋体"/>
          <w:b/>
          <w:caps/>
          <w:sz w:val="18"/>
          <w:szCs w:val="18"/>
          <w:lang w:val="en-US" w:eastAsia="zh-CN"/>
        </w:rPr>
      </w:pPr>
      <w:r>
        <w:rPr>
          <w:rFonts w:hint="eastAsia" w:ascii="Verdana" w:hAnsi="Verdana" w:eastAsia="宋体"/>
          <w:b/>
          <w:i/>
          <w:sz w:val="44"/>
          <w:lang w:val="en-US" w:eastAsia="zh-CN"/>
        </w:rPr>
        <w:t>Paper</w:t>
      </w:r>
      <w:r>
        <w:rPr>
          <w:rFonts w:ascii="Verdana" w:hAnsi="Verdana"/>
          <w:b/>
          <w:i/>
          <w:sz w:val="44"/>
        </w:rPr>
        <w:t xml:space="preserve"> for </w:t>
      </w:r>
      <w:r>
        <w:rPr>
          <w:rFonts w:hint="eastAsia" w:ascii="Verdana" w:hAnsi="Verdana" w:eastAsia="宋体"/>
          <w:b/>
          <w:i/>
          <w:sz w:val="44"/>
          <w:lang w:val="en-US" w:eastAsia="zh-CN"/>
        </w:rPr>
        <w:t>Contemporary issues in Marketing Management</w:t>
      </w:r>
      <w:r>
        <w:rPr>
          <w:rFonts w:ascii="Verdana" w:hAnsi="Verdana"/>
          <w:b/>
          <w:i/>
          <w:sz w:val="44"/>
        </w:rPr>
        <w:t xml:space="preserve"> </w:t>
      </w:r>
      <w:r>
        <w:rPr>
          <w:rFonts w:hint="eastAsia" w:ascii="Verdana" w:hAnsi="Verdana" w:eastAsia="宋体"/>
          <w:b/>
          <w:i/>
          <w:sz w:val="44"/>
          <w:lang w:val="en-US" w:eastAsia="zh-CN"/>
        </w:rPr>
        <w:t>11</w:t>
      </w:r>
      <w:r>
        <w:rPr>
          <w:rFonts w:ascii="Verdana" w:hAnsi="Verdana"/>
          <w:b/>
          <w:i/>
          <w:sz w:val="44"/>
        </w:rPr>
        <w:t xml:space="preserve"> 201</w:t>
      </w:r>
      <w:r>
        <w:rPr>
          <w:rFonts w:hint="eastAsia" w:ascii="Verdana" w:hAnsi="Verdana" w:eastAsia="宋体"/>
          <w:b/>
          <w:i/>
          <w:sz w:val="44"/>
          <w:lang w:val="en-US" w:eastAsia="zh-CN"/>
        </w:rPr>
        <w:t>9</w:t>
      </w:r>
      <w:r>
        <w:rPr>
          <w:rFonts w:ascii="Verdana" w:hAnsi="Verdana"/>
          <w:b/>
          <w:i/>
          <w:sz w:val="44"/>
        </w:rPr>
        <w:t xml:space="preserve"> – </w:t>
      </w:r>
      <w:r>
        <w:rPr>
          <w:rFonts w:hint="eastAsia" w:ascii="Verdana" w:hAnsi="Verdana" w:eastAsia="宋体"/>
          <w:b/>
          <w:i/>
          <w:sz w:val="44"/>
          <w:lang w:val="en-US" w:eastAsia="zh-CN"/>
        </w:rPr>
        <w:t xml:space="preserve">Green marketing and sustainability: Green marketing strategy in enterprise </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hint="eastAsia" w:ascii="Verdana" w:hAnsi="Verdana" w:eastAsia="宋体"/>
          <w:b/>
          <w:sz w:val="44"/>
          <w:lang w:val="en-US" w:eastAsia="zh-CN"/>
        </w:rPr>
        <w:t>NOVEMBER</w:t>
      </w:r>
      <w:r>
        <w:rPr>
          <w:rFonts w:ascii="Verdana" w:hAnsi="Verdana"/>
          <w:b/>
          <w:sz w:val="44"/>
        </w:rPr>
        <w:t xml:space="preserve"> 201</w:t>
      </w:r>
    </w:p>
    <w:p>
      <w:pPr>
        <w:spacing w:after="160" w:line="259" w:lineRule="auto"/>
        <w:rPr>
          <w:rFonts w:ascii="Verdana" w:hAnsi="Verdana"/>
          <w:b/>
          <w:caps/>
          <w:sz w:val="18"/>
          <w:szCs w:val="18"/>
        </w:rPr>
      </w:pPr>
    </w:p>
    <w:p>
      <w:pPr>
        <w:spacing w:after="160" w:line="259" w:lineRule="auto"/>
        <w:ind w:left="1621" w:hanging="1621" w:hangingChars="900"/>
        <w:rPr>
          <w:rFonts w:ascii="Verdana" w:hAnsi="Verdana"/>
          <w:b/>
          <w:caps/>
          <w:color w:val="000000" w:themeColor="text1"/>
          <w:sz w:val="18"/>
          <w:szCs w:val="18"/>
          <w14:textFill>
            <w14:solidFill>
              <w14:schemeClr w14:val="tx1"/>
            </w14:solidFill>
          </w14:textFill>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14:textFill>
            <w14:solidFill>
              <w14:schemeClr w14:val="tx1"/>
            </w14:solidFill>
          </w14:textFill>
        </w:rPr>
        <w:t>M6X00874</w:t>
      </w:r>
      <w:r>
        <w:rPr>
          <w:rFonts w:hint="eastAsia" w:ascii="Verdana" w:hAnsi="Verdana" w:eastAsia="宋体"/>
          <w:b/>
          <w:caps/>
          <w:color w:val="000000" w:themeColor="text1"/>
          <w:sz w:val="18"/>
          <w:szCs w:val="18"/>
          <w:lang w:val="en-US" w:eastAsia="zh-CN"/>
          <w14:textFill>
            <w14:solidFill>
              <w14:schemeClr w14:val="tx1"/>
            </w14:solidFill>
          </w14:textFill>
        </w:rPr>
        <w:t xml:space="preserve"> </w:t>
      </w:r>
      <w:r>
        <w:rPr>
          <w:rFonts w:ascii="Verdana" w:hAnsi="Verdana"/>
          <w:b/>
          <w:caps/>
          <w:color w:val="000000" w:themeColor="text1"/>
          <w:sz w:val="18"/>
          <w:szCs w:val="18"/>
          <w14:textFill>
            <w14:solidFill>
              <w14:schemeClr w14:val="tx1"/>
            </w14:solidFill>
          </w14:textFill>
        </w:rPr>
        <w:t>CONTEMPORARY ISSUES IN MARKETING</w:t>
      </w:r>
      <w:r>
        <w:rPr>
          <w:rFonts w:hint="eastAsia" w:ascii="Verdana" w:hAnsi="Verdana" w:eastAsia="宋体"/>
          <w:b/>
          <w:caps/>
          <w:color w:val="000000" w:themeColor="text1"/>
          <w:sz w:val="18"/>
          <w:szCs w:val="18"/>
          <w:lang w:val="en-US" w:eastAsia="zh-CN"/>
          <w14:textFill>
            <w14:solidFill>
              <w14:schemeClr w14:val="tx1"/>
            </w14:solidFill>
          </w14:textFill>
        </w:rPr>
        <w:t xml:space="preserve">  </w:t>
      </w:r>
      <w:r>
        <w:rPr>
          <w:rFonts w:ascii="Verdana" w:hAnsi="Verdana"/>
          <w:b/>
          <w:caps/>
          <w:color w:val="000000" w:themeColor="text1"/>
          <w:sz w:val="18"/>
          <w:szCs w:val="18"/>
          <w14:textFill>
            <w14:solidFill>
              <w14:schemeClr w14:val="tx1"/>
            </w14:solidFill>
          </w14:textFill>
        </w:rPr>
        <w:t>MANAGEMENT</w:t>
      </w:r>
    </w:p>
    <w:p>
      <w:pPr>
        <w:spacing w:after="160" w:line="259" w:lineRule="auto"/>
        <w:rPr>
          <w:rFonts w:hint="default" w:ascii="Verdana" w:hAnsi="Verdana"/>
          <w:b/>
          <w:caps/>
          <w:sz w:val="18"/>
          <w:szCs w:val="18"/>
          <w:lang w:val="en-US"/>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hint="eastAsia" w:ascii="Verdana" w:hAnsi="Verdana" w:eastAsia="宋体"/>
          <w:b/>
          <w:caps/>
          <w:sz w:val="18"/>
          <w:szCs w:val="18"/>
          <w:lang w:val="en-US" w:eastAsia="zh-CN"/>
        </w:rPr>
        <w:t xml:space="preserve">            Yuan FENG</w:t>
      </w:r>
    </w:p>
    <w:p>
      <w:pPr>
        <w:spacing w:after="160" w:line="259" w:lineRule="auto"/>
        <w:rPr>
          <w:rFonts w:hint="default" w:ascii="Verdana" w:hAnsi="Verdana" w:eastAsia="宋体"/>
          <w:b/>
          <w:caps/>
          <w:sz w:val="18"/>
          <w:szCs w:val="18"/>
          <w:lang w:val="en-US" w:eastAsia="zh-CN"/>
        </w:rPr>
      </w:pPr>
      <w:r>
        <w:rPr>
          <w:rFonts w:ascii="Verdana" w:hAnsi="Verdana"/>
          <w:b/>
          <w:caps/>
          <w:sz w:val="18"/>
          <w:szCs w:val="18"/>
        </w:rPr>
        <w:t>Student Number:</w:t>
      </w:r>
      <w:r>
        <w:rPr>
          <w:rFonts w:ascii="Verdana" w:hAnsi="Verdana"/>
          <w:b/>
          <w:caps/>
          <w:sz w:val="18"/>
          <w:szCs w:val="18"/>
        </w:rPr>
        <w:tab/>
      </w:r>
      <w:r>
        <w:rPr>
          <w:rFonts w:hint="eastAsia" w:ascii="Verdana" w:hAnsi="Verdana" w:eastAsia="宋体"/>
          <w:b/>
          <w:caps/>
          <w:color w:val="000000" w:themeColor="text1"/>
          <w:sz w:val="18"/>
          <w:szCs w:val="18"/>
          <w:lang w:val="en-US" w:eastAsia="zh-CN"/>
          <w14:textFill>
            <w14:solidFill>
              <w14:schemeClr w14:val="tx1"/>
            </w14:solidFill>
          </w14:textFill>
        </w:rPr>
        <w:t>1905065</w:t>
      </w:r>
    </w:p>
    <w:p>
      <w:pPr>
        <w:autoSpaceDE/>
        <w:autoSpaceDN/>
        <w:adjustRightInd/>
        <w:spacing w:after="160" w:line="259" w:lineRule="auto"/>
        <w:rPr>
          <w:rFonts w:ascii="Verdana" w:hAnsi="Verdana"/>
          <w:b/>
          <w:caps/>
          <w:sz w:val="18"/>
          <w:szCs w:val="18"/>
        </w:rPr>
        <w:sectPr>
          <w:footerReference r:id="rId5" w:type="first"/>
          <w:headerReference r:id="rId3" w:type="default"/>
          <w:footerReference r:id="rId4" w:type="default"/>
          <w:pgSz w:w="11906" w:h="16838"/>
          <w:pgMar w:top="1440" w:right="1440" w:bottom="1440" w:left="1440" w:header="708" w:footer="708" w:gutter="0"/>
          <w:cols w:space="708" w:num="1"/>
          <w:titlePg/>
          <w:docGrid w:linePitch="360" w:charSpace="0"/>
        </w:sectPr>
      </w:pPr>
      <w:r>
        <w:rPr>
          <w:rFonts w:ascii="Verdana" w:hAnsi="Verdana"/>
          <w:b/>
          <w:caps/>
          <w:sz w:val="18"/>
          <w:szCs w:val="18"/>
        </w:rPr>
        <w:br w:type="page"/>
      </w:r>
    </w:p>
    <w:p>
      <w:pPr>
        <w:tabs>
          <w:tab w:val="left" w:pos="4007"/>
        </w:tabs>
        <w:jc w:val="center"/>
        <w:rPr>
          <w:rFonts w:ascii="Verdana" w:hAnsi="Verdana"/>
          <w:b/>
          <w:caps/>
          <w:sz w:val="18"/>
          <w:szCs w:val="18"/>
        </w:rPr>
      </w:pPr>
      <w:r>
        <w:rPr>
          <w:rFonts w:ascii="Verdana" w:hAnsi="Verdana"/>
          <w:b/>
          <w:caps/>
          <w:sz w:val="18"/>
          <w:szCs w:val="18"/>
        </w:rPr>
        <w:t>Table of Contents</w:t>
      </w:r>
    </w:p>
    <w:p>
      <w:pPr>
        <w:spacing w:line="480" w:lineRule="auto"/>
        <w:jc w:val="both"/>
        <w:rPr>
          <w:rFonts w:ascii="Verdana" w:hAnsi="Verdana"/>
          <w:b/>
          <w:caps/>
          <w:sz w:val="16"/>
          <w:szCs w:val="18"/>
        </w:rPr>
      </w:pPr>
    </w:p>
    <w:p>
      <w:pPr>
        <w:pStyle w:val="18"/>
        <w:tabs>
          <w:tab w:val="right" w:leader="dot" w:pos="9026"/>
        </w:tabs>
        <w:rPr>
          <w:color w:val="000000" w:themeColor="text1"/>
          <w14:textFill>
            <w14:solidFill>
              <w14:schemeClr w14:val="tx1"/>
            </w14:solidFill>
          </w14:textFill>
        </w:rPr>
      </w:pPr>
      <w:r>
        <w:rPr>
          <w:rStyle w:val="31"/>
          <w:rFonts w:cstheme="minorHAnsi"/>
          <w:bCs w:val="0"/>
          <w:caps w:val="0"/>
          <w:smallCaps/>
          <w:color w:val="000000" w:themeColor="text1"/>
          <w:szCs w:val="18"/>
          <w14:textFill>
            <w14:solidFill>
              <w14:schemeClr w14:val="tx1"/>
            </w14:solidFill>
          </w14:textFill>
        </w:rPr>
        <w:fldChar w:fldCharType="begin"/>
      </w:r>
      <w:r>
        <w:rPr>
          <w:rStyle w:val="31"/>
          <w:rFonts w:cstheme="minorHAnsi"/>
          <w:bCs w:val="0"/>
          <w:caps w:val="0"/>
          <w:smallCaps/>
          <w:color w:val="000000" w:themeColor="text1"/>
          <w:szCs w:val="18"/>
          <w14:textFill>
            <w14:solidFill>
              <w14:schemeClr w14:val="tx1"/>
            </w14:solidFill>
          </w14:textFill>
        </w:rPr>
        <w:instrText xml:space="preserve"> TOC \o "1-3" \u </w:instrText>
      </w:r>
      <w:r>
        <w:rPr>
          <w:rStyle w:val="31"/>
          <w:rFonts w:cstheme="minorHAnsi"/>
          <w:bCs w:val="0"/>
          <w:caps w:val="0"/>
          <w:smallCaps/>
          <w:color w:val="000000" w:themeColor="text1"/>
          <w:szCs w:val="18"/>
          <w14:textFill>
            <w14:solidFill>
              <w14:schemeClr w14:val="tx1"/>
            </w14:solidFill>
          </w14:textFill>
        </w:rPr>
        <w:fldChar w:fldCharType="separate"/>
      </w:r>
      <w:r>
        <w:rPr>
          <w:rFonts w:hint="default" w:ascii="Verdana" w:hAnsi="Verdana"/>
          <w:caps/>
          <w:color w:val="000000" w:themeColor="text1"/>
          <w14:textFill>
            <w14:solidFill>
              <w14:schemeClr w14:val="tx1"/>
            </w14:solidFill>
          </w14:textFill>
        </w:rPr>
        <w:t xml:space="preserve">1. </w:t>
      </w:r>
      <w:r>
        <w:rPr>
          <w:rFonts w:hint="eastAsia" w:eastAsia="宋体" w:cs="Arial"/>
          <w:bCs/>
          <w:color w:val="000000" w:themeColor="text1"/>
          <w:szCs w:val="20"/>
          <w:lang w:val="en-US" w:eastAsia="zh-CN"/>
          <w14:textFill>
            <w14:solidFill>
              <w14:schemeClr w14:val="tx1"/>
            </w14:solidFill>
          </w14:textFill>
        </w:rPr>
        <w:t>Background of sustainability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_Toc12649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w:t>
      </w:r>
      <w:r>
        <w:rPr>
          <w:color w:val="000000" w:themeColor="text1"/>
          <w14:textFill>
            <w14:solidFill>
              <w14:schemeClr w14:val="tx1"/>
            </w14:solidFill>
          </w14:textFill>
        </w:rPr>
        <w:fldChar w:fldCharType="end"/>
      </w:r>
    </w:p>
    <w:p>
      <w:pPr>
        <w:pStyle w:val="18"/>
        <w:tabs>
          <w:tab w:val="right" w:leader="dot" w:pos="9026"/>
        </w:tabs>
        <w:rPr>
          <w:color w:val="000000" w:themeColor="text1"/>
          <w14:textFill>
            <w14:solidFill>
              <w14:schemeClr w14:val="tx1"/>
            </w14:solidFill>
          </w14:textFill>
        </w:rPr>
      </w:pPr>
      <w:r>
        <w:rPr>
          <w:rFonts w:hint="default" w:ascii="Verdana" w:hAnsi="Verdana" w:cs="Arial"/>
          <w:caps/>
          <w:color w:val="000000" w:themeColor="text1"/>
          <w14:textFill>
            <w14:solidFill>
              <w14:schemeClr w14:val="tx1"/>
            </w14:solidFill>
          </w14:textFill>
        </w:rPr>
        <w:t xml:space="preserve">2. </w:t>
      </w:r>
      <w:r>
        <w:rPr>
          <w:rFonts w:hint="default" w:ascii="Arial" w:hAnsi="Arial" w:eastAsia="宋体" w:cs="Arial"/>
          <w:bCs/>
          <w:color w:val="000000" w:themeColor="text1"/>
          <w:szCs w:val="20"/>
          <w:lang w:val="en-US" w:eastAsia="zh-CN"/>
          <w14:textFill>
            <w14:solidFill>
              <w14:schemeClr w14:val="tx1"/>
            </w14:solidFill>
          </w14:textFill>
        </w:rPr>
        <w:t>GREEN MARKETING</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_Toc29941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w:t>
      </w:r>
      <w:r>
        <w:rPr>
          <w:color w:val="000000" w:themeColor="text1"/>
          <w14:textFill>
            <w14:solidFill>
              <w14:schemeClr w14:val="tx1"/>
            </w14:solidFill>
          </w14:textFill>
        </w:rPr>
        <w:fldChar w:fldCharType="end"/>
      </w:r>
    </w:p>
    <w:p>
      <w:pPr>
        <w:pStyle w:val="6"/>
        <w:tabs>
          <w:tab w:val="right" w:leader="dot" w:pos="9026"/>
          <w:tab w:val="clear" w:pos="880"/>
          <w:tab w:val="clear" w:pos="9016"/>
        </w:tabs>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pP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2.1 DEFINITION OF GREEN MARKETING</w: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ab/>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begin"/>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instrText xml:space="preserve"> PAGEREF _Toc4263 </w:instrTex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separate"/>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2</w: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end"/>
      </w:r>
    </w:p>
    <w:p>
      <w:pPr>
        <w:pStyle w:val="6"/>
        <w:tabs>
          <w:tab w:val="right" w:leader="dot" w:pos="9026"/>
          <w:tab w:val="clear" w:pos="880"/>
          <w:tab w:val="clear" w:pos="9016"/>
        </w:tabs>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pP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2.2 The necessity of implementing green marketing</w: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ab/>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begin"/>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instrText xml:space="preserve"> PAGEREF _Toc1151 </w:instrTex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separate"/>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2</w: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end"/>
      </w:r>
    </w:p>
    <w:p>
      <w:pPr>
        <w:pStyle w:val="6"/>
        <w:tabs>
          <w:tab w:val="right" w:leader="dot" w:pos="9026"/>
          <w:tab w:val="clear" w:pos="880"/>
          <w:tab w:val="clear" w:pos="9016"/>
        </w:tabs>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pP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2.3 GREEN MARKETING 4P strategy</w: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ab/>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begin"/>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instrText xml:space="preserve"> PAGEREF _Toc9820 </w:instrTex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separate"/>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t>4</w:t>
      </w:r>
      <w:r>
        <w:rPr>
          <w:rFonts w:hint="default" w:ascii="Arial" w:hAnsi="Arial" w:eastAsia="宋体" w:cs="Arial"/>
          <w:b/>
          <w:bCs/>
          <w:caps/>
          <w:smallCaps w:val="0"/>
          <w:color w:val="000000" w:themeColor="text1"/>
          <w:sz w:val="18"/>
          <w:szCs w:val="20"/>
          <w:lang w:val="en-US" w:eastAsia="zh-CN" w:bidi="ar-SA"/>
          <w14:textFill>
            <w14:solidFill>
              <w14:schemeClr w14:val="tx1"/>
            </w14:solidFill>
          </w14:textFill>
        </w:rPr>
        <w:fldChar w:fldCharType="end"/>
      </w:r>
    </w:p>
    <w:p>
      <w:pPr>
        <w:pStyle w:val="18"/>
        <w:tabs>
          <w:tab w:val="right" w:leader="dot" w:pos="9026"/>
        </w:tabs>
        <w:rPr>
          <w:color w:val="000000" w:themeColor="text1"/>
          <w14:textFill>
            <w14:solidFill>
              <w14:schemeClr w14:val="tx1"/>
            </w14:solidFill>
          </w14:textFill>
        </w:rPr>
      </w:pPr>
      <w:r>
        <w:rPr>
          <w:rFonts w:hint="default" w:ascii="Verdana" w:hAnsi="Verdana" w:eastAsia="Times New Roman" w:cs="Arial"/>
          <w:bCs/>
          <w:caps/>
          <w:color w:val="000000" w:themeColor="text1"/>
          <w:szCs w:val="20"/>
          <w14:textFill>
            <w14:solidFill>
              <w14:schemeClr w14:val="tx1"/>
            </w14:solidFill>
          </w14:textFill>
        </w:rPr>
        <w:t xml:space="preserve">3. </w:t>
      </w:r>
      <w:r>
        <w:rPr>
          <w:rFonts w:hint="eastAsia" w:eastAsia="宋体" w:cs="Arial"/>
          <w:bCs/>
          <w:color w:val="000000" w:themeColor="text1"/>
          <w:szCs w:val="20"/>
          <w:lang w:val="en-US" w:eastAsia="zh-CN"/>
          <w14:textFill>
            <w14:solidFill>
              <w14:schemeClr w14:val="tx1"/>
            </w14:solidFill>
          </w14:textFill>
        </w:rPr>
        <w:t>Case study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_Toc4617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p>
    <w:p>
      <w:pPr>
        <w:pStyle w:val="18"/>
        <w:tabs>
          <w:tab w:val="right" w:leader="dot" w:pos="9026"/>
        </w:tabs>
        <w:rPr>
          <w:color w:val="000000" w:themeColor="text1"/>
          <w14:textFill>
            <w14:solidFill>
              <w14:schemeClr w14:val="tx1"/>
            </w14:solidFill>
          </w14:textFill>
        </w:rPr>
      </w:pPr>
      <w:r>
        <w:rPr>
          <w:rFonts w:hint="default" w:ascii="Verdana" w:hAnsi="Verdana" w:eastAsia="Times New Roman" w:cs="Arial"/>
          <w:bCs/>
          <w:caps/>
          <w:color w:val="000000" w:themeColor="text1"/>
          <w:szCs w:val="20"/>
          <w14:textFill>
            <w14:solidFill>
              <w14:schemeClr w14:val="tx1"/>
            </w14:solidFill>
          </w14:textFill>
        </w:rPr>
        <w:t xml:space="preserve">4. </w:t>
      </w:r>
      <w:r>
        <w:rPr>
          <w:rFonts w:eastAsia="Times New Roman" w:cs="Arial"/>
          <w:bCs/>
          <w:color w:val="000000" w:themeColor="text1"/>
          <w:szCs w:val="20"/>
          <w14:textFill>
            <w14:solidFill>
              <w14:schemeClr w14:val="tx1"/>
            </w14:solidFill>
          </w14:textFill>
        </w:rPr>
        <w:t>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_Toc16098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8</w:t>
      </w:r>
      <w:r>
        <w:rPr>
          <w:color w:val="000000" w:themeColor="text1"/>
          <w14:textFill>
            <w14:solidFill>
              <w14:schemeClr w14:val="tx1"/>
            </w14:solidFill>
          </w14:textFill>
        </w:rPr>
        <w:fldChar w:fldCharType="end"/>
      </w:r>
    </w:p>
    <w:p>
      <w:pPr>
        <w:pStyle w:val="18"/>
        <w:tabs>
          <w:tab w:val="right" w:leader="dot" w:pos="9026"/>
        </w:tabs>
        <w:rPr>
          <w:color w:val="000000" w:themeColor="text1"/>
          <w14:textFill>
            <w14:solidFill>
              <w14:schemeClr w14:val="tx1"/>
            </w14:solidFill>
          </w14:textFill>
        </w:rPr>
      </w:pPr>
      <w:r>
        <w:rPr>
          <w:rFonts w:hint="default" w:ascii="Verdana" w:hAnsi="Verdana"/>
          <w:caps/>
          <w:color w:val="000000" w:themeColor="text1"/>
          <w14:textFill>
            <w14:solidFill>
              <w14:schemeClr w14:val="tx1"/>
            </w14:solidFill>
          </w14:textFill>
        </w:rPr>
        <w:t xml:space="preserve">5. </w:t>
      </w:r>
      <w:r>
        <w:rPr>
          <w:rFonts w:eastAsia="Times New Roman" w:cs="Arial"/>
          <w:bCs/>
          <w:color w:val="000000" w:themeColor="text1"/>
          <w:szCs w:val="20"/>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_Toc29344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p>
    <w:p>
      <w:pPr>
        <w:pStyle w:val="21"/>
        <w:tabs>
          <w:tab w:val="right" w:leader="dot" w:pos="9016"/>
        </w:tabs>
        <w:spacing w:line="480" w:lineRule="auto"/>
        <w:rPr>
          <w:rFonts w:ascii="Verdana" w:hAnsi="Verdana"/>
          <w:sz w:val="18"/>
          <w:szCs w:val="18"/>
        </w:rPr>
      </w:pPr>
      <w:r>
        <w:rPr>
          <w:rFonts w:ascii="Verdana" w:hAnsi="Verdana" w:cstheme="minorHAnsi"/>
          <w:bCs/>
          <w:caps/>
          <w:smallCaps w:val="0"/>
          <w:color w:val="000000" w:themeColor="text1"/>
          <w:szCs w:val="18"/>
          <w14:textFill>
            <w14:solidFill>
              <w14:schemeClr w14:val="tx1"/>
            </w14:solidFill>
          </w14:textFill>
        </w:rPr>
        <w:fldChar w:fldCharType="end"/>
      </w:r>
    </w:p>
    <w:p>
      <w:pPr>
        <w:autoSpaceDE/>
        <w:autoSpaceDN/>
        <w:adjustRightInd/>
        <w:spacing w:after="160" w:line="259" w:lineRule="auto"/>
        <w:rPr>
          <w:rFonts w:eastAsia="Times New Roman" w:cs="Arial"/>
          <w:bCs/>
          <w:szCs w:val="20"/>
        </w:rPr>
        <w:sectPr>
          <w:footerReference r:id="rId6" w:type="first"/>
          <w:pgSz w:w="11906" w:h="16838"/>
          <w:pgMar w:top="1440" w:right="1440" w:bottom="1440" w:left="1440" w:header="708" w:footer="708" w:gutter="0"/>
          <w:cols w:space="708" w:num="1"/>
          <w:docGrid w:linePitch="360" w:charSpace="0"/>
        </w:sectPr>
      </w:pPr>
      <w:r>
        <w:rPr>
          <w:rFonts w:ascii="Verdana" w:hAnsi="Verdana"/>
          <w:b/>
          <w:caps/>
          <w:sz w:val="16"/>
          <w:szCs w:val="18"/>
        </w:rPr>
        <w:br w:type="page"/>
      </w:r>
      <w:bookmarkStart w:id="0" w:name="_Toc419303684"/>
      <w:bookmarkStart w:id="10" w:name="_GoBack"/>
      <w:bookmarkEnd w:id="10"/>
    </w:p>
    <w:p>
      <w:pPr>
        <w:pStyle w:val="2"/>
        <w:keepNext/>
        <w:numPr>
          <w:ilvl w:val="0"/>
          <w:numId w:val="2"/>
        </w:numPr>
        <w:tabs>
          <w:tab w:val="left" w:pos="0"/>
        </w:tabs>
        <w:spacing w:after="0" w:line="480" w:lineRule="auto"/>
        <w:ind w:left="851" w:hanging="851"/>
        <w:contextualSpacing w:val="0"/>
      </w:pPr>
      <w:bookmarkStart w:id="1" w:name="_Toc12649"/>
      <w:r>
        <w:rPr>
          <w:rFonts w:hint="eastAsia" w:eastAsia="宋体" w:cs="Arial"/>
          <w:bCs/>
          <w:szCs w:val="20"/>
          <w:lang w:val="en-US" w:eastAsia="zh-CN"/>
        </w:rPr>
        <w:t>Background of sustainability</w:t>
      </w:r>
      <w:bookmarkEnd w:id="1"/>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 xml:space="preserve">Sustainability has been a hot topic since the 19th century.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In the early stages of development, countries have made the environment a victim of rapid economic development. Therefore, the Rio de Janeiro</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 xml:space="preserve">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  Declaration stated that “for sustainable development, environmental protection should be an integral part of the development process and should not be considered separately from this process”</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(Handl,G.2012)</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 Sustainable development attaches great importance to environmental protection and regards environmental protection as one of the most basic goals for its active pursuit and realization. </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Different genres have different perspectives on the definition of sustainability. Define sustainability from an ecological perspective</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Morelli,J.2011</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 In November 1991, Intecol and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I</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ubs presented at a joint seminar on sustainable development that sustainability refers to the ability to protect and enhance the production and renewal of environmental systems</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(Luo,B.,&amp; Liu,X.2017)</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 xml:space="preserve">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From an economic perspective, Edwand b. Bill defines sustainable development as “maximizing the net benefits of economic development while maintaining the quality of natural resources and the services they provide”</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(Barbier,E.B.2013)</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cs="Arial"/>
          <w:b w:val="0"/>
          <w:bCs/>
          <w:color w:val="000000" w:themeColor="text1"/>
          <w:sz w:val="24"/>
          <w:szCs w:val="24"/>
          <w:lang w:val="en-US" w:eastAsia="zh-CN" w:bidi="ar-SA"/>
          <w14:textFill>
            <w14:solidFill>
              <w14:schemeClr w14:val="tx1"/>
            </w14:solidFill>
          </w14:textFill>
        </w:rPr>
        <w:t>T</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he economic development in this process </w:t>
      </w:r>
      <w:r>
        <w:rPr>
          <w:rFonts w:hint="eastAsia" w:ascii="Arial" w:hAnsi="Arial" w:cs="Arial"/>
          <w:b w:val="0"/>
          <w:bCs/>
          <w:color w:val="000000" w:themeColor="text1"/>
          <w:sz w:val="24"/>
          <w:szCs w:val="24"/>
          <w:lang w:val="en-US" w:eastAsia="zh-CN" w:bidi="ar-SA"/>
          <w14:textFill>
            <w14:solidFill>
              <w14:schemeClr w14:val="tx1"/>
            </w14:solidFill>
          </w14:textFill>
        </w:rPr>
        <w:t xml:space="preserve">definitely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has long abandoned the traditional development model at the expense of resources and the environment, but “economic development without reducing environmental quality and undermining the world's natural resource base”</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(Barbier,E.B.2013)</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From a social perspective, sustainability is defined as “improving the quality of human life without exceeding the capacity to sustain ecosystems”</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(Holdgate, M.W.1991)</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Countries can set different development goals according to their national conditions. However, its content must include improving human health, improving the quality of human life and access to voluntary means, and creating an environment that preserves people’s equality, freedom and human rights. This is the real development.</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0" w:leftChars="0" w:firstLine="0" w:firstLineChars="0"/>
        <w:textAlignment w:val="auto"/>
        <w:rPr>
          <w:rFonts w:hint="default" w:ascii="Arial" w:hAnsi="Arial" w:cs="Arial"/>
          <w:b w:val="0"/>
          <w:bCs/>
          <w:color w:val="FF0000"/>
          <w:sz w:val="24"/>
          <w:szCs w:val="24"/>
          <w:lang w:val="en-US" w:eastAsia="zh-CN"/>
        </w:rPr>
      </w:pPr>
    </w:p>
    <w:bookmarkEnd w:id="0"/>
    <w:p>
      <w:pPr>
        <w:pStyle w:val="2"/>
        <w:keepNext/>
        <w:numPr>
          <w:ilvl w:val="0"/>
          <w:numId w:val="2"/>
        </w:numPr>
        <w:tabs>
          <w:tab w:val="left" w:pos="0"/>
        </w:tabs>
        <w:spacing w:after="0" w:line="480" w:lineRule="auto"/>
        <w:ind w:left="851" w:hanging="851"/>
        <w:contextualSpacing w:val="0"/>
        <w:rPr>
          <w:rFonts w:hint="default" w:ascii="Arial" w:hAnsi="Arial" w:cs="Arial"/>
        </w:rPr>
      </w:pPr>
      <w:bookmarkStart w:id="2" w:name="_Toc29941"/>
      <w:r>
        <w:rPr>
          <w:rFonts w:hint="default" w:ascii="Arial" w:hAnsi="Arial" w:eastAsia="宋体" w:cs="Arial"/>
          <w:bCs/>
          <w:szCs w:val="20"/>
          <w:lang w:val="en-US" w:eastAsia="zh-CN"/>
        </w:rPr>
        <w:t>GREEN MARKETING</w:t>
      </w:r>
      <w:bookmarkEnd w:id="2"/>
    </w:p>
    <w:p>
      <w:pPr>
        <w:pStyle w:val="4"/>
        <w:keepNext/>
        <w:numPr>
          <w:ilvl w:val="1"/>
          <w:numId w:val="2"/>
        </w:numPr>
        <w:tabs>
          <w:tab w:val="left" w:pos="0"/>
        </w:tabs>
        <w:spacing w:after="0" w:line="480" w:lineRule="auto"/>
        <w:ind w:left="0" w:firstLine="0"/>
        <w:contextualSpacing w:val="0"/>
        <w:rPr>
          <w:rFonts w:hint="default" w:ascii="Arial" w:hAnsi="Arial" w:cs="Arial"/>
          <w:sz w:val="24"/>
          <w:szCs w:val="24"/>
        </w:rPr>
      </w:pPr>
      <w:bookmarkStart w:id="3" w:name="_Toc4263"/>
      <w:r>
        <w:rPr>
          <w:rFonts w:hint="default" w:ascii="Arial" w:hAnsi="Arial" w:eastAsia="宋体" w:cs="Arial"/>
          <w:bCs/>
          <w:iCs/>
          <w:sz w:val="24"/>
          <w:szCs w:val="24"/>
          <w:lang w:val="en-US" w:eastAsia="zh-CN"/>
        </w:rPr>
        <w:t>DEFINITION OF GREEN MARKETING</w:t>
      </w:r>
      <w:bookmarkEnd w:id="3"/>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Since the 19th century, many experts and scholars have defined green marketing. </w:t>
      </w:r>
      <w:r>
        <w:rPr>
          <w:rFonts w:hint="eastAsia" w:ascii="Arial" w:hAnsi="Arial" w:cs="Arial"/>
          <w:b w:val="0"/>
          <w:bCs/>
          <w:color w:val="000000" w:themeColor="text1"/>
          <w:sz w:val="24"/>
          <w:szCs w:val="24"/>
          <w:lang w:val="en-US" w:eastAsia="zh-CN" w:bidi="ar-SA"/>
          <w14:textFill>
            <w14:solidFill>
              <w14:schemeClr w14:val="tx1"/>
            </w14:solidFill>
          </w14:textFill>
        </w:rPr>
        <w:t>Polonsky</w:t>
      </w:r>
      <w:r>
        <w:rPr>
          <w:rFonts w:hint="default" w:ascii="Arial" w:hAnsi="Arial" w:cs="Arial"/>
          <w:b w:val="0"/>
          <w:bCs/>
          <w:color w:val="000000" w:themeColor="text1"/>
          <w:sz w:val="24"/>
          <w:szCs w:val="24"/>
          <w:lang w:val="en-US" w:eastAsia="zh-CN" w:bidi="ar-SA"/>
          <w14:textFill>
            <w14:solidFill>
              <w14:schemeClr w14:val="tx1"/>
            </w14:solidFill>
          </w14:textFill>
        </w:rPr>
        <w:t>’</w:t>
      </w:r>
      <w:r>
        <w:rPr>
          <w:rFonts w:hint="eastAsia" w:ascii="Arial" w:hAnsi="Arial" w:cs="Arial"/>
          <w:b w:val="0"/>
          <w:bCs/>
          <w:color w:val="000000" w:themeColor="text1"/>
          <w:sz w:val="24"/>
          <w:szCs w:val="24"/>
          <w:lang w:val="en-US" w:eastAsia="zh-CN" w:bidi="ar-SA"/>
          <w14:textFill>
            <w14:solidFill>
              <w14:schemeClr w14:val="tx1"/>
            </w14:solidFill>
          </w14:textFill>
        </w:rPr>
        <w:t xml:space="preserve">s definition is </w:t>
      </w:r>
      <w:r>
        <w:rPr>
          <w:rFonts w:hint="default" w:ascii="Arial" w:hAnsi="Arial" w:cs="Arial"/>
          <w:b w:val="0"/>
          <w:bCs/>
          <w:color w:val="000000" w:themeColor="text1"/>
          <w:sz w:val="24"/>
          <w:szCs w:val="24"/>
          <w:lang w:val="en-US" w:eastAsia="zh-CN" w:bidi="ar-SA"/>
          <w14:textFill>
            <w14:solidFill>
              <w14:schemeClr w14:val="tx1"/>
            </w14:solidFill>
          </w14:textFill>
        </w:rPr>
        <w:t>“</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Green or Environmental Marketing consists of all activities designed to generate and facilitate any exchanges intended to satisfy human needs or wants, such that the satisfaction of these needs and wants occurs, with minimal detrimental impact on the natural environment</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default" w:ascii="Arial" w:hAnsi="Arial" w:cs="Arial"/>
          <w:b w:val="0"/>
          <w:bCs/>
          <w:color w:val="000000" w:themeColor="text1"/>
          <w:sz w:val="24"/>
          <w:szCs w:val="24"/>
          <w:lang w:val="en-US" w:eastAsia="zh-CN" w:bidi="ar-SA"/>
          <w14:textFill>
            <w14:solidFill>
              <w14:schemeClr w14:val="tx1"/>
            </w14:solidFill>
          </w14:textFill>
        </w:rPr>
        <w:t>”</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(Polonsky,M.1994).</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Ken Peattie pointed out that green marketing is a kind of management process that can achieve sustainable management while gaining economic benefits</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(Peattie, K.2001)</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It can identify and predict consumption demand that meets social development, and it is an important engine for enterprises and society to achieve sustainable development. From the essence, green marketing is a marketing activity for the realization of the enterprise's goal, which takes the concept of environmental protection as its philosophy of operation, green consumption as its starting point, green culture as its value, and satisfies the consumers' green consumption demand. Green marketing not only requires enterprises to optimize the allocation of tangible and intangible resources such as employees, assets and commodities, thus generating economic transactions, but also requires enterprises to put social and ecological benefits to the most important position, thus generating green ecological benefits.</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xml:space="preserve">Green marketing is not a means to induce customers' consumption, nor a "beauty salon" for enterprises to shape public image. It is a process of guiding sustainable development and sustainable operation. Its ultimate purpose is to obtain business opportunities in the process of resolving environmental crisis, to achieve corporate profits and consumer satisfaction, and to achieve harmony between adults and nature, coexistence and common prosperity.        </w:t>
      </w:r>
    </w:p>
    <w:p>
      <w:pPr>
        <w:pStyle w:val="9"/>
        <w:spacing w:line="480" w:lineRule="auto"/>
      </w:pPr>
    </w:p>
    <w:p>
      <w:pPr>
        <w:pStyle w:val="4"/>
        <w:keepNext/>
        <w:keepLines w:val="0"/>
        <w:pageBreakBefore w:val="0"/>
        <w:widowControl/>
        <w:numPr>
          <w:ilvl w:val="1"/>
          <w:numId w:val="2"/>
        </w:numPr>
        <w:tabs>
          <w:tab w:val="left" w:pos="0"/>
        </w:tabs>
        <w:kinsoku/>
        <w:wordWrap/>
        <w:overflowPunct/>
        <w:topLinePunct w:val="0"/>
        <w:autoSpaceDE w:val="0"/>
        <w:autoSpaceDN w:val="0"/>
        <w:bidi w:val="0"/>
        <w:adjustRightInd w:val="0"/>
        <w:snapToGrid/>
        <w:spacing w:after="0" w:line="360" w:lineRule="auto"/>
        <w:ind w:left="0" w:firstLine="0"/>
        <w:contextualSpacing w:val="0"/>
        <w:textAlignment w:val="auto"/>
        <w:rPr>
          <w:rFonts w:hint="default" w:ascii="Arial" w:hAnsi="Arial" w:eastAsia="Times New Roman" w:cs="Arial"/>
          <w:bCs/>
          <w:iCs/>
          <w:sz w:val="24"/>
          <w:szCs w:val="24"/>
        </w:rPr>
      </w:pPr>
      <w:bookmarkStart w:id="4" w:name="_Toc1151"/>
      <w:r>
        <w:rPr>
          <w:rFonts w:hint="default" w:ascii="Arial" w:hAnsi="Arial" w:eastAsia="宋体" w:cs="Arial"/>
          <w:bCs/>
          <w:iCs/>
          <w:sz w:val="24"/>
          <w:szCs w:val="24"/>
          <w:lang w:val="en-US" w:eastAsia="zh-CN"/>
        </w:rPr>
        <w:t>The necessity of implementing green marketing</w:t>
      </w:r>
      <w:bookmarkEnd w:id="4"/>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cs="Arial"/>
          <w:b/>
          <w:bCs w:val="0"/>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bCs w:val="0"/>
          <w:color w:val="000000" w:themeColor="text1"/>
          <w:sz w:val="24"/>
          <w:szCs w:val="24"/>
          <w:lang w:val="en-US" w:eastAsia="zh-CN" w:bidi="ar-SA"/>
          <w14:textFill>
            <w14:solidFill>
              <w14:schemeClr w14:val="tx1"/>
            </w14:solidFill>
          </w14:textFill>
        </w:rPr>
      </w:pPr>
      <w:r>
        <w:rPr>
          <w:rFonts w:hint="eastAsia" w:ascii="Arial" w:hAnsi="Arial" w:cs="Arial"/>
          <w:b/>
          <w:bCs w:val="0"/>
          <w:color w:val="000000" w:themeColor="text1"/>
          <w:sz w:val="24"/>
          <w:szCs w:val="24"/>
          <w:lang w:val="en-US" w:eastAsia="zh-CN" w:bidi="ar-SA"/>
          <w14:textFill>
            <w14:solidFill>
              <w14:schemeClr w14:val="tx1"/>
            </w14:solidFill>
          </w14:textFill>
        </w:rPr>
        <w:t>P</w:t>
      </w:r>
      <w:r>
        <w:rPr>
          <w:rFonts w:hint="default" w:ascii="Arial" w:hAnsi="Arial" w:eastAsia="Times New Roman" w:cs="Arial"/>
          <w:b/>
          <w:bCs w:val="0"/>
          <w:color w:val="000000" w:themeColor="text1"/>
          <w:sz w:val="24"/>
          <w:szCs w:val="24"/>
          <w:lang w:val="en-US" w:eastAsia="zh-CN" w:bidi="ar-SA"/>
          <w14:textFill>
            <w14:solidFill>
              <w14:schemeClr w14:val="tx1"/>
            </w14:solidFill>
          </w14:textFill>
        </w:rPr>
        <w:t>romote sustainable development</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Green marketing and sustainable development are interrelated. Although the goal of both is to make rational use of resources, effectively protect the environment and ensure the permanent and sustainable development of social economy. But they are different in the scope of hierarchy. From the perspective of system theory, sustainable development is a large system in which green marketing is an important subsystem. Green marketing is important because the goals of sustainable development are mainly achieved by green marketing. From the point of view of consumers, the development of green marketing is conducive to the cultivation of consumers' concept of environmental protection. Through green marketing, consumers are encouraged to consciously participate in the industry of maintaining ecological environment, reducing resource consumption and environmental pollution, thus forming the public awareness of environmental protection and social ethics. The strengthening of environmental protection concept of consumers directly promotes the process of sustainable development</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Gumeni,A.,&amp; Gorica,K.2014</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For example, people use degradable tableware to reduce white pollution. The appearance of a large number of green food has promoted the formation of green consumption consciousness. The appearance of green freezer raised the quality of green life. From the perspective of resources, green marketing reduces resource consumption. Previous marketing did not pay attention to control the use of resources in production, which consumed a lot of material and financial resources. More and more facts show that only by developing clean technology, clean production and producing green products can we build a conservation economy</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Garg,A.2015</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Therefore, green marketing is the necessary prerequisite and condition to achieve sustainable development and the key link to achieve sustainable development. The development of green marketing affects the success or failure of sustainable development to some extent.</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eastAsia="Times New Roman" w:cs="Arial"/>
          <w:b/>
          <w:bCs w:val="0"/>
          <w:color w:val="000000" w:themeColor="text1"/>
          <w:sz w:val="24"/>
          <w:szCs w:val="24"/>
          <w:lang w:val="en-US" w:eastAsia="zh-CN" w:bidi="ar-SA"/>
          <w14:textFill>
            <w14:solidFill>
              <w14:schemeClr w14:val="tx1"/>
            </w14:solidFill>
          </w14:textFill>
        </w:rPr>
      </w:pPr>
      <w:r>
        <w:rPr>
          <w:rFonts w:hint="eastAsia" w:ascii="Arial" w:hAnsi="Arial" w:cs="Arial"/>
          <w:b/>
          <w:bCs w:val="0"/>
          <w:color w:val="000000" w:themeColor="text1"/>
          <w:sz w:val="24"/>
          <w:szCs w:val="24"/>
          <w:lang w:val="en-US" w:eastAsia="zh-CN" w:bidi="ar-SA"/>
          <w14:textFill>
            <w14:solidFill>
              <w14:schemeClr w14:val="tx1"/>
            </w14:solidFill>
          </w14:textFill>
        </w:rPr>
        <w:t>E</w:t>
      </w:r>
      <w:r>
        <w:rPr>
          <w:rFonts w:hint="eastAsia" w:ascii="Arial" w:hAnsi="Arial" w:eastAsia="Times New Roman" w:cs="Arial"/>
          <w:b/>
          <w:bCs w:val="0"/>
          <w:color w:val="000000" w:themeColor="text1"/>
          <w:sz w:val="24"/>
          <w:szCs w:val="24"/>
          <w:lang w:val="en-US" w:eastAsia="zh-CN" w:bidi="ar-SA"/>
          <w14:textFill>
            <w14:solidFill>
              <w14:schemeClr w14:val="tx1"/>
            </w14:solidFill>
          </w14:textFill>
        </w:rPr>
        <w:t>nhance competitive advantage</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When implementing green marketing management strategy, enterprises will reduce consumption and recycle material resources through scientific and technological means to achieve green production, which can not only achieve social and ecological benefits, but also promote sustainable development of enterprises and improve their core competitiveness</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Moravcikova et al., 2017</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First of all, when implementing the green marketing management strategy, the enterprise will strengthen publicity and education to make employees have a deep understanding of the concept of green marketing and be recognized, which is of great help to the cultivation of corporate culture and can enhance the cohesion of the enterprise. Secondly, in order to obtain greater economic benefits, the enterprise in the process of manufacture of green products, is bound to enhance the level of science and technology and labor productivity, in order to further processing and recycling of products, reduce consumption of material resources in the process of production at the same time, make the enterprise profit at the same time, save resources, protect the environment, enhance the market competitiveness. Moreover, in order to gain competitive advantage, enterprises will choose green marketing mix, such as developing green products, formulating green price and applying green logistics. By reducing production costs and establishing the overall image of the brand and the enterprise, it can also increase consumer loyalty and further enhance the competitive advantage of the enterprise</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Arseculeratne, D., &amp; Yazdanifard, R. 2014</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4"/>
        <w:keepNext/>
        <w:keepLines w:val="0"/>
        <w:pageBreakBefore w:val="0"/>
        <w:widowControl/>
        <w:numPr>
          <w:ilvl w:val="1"/>
          <w:numId w:val="2"/>
        </w:numPr>
        <w:tabs>
          <w:tab w:val="left" w:pos="0"/>
        </w:tabs>
        <w:kinsoku/>
        <w:wordWrap/>
        <w:overflowPunct/>
        <w:topLinePunct w:val="0"/>
        <w:autoSpaceDE w:val="0"/>
        <w:autoSpaceDN w:val="0"/>
        <w:bidi w:val="0"/>
        <w:adjustRightInd w:val="0"/>
        <w:snapToGrid/>
        <w:spacing w:after="0" w:line="360" w:lineRule="auto"/>
        <w:ind w:left="0" w:firstLine="0"/>
        <w:contextualSpacing w:val="0"/>
        <w:textAlignment w:val="auto"/>
        <w:rPr>
          <w:rFonts w:hint="default"/>
          <w:lang w:val="en-US" w:eastAsia="zh-CN"/>
        </w:rPr>
      </w:pPr>
      <w:bookmarkStart w:id="5" w:name="_Toc9820"/>
      <w:r>
        <w:rPr>
          <w:rFonts w:hint="default" w:ascii="Arial" w:hAnsi="Arial" w:eastAsia="宋体" w:cs="Arial"/>
          <w:bCs/>
          <w:iCs/>
          <w:sz w:val="24"/>
          <w:szCs w:val="24"/>
          <w:lang w:val="en-US" w:eastAsia="zh-CN"/>
        </w:rPr>
        <w:t>GREEN MARKETING 4P strategy</w:t>
      </w:r>
      <w:bookmarkEnd w:id="5"/>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cs="Arial"/>
          <w:b/>
          <w:bCs w:val="0"/>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bCs w:val="0"/>
          <w:color w:val="000000" w:themeColor="text1"/>
          <w:sz w:val="24"/>
          <w:szCs w:val="24"/>
          <w:lang w:val="en-US" w:eastAsia="zh-CN" w:bidi="ar-SA"/>
          <w14:textFill>
            <w14:solidFill>
              <w14:schemeClr w14:val="tx1"/>
            </w14:solidFill>
          </w14:textFill>
        </w:rPr>
      </w:pPr>
      <w:r>
        <w:rPr>
          <w:rFonts w:hint="eastAsia" w:ascii="Arial" w:hAnsi="Arial" w:cs="Arial"/>
          <w:b/>
          <w:bCs w:val="0"/>
          <w:color w:val="000000" w:themeColor="text1"/>
          <w:sz w:val="24"/>
          <w:szCs w:val="24"/>
          <w:lang w:val="en-US" w:eastAsia="zh-CN" w:bidi="ar-SA"/>
          <w14:textFill>
            <w14:solidFill>
              <w14:schemeClr w14:val="tx1"/>
            </w14:solidFill>
          </w14:textFill>
        </w:rPr>
        <w:t>Green products</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Green products are the foundation and key to a green marketing mix. Marketing specialists should quickly capture green information in the intelligence information network, analyze green market trends and green consumption trends, and provide a basis for the development and marketing of green products. When designing green products, companies need to fully consider the requirements of environmental protection and design products that benefit the environment, consumers and society as much as possible. Such products, whether from production materials or packaging materials, should use renewable resources to reduce environmental pollution</w:t>
      </w:r>
      <w:r>
        <w:rPr>
          <w:rFonts w:hint="eastAsia" w:ascii="Arial" w:hAnsi="Arial" w:cs="Arial"/>
          <w:b w:val="0"/>
          <w:bCs/>
          <w:color w:val="000000" w:themeColor="text1"/>
          <w:sz w:val="24"/>
          <w:szCs w:val="24"/>
          <w:lang w:val="en-US" w:eastAsia="zh-CN" w:bidi="ar-SA"/>
          <w14:textFill>
            <w14:solidFill>
              <w14:schemeClr w14:val="tx1"/>
            </w14:solidFill>
          </w14:textFill>
        </w:rPr>
        <w:t xml:space="preserve"> (Arseculeratne and Yazdanifard, 2014)</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 And packaging is designed to be simple and avoid over-packaging.</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cs="Arial"/>
          <w:b/>
          <w:bCs w:val="0"/>
          <w:color w:val="000000" w:themeColor="text1"/>
          <w:sz w:val="24"/>
          <w:szCs w:val="24"/>
          <w:lang w:val="en-US" w:eastAsia="zh-CN" w:bidi="ar-SA"/>
          <w14:textFill>
            <w14:solidFill>
              <w14:schemeClr w14:val="tx1"/>
            </w14:solidFill>
          </w14:textFill>
        </w:rPr>
      </w:pPr>
      <w:r>
        <w:rPr>
          <w:rFonts w:hint="eastAsia" w:ascii="Arial" w:hAnsi="Arial" w:cs="Arial"/>
          <w:b/>
          <w:bCs w:val="0"/>
          <w:color w:val="000000" w:themeColor="text1"/>
          <w:sz w:val="24"/>
          <w:szCs w:val="24"/>
          <w:lang w:val="en-US" w:eastAsia="zh-CN" w:bidi="ar-SA"/>
          <w14:textFill>
            <w14:solidFill>
              <w14:schemeClr w14:val="tx1"/>
            </w14:solidFill>
          </w14:textFill>
        </w:rPr>
        <w:t>Green price</w:t>
      </w:r>
    </w:p>
    <w:p>
      <w:pPr>
        <w:pStyle w:val="9"/>
        <w:bidi w:val="0"/>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r>
        <w:rPr>
          <w:rFonts w:hint="default" w:ascii="Arial" w:hAnsi="Arial" w:cs="Arial"/>
          <w:sz w:val="24"/>
          <w:szCs w:val="24"/>
          <w:lang w:val="en-US" w:eastAsia="zh-CN"/>
        </w:rPr>
        <w:t>The same green products have different characteristics, and the green consumption effect provided to consumers is not the same. Green product manufacturers must choose the right pricing strategy based on the different characteristics of various green products and set a reasonable green price</w:t>
      </w:r>
      <w:r>
        <w:rPr>
          <w:rFonts w:hint="eastAsia" w:ascii="Arial" w:hAnsi="Arial" w:cs="Arial"/>
          <w:sz w:val="24"/>
          <w:szCs w:val="24"/>
          <w:lang w:val="en-US" w:eastAsia="zh-CN"/>
        </w:rPr>
        <w:t xml:space="preserve"> </w:t>
      </w:r>
      <w:r>
        <w:rPr>
          <w:rFonts w:hint="default" w:ascii="Arial" w:hAnsi="Arial" w:cs="Arial"/>
          <w:sz w:val="24"/>
          <w:szCs w:val="24"/>
          <w:lang w:val="en-US" w:eastAsia="zh-CN"/>
        </w:rPr>
        <w:t>(</w:t>
      </w:r>
      <w:r>
        <w:rPr>
          <w:rFonts w:hint="eastAsia" w:ascii="Arial" w:hAnsi="Arial" w:cs="Arial"/>
          <w:sz w:val="24"/>
          <w:szCs w:val="24"/>
          <w:lang w:val="en-US" w:eastAsia="zh-CN"/>
        </w:rPr>
        <w:t>Daojing.L,2010</w:t>
      </w:r>
      <w:r>
        <w:rPr>
          <w:rFonts w:hint="default" w:ascii="Arial" w:hAnsi="Arial" w:cs="Arial"/>
          <w:sz w:val="24"/>
          <w:szCs w:val="24"/>
          <w:lang w:val="en-US" w:eastAsia="zh-CN"/>
        </w:rPr>
        <w:t xml:space="preserve">).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First of all, for healthy green products, because it is directly related to the safety, health and even life of consumers, most consumers are willing to pay more for such green products. Therefore, companies can appropriately increase the price of such green products. Second, for environmentally friendly green products, the impact of green consumption is indirect and often external. Customers are not willing to pay more for them. Therefore, the pricing of such green products should be slightly higher than that of similar products. It can not only reflect the high-quality characteristics of green products, but also establish a green corporate image to meet the green needs of consumers without causing excessive burden on consumers.</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cs="Arial"/>
          <w:b/>
          <w:bCs w:val="0"/>
          <w:color w:val="000000" w:themeColor="text1"/>
          <w:sz w:val="24"/>
          <w:szCs w:val="24"/>
          <w:lang w:val="en-US" w:eastAsia="zh-CN" w:bidi="ar-SA"/>
          <w14:textFill>
            <w14:solidFill>
              <w14:schemeClr w14:val="tx1"/>
            </w14:solidFill>
          </w14:textFill>
        </w:rPr>
      </w:pPr>
      <w:r>
        <w:rPr>
          <w:rFonts w:hint="eastAsia" w:ascii="Arial" w:hAnsi="Arial" w:cs="Arial"/>
          <w:b/>
          <w:bCs w:val="0"/>
          <w:color w:val="000000" w:themeColor="text1"/>
          <w:sz w:val="24"/>
          <w:szCs w:val="24"/>
          <w:lang w:val="en-US" w:eastAsia="zh-CN" w:bidi="ar-SA"/>
          <w14:textFill>
            <w14:solidFill>
              <w14:schemeClr w14:val="tx1"/>
            </w14:solidFill>
          </w14:textFill>
        </w:rPr>
        <w:t>Green place</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eastAsia="Times New Roman" w:cs="Arial"/>
          <w:b w:val="0"/>
          <w:bCs/>
          <w:color w:val="000000" w:themeColor="text1"/>
          <w:sz w:val="24"/>
          <w:szCs w:val="24"/>
          <w:lang w:val="en-US" w:eastAsia="zh-CN" w:bidi="ar-SA"/>
          <w14:textFill>
            <w14:solidFill>
              <w14:schemeClr w14:val="tx1"/>
            </w14:solidFill>
          </w14:textFill>
        </w:rPr>
      </w:pP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When choosing distribution channels, enterprises should choose middlemen who care about the environment, serve the society enthusiastically and have good green reputation in the hearts of consumers. Promote green products and enhance the image of green products with the green reputation of middlemen. At the same time, for some large enterprises, they would better to establish their own green distribution system. Because it directly faces consumers and has complete control over distribution channels, it can minimize the secondary pollution and loss of social resources in the distribution process. In addition, the establishment of green distribution center and the use of energy-saving means of transport can ensure the green circulation of products</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Jiyue.L,&amp; Deli.X,2010</w:t>
      </w:r>
      <w:r>
        <w:rPr>
          <w:rFonts w:hint="eastAsia" w:ascii="Arial" w:hAnsi="Arial" w:cs="Arial"/>
          <w:b w:val="0"/>
          <w:bCs/>
          <w:color w:val="000000" w:themeColor="text1"/>
          <w:sz w:val="24"/>
          <w:szCs w:val="24"/>
          <w:lang w:val="en-US" w:eastAsia="zh-CN" w:bidi="ar-SA"/>
          <w14:textFill>
            <w14:solidFill>
              <w14:schemeClr w14:val="tx1"/>
            </w14:solidFill>
          </w14:textFill>
        </w:rPr>
        <w:t>)</w:t>
      </w:r>
      <w:r>
        <w:rPr>
          <w:rFonts w:hint="eastAsia" w:ascii="Arial" w:hAnsi="Arial" w:eastAsia="Times New Roman" w:cs="Arial"/>
          <w:b w:val="0"/>
          <w:bCs/>
          <w:color w:val="000000" w:themeColor="text1"/>
          <w:sz w:val="24"/>
          <w:szCs w:val="24"/>
          <w:lang w:val="en-US" w:eastAsia="zh-CN" w:bidi="ar-SA"/>
          <w14:textFill>
            <w14:solidFill>
              <w14:schemeClr w14:val="tx1"/>
            </w14:solidFill>
          </w14:textFill>
        </w:rPr>
        <w:t>.</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eastAsia="Times New Roman" w:cs="Arial"/>
          <w:b w:val="0"/>
          <w:bCs/>
          <w:color w:val="000000" w:themeColor="text1"/>
          <w:sz w:val="24"/>
          <w:szCs w:val="24"/>
          <w:lang w:val="en-US" w:eastAsia="zh-CN" w:bidi="ar-SA"/>
          <w14:textFill>
            <w14:solidFill>
              <w14:schemeClr w14:val="tx1"/>
            </w14:solidFill>
          </w14:textFill>
        </w:rPr>
      </w:pP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eastAsia" w:ascii="Arial" w:hAnsi="Arial" w:cs="Arial"/>
          <w:b/>
          <w:bCs w:val="0"/>
          <w:color w:val="000000" w:themeColor="text1"/>
          <w:sz w:val="24"/>
          <w:szCs w:val="24"/>
          <w:lang w:val="en-US" w:eastAsia="zh-CN" w:bidi="ar-SA"/>
          <w14:textFill>
            <w14:solidFill>
              <w14:schemeClr w14:val="tx1"/>
            </w14:solidFill>
          </w14:textFill>
        </w:rPr>
      </w:pPr>
      <w:r>
        <w:rPr>
          <w:rFonts w:hint="eastAsia" w:ascii="Arial" w:hAnsi="Arial" w:cs="Arial"/>
          <w:b/>
          <w:bCs w:val="0"/>
          <w:color w:val="000000" w:themeColor="text1"/>
          <w:sz w:val="24"/>
          <w:szCs w:val="24"/>
          <w:lang w:val="en-US" w:eastAsia="zh-CN" w:bidi="ar-SA"/>
          <w14:textFill>
            <w14:solidFill>
              <w14:schemeClr w14:val="tx1"/>
            </w14:solidFill>
          </w14:textFill>
        </w:rPr>
        <w:t>Green promotion</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cs="Arial"/>
          <w:b/>
          <w:bCs w:val="0"/>
          <w:color w:val="000000" w:themeColor="text1"/>
          <w:sz w:val="24"/>
          <w:szCs w:val="24"/>
          <w:lang w:val="en-US" w:eastAsia="zh-CN" w:bidi="ar-SA"/>
          <w14:textFill>
            <w14:solidFill>
              <w14:schemeClr w14:val="tx1"/>
            </w14:solidFill>
          </w14:textFill>
        </w:rPr>
      </w:pP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Compared with other advertisements, green advertisements should emphasize the "green" characteristics of enterprise products, publicize the green image of enterprises, transmit the information of green products to consumers, and stimulate the demand of green consumption</w:t>
      </w:r>
      <w:r>
        <w:rPr>
          <w:rFonts w:hint="eastAsia" w:ascii="Arial" w:hAnsi="Arial" w:cs="Arial"/>
          <w:b w:val="0"/>
          <w:bCs/>
          <w:color w:val="000000" w:themeColor="text1"/>
          <w:sz w:val="24"/>
          <w:szCs w:val="24"/>
          <w:lang w:val="en-US" w:eastAsia="zh-CN" w:bidi="ar-SA"/>
          <w14:textFill>
            <w14:solidFill>
              <w14:schemeClr w14:val="tx1"/>
            </w14:solidFill>
          </w14:textFill>
        </w:rPr>
        <w:t xml:space="preserve"> </w:t>
      </w:r>
      <w:r>
        <w:rPr>
          <w:rFonts w:hint="default" w:ascii="Arial" w:hAnsi="Arial" w:eastAsia="Times New Roman" w:cs="Arial"/>
          <w:b w:val="0"/>
          <w:bCs/>
          <w:color w:val="000000" w:themeColor="text1"/>
          <w:sz w:val="24"/>
          <w:szCs w:val="24"/>
          <w:lang w:val="en-US" w:eastAsia="zh-CN" w:bidi="ar-SA"/>
          <w14:textFill>
            <w14:solidFill>
              <w14:schemeClr w14:val="tx1"/>
            </w14:solidFill>
          </w14:textFill>
        </w:rPr>
        <w:t>(Arseculeratne and Yazdanifard, 2014). Green advertising should have the following four characteristics at the same time: the creation of green advertising should be true, scientific and ideological; the green advertising should accurately describe the environmental benefits of green products; the advertising should explain how the green characteristics of green products or services affect the environment; the broadcast of green advertising should be timely and appropriate to save a wide range Cost, reduce the waste of resources, and cater to the consumption habits of consumers.</w:t>
      </w:r>
    </w:p>
    <w:p>
      <w:pPr>
        <w:pStyle w:val="9"/>
        <w:keepNext w:val="0"/>
        <w:keepLines w:val="0"/>
        <w:pageBreakBefore w:val="0"/>
        <w:widowControl/>
        <w:kinsoku/>
        <w:wordWrap/>
        <w:overflowPunct/>
        <w:topLinePunct w:val="0"/>
        <w:autoSpaceDE w:val="0"/>
        <w:autoSpaceDN w:val="0"/>
        <w:bidi w:val="0"/>
        <w:adjustRightInd w:val="0"/>
        <w:snapToGrid/>
        <w:spacing w:line="360" w:lineRule="auto"/>
        <w:ind w:left="850"/>
        <w:textAlignment w:val="auto"/>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2"/>
        <w:keepNext/>
        <w:keepLines w:val="0"/>
        <w:pageBreakBefore w:val="0"/>
        <w:widowControl/>
        <w:numPr>
          <w:ilvl w:val="0"/>
          <w:numId w:val="2"/>
        </w:numPr>
        <w:tabs>
          <w:tab w:val="left" w:pos="0"/>
        </w:tabs>
        <w:kinsoku/>
        <w:wordWrap/>
        <w:overflowPunct/>
        <w:topLinePunct w:val="0"/>
        <w:autoSpaceDE w:val="0"/>
        <w:autoSpaceDN w:val="0"/>
        <w:bidi w:val="0"/>
        <w:adjustRightInd w:val="0"/>
        <w:snapToGrid/>
        <w:spacing w:after="0" w:line="360" w:lineRule="auto"/>
        <w:ind w:left="851" w:hanging="851"/>
        <w:contextualSpacing w:val="0"/>
        <w:textAlignment w:val="auto"/>
        <w:rPr>
          <w:rFonts w:eastAsia="Times New Roman" w:cs="Arial"/>
          <w:bCs/>
          <w:szCs w:val="20"/>
        </w:rPr>
      </w:pPr>
      <w:bookmarkStart w:id="6" w:name="_Toc4617"/>
      <w:r>
        <w:rPr>
          <w:rFonts w:hint="eastAsia" w:eastAsia="宋体" w:cs="Arial"/>
          <w:bCs/>
          <w:szCs w:val="20"/>
          <w:lang w:val="en-US" w:eastAsia="zh-CN"/>
        </w:rPr>
        <w:t>Case study</w:t>
      </w:r>
      <w:bookmarkEnd w:id="6"/>
    </w:p>
    <w:p>
      <w:pPr>
        <w:pStyle w:val="9"/>
        <w:bidi w:val="0"/>
        <w:rPr>
          <w:rFonts w:hint="default" w:ascii="Arial" w:hAnsi="Arial" w:cs="Arial"/>
          <w:color w:val="auto"/>
          <w:sz w:val="24"/>
          <w:szCs w:val="24"/>
          <w:u w:val="none"/>
          <w:lang w:val="en-US" w:eastAsia="zh-CN"/>
        </w:rPr>
      </w:pPr>
      <w:r>
        <w:rPr>
          <w:rFonts w:hint="default" w:ascii="Arial" w:hAnsi="Arial" w:cs="Arial"/>
          <w:sz w:val="24"/>
          <w:szCs w:val="24"/>
          <w:lang w:val="en-US" w:eastAsia="zh-CN"/>
        </w:rPr>
        <w:t>Wal-Mart is a global chain of American companies. Headquartered in Bentonville, Arkansas, USA. The initial small scale, with only one discount store, the simple idea of selling more at a lower price, has grown to become the world's largest retailer in the past 50 years. Every week, nearly 265 million customers and members visit 11,200 stores under 55 banners in 27 countries and e-commerce sites in 10 countries. Wal-Mart's revenue in FY 2018 was $50.3 billion, employing more than 2.2 million people worldwide. Wal-Mart continues to lead the way in sustainability, corporate philanthropy and employment opportunities</w:t>
      </w:r>
      <w:r>
        <w:rPr>
          <w:rFonts w:hint="eastAsia" w:ascii="Arial" w:hAnsi="Arial" w:cs="Arial"/>
          <w:sz w:val="24"/>
          <w:szCs w:val="24"/>
          <w:lang w:val="en-US" w:eastAsia="zh-CN"/>
        </w:rPr>
        <w:t xml:space="preserve"> (Wal-Mart.2019)</w:t>
      </w:r>
      <w:r>
        <w:rPr>
          <w:rFonts w:hint="default" w:ascii="Arial" w:hAnsi="Arial" w:cs="Arial"/>
          <w:color w:val="auto"/>
          <w:sz w:val="24"/>
          <w:szCs w:val="24"/>
          <w:u w:val="none"/>
          <w:lang w:val="en-US" w:eastAsia="zh-CN"/>
        </w:rPr>
        <w:t>.</w:t>
      </w:r>
    </w:p>
    <w:p>
      <w:pPr>
        <w:pStyle w:val="9"/>
        <w:bidi w:val="0"/>
        <w:rPr>
          <w:rFonts w:hint="default" w:ascii="Arial" w:hAnsi="Arial" w:cs="Arial"/>
          <w:color w:val="auto"/>
          <w:sz w:val="24"/>
          <w:szCs w:val="24"/>
          <w:u w:val="none"/>
          <w:lang w:val="en-US" w:eastAsia="zh-CN"/>
        </w:rPr>
      </w:pPr>
    </w:p>
    <w:p>
      <w:pPr>
        <w:pStyle w:val="9"/>
        <w:bidi w:val="0"/>
        <w:rPr>
          <w:rFonts w:hint="eastAsia" w:ascii="Arial" w:hAnsi="Arial" w:cs="Arial"/>
          <w:sz w:val="24"/>
          <w:szCs w:val="24"/>
          <w:lang w:val="en-US" w:eastAsia="zh-CN"/>
        </w:rPr>
      </w:pPr>
      <w:r>
        <w:rPr>
          <w:rFonts w:hint="default" w:ascii="Arial" w:hAnsi="Arial" w:cs="Arial"/>
          <w:sz w:val="24"/>
          <w:szCs w:val="24"/>
          <w:lang w:val="en-US" w:eastAsia="zh-CN"/>
        </w:rPr>
        <w:t>Wal</w:t>
      </w:r>
      <w:r>
        <w:rPr>
          <w:rFonts w:hint="eastAsia" w:ascii="Arial" w:hAnsi="Arial" w:cs="Arial"/>
          <w:sz w:val="24"/>
          <w:szCs w:val="24"/>
          <w:lang w:val="en-US" w:eastAsia="zh-CN"/>
        </w:rPr>
        <w:t>-</w:t>
      </w:r>
      <w:r>
        <w:rPr>
          <w:rFonts w:hint="default" w:ascii="Arial" w:hAnsi="Arial" w:cs="Arial"/>
          <w:sz w:val="24"/>
          <w:szCs w:val="24"/>
          <w:lang w:val="en-US" w:eastAsia="zh-CN"/>
        </w:rPr>
        <w:t xml:space="preserve">Mart has been committed to sustainable development. In wal-mart's green marketing mix, products and </w:t>
      </w:r>
      <w:r>
        <w:rPr>
          <w:rFonts w:hint="eastAsia" w:ascii="Arial" w:hAnsi="Arial" w:cs="Arial"/>
          <w:sz w:val="24"/>
          <w:szCs w:val="24"/>
          <w:lang w:val="en-US" w:eastAsia="zh-CN"/>
        </w:rPr>
        <w:t>place</w:t>
      </w:r>
      <w:r>
        <w:rPr>
          <w:rFonts w:hint="default" w:ascii="Arial" w:hAnsi="Arial" w:cs="Arial"/>
          <w:sz w:val="24"/>
          <w:szCs w:val="24"/>
          <w:lang w:val="en-US" w:eastAsia="zh-CN"/>
        </w:rPr>
        <w:t xml:space="preserve"> are the most important two parts.</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Wal-Mart encourages suppliers to report through the Sustainability Index, a science-based third-party tool developed by the Alliance for Sustainable Development in collaboration with universities, NGOs and suppliers. The index includes data on suppliers' performance indicators for key environmental, social and other categories. </w:t>
      </w:r>
      <w:r>
        <w:rPr>
          <w:rFonts w:hint="eastAsia" w:ascii="Arial" w:hAnsi="Arial" w:cs="Arial"/>
          <w:sz w:val="24"/>
          <w:szCs w:val="24"/>
          <w:lang w:val="en-US" w:eastAsia="zh-CN"/>
        </w:rPr>
        <w:t>They</w:t>
      </w:r>
      <w:r>
        <w:rPr>
          <w:rFonts w:hint="default" w:ascii="Arial" w:hAnsi="Arial" w:cs="Arial"/>
          <w:sz w:val="24"/>
          <w:szCs w:val="24"/>
          <w:lang w:val="en-US" w:eastAsia="zh-CN"/>
        </w:rPr>
        <w:t xml:space="preserve"> set a goal in 2012 to buy 70% of US goods from suppliers participating in the index (category covered by the index).  Wal-Mart</w:t>
      </w:r>
      <w:r>
        <w:rPr>
          <w:rFonts w:hint="eastAsia" w:ascii="Arial" w:hAnsi="Arial" w:cs="Arial"/>
          <w:sz w:val="24"/>
          <w:szCs w:val="24"/>
          <w:lang w:val="en-US" w:eastAsia="zh-CN"/>
        </w:rPr>
        <w:t xml:space="preserve"> </w:t>
      </w:r>
      <w:r>
        <w:rPr>
          <w:rFonts w:hint="default" w:ascii="Arial" w:hAnsi="Arial" w:cs="Arial"/>
          <w:sz w:val="24"/>
          <w:szCs w:val="24"/>
          <w:lang w:val="en-US" w:eastAsia="zh-CN"/>
        </w:rPr>
        <w:t>achieved this goal in 2017, and in 2018, more than 80% of such goods came from participating suppliers. Compared with 2016, Wal-Mart and Sam's member stores' US suppliers' sustainability index increased by 28%</w:t>
      </w:r>
      <w:r>
        <w:rPr>
          <w:rFonts w:hint="eastAsia" w:ascii="Arial" w:hAnsi="Arial" w:cs="Arial"/>
          <w:sz w:val="24"/>
          <w:szCs w:val="24"/>
          <w:lang w:val="en-US" w:eastAsia="zh-CN"/>
        </w:rPr>
        <w:t xml:space="preserve"> (Wal-Mart.2019).</w:t>
      </w:r>
    </w:p>
    <w:p>
      <w:pPr>
        <w:pStyle w:val="9"/>
        <w:bidi w:val="0"/>
        <w:rPr>
          <w:rFonts w:hint="eastAsia" w:ascii="Arial" w:hAnsi="Arial" w:cs="Arial"/>
          <w:sz w:val="24"/>
          <w:szCs w:val="24"/>
          <w:lang w:val="en-US" w:eastAsia="zh-CN"/>
        </w:rPr>
      </w:pPr>
    </w:p>
    <w:p>
      <w:pPr>
        <w:pStyle w:val="9"/>
        <w:bidi w:val="0"/>
        <w:rPr>
          <w:rFonts w:hint="eastAsia" w:ascii="Arial" w:hAnsi="Arial" w:cs="Arial"/>
          <w:sz w:val="24"/>
          <w:szCs w:val="24"/>
          <w:lang w:val="en-US" w:eastAsia="zh-CN"/>
        </w:rPr>
      </w:pPr>
      <w:r>
        <w:rPr>
          <w:rFonts w:hint="default" w:ascii="Arial" w:hAnsi="Arial" w:cs="Arial"/>
          <w:sz w:val="24"/>
          <w:szCs w:val="24"/>
          <w:lang w:val="en-US" w:eastAsia="zh-CN"/>
        </w:rPr>
        <w:t>Wal Mart claims that in 2020, all its own brands of coffee will be certified as sustainable by third-party fair trade, Rainforest Alliance certification ™, or Utz. Starting from the source of coffee growers, Wal Mart has chosen the coffee beans planted by farmers who are committed to building sustainable livelihoods and prosperous communities, and they can also cooperate with suppliers to improve the traceability of their own brands, realize the transparency of the whole process of products and improve consumers' trust in "green coffee"</w:t>
      </w:r>
      <w:r>
        <w:rPr>
          <w:rFonts w:hint="eastAsia" w:ascii="Arial" w:hAnsi="Arial" w:cs="Arial"/>
          <w:sz w:val="24"/>
          <w:szCs w:val="24"/>
          <w:lang w:val="en-US" w:eastAsia="zh-CN"/>
        </w:rPr>
        <w:t xml:space="preserve"> </w:t>
      </w:r>
      <w:r>
        <w:rPr>
          <w:rFonts w:hint="default" w:ascii="Arial" w:hAnsi="Arial" w:cs="Arial"/>
          <w:sz w:val="24"/>
          <w:szCs w:val="24"/>
          <w:lang w:val="en-US" w:eastAsia="zh-CN"/>
        </w:rPr>
        <w:t>(</w:t>
      </w:r>
      <w:r>
        <w:rPr>
          <w:rFonts w:hint="eastAsia" w:ascii="Arial" w:hAnsi="Arial" w:cs="Arial"/>
          <w:sz w:val="24"/>
          <w:szCs w:val="24"/>
          <w:lang w:val="en-US" w:eastAsia="zh-CN"/>
        </w:rPr>
        <w:t>Wal-Mart.2019</w:t>
      </w:r>
      <w:r>
        <w:rPr>
          <w:rFonts w:hint="default" w:ascii="Arial" w:hAnsi="Arial" w:cs="Arial"/>
          <w:sz w:val="24"/>
          <w:szCs w:val="24"/>
          <w:lang w:val="en-US" w:eastAsia="zh-CN"/>
        </w:rPr>
        <w:t>).</w:t>
      </w:r>
      <w:r>
        <w:rPr>
          <w:rFonts w:hint="eastAsia" w:ascii="Arial" w:hAnsi="Arial" w:cs="Arial"/>
          <w:sz w:val="24"/>
          <w:szCs w:val="24"/>
          <w:lang w:val="en-US" w:eastAsia="zh-CN"/>
        </w:rPr>
        <w:t xml:space="preserve"> </w:t>
      </w:r>
    </w:p>
    <w:p>
      <w:pPr>
        <w:pStyle w:val="9"/>
        <w:bidi w:val="0"/>
        <w:rPr>
          <w:rFonts w:hint="eastAsia" w:ascii="Arial" w:hAnsi="Arial" w:cs="Arial"/>
          <w:sz w:val="24"/>
          <w:szCs w:val="24"/>
          <w:lang w:val="en-US" w:eastAsia="zh-CN"/>
        </w:rPr>
      </w:pPr>
    </w:p>
    <w:p>
      <w:pPr>
        <w:pStyle w:val="9"/>
        <w:bidi w:val="0"/>
        <w:rPr>
          <w:rFonts w:hint="eastAsia" w:ascii="Arial" w:hAnsi="Arial" w:cs="Arial"/>
          <w:sz w:val="24"/>
          <w:szCs w:val="24"/>
          <w:lang w:val="en-US" w:eastAsia="zh-CN"/>
        </w:rPr>
      </w:pPr>
      <w:r>
        <w:rPr>
          <w:rFonts w:hint="default" w:ascii="Arial" w:hAnsi="Arial" w:cs="Arial"/>
          <w:sz w:val="24"/>
          <w:szCs w:val="24"/>
          <w:lang w:val="en-US" w:eastAsia="zh-CN"/>
        </w:rPr>
        <w:t>It is not easy to reduce the price of products in green marketing. Many equipment and technology research and development need to consume high costs. But wal-mart managed to cut costs to achieve lower product pricing.</w:t>
      </w:r>
      <w:r>
        <w:rPr>
          <w:rFonts w:hint="eastAsia" w:ascii="Arial" w:hAnsi="Arial" w:cs="Arial"/>
          <w:sz w:val="24"/>
          <w:szCs w:val="24"/>
          <w:lang w:val="en-US" w:eastAsia="zh-CN"/>
        </w:rPr>
        <w:t xml:space="preserve"> </w:t>
      </w:r>
      <w:r>
        <w:rPr>
          <w:rFonts w:hint="default" w:ascii="Arial" w:hAnsi="Arial" w:cs="Arial"/>
          <w:sz w:val="24"/>
          <w:szCs w:val="24"/>
          <w:lang w:val="en-US" w:eastAsia="zh-CN"/>
        </w:rPr>
        <w:t>Wal-Mart requires suppliers to reduce packaging materials by 5% by 2013. The impact of lighter packaging and consequent reductions in transportation costs and fuel consumption will save Wal-Mart's supply chain $3.4 billion</w:t>
      </w:r>
      <w:r>
        <w:rPr>
          <w:rFonts w:hint="eastAsia" w:ascii="Arial" w:hAnsi="Arial" w:cs="Arial"/>
          <w:sz w:val="24"/>
          <w:szCs w:val="24"/>
          <w:lang w:val="en-US" w:eastAsia="zh-CN"/>
        </w:rPr>
        <w:t xml:space="preserve"> (Katherine.B,2007).</w:t>
      </w:r>
    </w:p>
    <w:p>
      <w:pPr>
        <w:pStyle w:val="9"/>
        <w:bidi w:val="0"/>
        <w:rPr>
          <w:rFonts w:hint="default" w:ascii="Arial" w:hAnsi="Arial" w:cs="Arial"/>
          <w:sz w:val="24"/>
          <w:szCs w:val="24"/>
          <w:lang w:val="en-US" w:eastAsia="zh-CN"/>
        </w:rPr>
      </w:pPr>
    </w:p>
    <w:p>
      <w:pPr>
        <w:pStyle w:val="9"/>
        <w:bidi w:val="0"/>
        <w:rPr>
          <w:rFonts w:hint="default" w:ascii="Arial" w:hAnsi="Arial" w:cs="Arial"/>
          <w:sz w:val="24"/>
          <w:szCs w:val="24"/>
          <w:lang w:val="en-US" w:eastAsia="zh-CN"/>
        </w:rPr>
      </w:pPr>
      <w:r>
        <w:rPr>
          <w:rFonts w:hint="default" w:ascii="Arial" w:hAnsi="Arial" w:cs="Arial"/>
          <w:sz w:val="24"/>
          <w:szCs w:val="24"/>
          <w:lang w:val="en-US" w:eastAsia="zh-CN"/>
        </w:rPr>
        <w:t>As a result, the retail giant has had considerable success in green marketing. By virtue of the position of retail enterprises in the sales process, wal-mart has established a green mission, with sustainable development as the purpose, and made a series of measures above, which not only achieved green marketing but also avoided the problem of excessive green cost. Enterprises, especially the retail industry, can take wal-mart's green marketing strategy as a reference.</w:t>
      </w:r>
    </w:p>
    <w:p>
      <w:pPr>
        <w:pStyle w:val="9"/>
        <w:bidi w:val="0"/>
        <w:ind w:left="0" w:leftChars="0" w:firstLine="0" w:firstLineChars="0"/>
        <w:rPr>
          <w:rFonts w:hint="eastAsia" w:ascii="Arial" w:hAnsi="Arial" w:cs="Arial"/>
          <w:color w:val="auto"/>
          <w:sz w:val="24"/>
          <w:szCs w:val="24"/>
          <w:u w:val="none"/>
          <w:lang w:val="en-US" w:eastAsia="zh-CN"/>
        </w:rPr>
      </w:pPr>
    </w:p>
    <w:p>
      <w:pPr>
        <w:pStyle w:val="9"/>
        <w:bidi w:val="0"/>
        <w:rPr>
          <w:rFonts w:hint="default" w:ascii="Arial" w:hAnsi="Arial" w:cs="Arial"/>
          <w:color w:val="auto"/>
          <w:sz w:val="24"/>
          <w:szCs w:val="24"/>
          <w:u w:val="none"/>
          <w:lang w:val="en-US" w:eastAsia="zh-CN"/>
        </w:rPr>
      </w:pPr>
    </w:p>
    <w:p>
      <w:pPr>
        <w:pStyle w:val="9"/>
        <w:bidi w:val="0"/>
        <w:rPr>
          <w:rFonts w:hint="default" w:ascii="Arial" w:hAnsi="Arial" w:cs="Arial"/>
          <w:sz w:val="24"/>
          <w:szCs w:val="24"/>
          <w:lang w:val="en-US" w:eastAsia="zh-CN"/>
        </w:rPr>
      </w:pPr>
    </w:p>
    <w:p>
      <w:pPr>
        <w:pStyle w:val="9"/>
        <w:bidi w:val="0"/>
        <w:rPr>
          <w:rFonts w:hint="default" w:ascii="Arial" w:hAnsi="Arial" w:cs="Arial"/>
          <w:sz w:val="24"/>
          <w:szCs w:val="24"/>
          <w:lang w:val="en-US" w:eastAsia="zh-CN"/>
        </w:rPr>
      </w:pPr>
    </w:p>
    <w:p>
      <w:pPr>
        <w:rPr>
          <w:rFonts w:hint="default" w:ascii="Arial" w:hAnsi="Arial" w:eastAsia="Times New Roman" w:cs="Arial"/>
          <w:b w:val="0"/>
          <w:bCs/>
          <w:color w:val="000000" w:themeColor="text1"/>
          <w:sz w:val="24"/>
          <w:szCs w:val="24"/>
          <w:lang w:val="en-US" w:eastAsia="zh-CN" w:bidi="ar-SA"/>
          <w14:textFill>
            <w14:solidFill>
              <w14:schemeClr w14:val="tx1"/>
            </w14:solidFill>
          </w14:textFill>
        </w:rPr>
      </w:pPr>
    </w:p>
    <w:p>
      <w:pPr>
        <w:pStyle w:val="9"/>
        <w:spacing w:line="480" w:lineRule="auto"/>
        <w:rPr>
          <w:b/>
          <w:color w:val="FF0000"/>
        </w:rPr>
      </w:pPr>
    </w:p>
    <w:p>
      <w:pPr>
        <w:autoSpaceDE/>
        <w:autoSpaceDN/>
        <w:adjustRightInd/>
        <w:spacing w:after="160" w:line="259" w:lineRule="auto"/>
        <w:rPr>
          <w:rFonts w:ascii="Verdana" w:hAnsi="Verdana" w:eastAsia="Times New Roman" w:cs="Times New Roman"/>
          <w:b/>
          <w:color w:val="FF0000"/>
          <w:sz w:val="18"/>
          <w:szCs w:val="24"/>
        </w:rPr>
      </w:pPr>
      <w:r>
        <w:rPr>
          <w:b/>
          <w:color w:val="FF0000"/>
        </w:rPr>
        <w:br w:type="page"/>
      </w:r>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7" w:name="_Toc16098"/>
      <w:r>
        <w:rPr>
          <w:rFonts w:eastAsia="Times New Roman" w:cs="Arial"/>
          <w:bCs/>
          <w:szCs w:val="20"/>
        </w:rPr>
        <w:t>Conclusion</w:t>
      </w:r>
      <w:bookmarkEnd w:id="7"/>
    </w:p>
    <w:p>
      <w:pPr>
        <w:pStyle w:val="9"/>
        <w:bidi w:val="0"/>
        <w:rPr>
          <w:rFonts w:hint="default" w:ascii="Arial" w:hAnsi="Arial" w:cs="Arial"/>
          <w:sz w:val="24"/>
          <w:szCs w:val="24"/>
        </w:rPr>
      </w:pPr>
      <w:r>
        <w:rPr>
          <w:rFonts w:hint="default" w:ascii="Arial" w:hAnsi="Arial" w:eastAsia="&amp;quot" w:cs="Arial"/>
          <w:i w:val="0"/>
          <w:caps w:val="0"/>
          <w:spacing w:val="0"/>
          <w:sz w:val="24"/>
          <w:szCs w:val="24"/>
          <w:u w:val="none"/>
        </w:rPr>
        <w:t>In general, green marketing is an important part of promoting sustainable development strategies, so the implementation of green marketing is very important.</w:t>
      </w:r>
      <w:r>
        <w:rPr>
          <w:rFonts w:hint="default" w:ascii="Arial" w:hAnsi="Arial" w:eastAsia="Arial" w:cs="Arial"/>
          <w:i w:val="0"/>
          <w:caps w:val="0"/>
          <w:spacing w:val="0"/>
          <w:sz w:val="24"/>
          <w:szCs w:val="24"/>
          <w:u w:val="none"/>
          <w:shd w:val="clear" w:fill="F5F5F5"/>
        </w:rPr>
        <w:t xml:space="preserve"> </w:t>
      </w:r>
      <w:r>
        <w:rPr>
          <w:rFonts w:hint="default" w:ascii="Arial" w:hAnsi="Arial" w:eastAsia="&amp;quot" w:cs="Arial"/>
          <w:i w:val="0"/>
          <w:caps w:val="0"/>
          <w:spacing w:val="0"/>
          <w:sz w:val="24"/>
          <w:szCs w:val="24"/>
          <w:u w:val="none"/>
        </w:rPr>
        <w:t>As McDonagh and Prothero suggest, the true “sustainability can only be achieved through holistic principles... The green stucco strategy of the company’s marketing department will ultimately fail and be embarrassing if it is not supported by the integrated approach of the entire organization”</w:t>
      </w:r>
      <w:r>
        <w:rPr>
          <w:rFonts w:hint="eastAsia" w:ascii="Arial" w:hAnsi="Arial" w:eastAsia="宋体" w:cs="Arial"/>
          <w:i w:val="0"/>
          <w:caps w:val="0"/>
          <w:spacing w:val="0"/>
          <w:sz w:val="24"/>
          <w:szCs w:val="24"/>
          <w:u w:val="none"/>
          <w:lang w:val="en-US" w:eastAsia="zh-CN"/>
        </w:rPr>
        <w:t>(</w:t>
      </w:r>
      <w:r>
        <w:rPr>
          <w:rFonts w:ascii="Arial" w:hAnsi="Arial" w:eastAsia="宋体" w:cs="Arial"/>
          <w:i w:val="0"/>
          <w:caps w:val="0"/>
          <w:color w:val="222222"/>
          <w:spacing w:val="0"/>
          <w:sz w:val="24"/>
          <w:szCs w:val="24"/>
          <w:u w:val="none"/>
          <w:shd w:val="clear" w:fill="FFFFFF"/>
        </w:rPr>
        <w:t>McDonagh, P., &amp; Prothero, A. 1997</w:t>
      </w:r>
      <w:r>
        <w:rPr>
          <w:rFonts w:hint="eastAsia" w:ascii="Arial" w:hAnsi="Arial" w:eastAsia="宋体" w:cs="Arial"/>
          <w:i w:val="0"/>
          <w:caps w:val="0"/>
          <w:color w:val="222222"/>
          <w:spacing w:val="0"/>
          <w:sz w:val="24"/>
          <w:szCs w:val="24"/>
          <w:u w:val="none"/>
          <w:shd w:val="clear" w:fill="FFFFFF"/>
          <w:lang w:val="en-US" w:eastAsia="zh-CN"/>
        </w:rPr>
        <w:t xml:space="preserve">). </w:t>
      </w:r>
      <w:r>
        <w:rPr>
          <w:rFonts w:hint="default" w:ascii="Arial" w:hAnsi="Arial" w:eastAsia="&amp;quot" w:cs="Arial"/>
          <w:i w:val="0"/>
          <w:caps w:val="0"/>
          <w:spacing w:val="0"/>
          <w:sz w:val="24"/>
          <w:szCs w:val="24"/>
          <w:u w:val="none"/>
        </w:rPr>
        <w:t>Therefore, marketing specialists need to plan the available green marketing mix based on the circumstances of their respective companies.</w:t>
      </w:r>
      <w:r>
        <w:rPr>
          <w:rFonts w:hint="default" w:ascii="Arial" w:hAnsi="Arial" w:eastAsia="Arial" w:cs="Arial"/>
          <w:i w:val="0"/>
          <w:caps w:val="0"/>
          <w:spacing w:val="0"/>
          <w:sz w:val="24"/>
          <w:szCs w:val="24"/>
          <w:u w:val="none"/>
          <w:shd w:val="clear" w:fill="F5F5F5"/>
        </w:rPr>
        <w:t xml:space="preserve"> </w:t>
      </w:r>
      <w:r>
        <w:rPr>
          <w:rFonts w:hint="default" w:ascii="Arial" w:hAnsi="Arial" w:eastAsia="&amp;quot" w:cs="Arial"/>
          <w:i w:val="0"/>
          <w:caps w:val="0"/>
          <w:spacing w:val="0"/>
          <w:sz w:val="24"/>
          <w:szCs w:val="24"/>
          <w:u w:val="none"/>
        </w:rPr>
        <w:t>And all departments within the company as well as external partners need to reach a consensus on green marketing, and the success of green marketing can be achieved through coordination.</w:t>
      </w:r>
    </w:p>
    <w:p>
      <w:pPr>
        <w:pStyle w:val="9"/>
        <w:spacing w:line="480" w:lineRule="auto"/>
        <w:rPr>
          <w:b/>
          <w:color w:val="FF0000"/>
        </w:rPr>
      </w:pPr>
    </w:p>
    <w:p>
      <w:pPr>
        <w:pStyle w:val="9"/>
        <w:spacing w:line="480" w:lineRule="auto"/>
        <w:rPr>
          <w:b/>
          <w:color w:val="FF0000"/>
        </w:rPr>
      </w:pPr>
    </w:p>
    <w:p>
      <w:pPr>
        <w:pStyle w:val="9"/>
        <w:spacing w:line="480" w:lineRule="auto"/>
        <w:rPr>
          <w:b/>
          <w:color w:val="FF0000"/>
        </w:rPr>
      </w:pPr>
    </w:p>
    <w:p/>
    <w:p>
      <w:pPr>
        <w:pStyle w:val="2"/>
        <w:keepNext/>
        <w:numPr>
          <w:ilvl w:val="0"/>
          <w:numId w:val="2"/>
        </w:numPr>
        <w:tabs>
          <w:tab w:val="left" w:pos="0"/>
        </w:tabs>
        <w:spacing w:after="0" w:line="480" w:lineRule="auto"/>
        <w:ind w:left="851" w:hanging="851"/>
        <w:contextualSpacing w:val="0"/>
        <w:rPr>
          <w:rFonts w:eastAsia="Times New Roman" w:cs="Arial"/>
          <w:bCs/>
          <w:szCs w:val="20"/>
        </w:rPr>
        <w:sectPr>
          <w:headerReference r:id="rId8" w:type="first"/>
          <w:footerReference r:id="rId10" w:type="first"/>
          <w:headerReference r:id="rId7" w:type="default"/>
          <w:footerReference r:id="rId9" w:type="default"/>
          <w:pgSz w:w="11906" w:h="16838"/>
          <w:pgMar w:top="1440" w:right="1440" w:bottom="1440" w:left="1440" w:header="567" w:footer="567" w:gutter="0"/>
          <w:pgNumType w:fmt="decimal" w:start="1"/>
          <w:cols w:space="708" w:num="1"/>
          <w:titlePg/>
          <w:docGrid w:linePitch="360" w:charSpace="0"/>
        </w:sectPr>
      </w:pPr>
      <w:bookmarkStart w:id="8" w:name="_Toc305165507"/>
    </w:p>
    <w:p>
      <w:pPr>
        <w:pStyle w:val="2"/>
        <w:keepNext/>
        <w:numPr>
          <w:ilvl w:val="0"/>
          <w:numId w:val="2"/>
        </w:numPr>
        <w:tabs>
          <w:tab w:val="left" w:pos="0"/>
        </w:tabs>
        <w:spacing w:after="0" w:line="480" w:lineRule="auto"/>
        <w:ind w:left="851" w:hanging="851"/>
        <w:contextualSpacing w:val="0"/>
      </w:pPr>
      <w:bookmarkStart w:id="9" w:name="_Toc29344"/>
      <w:r>
        <w:rPr>
          <w:rFonts w:eastAsia="Times New Roman" w:cs="Arial"/>
          <w:bCs/>
          <w:szCs w:val="20"/>
        </w:rPr>
        <w:t>References</w:t>
      </w:r>
      <w:bookmarkEnd w:id="8"/>
      <w:bookmarkEnd w:id="9"/>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Arseculeratne, D., &amp; Yazdanifard, R. (2014). How green marketing can create a sustainable competitive advantage for a business. International business research, 7(1), 130.</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Barbier, E. B. (2013). Economics, Natural-Resource Scarcity and Development (Routledge Revivals): Conventional and Alternative Views. Routledge.</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Daojing.L,(2010).The inevitable choice of marketing mode in the era of low carbon economy.Hunan Socialist College,11(3).n.p.</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default"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Gumeni, A., &amp; Gorica, K. (2014). Green marketing as a key strategy for sustainable development: A case study of Albanian consumers. EuroEconomica, 33(1).n.p.</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Garg, A. (2015). Green marketing for sustainable development: an industry perspective. Sustainable Development, 23(5), 301-316.</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Handl, G. (2012). Declaration of the United Nations conference on the human environment (Stockholm Declaration), 1972 and the Rio Declaration on Environment and Development, 1992. United Nations Audiovisual Library of International Law, 11.</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Holdgate, M. W. (1991). Caring for the Earth. D. A. Munro (Ed.). Verlag nicht ermittelbar.</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ascii="Arial" w:hAnsi="Arial" w:eastAsia="宋体" w:cs="Arial"/>
          <w:i w:val="0"/>
          <w:caps w:val="0"/>
          <w:color w:val="222222"/>
          <w:spacing w:val="0"/>
          <w:sz w:val="20"/>
          <w:szCs w:val="20"/>
          <w:u w:val="none"/>
          <w:shd w:val="clear" w:fill="FFFFFF"/>
        </w:rPr>
      </w:pPr>
      <w:r>
        <w:rPr>
          <w:rFonts w:hint="eastAsia" w:ascii="Arial" w:hAnsi="Arial" w:eastAsia="宋体" w:cs="Arial"/>
          <w:i w:val="0"/>
          <w:caps w:val="0"/>
          <w:color w:val="222222"/>
          <w:spacing w:val="0"/>
          <w:sz w:val="20"/>
          <w:szCs w:val="20"/>
          <w:u w:val="none"/>
          <w:shd w:val="clear" w:fill="FFFFFF"/>
          <w:lang w:val="en-US" w:eastAsia="zh-CN"/>
        </w:rPr>
        <w:t>Jiyue.L,&amp; Deli.X,(2010).Corporate Green Marketing Management under Low Carbon Economy.Modern economic information,(10).n.p.</w:t>
      </w:r>
    </w:p>
    <w:p>
      <w:pPr>
        <w:pStyle w:val="50"/>
        <w:spacing w:line="480" w:lineRule="auto"/>
        <w:rPr>
          <w:rFonts w:ascii="Arial" w:hAnsi="Arial" w:eastAsia="宋体" w:cs="Arial"/>
          <w:i w:val="0"/>
          <w:caps w:val="0"/>
          <w:color w:val="222222"/>
          <w:spacing w:val="0"/>
          <w:sz w:val="20"/>
          <w:szCs w:val="20"/>
          <w:u w:val="none"/>
          <w:shd w:val="clear" w:fill="FFFFFF"/>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Morelli, J. (2011). Environmental sustainability: A definition for environmental professionals. Journal of environmental sustainability, 1(1), 2.</w:t>
      </w:r>
    </w:p>
    <w:p>
      <w:pPr>
        <w:pStyle w:val="50"/>
        <w:spacing w:line="480" w:lineRule="auto"/>
        <w:rPr>
          <w:rFonts w:ascii="Arial" w:hAnsi="Arial" w:eastAsia="宋体" w:cs="Arial"/>
          <w:i w:val="0"/>
          <w:caps w:val="0"/>
          <w:color w:val="222222"/>
          <w:spacing w:val="0"/>
          <w:sz w:val="20"/>
          <w:szCs w:val="20"/>
          <w:u w:val="none"/>
          <w:shd w:val="clear" w:fill="FFFFFF"/>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Moravcikova, D., Krizanova, A., Kliestikova, J., &amp; Rypakova, M. (2017). Green Marketing as the Source of the Competitive Advantage of the Business. Sustainability, 9(12), 2218.</w:t>
      </w:r>
    </w:p>
    <w:p>
      <w:pPr>
        <w:pStyle w:val="50"/>
        <w:spacing w:line="480" w:lineRule="auto"/>
        <w:rPr>
          <w:rFonts w:ascii="Arial" w:hAnsi="Arial" w:eastAsia="宋体" w:cs="Arial"/>
          <w:i w:val="0"/>
          <w:caps w:val="0"/>
          <w:color w:val="222222"/>
          <w:spacing w:val="0"/>
          <w:sz w:val="20"/>
          <w:szCs w:val="20"/>
          <w:u w:val="none"/>
          <w:shd w:val="clear" w:fill="FFFFFF"/>
        </w:rPr>
      </w:pPr>
    </w:p>
    <w:p>
      <w:pPr>
        <w:pStyle w:val="50"/>
        <w:spacing w:line="480" w:lineRule="auto"/>
        <w:rPr>
          <w:rFonts w:hint="default" w:ascii="Arial" w:hAnsi="Arial" w:eastAsia="宋体" w:cs="Arial"/>
          <w:i w:val="0"/>
          <w:caps w:val="0"/>
          <w:color w:val="222222"/>
          <w:spacing w:val="0"/>
          <w:sz w:val="20"/>
          <w:szCs w:val="20"/>
          <w:u w:val="none"/>
          <w:shd w:val="clear" w:fill="FFFFFF"/>
        </w:rPr>
      </w:pPr>
      <w:r>
        <w:rPr>
          <w:rFonts w:ascii="Arial" w:hAnsi="Arial" w:eastAsia="宋体" w:cs="Arial"/>
          <w:i w:val="0"/>
          <w:caps w:val="0"/>
          <w:color w:val="222222"/>
          <w:spacing w:val="0"/>
          <w:sz w:val="20"/>
          <w:szCs w:val="20"/>
          <w:u w:val="none"/>
          <w:shd w:val="clear" w:fill="FFFFFF"/>
        </w:rPr>
        <w:t xml:space="preserve">Miller, C. (2009). Sustainable marketing and the green consumer. In </w:t>
      </w:r>
      <w:r>
        <w:rPr>
          <w:rFonts w:hint="default" w:ascii="Arial" w:hAnsi="Arial" w:eastAsia="宋体" w:cs="Arial"/>
          <w:i w:val="0"/>
          <w:caps w:val="0"/>
          <w:color w:val="222222"/>
          <w:spacing w:val="0"/>
          <w:sz w:val="20"/>
          <w:szCs w:val="20"/>
          <w:u w:val="none"/>
          <w:shd w:val="clear" w:fill="FFFFFF"/>
        </w:rPr>
        <w:t>Contemporary issues in marketing and consumer behaviour (pp. 153-172). Routledge.</w:t>
      </w:r>
    </w:p>
    <w:p>
      <w:pPr>
        <w:pStyle w:val="50"/>
        <w:spacing w:line="480" w:lineRule="auto"/>
        <w:rPr>
          <w:rFonts w:hint="default" w:ascii="Arial" w:hAnsi="Arial" w:eastAsia="宋体" w:cs="Arial"/>
          <w:i w:val="0"/>
          <w:caps w:val="0"/>
          <w:color w:val="222222"/>
          <w:spacing w:val="0"/>
          <w:sz w:val="20"/>
          <w:szCs w:val="20"/>
          <w:u w:val="none"/>
          <w:shd w:val="clear" w:fill="FFFFFF"/>
        </w:rPr>
      </w:pPr>
    </w:p>
    <w:p>
      <w:pPr>
        <w:pStyle w:val="50"/>
        <w:spacing w:line="480" w:lineRule="auto"/>
        <w:rPr>
          <w:rFonts w:hint="default" w:ascii="Arial" w:hAnsi="Arial" w:eastAsia="宋体" w:cs="Arial"/>
          <w:i w:val="0"/>
          <w:caps w:val="0"/>
          <w:color w:val="222222"/>
          <w:spacing w:val="0"/>
          <w:sz w:val="20"/>
          <w:szCs w:val="20"/>
          <w:u w:val="none"/>
          <w:shd w:val="clear" w:fill="FFFFFF"/>
        </w:rPr>
      </w:pPr>
      <w:r>
        <w:rPr>
          <w:rFonts w:ascii="Arial" w:hAnsi="Arial" w:eastAsia="宋体" w:cs="Arial"/>
          <w:i w:val="0"/>
          <w:caps w:val="0"/>
          <w:color w:val="222222"/>
          <w:spacing w:val="0"/>
          <w:sz w:val="20"/>
          <w:szCs w:val="20"/>
          <w:u w:val="none"/>
          <w:shd w:val="clear" w:fill="FFFFFF"/>
        </w:rPr>
        <w:t xml:space="preserve">McDonagh, P., &amp; Prothero, A. (1997). </w:t>
      </w:r>
      <w:r>
        <w:rPr>
          <w:rFonts w:hint="default" w:ascii="Arial" w:hAnsi="Arial" w:eastAsia="宋体" w:cs="Arial"/>
          <w:i/>
          <w:caps w:val="0"/>
          <w:color w:val="222222"/>
          <w:spacing w:val="0"/>
          <w:sz w:val="20"/>
          <w:szCs w:val="20"/>
          <w:u w:val="none"/>
        </w:rPr>
        <w:t>Green management: A reader</w:t>
      </w:r>
      <w:r>
        <w:rPr>
          <w:rFonts w:hint="default" w:ascii="Arial" w:hAnsi="Arial" w:eastAsia="宋体" w:cs="Arial"/>
          <w:i w:val="0"/>
          <w:caps w:val="0"/>
          <w:color w:val="222222"/>
          <w:spacing w:val="0"/>
          <w:sz w:val="20"/>
          <w:szCs w:val="20"/>
          <w:u w:val="none"/>
          <w:shd w:val="clear" w:fill="FFFFFF"/>
        </w:rPr>
        <w:t>. International Thomson Business Press.</w:t>
      </w:r>
    </w:p>
    <w:p>
      <w:pPr>
        <w:pStyle w:val="50"/>
        <w:spacing w:line="480" w:lineRule="auto"/>
        <w:rPr>
          <w:rFonts w:hint="default" w:ascii="Arial" w:hAnsi="Arial" w:eastAsia="宋体" w:cs="Arial"/>
          <w:i w:val="0"/>
          <w:caps w:val="0"/>
          <w:color w:val="222222"/>
          <w:spacing w:val="0"/>
          <w:sz w:val="20"/>
          <w:szCs w:val="20"/>
          <w:u w:val="none"/>
          <w:shd w:val="clear" w:fill="FFFFFF"/>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Katherine.B,(2007).Wal-Mart’s green plan: renewable resources.WWD:women’s wear daily,24(18),n.p.</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Luo, B., &amp; Liu, X. (2017, November). An evaluation of sustainable development in less developed areas of Western China. In 2017 12th International Conference on Intelligent Systems and Knowledge Engineering (ISKE) (pp. 1-5). IEEE.</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Polonsky, M. (1994). An introduction to green marketing, electronic green journal, Vol. 1.</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rPr>
        <w:t>Peattie, K. (2001). Towards sustainability: The third age of green marketing. The Marketing Review, 2(2), 129-146.</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 xml:space="preserve">Papadopoulos, I., Karagouni, G., Trigkas, M., &amp; Platogianni, E. (2010). Green marketing: The case of Greece in certified and sustainably managed timber products. </w:t>
      </w:r>
      <w:r>
        <w:rPr>
          <w:rFonts w:hint="default" w:ascii="Arial" w:hAnsi="Arial" w:eastAsia="宋体" w:cs="Arial"/>
          <w:i w:val="0"/>
          <w:caps w:val="0"/>
          <w:color w:val="222222"/>
          <w:spacing w:val="0"/>
          <w:sz w:val="20"/>
          <w:szCs w:val="20"/>
          <w:u w:val="none"/>
          <w:shd w:val="clear" w:fill="FFFFFF"/>
          <w:lang w:val="en-US" w:eastAsia="zh-CN"/>
        </w:rPr>
        <w:t>EuroMed Journal of Business, 5(2), 166-190.</w:t>
      </w:r>
    </w:p>
    <w:p>
      <w:pPr>
        <w:pStyle w:val="50"/>
        <w:spacing w:line="480" w:lineRule="auto"/>
        <w:ind w:left="0" w:leftChars="0" w:firstLine="0" w:firstLineChars="0"/>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default"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Wal-Mart. (2019). Our Story.Retrieved from https://corporate.walmart.com/our-story.</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keepNext w:val="0"/>
        <w:keepLines w:val="0"/>
        <w:pageBreakBefore w:val="0"/>
        <w:widowControl/>
        <w:kinsoku/>
        <w:wordWrap w:val="0"/>
        <w:overflowPunct/>
        <w:topLinePunct w:val="0"/>
        <w:autoSpaceDE w:val="0"/>
        <w:autoSpaceDN w:val="0"/>
        <w:bidi w:val="0"/>
        <w:adjustRightInd w:val="0"/>
        <w:snapToGrid/>
        <w:spacing w:line="480" w:lineRule="auto"/>
        <w:ind w:left="850"/>
        <w:textAlignment w:val="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 xml:space="preserve">Wal-Mart.(2019).Sustainablesupply chain.Retrieved from </w:t>
      </w:r>
      <w:r>
        <w:rPr>
          <w:rFonts w:hint="default" w:ascii="Arial" w:hAnsi="Arial" w:eastAsia="宋体" w:cs="Arial"/>
          <w:i w:val="0"/>
          <w:caps w:val="0"/>
          <w:color w:val="222222"/>
          <w:spacing w:val="0"/>
          <w:sz w:val="20"/>
          <w:szCs w:val="20"/>
          <w:u w:val="none"/>
          <w:shd w:val="clear" w:fill="FFFFFF"/>
          <w:lang w:val="en-US" w:eastAsia="zh-CN"/>
        </w:rPr>
        <w:fldChar w:fldCharType="begin"/>
      </w:r>
      <w:r>
        <w:rPr>
          <w:rFonts w:hint="default" w:ascii="Arial" w:hAnsi="Arial" w:eastAsia="宋体" w:cs="Arial"/>
          <w:i w:val="0"/>
          <w:caps w:val="0"/>
          <w:color w:val="222222"/>
          <w:spacing w:val="0"/>
          <w:sz w:val="20"/>
          <w:szCs w:val="20"/>
          <w:u w:val="none"/>
          <w:shd w:val="clear" w:fill="FFFFFF"/>
          <w:lang w:val="en-US" w:eastAsia="zh-CN"/>
        </w:rPr>
        <w:instrText xml:space="preserve"> HYPERLINK "https://corporate.walmart.com/esgreport/" </w:instrText>
      </w:r>
      <w:r>
        <w:rPr>
          <w:rFonts w:hint="default" w:ascii="Arial" w:hAnsi="Arial" w:eastAsia="宋体" w:cs="Arial"/>
          <w:i w:val="0"/>
          <w:caps w:val="0"/>
          <w:color w:val="222222"/>
          <w:spacing w:val="0"/>
          <w:sz w:val="20"/>
          <w:szCs w:val="20"/>
          <w:u w:val="none"/>
          <w:shd w:val="clear" w:fill="FFFFFF"/>
          <w:lang w:val="en-US" w:eastAsia="zh-CN"/>
        </w:rPr>
        <w:fldChar w:fldCharType="separate"/>
      </w:r>
      <w:r>
        <w:rPr>
          <w:rStyle w:val="31"/>
          <w:rFonts w:hint="default" w:ascii="Arial" w:hAnsi="Arial" w:eastAsia="宋体" w:cs="Arial"/>
          <w:i w:val="0"/>
          <w:caps w:val="0"/>
          <w:color w:val="222222"/>
          <w:spacing w:val="0"/>
          <w:sz w:val="20"/>
          <w:szCs w:val="20"/>
          <w:shd w:val="clear" w:fill="FFFFFF"/>
          <w:lang w:val="en-US" w:eastAsia="zh-CN"/>
        </w:rPr>
        <w:t>https://corporate.walmart.com/esgreport/</w:t>
      </w:r>
      <w:r>
        <w:rPr>
          <w:rFonts w:hint="default" w:ascii="Arial" w:hAnsi="Arial" w:eastAsia="宋体" w:cs="Arial"/>
          <w:i w:val="0"/>
          <w:caps w:val="0"/>
          <w:color w:val="222222"/>
          <w:spacing w:val="0"/>
          <w:sz w:val="20"/>
          <w:szCs w:val="20"/>
          <w:u w:val="none"/>
          <w:shd w:val="clear" w:fill="FFFFFF"/>
          <w:lang w:val="en-US" w:eastAsia="zh-CN"/>
        </w:rPr>
        <w:fldChar w:fldCharType="end"/>
      </w:r>
      <w:r>
        <w:rPr>
          <w:rFonts w:hint="default" w:ascii="Arial" w:hAnsi="Arial" w:eastAsia="宋体" w:cs="Arial"/>
          <w:i w:val="0"/>
          <w:caps w:val="0"/>
          <w:color w:val="222222"/>
          <w:spacing w:val="0"/>
          <w:sz w:val="20"/>
          <w:szCs w:val="20"/>
          <w:u w:val="none"/>
          <w:shd w:val="clear" w:fill="FFFFFF"/>
          <w:lang w:val="en-US" w:eastAsia="zh-CN"/>
        </w:rPr>
        <w:t>environmental?locale=en</w:t>
      </w:r>
      <w:r>
        <w:rPr>
          <w:rFonts w:hint="eastAsia" w:ascii="Arial" w:hAnsi="Arial" w:eastAsia="宋体" w:cs="Arial"/>
          <w:i w:val="0"/>
          <w:caps w:val="0"/>
          <w:color w:val="222222"/>
          <w:spacing w:val="0"/>
          <w:sz w:val="20"/>
          <w:szCs w:val="20"/>
          <w:u w:val="none"/>
          <w:shd w:val="clear" w:fill="FFFFFF"/>
          <w:lang w:val="en-US" w:eastAsia="zh-CN"/>
        </w:rPr>
        <w:t>-</w:t>
      </w:r>
      <w:r>
        <w:rPr>
          <w:rFonts w:hint="default" w:ascii="Arial" w:hAnsi="Arial" w:eastAsia="宋体" w:cs="Arial"/>
          <w:i w:val="0"/>
          <w:caps w:val="0"/>
          <w:color w:val="222222"/>
          <w:spacing w:val="0"/>
          <w:sz w:val="20"/>
          <w:szCs w:val="20"/>
          <w:u w:val="none"/>
          <w:shd w:val="clear" w:fill="FFFFFF"/>
          <w:lang w:val="en-US" w:eastAsia="zh-CN"/>
        </w:rPr>
        <w:t>US#sustainable-supply-chain</w:t>
      </w:r>
      <w:r>
        <w:rPr>
          <w:rFonts w:hint="eastAsia" w:ascii="Arial" w:hAnsi="Arial" w:eastAsia="宋体" w:cs="Arial"/>
          <w:i w:val="0"/>
          <w:caps w:val="0"/>
          <w:color w:val="222222"/>
          <w:spacing w:val="0"/>
          <w:sz w:val="20"/>
          <w:szCs w:val="20"/>
          <w:u w:val="none"/>
          <w:shd w:val="clear" w:fill="FFFFFF"/>
          <w:lang w:val="en-US" w:eastAsia="zh-CN"/>
        </w:rPr>
        <w:t>.</w:t>
      </w: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eastAsia"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Wal-Mart.(2019).whats brewing certified sustainable private brand coffee.Retrieved from https://corporate.walmart.com/newsroom/2019/09/29/whats-brewing-certified-sustainable-private-brand-coffee.</w:t>
      </w:r>
    </w:p>
    <w:p>
      <w:pPr>
        <w:pStyle w:val="50"/>
        <w:spacing w:line="480" w:lineRule="auto"/>
        <w:rPr>
          <w:rFonts w:hint="default" w:ascii="Arial" w:hAnsi="Arial" w:eastAsia="宋体" w:cs="Arial"/>
          <w:i w:val="0"/>
          <w:caps w:val="0"/>
          <w:color w:val="222222"/>
          <w:spacing w:val="0"/>
          <w:sz w:val="20"/>
          <w:szCs w:val="20"/>
          <w:u w:val="none"/>
          <w:shd w:val="clear" w:fill="FFFFFF"/>
          <w:lang w:val="en-US" w:eastAsia="zh-CN"/>
        </w:rPr>
      </w:pPr>
    </w:p>
    <w:p>
      <w:pPr>
        <w:pStyle w:val="50"/>
        <w:spacing w:line="480" w:lineRule="auto"/>
        <w:rPr>
          <w:rFonts w:hint="default" w:ascii="Arial" w:hAnsi="Arial" w:eastAsia="宋体" w:cs="Arial"/>
          <w:i w:val="0"/>
          <w:caps w:val="0"/>
          <w:color w:val="222222"/>
          <w:spacing w:val="0"/>
          <w:sz w:val="20"/>
          <w:szCs w:val="20"/>
          <w:u w:val="none"/>
          <w:shd w:val="clear" w:fill="FFFFFF"/>
          <w:lang w:val="en-US" w:eastAsia="zh-CN"/>
        </w:rPr>
      </w:pPr>
      <w:r>
        <w:rPr>
          <w:rFonts w:hint="eastAsia" w:ascii="Arial" w:hAnsi="Arial" w:eastAsia="宋体" w:cs="Arial"/>
          <w:i w:val="0"/>
          <w:caps w:val="0"/>
          <w:color w:val="222222"/>
          <w:spacing w:val="0"/>
          <w:sz w:val="20"/>
          <w:szCs w:val="20"/>
          <w:u w:val="none"/>
          <w:shd w:val="clear" w:fill="FFFFFF"/>
          <w:lang w:val="en-US" w:eastAsia="zh-CN"/>
        </w:rPr>
        <w:t>Yoder, J. (2005) Walmart goes green with sustainable store. Building Design &amp; Construction, 46(8), 6-7.</w:t>
      </w:r>
    </w:p>
    <w:p>
      <w:pPr>
        <w:pStyle w:val="50"/>
        <w:spacing w:line="480" w:lineRule="auto"/>
        <w:rPr>
          <w:rFonts w:hint="default" w:ascii="Arial" w:hAnsi="Arial" w:eastAsia="宋体" w:cs="Arial"/>
          <w:i w:val="0"/>
          <w:caps w:val="0"/>
          <w:color w:val="222222"/>
          <w:spacing w:val="0"/>
          <w:sz w:val="18"/>
          <w:szCs w:val="18"/>
          <w:u w:val="none"/>
          <w:shd w:val="clear" w:fill="FFFFFF"/>
          <w:lang w:val="en-US" w:eastAsia="en-GB"/>
        </w:rPr>
      </w:pPr>
    </w:p>
    <w:p>
      <w:pPr>
        <w:pStyle w:val="50"/>
        <w:spacing w:line="480" w:lineRule="auto"/>
        <w:rPr>
          <w:rFonts w:hint="default" w:ascii="Arial" w:hAnsi="Arial" w:eastAsia="宋体" w:cs="Arial"/>
          <w:i w:val="0"/>
          <w:caps w:val="0"/>
          <w:color w:val="222222"/>
          <w:spacing w:val="0"/>
          <w:sz w:val="18"/>
          <w:szCs w:val="18"/>
          <w:u w:val="none"/>
          <w:shd w:val="clear" w:fill="FFFFFF"/>
          <w:lang w:val="en-US" w:eastAsia="en-GB"/>
        </w:rPr>
      </w:pPr>
    </w:p>
    <w:sectPr>
      <w:headerReference r:id="rId12" w:type="first"/>
      <w:headerReference r:id="rId11" w:type="default"/>
      <w:pgSz w:w="11906" w:h="16838"/>
      <w:pgMar w:top="1440" w:right="1440" w:bottom="1440" w:left="1440" w:header="567" w:footer="567" w:gutter="0"/>
      <w:pgNumType w:fmt="decimal"/>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Verdana">
    <w:panose1 w:val="020B0604030504040204"/>
    <w:charset w:val="00"/>
    <w:family w:val="swiss"/>
    <w:pitch w:val="default"/>
    <w:sig w:usb0="A00006FF" w:usb1="4000205B" w:usb2="00000010" w:usb3="00000000" w:csb0="2000019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Tahoma">
    <w:panose1 w:val="020B0604030504040204"/>
    <w:charset w:val="00"/>
    <w:family w:val="swiss"/>
    <w:pitch w:val="default"/>
    <w:sig w:usb0="E1002EFF" w:usb1="C000605B" w:usb2="00000029" w:usb3="00000000" w:csb0="200101FF" w:csb1="20280000"/>
  </w:font>
  <w:font w:name="&amp;quo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73290000"/>
      <w:docPartObj>
        <w:docPartGallery w:val="autotext"/>
      </w:docPartObj>
    </w:sdtPr>
    <w:sdtContent>
      <w:p>
        <w:pPr>
          <w:pStyle w:val="16"/>
          <w:jc w:val="center"/>
        </w:pPr>
      </w:p>
    </w:sdtContent>
  </w:sdt>
  <w:p>
    <w:pPr>
      <w:pStyle w:val="1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center"/>
    </w:pPr>
  </w:p>
  <w:p>
    <w:pPr>
      <w:pStyle w:val="1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16"/>
          <w:jc w:val="center"/>
        </w:pPr>
      </w:p>
    </w:sdtContent>
  </w:sdt>
  <w:p>
    <w:pPr>
      <w:pStyle w:val="1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center"/>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73693746"/>
                            <w:docPartObj>
                              <w:docPartGallery w:val="autotext"/>
                            </w:docPartObj>
                          </w:sdtPr>
                          <w:sdtContent>
                            <w:p>
                              <w:pPr>
                                <w:pStyle w:val="16"/>
                                <w:jc w:val="center"/>
                              </w:pPr>
                              <w:r>
                                <w:fldChar w:fldCharType="begin"/>
                              </w:r>
                              <w:r>
                                <w:instrText xml:space="preserve"> PAGE   \* MERGEFORMAT </w:instrText>
                              </w:r>
                              <w:r>
                                <w:fldChar w:fldCharType="separate"/>
                              </w:r>
                              <w:r>
                                <w:t>3</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sdt>
                    <w:sdtPr>
                      <w:id w:val="173693746"/>
                      <w:docPartObj>
                        <w:docPartGallery w:val="autotext"/>
                      </w:docPartObj>
                    </w:sdtPr>
                    <w:sdtContent>
                      <w:p>
                        <w:pPr>
                          <w:pStyle w:val="16"/>
                          <w:jc w:val="center"/>
                        </w:pPr>
                        <w:r>
                          <w:fldChar w:fldCharType="begin"/>
                        </w:r>
                        <w:r>
                          <w:instrText xml:space="preserve"> PAGE   \* MERGEFORMAT </w:instrText>
                        </w:r>
                        <w:r>
                          <w:fldChar w:fldCharType="separate"/>
                        </w:r>
                        <w:r>
                          <w:t>3</w:t>
                        </w:r>
                        <w:r>
                          <w:fldChar w:fldCharType="end"/>
                        </w:r>
                      </w:p>
                    </w:sdtContent>
                  </w:sdt>
                  <w:p/>
                </w:txbxContent>
              </v:textbox>
            </v:shape>
          </w:pict>
        </mc:Fallback>
      </mc:AlternateContent>
    </w:r>
  </w:p>
  <w:p>
    <w:pPr>
      <w:pStyle w:val="16"/>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cente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1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sdt>
      <w:sdtPr>
        <w:id w:val="-1903977953"/>
        <w:docPartObj>
          <w:docPartGallery w:val="autotext"/>
        </w:docPartObj>
      </w:sdtPr>
      <w:sdtContent/>
    </w:sdt>
  </w:p>
  <w:p>
    <w:pPr>
      <w:pStyle w:val="1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p>
  <w:p>
    <w:pPr>
      <w:pStyle w:val="17"/>
      <w:pBdr>
        <w:bottom w:val="single" w:color="auto" w:sz="4" w:space="1"/>
      </w:pBdr>
      <w:jc w:val="center"/>
      <w:rPr>
        <w:b/>
        <w:caps/>
        <w:szCs w:val="18"/>
      </w:rPr>
    </w:pPr>
  </w:p>
  <w:p>
    <w:pPr>
      <w:pStyle w:val="1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p>
  <w:p>
    <w:pPr>
      <w:pStyle w:val="17"/>
      <w:pBdr>
        <w:bottom w:val="single" w:color="auto" w:sz="4" w:space="1"/>
      </w:pBdr>
      <w:jc w:val="center"/>
      <w:rPr>
        <w:b/>
        <w:caps/>
        <w:szCs w:val="18"/>
      </w:rPr>
    </w:pPr>
  </w:p>
  <w:p>
    <w:pPr>
      <w:pStyle w:val="1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p>
  <w:p>
    <w:pPr>
      <w:pStyle w:val="17"/>
      <w:pBdr>
        <w:bottom w:val="single" w:color="auto" w:sz="4" w:space="1"/>
      </w:pBdr>
      <w:jc w:val="center"/>
      <w:rPr>
        <w:b/>
        <w:caps/>
        <w:szCs w:val="18"/>
      </w:rPr>
    </w:pPr>
  </w:p>
  <w:p>
    <w:pPr>
      <w:pStyle w:val="17"/>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p>
  <w:p>
    <w:pPr>
      <w:pStyle w:val="17"/>
      <w:pBdr>
        <w:bottom w:val="single" w:color="auto" w:sz="4" w:space="1"/>
      </w:pBdr>
      <w:jc w:val="center"/>
      <w:rPr>
        <w:rFonts w:ascii="Verdana" w:hAnsi="Verdana"/>
        <w:b/>
        <w:caps/>
        <w:sz w:val="18"/>
        <w:szCs w:val="18"/>
      </w:rPr>
    </w:pPr>
  </w:p>
  <w:p>
    <w:pPr>
      <w:pStyle w:val="17"/>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b/>
        <w:caps/>
        <w:szCs w:val="18"/>
      </w:rPr>
    </w:pPr>
  </w:p>
  <w:p>
    <w:pPr>
      <w:pStyle w:val="1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pStyle w:val="5"/>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3360897"/>
    <w:multiLevelType w:val="multilevel"/>
    <w:tmpl w:val="53360897"/>
    <w:lvl w:ilvl="0" w:tentative="0">
      <w:start w:val="1"/>
      <w:numFmt w:val="decimal"/>
      <w:lvlText w:val="%1."/>
      <w:lvlJc w:val="left"/>
      <w:pPr>
        <w:ind w:left="720" w:hanging="360"/>
      </w:pPr>
      <w:rPr>
        <w:rFonts w:hint="default" w:ascii="Verdana" w:hAnsi="Verdana"/>
        <w:caps/>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720" w:hanging="720"/>
      </w:pPr>
      <w:rPr>
        <w:rFonts w:hint="default"/>
        <w:b/>
        <w:sz w:val="18"/>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 w:val="0A2E5CD1"/>
    <w:rsid w:val="0EE856FD"/>
    <w:rsid w:val="146D3BB9"/>
    <w:rsid w:val="1DB33D11"/>
    <w:rsid w:val="267C3207"/>
    <w:rsid w:val="29BB00D7"/>
    <w:rsid w:val="3B633CCD"/>
    <w:rsid w:val="3E5D366A"/>
    <w:rsid w:val="4C925989"/>
    <w:rsid w:val="5315515B"/>
    <w:rsid w:val="55B74833"/>
    <w:rsid w:val="592A1BC7"/>
    <w:rsid w:val="5FB6747E"/>
    <w:rsid w:val="686E7033"/>
    <w:rsid w:val="6C7926FD"/>
    <w:rsid w:val="73573343"/>
    <w:rsid w:val="795868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uiPriority="39" w:semiHidden="0" w:name="toc 7"/>
    <w:lsdException w:qFormat="1" w:uiPriority="39" w:semiHidden="0" w:name="toc 8"/>
    <w:lsdException w:qFormat="1" w:uiPriority="39" w:semiHidden="0" w:name="toc 9"/>
    <w:lsdException w:qFormat="1" w:unhideWhenUsed="0" w:uiPriority="0" w:semiHidden="0" w:name="Normal Indent"/>
    <w:lsdException w:uiPriority="99" w:name="footnote text"/>
    <w:lsdException w:qFormat="1" w:uiPriority="99" w:name="annotation text"/>
    <w:lsdException w:qFormat="1" w:uiPriority="0"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99"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qFormat="1"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3"/>
    <w:next w:val="1"/>
    <w:link w:val="34"/>
    <w:qFormat/>
    <w:uiPriority w:val="0"/>
    <w:pPr>
      <w:numPr>
        <w:ilvl w:val="0"/>
        <w:numId w:val="1"/>
      </w:numPr>
      <w:outlineLvl w:val="0"/>
    </w:pPr>
    <w:rPr>
      <w:rFonts w:ascii="Arial" w:hAnsi="Arial" w:eastAsia="Arial Unicode MS"/>
      <w:b/>
      <w:caps/>
      <w:sz w:val="24"/>
      <w:szCs w:val="18"/>
    </w:rPr>
  </w:style>
  <w:style w:type="paragraph" w:styleId="4">
    <w:name w:val="heading 2"/>
    <w:basedOn w:val="3"/>
    <w:next w:val="1"/>
    <w:link w:val="35"/>
    <w:unhideWhenUsed/>
    <w:qFormat/>
    <w:uiPriority w:val="9"/>
    <w:pPr>
      <w:numPr>
        <w:ilvl w:val="1"/>
        <w:numId w:val="1"/>
      </w:numPr>
      <w:outlineLvl w:val="1"/>
    </w:pPr>
    <w:rPr>
      <w:rFonts w:ascii="Verdana" w:hAnsi="Verdana"/>
      <w:b/>
      <w:caps/>
      <w:sz w:val="18"/>
      <w:szCs w:val="18"/>
    </w:rPr>
  </w:style>
  <w:style w:type="paragraph" w:styleId="5">
    <w:name w:val="heading 3"/>
    <w:basedOn w:val="6"/>
    <w:next w:val="1"/>
    <w:link w:val="36"/>
    <w:unhideWhenUsed/>
    <w:qFormat/>
    <w:uiPriority w:val="9"/>
    <w:pPr>
      <w:numPr>
        <w:ilvl w:val="2"/>
        <w:numId w:val="1"/>
      </w:numPr>
      <w:tabs>
        <w:tab w:val="left" w:pos="880"/>
        <w:tab w:val="right" w:leader="dot" w:pos="9016"/>
      </w:tabs>
      <w:outlineLvl w:val="2"/>
    </w:pPr>
    <w:rPr>
      <w:rFonts w:ascii="Arial" w:hAnsi="Arial" w:eastAsiaTheme="minorEastAsia"/>
    </w:rPr>
  </w:style>
  <w:style w:type="paragraph" w:styleId="7">
    <w:name w:val="heading 4"/>
    <w:basedOn w:val="1"/>
    <w:next w:val="1"/>
    <w:link w:val="37"/>
    <w:semiHidden/>
    <w:unhideWhenUsed/>
    <w:qFormat/>
    <w:uiPriority w:val="9"/>
    <w:pPr>
      <w:keepNext/>
      <w:keepLines/>
      <w:spacing w:before="40" w:after="0"/>
      <w:outlineLvl w:val="3"/>
    </w:pPr>
    <w:rPr>
      <w:rFonts w:asciiTheme="majorHAnsi" w:hAnsiTheme="majorHAnsi" w:eastAsiaTheme="majorEastAsia" w:cstheme="majorBidi"/>
      <w:i/>
      <w:iCs/>
      <w:color w:val="2E75B6" w:themeColor="accent1" w:themeShade="BF"/>
    </w:rPr>
  </w:style>
  <w:style w:type="character" w:default="1" w:styleId="27">
    <w:name w:val="Default Paragraph Font"/>
    <w:semiHidden/>
    <w:unhideWhenUsed/>
    <w:qFormat/>
    <w:uiPriority w:val="1"/>
  </w:style>
  <w:style w:type="table" w:default="1" w:styleId="25">
    <w:name w:val="Normal Table"/>
    <w:semiHidden/>
    <w:unhideWhenUsed/>
    <w:qFormat/>
    <w:uiPriority w:val="99"/>
    <w:tblPr>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6">
    <w:name w:val="toc 2"/>
    <w:basedOn w:val="1"/>
    <w:next w:val="1"/>
    <w:unhideWhenUsed/>
    <w:qFormat/>
    <w:uiPriority w:val="39"/>
    <w:pPr>
      <w:tabs>
        <w:tab w:val="left" w:pos="880"/>
        <w:tab w:val="right" w:leader="dot" w:pos="9016"/>
      </w:tabs>
      <w:spacing w:after="0" w:line="480" w:lineRule="auto"/>
      <w:ind w:left="220"/>
    </w:pPr>
    <w:rPr>
      <w:rFonts w:asciiTheme="minorHAnsi" w:hAnsiTheme="minorHAnsi"/>
      <w:smallCaps/>
      <w:sz w:val="20"/>
      <w:szCs w:val="20"/>
    </w:rPr>
  </w:style>
  <w:style w:type="paragraph" w:styleId="8">
    <w:name w:val="toc 7"/>
    <w:basedOn w:val="1"/>
    <w:next w:val="1"/>
    <w:unhideWhenUsed/>
    <w:uiPriority w:val="39"/>
    <w:pPr>
      <w:spacing w:after="0"/>
      <w:ind w:left="1320"/>
    </w:pPr>
    <w:rPr>
      <w:rFonts w:asciiTheme="minorHAnsi" w:hAnsiTheme="minorHAnsi"/>
      <w:sz w:val="18"/>
      <w:szCs w:val="18"/>
    </w:rPr>
  </w:style>
  <w:style w:type="paragraph" w:styleId="9">
    <w:name w:val="Normal Indent"/>
    <w:basedOn w:val="1"/>
    <w:link w:val="43"/>
    <w:qFormat/>
    <w:uiPriority w:val="0"/>
    <w:pPr>
      <w:spacing w:after="0" w:line="360" w:lineRule="auto"/>
      <w:ind w:left="851"/>
      <w:jc w:val="both"/>
    </w:pPr>
    <w:rPr>
      <w:rFonts w:ascii="Verdana" w:hAnsi="Verdana" w:eastAsia="Times New Roman" w:cs="Times New Roman"/>
      <w:sz w:val="18"/>
      <w:szCs w:val="24"/>
    </w:rPr>
  </w:style>
  <w:style w:type="paragraph" w:styleId="10">
    <w:name w:val="caption"/>
    <w:basedOn w:val="1"/>
    <w:next w:val="1"/>
    <w:unhideWhenUsed/>
    <w:qFormat/>
    <w:uiPriority w:val="35"/>
    <w:pPr>
      <w:spacing w:line="240" w:lineRule="auto"/>
    </w:pPr>
    <w:rPr>
      <w:b/>
      <w:bCs/>
      <w:color w:val="5B9BD5" w:themeColor="accent1"/>
      <w:sz w:val="18"/>
      <w:szCs w:val="18"/>
      <w14:textFill>
        <w14:solidFill>
          <w14:schemeClr w14:val="accent1"/>
        </w14:solidFill>
      </w14:textFill>
    </w:rPr>
  </w:style>
  <w:style w:type="paragraph" w:styleId="11">
    <w:name w:val="annotation text"/>
    <w:basedOn w:val="1"/>
    <w:link w:val="45"/>
    <w:semiHidden/>
    <w:unhideWhenUsed/>
    <w:qFormat/>
    <w:uiPriority w:val="99"/>
    <w:pPr>
      <w:spacing w:line="240" w:lineRule="auto"/>
    </w:pPr>
    <w:rPr>
      <w:sz w:val="20"/>
      <w:szCs w:val="20"/>
    </w:rPr>
  </w:style>
  <w:style w:type="paragraph" w:styleId="12">
    <w:name w:val="toc 5"/>
    <w:basedOn w:val="1"/>
    <w:next w:val="1"/>
    <w:unhideWhenUsed/>
    <w:qFormat/>
    <w:uiPriority w:val="39"/>
    <w:pPr>
      <w:spacing w:after="0"/>
      <w:ind w:left="880"/>
    </w:pPr>
    <w:rPr>
      <w:rFonts w:asciiTheme="minorHAnsi" w:hAnsiTheme="minorHAnsi"/>
      <w:sz w:val="18"/>
      <w:szCs w:val="18"/>
    </w:rPr>
  </w:style>
  <w:style w:type="paragraph" w:styleId="13">
    <w:name w:val="toc 3"/>
    <w:basedOn w:val="1"/>
    <w:next w:val="1"/>
    <w:unhideWhenUsed/>
    <w:qFormat/>
    <w:uiPriority w:val="39"/>
    <w:pPr>
      <w:spacing w:after="0"/>
      <w:ind w:left="440"/>
    </w:pPr>
    <w:rPr>
      <w:rFonts w:asciiTheme="minorHAnsi" w:hAnsiTheme="minorHAnsi"/>
      <w:i/>
      <w:iCs/>
      <w:sz w:val="20"/>
      <w:szCs w:val="20"/>
    </w:rPr>
  </w:style>
  <w:style w:type="paragraph" w:styleId="14">
    <w:name w:val="toc 8"/>
    <w:basedOn w:val="1"/>
    <w:next w:val="1"/>
    <w:unhideWhenUsed/>
    <w:qFormat/>
    <w:uiPriority w:val="39"/>
    <w:pPr>
      <w:spacing w:after="0"/>
      <w:ind w:left="1540"/>
    </w:pPr>
    <w:rPr>
      <w:rFonts w:asciiTheme="minorHAnsi" w:hAnsiTheme="minorHAnsi"/>
      <w:sz w:val="18"/>
      <w:szCs w:val="18"/>
    </w:rPr>
  </w:style>
  <w:style w:type="paragraph" w:styleId="15">
    <w:name w:val="Balloon Text"/>
    <w:basedOn w:val="1"/>
    <w:link w:val="38"/>
    <w:semiHidden/>
    <w:unhideWhenUsed/>
    <w:qFormat/>
    <w:uiPriority w:val="99"/>
    <w:pPr>
      <w:spacing w:after="0" w:line="240" w:lineRule="auto"/>
    </w:pPr>
    <w:rPr>
      <w:rFonts w:ascii="Tahoma" w:hAnsi="Tahoma" w:cs="Tahoma"/>
      <w:sz w:val="16"/>
      <w:szCs w:val="16"/>
    </w:rPr>
  </w:style>
  <w:style w:type="paragraph" w:styleId="16">
    <w:name w:val="footer"/>
    <w:basedOn w:val="1"/>
    <w:link w:val="42"/>
    <w:unhideWhenUsed/>
    <w:qFormat/>
    <w:uiPriority w:val="99"/>
    <w:pPr>
      <w:tabs>
        <w:tab w:val="center" w:pos="4513"/>
        <w:tab w:val="right" w:pos="9026"/>
      </w:tabs>
      <w:spacing w:after="0" w:line="240" w:lineRule="auto"/>
    </w:pPr>
  </w:style>
  <w:style w:type="paragraph" w:styleId="17">
    <w:name w:val="header"/>
    <w:basedOn w:val="1"/>
    <w:link w:val="41"/>
    <w:unhideWhenUsed/>
    <w:qFormat/>
    <w:uiPriority w:val="0"/>
    <w:pPr>
      <w:tabs>
        <w:tab w:val="center" w:pos="4513"/>
        <w:tab w:val="right" w:pos="9026"/>
      </w:tabs>
      <w:spacing w:after="0" w:line="240" w:lineRule="auto"/>
    </w:pPr>
  </w:style>
  <w:style w:type="paragraph" w:styleId="18">
    <w:name w:val="toc 1"/>
    <w:basedOn w:val="1"/>
    <w:next w:val="1"/>
    <w:unhideWhenUsed/>
    <w:uiPriority w:val="39"/>
    <w:pPr>
      <w:spacing w:before="120" w:after="120" w:line="480" w:lineRule="auto"/>
    </w:pPr>
    <w:rPr>
      <w:rFonts w:ascii="Verdana" w:hAnsi="Verdana"/>
      <w:b/>
      <w:bCs/>
      <w:caps/>
      <w:color w:val="FF0000"/>
      <w:sz w:val="18"/>
      <w:szCs w:val="20"/>
    </w:rPr>
  </w:style>
  <w:style w:type="paragraph" w:styleId="19">
    <w:name w:val="toc 4"/>
    <w:basedOn w:val="1"/>
    <w:next w:val="1"/>
    <w:unhideWhenUsed/>
    <w:qFormat/>
    <w:uiPriority w:val="39"/>
    <w:pPr>
      <w:spacing w:after="0"/>
      <w:ind w:left="660"/>
    </w:pPr>
    <w:rPr>
      <w:rFonts w:asciiTheme="minorHAnsi" w:hAnsiTheme="minorHAnsi"/>
      <w:sz w:val="18"/>
      <w:szCs w:val="18"/>
    </w:rPr>
  </w:style>
  <w:style w:type="paragraph" w:styleId="20">
    <w:name w:val="toc 6"/>
    <w:basedOn w:val="1"/>
    <w:next w:val="1"/>
    <w:unhideWhenUsed/>
    <w:qFormat/>
    <w:uiPriority w:val="39"/>
    <w:pPr>
      <w:spacing w:after="0"/>
      <w:ind w:left="1100"/>
    </w:pPr>
    <w:rPr>
      <w:rFonts w:asciiTheme="minorHAnsi" w:hAnsiTheme="minorHAnsi"/>
      <w:sz w:val="18"/>
      <w:szCs w:val="18"/>
    </w:rPr>
  </w:style>
  <w:style w:type="paragraph" w:styleId="21">
    <w:name w:val="table of figures"/>
    <w:basedOn w:val="1"/>
    <w:next w:val="1"/>
    <w:unhideWhenUsed/>
    <w:qFormat/>
    <w:uiPriority w:val="99"/>
    <w:pPr>
      <w:spacing w:after="0"/>
      <w:ind w:left="440" w:hanging="440"/>
    </w:pPr>
    <w:rPr>
      <w:smallCaps/>
      <w:sz w:val="20"/>
      <w:szCs w:val="20"/>
    </w:rPr>
  </w:style>
  <w:style w:type="paragraph" w:styleId="22">
    <w:name w:val="toc 9"/>
    <w:basedOn w:val="1"/>
    <w:next w:val="1"/>
    <w:unhideWhenUsed/>
    <w:qFormat/>
    <w:uiPriority w:val="39"/>
    <w:pPr>
      <w:spacing w:after="0"/>
      <w:ind w:left="1760"/>
    </w:pPr>
    <w:rPr>
      <w:rFonts w:asciiTheme="minorHAnsi" w:hAnsiTheme="minorHAnsi"/>
      <w:sz w:val="18"/>
      <w:szCs w:val="18"/>
    </w:rPr>
  </w:style>
  <w:style w:type="paragraph" w:styleId="23">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24">
    <w:name w:val="annotation subject"/>
    <w:basedOn w:val="11"/>
    <w:next w:val="11"/>
    <w:link w:val="46"/>
    <w:semiHidden/>
    <w:unhideWhenUsed/>
    <w:qFormat/>
    <w:uiPriority w:val="99"/>
    <w:rPr>
      <w:b/>
      <w:bCs/>
    </w:rPr>
  </w:style>
  <w:style w:type="table" w:styleId="26">
    <w:name w:val="Table Grid"/>
    <w:basedOn w:val="25"/>
    <w:qFormat/>
    <w:uiPriority w:val="59"/>
    <w:pPr>
      <w:spacing w:after="0" w:line="240" w:lineRule="auto"/>
    </w:pPr>
    <w:rPr>
      <w:rFonts w:eastAsiaTheme="minorEastAsia"/>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8">
    <w:name w:val="Strong"/>
    <w:basedOn w:val="27"/>
    <w:qFormat/>
    <w:uiPriority w:val="99"/>
    <w:rPr>
      <w:b/>
      <w:bCs/>
    </w:rPr>
  </w:style>
  <w:style w:type="character" w:styleId="29">
    <w:name w:val="page number"/>
    <w:basedOn w:val="27"/>
    <w:qFormat/>
    <w:uiPriority w:val="0"/>
    <w:rPr>
      <w:rFonts w:ascii="Verdana" w:hAnsi="Verdana"/>
      <w:sz w:val="18"/>
    </w:rPr>
  </w:style>
  <w:style w:type="character" w:styleId="30">
    <w:name w:val="Emphasis"/>
    <w:qFormat/>
    <w:uiPriority w:val="20"/>
    <w:rPr>
      <w:rFonts w:ascii="Verdana" w:hAnsi="Verdana" w:cs="Arial"/>
      <w:sz w:val="18"/>
      <w:szCs w:val="18"/>
    </w:rPr>
  </w:style>
  <w:style w:type="character" w:styleId="31">
    <w:name w:val="Hyperlink"/>
    <w:basedOn w:val="27"/>
    <w:unhideWhenUsed/>
    <w:uiPriority w:val="99"/>
    <w:rPr>
      <w:color w:val="0563C1" w:themeColor="hyperlink"/>
      <w:u w:val="single"/>
      <w14:textFill>
        <w14:solidFill>
          <w14:schemeClr w14:val="hlink"/>
        </w14:solidFill>
      </w14:textFill>
    </w:rPr>
  </w:style>
  <w:style w:type="character" w:styleId="32">
    <w:name w:val="annotation reference"/>
    <w:basedOn w:val="27"/>
    <w:semiHidden/>
    <w:unhideWhenUsed/>
    <w:qFormat/>
    <w:uiPriority w:val="99"/>
    <w:rPr>
      <w:sz w:val="16"/>
      <w:szCs w:val="16"/>
    </w:rPr>
  </w:style>
  <w:style w:type="character" w:styleId="33">
    <w:name w:val="HTML Cite"/>
    <w:basedOn w:val="27"/>
    <w:semiHidden/>
    <w:unhideWhenUsed/>
    <w:qFormat/>
    <w:uiPriority w:val="99"/>
    <w:rPr>
      <w:i/>
      <w:iCs/>
    </w:rPr>
  </w:style>
  <w:style w:type="character" w:customStyle="1" w:styleId="34">
    <w:name w:val="Heading 1 Char"/>
    <w:basedOn w:val="27"/>
    <w:link w:val="2"/>
    <w:qFormat/>
    <w:uiPriority w:val="0"/>
    <w:rPr>
      <w:rFonts w:ascii="Arial" w:hAnsi="Arial" w:eastAsia="Arial Unicode MS" w:cs="Calibri"/>
      <w:b/>
      <w:caps/>
      <w:sz w:val="24"/>
      <w:szCs w:val="18"/>
    </w:rPr>
  </w:style>
  <w:style w:type="character" w:customStyle="1" w:styleId="35">
    <w:name w:val="Heading 2 Char"/>
    <w:basedOn w:val="27"/>
    <w:link w:val="4"/>
    <w:qFormat/>
    <w:uiPriority w:val="9"/>
    <w:rPr>
      <w:rFonts w:ascii="Verdana" w:hAnsi="Verdana" w:cs="Calibri"/>
      <w:b/>
      <w:caps/>
      <w:sz w:val="18"/>
      <w:szCs w:val="18"/>
    </w:rPr>
  </w:style>
  <w:style w:type="character" w:customStyle="1" w:styleId="36">
    <w:name w:val="Heading 3 Char"/>
    <w:basedOn w:val="27"/>
    <w:link w:val="5"/>
    <w:qFormat/>
    <w:uiPriority w:val="9"/>
    <w:rPr>
      <w:rFonts w:ascii="Arial" w:hAnsi="Arial" w:cs="Calibri" w:eastAsiaTheme="minorEastAsia"/>
      <w:smallCaps/>
      <w:sz w:val="20"/>
      <w:szCs w:val="20"/>
    </w:rPr>
  </w:style>
  <w:style w:type="character" w:customStyle="1" w:styleId="37">
    <w:name w:val="Heading 4 Char"/>
    <w:basedOn w:val="27"/>
    <w:link w:val="7"/>
    <w:semiHidden/>
    <w:qFormat/>
    <w:uiPriority w:val="9"/>
    <w:rPr>
      <w:rFonts w:asciiTheme="majorHAnsi" w:hAnsiTheme="majorHAnsi" w:eastAsiaTheme="majorEastAsia" w:cstheme="majorBidi"/>
      <w:i/>
      <w:iCs/>
      <w:color w:val="2E75B6" w:themeColor="accent1" w:themeShade="BF"/>
    </w:rPr>
  </w:style>
  <w:style w:type="character" w:customStyle="1" w:styleId="38">
    <w:name w:val="Balloon Text Char"/>
    <w:basedOn w:val="27"/>
    <w:link w:val="15"/>
    <w:semiHidden/>
    <w:qFormat/>
    <w:uiPriority w:val="99"/>
    <w:rPr>
      <w:rFonts w:ascii="Tahoma" w:hAnsi="Tahoma" w:cs="Tahoma" w:eastAsiaTheme="minorEastAsia"/>
      <w:sz w:val="16"/>
      <w:szCs w:val="16"/>
      <w:lang w:eastAsia="en-GB"/>
    </w:rPr>
  </w:style>
  <w:style w:type="paragraph" w:styleId="39">
    <w:name w:val="No Spacing"/>
    <w:link w:val="40"/>
    <w:qFormat/>
    <w:uiPriority w:val="1"/>
    <w:pPr>
      <w:spacing w:after="0" w:line="240" w:lineRule="auto"/>
    </w:pPr>
    <w:rPr>
      <w:rFonts w:asciiTheme="minorHAnsi" w:hAnsiTheme="minorHAnsi" w:eastAsiaTheme="minorEastAsia" w:cstheme="minorBidi"/>
      <w:sz w:val="22"/>
      <w:szCs w:val="22"/>
      <w:lang w:val="en-US" w:eastAsia="en-GB" w:bidi="ar-SA"/>
    </w:rPr>
  </w:style>
  <w:style w:type="character" w:customStyle="1" w:styleId="40">
    <w:name w:val="No Spacing Char"/>
    <w:basedOn w:val="27"/>
    <w:link w:val="39"/>
    <w:qFormat/>
    <w:uiPriority w:val="1"/>
    <w:rPr>
      <w:rFonts w:eastAsiaTheme="minorEastAsia"/>
      <w:lang w:val="en-US" w:eastAsia="en-GB"/>
    </w:rPr>
  </w:style>
  <w:style w:type="character" w:customStyle="1" w:styleId="41">
    <w:name w:val="Header Char"/>
    <w:basedOn w:val="27"/>
    <w:link w:val="17"/>
    <w:qFormat/>
    <w:uiPriority w:val="99"/>
    <w:rPr>
      <w:rFonts w:eastAsiaTheme="minorEastAsia"/>
      <w:lang w:eastAsia="en-GB"/>
    </w:rPr>
  </w:style>
  <w:style w:type="character" w:customStyle="1" w:styleId="42">
    <w:name w:val="Footer Char"/>
    <w:basedOn w:val="27"/>
    <w:link w:val="16"/>
    <w:qFormat/>
    <w:uiPriority w:val="99"/>
    <w:rPr>
      <w:rFonts w:eastAsiaTheme="minorEastAsia"/>
      <w:lang w:eastAsia="en-GB"/>
    </w:rPr>
  </w:style>
  <w:style w:type="character" w:customStyle="1" w:styleId="43">
    <w:name w:val="Normal Indent Char"/>
    <w:basedOn w:val="27"/>
    <w:link w:val="9"/>
    <w:qFormat/>
    <w:uiPriority w:val="0"/>
    <w:rPr>
      <w:rFonts w:ascii="Verdana" w:hAnsi="Verdana" w:eastAsia="Times New Roman" w:cs="Times New Roman"/>
      <w:sz w:val="18"/>
      <w:szCs w:val="24"/>
      <w:lang w:eastAsia="en-GB"/>
    </w:rPr>
  </w:style>
  <w:style w:type="paragraph" w:customStyle="1" w:styleId="44">
    <w:name w:val="Bibliography"/>
    <w:basedOn w:val="1"/>
    <w:next w:val="1"/>
    <w:unhideWhenUsed/>
    <w:qFormat/>
    <w:uiPriority w:val="37"/>
  </w:style>
  <w:style w:type="character" w:customStyle="1" w:styleId="45">
    <w:name w:val="Comment Text Char"/>
    <w:basedOn w:val="27"/>
    <w:link w:val="11"/>
    <w:semiHidden/>
    <w:qFormat/>
    <w:uiPriority w:val="99"/>
    <w:rPr>
      <w:rFonts w:eastAsiaTheme="minorEastAsia"/>
      <w:sz w:val="20"/>
      <w:szCs w:val="20"/>
      <w:lang w:eastAsia="en-GB"/>
    </w:rPr>
  </w:style>
  <w:style w:type="character" w:customStyle="1" w:styleId="46">
    <w:name w:val="Comment Subject Char"/>
    <w:basedOn w:val="45"/>
    <w:link w:val="24"/>
    <w:semiHidden/>
    <w:qFormat/>
    <w:uiPriority w:val="99"/>
    <w:rPr>
      <w:rFonts w:eastAsiaTheme="minorEastAsia"/>
      <w:b/>
      <w:bCs/>
      <w:sz w:val="20"/>
      <w:szCs w:val="20"/>
      <w:lang w:eastAsia="en-GB"/>
    </w:rPr>
  </w:style>
  <w:style w:type="character" w:customStyle="1" w:styleId="47">
    <w:name w:val="apple-converted-space"/>
    <w:basedOn w:val="27"/>
    <w:qFormat/>
    <w:uiPriority w:val="0"/>
  </w:style>
  <w:style w:type="character" w:customStyle="1" w:styleId="48">
    <w:name w:val="fn"/>
    <w:basedOn w:val="27"/>
    <w:qFormat/>
    <w:uiPriority w:val="0"/>
  </w:style>
  <w:style w:type="character" w:customStyle="1" w:styleId="49">
    <w:name w:val="Subtitle1"/>
    <w:basedOn w:val="27"/>
    <w:qFormat/>
    <w:uiPriority w:val="0"/>
  </w:style>
  <w:style w:type="paragraph" w:customStyle="1" w:styleId="50">
    <w:name w:val="Style1"/>
    <w:basedOn w:val="9"/>
    <w:link w:val="51"/>
    <w:qFormat/>
    <w:uiPriority w:val="0"/>
  </w:style>
  <w:style w:type="character" w:customStyle="1" w:styleId="51">
    <w:name w:val="Style1 Char"/>
    <w:basedOn w:val="43"/>
    <w:link w:val="50"/>
    <w:qFormat/>
    <w:uiPriority w:val="0"/>
    <w:rPr>
      <w:rFonts w:ascii="Verdana" w:hAnsi="Verdana" w:eastAsia="Times New Roman" w:cs="Times New Roman"/>
      <w:sz w:val="18"/>
      <w:szCs w:val="24"/>
      <w:lang w:eastAsia="en-GB"/>
    </w:rPr>
  </w:style>
  <w:style w:type="paragraph" w:customStyle="1" w:styleId="52">
    <w:name w:val="Quote !"/>
    <w:basedOn w:val="50"/>
    <w:link w:val="53"/>
    <w:qFormat/>
    <w:uiPriority w:val="0"/>
    <w:pPr>
      <w:spacing w:line="240" w:lineRule="auto"/>
      <w:ind w:left="1440"/>
    </w:pPr>
    <w:rPr>
      <w:b/>
      <w:i/>
    </w:rPr>
  </w:style>
  <w:style w:type="character" w:customStyle="1" w:styleId="53">
    <w:name w:val="Quote ! Char"/>
    <w:basedOn w:val="51"/>
    <w:link w:val="52"/>
    <w:qFormat/>
    <w:uiPriority w:val="0"/>
    <w:rPr>
      <w:rFonts w:ascii="Verdana" w:hAnsi="Verdana" w:eastAsia="Times New Roman" w:cs="Times New Roman"/>
      <w:b/>
      <w:i/>
      <w:sz w:val="18"/>
      <w:szCs w:val="24"/>
      <w:lang w:eastAsia="en-GB"/>
    </w:rPr>
  </w:style>
  <w:style w:type="paragraph" w:customStyle="1" w:styleId="54">
    <w:name w:val="Head 3"/>
    <w:basedOn w:val="4"/>
    <w:link w:val="55"/>
    <w:qFormat/>
    <w:uiPriority w:val="0"/>
    <w:pPr>
      <w:keepNext/>
      <w:keepLines/>
      <w:numPr>
        <w:ilvl w:val="0"/>
        <w:numId w:val="0"/>
      </w:numPr>
      <w:spacing w:after="0" w:line="360" w:lineRule="auto"/>
      <w:ind w:left="851" w:hanging="851"/>
      <w:contextualSpacing w:val="0"/>
    </w:pPr>
    <w:rPr>
      <w:rFonts w:eastAsiaTheme="majorEastAsia" w:cstheme="majorBidi"/>
      <w:bCs/>
      <w:caps w:val="0"/>
      <w:szCs w:val="26"/>
    </w:rPr>
  </w:style>
  <w:style w:type="character" w:customStyle="1" w:styleId="55">
    <w:name w:val="Head 3 Char"/>
    <w:basedOn w:val="35"/>
    <w:link w:val="54"/>
    <w:qFormat/>
    <w:uiPriority w:val="0"/>
    <w:rPr>
      <w:rFonts w:ascii="Verdana" w:hAnsi="Verdana" w:eastAsiaTheme="majorEastAsia" w:cstheme="majorBidi"/>
      <w:bCs/>
      <w:caps w:val="0"/>
      <w:sz w:val="18"/>
      <w:szCs w:val="26"/>
      <w:lang w:eastAsia="en-GB"/>
    </w:rPr>
  </w:style>
  <w:style w:type="character" w:customStyle="1" w:styleId="56">
    <w:name w:val="citation"/>
    <w:basedOn w:val="27"/>
    <w:qFormat/>
    <w:uiPriority w:val="0"/>
  </w:style>
  <w:style w:type="paragraph" w:customStyle="1" w:styleId="57">
    <w:name w:val="[Normal]"/>
    <w:qFormat/>
    <w:uiPriority w:val="99"/>
    <w:pPr>
      <w:widowControl w:val="0"/>
      <w:autoSpaceDE w:val="0"/>
      <w:autoSpaceDN w:val="0"/>
      <w:adjustRightInd w:val="0"/>
      <w:spacing w:after="0" w:line="240" w:lineRule="auto"/>
    </w:pPr>
    <w:rPr>
      <w:rFonts w:ascii="Arial" w:hAnsi="Arial" w:cs="Arial" w:eastAsiaTheme="minorHAnsi"/>
      <w:sz w:val="24"/>
      <w:szCs w:val="24"/>
      <w:lang w:val="en-GB" w:eastAsia="en-US" w:bidi="ar-SA"/>
    </w:rPr>
  </w:style>
  <w:style w:type="character" w:customStyle="1" w:styleId="58">
    <w:name w:val="sc"/>
    <w:basedOn w:val="27"/>
    <w:qFormat/>
    <w:uiPriority w:val="0"/>
  </w:style>
  <w:style w:type="character" w:customStyle="1" w:styleId="59">
    <w:name w:val="selectable"/>
    <w:basedOn w:val="27"/>
    <w:qFormat/>
    <w:uiPriority w:val="0"/>
  </w:style>
  <w:style w:type="character" w:customStyle="1" w:styleId="60">
    <w:name w:val="passage-display-bcv"/>
    <w:basedOn w:val="27"/>
    <w:qFormat/>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header" Target="header3.xml"/><Relationship Id="rId7" Type="http://schemas.openxmlformats.org/officeDocument/2006/relationships/header" Target="header2.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2.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header" Target="header5.xml"/><Relationship Id="rId11" Type="http://schemas.openxmlformats.org/officeDocument/2006/relationships/header" Target="header4.xml"/><Relationship Id="rId10" Type="http://schemas.openxmlformats.org/officeDocument/2006/relationships/footer" Target="footer5.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0A27E4E-3A3E-4485-8FB8-A00FF5C4DA6C}">
  <ds:schemaRefs/>
</ds:datastoreItem>
</file>

<file path=docProps/app.xml><?xml version="1.0" encoding="utf-8"?>
<Properties xmlns="http://schemas.openxmlformats.org/officeDocument/2006/extended-properties" xmlns:vt="http://schemas.openxmlformats.org/officeDocument/2006/docPropsVTypes">
  <Template>Normal</Template>
  <Pages>9</Pages>
  <Words>1311</Words>
  <Characters>7475</Characters>
  <Lines>62</Lines>
  <Paragraphs>17</Paragraphs>
  <TotalTime>2</TotalTime>
  <ScaleCrop>false</ScaleCrop>
  <LinksUpToDate>false</LinksUpToDate>
  <CharactersWithSpaces>8769</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2018-10-22T17:09:00Z</dcterms:created>
  <dc:creator>gareth hughes</dc:creator>
  <cp:lastModifiedBy>媛滚滚</cp:lastModifiedBy>
  <cp:lastPrinted>2018-10-22T17:00:00Z</cp:lastPrinted>
  <dcterms:modified xsi:type="dcterms:W3CDTF">2019-11-22T14:05:06Z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