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CACD38" w14:textId="1281C1B0" w:rsidR="0091214F" w:rsidRDefault="0091214F" w:rsidP="0091214F">
      <w:pPr>
        <w:jc w:val="center"/>
        <w:rPr>
          <w:b/>
          <w:bCs/>
          <w:sz w:val="36"/>
          <w:szCs w:val="36"/>
        </w:rPr>
      </w:pPr>
      <w:r w:rsidRPr="0091214F">
        <w:rPr>
          <w:b/>
          <w:bCs/>
          <w:sz w:val="36"/>
          <w:szCs w:val="36"/>
        </w:rPr>
        <w:t>2320025</w:t>
      </w:r>
    </w:p>
    <w:p w14:paraId="74C38CA2" w14:textId="4BEFFC16" w:rsidR="0091214F" w:rsidRDefault="0091214F" w:rsidP="0091214F">
      <w:pPr>
        <w:jc w:val="center"/>
        <w:rPr>
          <w:b/>
          <w:bCs/>
          <w:sz w:val="36"/>
          <w:szCs w:val="36"/>
        </w:rPr>
      </w:pPr>
      <w:r>
        <w:rPr>
          <w:b/>
          <w:bCs/>
          <w:sz w:val="36"/>
          <w:szCs w:val="36"/>
        </w:rPr>
        <w:t>Academic assignment 2</w:t>
      </w:r>
      <w:r>
        <w:rPr>
          <w:b/>
          <w:bCs/>
          <w:sz w:val="36"/>
          <w:szCs w:val="36"/>
        </w:rPr>
        <w:br/>
      </w:r>
      <w:r>
        <w:rPr>
          <w:b/>
          <w:bCs/>
          <w:sz w:val="36"/>
          <w:szCs w:val="36"/>
        </w:rPr>
        <w:br/>
      </w:r>
      <w:r>
        <w:rPr>
          <w:b/>
          <w:bCs/>
          <w:sz w:val="36"/>
          <w:szCs w:val="36"/>
        </w:rPr>
        <w:br/>
      </w:r>
      <w:r>
        <w:rPr>
          <w:b/>
          <w:bCs/>
          <w:sz w:val="36"/>
          <w:szCs w:val="36"/>
        </w:rPr>
        <w:br/>
      </w:r>
    </w:p>
    <w:p w14:paraId="23BC642D" w14:textId="74686158" w:rsidR="0091214F" w:rsidRPr="00902DEA" w:rsidRDefault="0091214F" w:rsidP="0036616B">
      <w:pPr>
        <w:jc w:val="center"/>
        <w:rPr>
          <w:b/>
          <w:bCs/>
        </w:rPr>
      </w:pPr>
      <w:r w:rsidRPr="00902DEA">
        <w:rPr>
          <w:b/>
          <w:bCs/>
        </w:rPr>
        <w:t>Essay 1 -</w:t>
      </w:r>
      <w:r w:rsidRPr="00902DEA">
        <w:rPr>
          <w:b/>
          <w:bCs/>
        </w:rPr>
        <w:br/>
        <w:t>“What lessons have been learned from recent high-profile critical and major incidents, and how have these translated into best practice for policing?”</w:t>
      </w:r>
    </w:p>
    <w:p w14:paraId="2BBAFD8F" w14:textId="77777777" w:rsidR="0091214F" w:rsidRDefault="0091214F" w:rsidP="0091214F"/>
    <w:p w14:paraId="3207AF76" w14:textId="77777777" w:rsidR="0091214F" w:rsidRDefault="0091214F" w:rsidP="0091214F"/>
    <w:p w14:paraId="027FA25F" w14:textId="4E0392E1" w:rsidR="0091214F" w:rsidRDefault="0091214F" w:rsidP="0091214F">
      <w:r>
        <w:t xml:space="preserve">In recent time, </w:t>
      </w:r>
      <w:proofErr w:type="gramStart"/>
      <w:r>
        <w:t>a number of</w:t>
      </w:r>
      <w:proofErr w:type="gramEnd"/>
      <w:r>
        <w:t xml:space="preserve"> highly publicised and visible critical and major incidents have put a spotlight on policing practice, policy, procedure and public trust</w:t>
      </w:r>
      <w:r w:rsidR="00DA019E">
        <w:t>.</w:t>
      </w:r>
      <w:r w:rsidR="00DA019E">
        <w:br/>
        <w:t xml:space="preserve">Critical incidents are shortly defined as “incidents </w:t>
      </w:r>
      <w:r w:rsidR="00DA019E" w:rsidRPr="00DA019E">
        <w:t>posing significant risk to life or public confidence</w:t>
      </w:r>
      <w:r w:rsidR="00DA019E">
        <w:t xml:space="preserve">”. Major incidents are defined as “events with serious consequences in which a coordinated response is required from one or more emergency service”. Recent incidents of both types have </w:t>
      </w:r>
      <w:r w:rsidR="00D67ED2">
        <w:t>revealed not only shortcomings in operational response but also base level cultural, systemic and institutional areas in policing. Events such as the Manchester arena bombing, the murder of Sarah Everard</w:t>
      </w:r>
      <w:r w:rsidR="00B05519">
        <w:t xml:space="preserve"> and the 2011 England riots </w:t>
      </w:r>
      <w:r w:rsidR="00D67ED2">
        <w:t>have all sparked national</w:t>
      </w:r>
      <w:r w:rsidR="00A56CE8">
        <w:t xml:space="preserve"> concern and rectification.</w:t>
      </w:r>
      <w:r w:rsidR="00A56CE8">
        <w:br/>
      </w:r>
      <w:r w:rsidR="00A56CE8">
        <w:br/>
        <w:t xml:space="preserve">These </w:t>
      </w:r>
      <w:proofErr w:type="gramStart"/>
      <w:r w:rsidR="00A56CE8">
        <w:t>particular incidents</w:t>
      </w:r>
      <w:proofErr w:type="gramEnd"/>
      <w:r w:rsidR="00A56CE8">
        <w:t xml:space="preserve"> and those of similarity have instigated reviews into police</w:t>
      </w:r>
      <w:r w:rsidR="00B05519">
        <w:t xml:space="preserve"> forces </w:t>
      </w:r>
      <w:r w:rsidR="00A56CE8">
        <w:t>operational response to incidents of great consequence and how the individuals within police forces interact with the communities impacted by such events. As</w:t>
      </w:r>
      <w:r w:rsidR="00280E22">
        <w:t xml:space="preserve"> a</w:t>
      </w:r>
      <w:r w:rsidR="00A56CE8">
        <w:t xml:space="preserve"> result</w:t>
      </w:r>
      <w:r w:rsidR="00280E22">
        <w:t>,</w:t>
      </w:r>
      <w:r w:rsidR="00A56CE8">
        <w:t xml:space="preserve"> policing boards</w:t>
      </w:r>
      <w:r w:rsidR="00280E22">
        <w:t xml:space="preserve"> and reviewing institutions have made change to training and police frameworks regarding policing conduct, emergency preparedness, multi-agency responses and engagement with the public. </w:t>
      </w:r>
      <w:r w:rsidR="00280E22">
        <w:br/>
      </w:r>
      <w:r w:rsidR="00280E22">
        <w:br/>
        <w:t xml:space="preserve">This essay will critically examine the reform created </w:t>
      </w:r>
      <w:proofErr w:type="gramStart"/>
      <w:r w:rsidR="00280E22">
        <w:t>as a result of</w:t>
      </w:r>
      <w:proofErr w:type="gramEnd"/>
      <w:r w:rsidR="00280E22">
        <w:t xml:space="preserve"> these incidents and assess how such reform </w:t>
      </w:r>
      <w:r w:rsidR="00F51397">
        <w:t>has</w:t>
      </w:r>
      <w:r w:rsidR="00280E22">
        <w:t xml:space="preserve"> improved practices for policing.</w:t>
      </w:r>
      <w:r w:rsidR="00F51397">
        <w:t xml:space="preserve"> This discussion will highlight both the progress made and the ongoing challenges that constantly change the operation of modern policing.</w:t>
      </w:r>
    </w:p>
    <w:p w14:paraId="373B73EE" w14:textId="77777777" w:rsidR="002C1F1F" w:rsidRDefault="002C1F1F" w:rsidP="0091214F"/>
    <w:p w14:paraId="3B833610" w14:textId="77777777" w:rsidR="002C1F1F" w:rsidRDefault="002C1F1F" w:rsidP="0091214F"/>
    <w:p w14:paraId="784CE6E8" w14:textId="77777777" w:rsidR="00A67194" w:rsidRDefault="00D36AFE" w:rsidP="0091214F">
      <w:r>
        <w:lastRenderedPageBreak/>
        <w:t xml:space="preserve">The murder of Sarah Everard and the subsequent trial against her killer, Metropolitan Police constable Wayne Couzens in March of 2021 exposed deep existing issues with  police culture, handling of police misconduct and police vetting leading to a </w:t>
      </w:r>
      <w:r w:rsidR="002914BA">
        <w:t>number of intense changes in procedure with enquiries in policing as a whole in the United Kingdom.</w:t>
      </w:r>
      <w:r w:rsidR="002914BA">
        <w:br/>
      </w:r>
      <w:r w:rsidR="002914BA">
        <w:br/>
        <w:t>The incident caused extreme distrust and public outrage against police nationwide</w:t>
      </w:r>
      <w:r w:rsidR="00CA4F2F">
        <w:t xml:space="preserve"> </w:t>
      </w:r>
      <w:r w:rsidR="00957E2B">
        <w:t xml:space="preserve">predominantly amongst woman, </w:t>
      </w:r>
      <w:r w:rsidR="00CA4F2F">
        <w:t>leading to it being classed as a critical incident, not only due to the fact that a serving police officer</w:t>
      </w:r>
      <w:r w:rsidR="00D243A1">
        <w:t xml:space="preserve"> was the offender in such a serious case but also due to the exposed lack of action against previously reported incidents of alleged sexual misconduct against Couzens. It was exposed that during Couzens’ time in policing</w:t>
      </w:r>
      <w:r w:rsidR="00B776CE">
        <w:t xml:space="preserve">, he was nicknamed as “The Rapist” by colleagues due to his frequent misogynistic behaviour against female colleagues. Couzens was also named as the subject in multiple incidents of indecent exposure which were not investigated effectively (Casey, 2023). </w:t>
      </w:r>
      <w:r w:rsidR="003D05FD">
        <w:t>In response to this critical incident the Independent Officer for Police Conduct initiated Operation Hotton (IOPC, 2022) which acted as a further review into policing culture. The subsequent report revealed a deeper culture of misogynistic actions and behaviour in the metropolitan police by linking a series of 9 incidents at Charing Cross Police Station all involving some form of misogynistic, sexual or dishonest behaviour.</w:t>
      </w:r>
      <w:r w:rsidR="00B203DC">
        <w:t xml:space="preserve"> </w:t>
      </w:r>
      <w:r w:rsidR="006B0AB8">
        <w:t xml:space="preserve">A further report created by HM </w:t>
      </w:r>
      <w:r w:rsidR="006B0AB8" w:rsidRPr="006B0AB8">
        <w:t>Inspectorate of Constabulary, Fire &amp; Rescue Services</w:t>
      </w:r>
      <w:r w:rsidR="006B0AB8">
        <w:t xml:space="preserve"> backed the IOPCs findings but further highlighted a lack of solidity in vetting procedures and inaction on intelligence targeted at misconduct (HMICFRS, 2022) </w:t>
      </w:r>
      <w:r w:rsidR="006B0AB8">
        <w:br/>
      </w:r>
      <w:r w:rsidR="006B0AB8">
        <w:br/>
        <w:t>Overall, the incident caused great damage to public trust in the police as it was clear that whilst this particular incident was one officer, the culture behind it was not. It related to systemic issues with procedure that allowed officers guilty of such behaviour to go unnoticed and therefore the base line legitimacy of policing was questioned</w:t>
      </w:r>
      <w:r w:rsidR="00DF6F2F">
        <w:t xml:space="preserve"> (Casey, 2023). A key lesson learned in this incident is th</w:t>
      </w:r>
      <w:r w:rsidR="009B1A8E">
        <w:t>at in the context of policing, individual accountability whilst beneficial, does not fix the systematic issues at hand and instead requires reform</w:t>
      </w:r>
      <w:r w:rsidR="00A968AC">
        <w:t xml:space="preserve"> </w:t>
      </w:r>
      <w:proofErr w:type="gramStart"/>
      <w:r w:rsidR="00A968AC">
        <w:t>in order to</w:t>
      </w:r>
      <w:proofErr w:type="gramEnd"/>
      <w:r w:rsidR="00A968AC">
        <w:t xml:space="preserve"> detect and prevent misconduct</w:t>
      </w:r>
      <w:r w:rsidR="009B1A8E">
        <w:t>. Research indicates that once police legitimacy is damaged, it can only be restored by actual justice and restructuring of existing procedure whilst providing transparency to the public of how such procedure is carried out</w:t>
      </w:r>
      <w:r w:rsidR="00517E85">
        <w:t xml:space="preserve"> </w:t>
      </w:r>
      <w:r w:rsidR="00517E85" w:rsidRPr="00517E85">
        <w:t>(Rowe, 2020)</w:t>
      </w:r>
      <w:r w:rsidR="00517E85">
        <w:t xml:space="preserve">. In response, policing in the United Kingdom has adopted </w:t>
      </w:r>
      <w:proofErr w:type="gramStart"/>
      <w:r w:rsidR="00517E85">
        <w:t>a number of</w:t>
      </w:r>
      <w:proofErr w:type="gramEnd"/>
      <w:r w:rsidR="00517E85">
        <w:t xml:space="preserve"> avenues to combat misconduct</w:t>
      </w:r>
      <w:r w:rsidR="00A968AC">
        <w:t xml:space="preserve"> in best </w:t>
      </w:r>
      <w:r w:rsidR="000E0466">
        <w:t>practice</w:t>
      </w:r>
      <w:r w:rsidR="00517E85">
        <w:t xml:space="preserve"> such as </w:t>
      </w:r>
      <w:r w:rsidR="00A968AC">
        <w:t xml:space="preserve">the use of criminal history and intelligence in vetting procedures which provides a stricter review of the individual officer and improves detection of existing misconduct </w:t>
      </w:r>
      <w:r w:rsidR="00A968AC" w:rsidRPr="00A968AC">
        <w:t>(Cubitt, 2023)</w:t>
      </w:r>
      <w:r w:rsidR="00A968AC">
        <w:t xml:space="preserve"> as well as potential for future misconduct. With considerations of those areas of</w:t>
      </w:r>
      <w:r w:rsidR="00173DE4">
        <w:t xml:space="preserve"> vetting</w:t>
      </w:r>
      <w:r w:rsidR="00A968AC">
        <w:t xml:space="preserve"> reform</w:t>
      </w:r>
      <w:r w:rsidR="00173DE4">
        <w:t xml:space="preserve"> with a smooth inclusion of such revised procedures, there is a clear significant improvement</w:t>
      </w:r>
      <w:r w:rsidR="000E0466">
        <w:t xml:space="preserve"> </w:t>
      </w:r>
      <w:r w:rsidR="00A15AE2">
        <w:t xml:space="preserve">on misconduct procedures and public trust strategies showing that there </w:t>
      </w:r>
      <w:proofErr w:type="gramStart"/>
      <w:r w:rsidR="00A15AE2">
        <w:t>was</w:t>
      </w:r>
      <w:proofErr w:type="gramEnd"/>
      <w:r w:rsidR="00A15AE2">
        <w:t xml:space="preserve"> indeed lessons learnt from this incident</w:t>
      </w:r>
      <w:r w:rsidR="000E0466">
        <w:t>,</w:t>
      </w:r>
      <w:r w:rsidR="00173DE4">
        <w:t xml:space="preserve"> </w:t>
      </w:r>
      <w:r w:rsidR="00173DE4">
        <w:lastRenderedPageBreak/>
        <w:t>however it isn’t jus</w:t>
      </w:r>
      <w:r w:rsidR="00A15AE2">
        <w:t xml:space="preserve">t the case of Sarah Everard that sparked public review and lead to the necessity of lessons to be learnt. </w:t>
      </w:r>
    </w:p>
    <w:p w14:paraId="4B99F4C8" w14:textId="00EBFCC6" w:rsidR="00A968AC" w:rsidRDefault="00A15AE2" w:rsidP="0091214F">
      <w:r>
        <w:br/>
      </w:r>
      <w:r>
        <w:br/>
      </w:r>
      <w:r w:rsidR="00023429">
        <w:t>The Manchester arena bombing of 2017 was a major incident leading to the deaths of 23 people including the attacker. This incident highlighted massive failures in emergency service response such as multi-agency coordination</w:t>
      </w:r>
      <w:r w:rsidR="008222A8">
        <w:t xml:space="preserve"> situational awareness and</w:t>
      </w:r>
      <w:r w:rsidR="00023429">
        <w:t xml:space="preserve"> intelligence gathering</w:t>
      </w:r>
      <w:r w:rsidR="008222A8">
        <w:t>. Those highlighted failures prompted reform in multi-agency policing.</w:t>
      </w:r>
    </w:p>
    <w:p w14:paraId="55255CC2" w14:textId="77777777" w:rsidR="00526C40" w:rsidRDefault="008222A8" w:rsidP="0091214F">
      <w:r>
        <w:t xml:space="preserve">A public enquiry </w:t>
      </w:r>
      <w:r w:rsidR="00261C38">
        <w:t xml:space="preserve">into the bombing demonstrated that Greater Manchester Police failed to share vital information </w:t>
      </w:r>
      <w:r w:rsidR="00F521CC">
        <w:t xml:space="preserve">such as the declaration of a major incident </w:t>
      </w:r>
      <w:r w:rsidR="00261C38">
        <w:t xml:space="preserve">with fire and ambulance services causing large delays in the deployment of appropriate medical </w:t>
      </w:r>
      <w:r w:rsidR="00F521CC">
        <w:t xml:space="preserve">and </w:t>
      </w:r>
      <w:proofErr w:type="spellStart"/>
      <w:r w:rsidR="00F521CC">
        <w:t>fire fighting</w:t>
      </w:r>
      <w:proofErr w:type="spellEnd"/>
      <w:r w:rsidR="00F521CC">
        <w:t xml:space="preserve"> assets</w:t>
      </w:r>
      <w:r w:rsidR="00D7450F">
        <w:t xml:space="preserve"> </w:t>
      </w:r>
      <w:r w:rsidR="00E138BB">
        <w:t xml:space="preserve">(Saunders, 2022). </w:t>
      </w:r>
      <w:r w:rsidR="00F521CC">
        <w:t xml:space="preserve">Further reports into the incident </w:t>
      </w:r>
      <w:r w:rsidR="00E138BB">
        <w:t>specified that there was a lack of joint command prescience between agencies</w:t>
      </w:r>
      <w:r w:rsidR="00F521CC">
        <w:t xml:space="preserve"> as well as poor situational awareness which was a factor in avoidable harm in the aftermath of the initial attack (Kerslake, 2018)</w:t>
      </w:r>
      <w:r w:rsidR="00BB40E7">
        <w:br/>
      </w:r>
      <w:r w:rsidR="00BB40E7">
        <w:br/>
        <w:t>The findings of reports and enquiries into the bombing demonstrated a core weakness in the coordination and emergency response capabilities in joint-agency event</w:t>
      </w:r>
      <w:r w:rsidR="00297D59">
        <w:t>s and academic research ha</w:t>
      </w:r>
      <w:r w:rsidR="00526C40">
        <w:t xml:space="preserve">d already </w:t>
      </w:r>
      <w:r w:rsidR="00297D59">
        <w:t xml:space="preserve">warned of this. </w:t>
      </w:r>
      <w:r w:rsidR="00297D59" w:rsidRPr="00297D59">
        <w:t xml:space="preserve">Allen, </w:t>
      </w:r>
      <w:proofErr w:type="spellStart"/>
      <w:r w:rsidR="00297D59" w:rsidRPr="00297D59">
        <w:t>Karanasios</w:t>
      </w:r>
      <w:proofErr w:type="spellEnd"/>
      <w:r w:rsidR="00297D59" w:rsidRPr="00297D59">
        <w:t>, and Norman (2014)</w:t>
      </w:r>
      <w:r w:rsidR="00297D59">
        <w:t xml:space="preserve"> argues that interoperability breakdowns stem from a mismatch of communicative technology and employee isolation from multi-agency response</w:t>
      </w:r>
      <w:r w:rsidR="008E56E1">
        <w:t xml:space="preserve"> scenarios</w:t>
      </w:r>
      <w:r w:rsidR="00297D59">
        <w:t xml:space="preserve"> which is evidenced within the Manchester arena bombings</w:t>
      </w:r>
      <w:r w:rsidR="00526C40">
        <w:t xml:space="preserve">. The incident </w:t>
      </w:r>
      <w:r w:rsidR="008E56E1">
        <w:t xml:space="preserve">showed that </w:t>
      </w:r>
      <w:proofErr w:type="gramStart"/>
      <w:r w:rsidR="008E56E1">
        <w:t>as a</w:t>
      </w:r>
      <w:r w:rsidR="00297D59">
        <w:t xml:space="preserve"> result of</w:t>
      </w:r>
      <w:proofErr w:type="gramEnd"/>
      <w:r w:rsidR="00297D59">
        <w:t xml:space="preserve"> lack of matching systems and overall interoperability</w:t>
      </w:r>
      <w:r w:rsidR="008E56E1">
        <w:t xml:space="preserve">, </w:t>
      </w:r>
      <w:r w:rsidR="00297D59">
        <w:t>the fire service arriv</w:t>
      </w:r>
      <w:r w:rsidR="004D7A1F">
        <w:t xml:space="preserve">ed </w:t>
      </w:r>
      <w:r w:rsidR="00297D59">
        <w:t>on scene over t</w:t>
      </w:r>
      <w:r w:rsidR="004D7A1F">
        <w:t>wo</w:t>
      </w:r>
      <w:r w:rsidR="00297D59">
        <w:t xml:space="preserve"> hours late</w:t>
      </w:r>
      <w:r w:rsidR="004D7A1F">
        <w:t xml:space="preserve"> resulting in the loss of potential life saving measures</w:t>
      </w:r>
      <w:r w:rsidR="00297D59">
        <w:t>.</w:t>
      </w:r>
      <w:r w:rsidR="002742E0">
        <w:t xml:space="preserve"> At the time of the Manchester bombings, the Joint </w:t>
      </w:r>
      <w:r w:rsidR="002742E0" w:rsidRPr="002742E0">
        <w:t>Emergency Services Interoperability Programme</w:t>
      </w:r>
      <w:r w:rsidR="002742E0">
        <w:t xml:space="preserve"> (JESIP) </w:t>
      </w:r>
      <w:r w:rsidR="00D2121F">
        <w:t xml:space="preserve">which is a program that aims to improve multi-agency response, </w:t>
      </w:r>
      <w:r w:rsidR="002742E0">
        <w:t>did</w:t>
      </w:r>
      <w:r w:rsidR="00D2121F">
        <w:t xml:space="preserve"> exist however the protocols behind it </w:t>
      </w:r>
      <w:r w:rsidR="00526C40">
        <w:t xml:space="preserve">were not </w:t>
      </w:r>
      <w:r w:rsidR="00D2121F">
        <w:t>followed which further add</w:t>
      </w:r>
      <w:r w:rsidR="00526C40">
        <w:t>ed</w:t>
      </w:r>
      <w:r w:rsidR="00D2121F">
        <w:t xml:space="preserve"> to the lack of cohesion between services</w:t>
      </w:r>
      <w:r w:rsidR="00526C40">
        <w:t xml:space="preserve">. </w:t>
      </w:r>
      <w:proofErr w:type="gramStart"/>
      <w:r w:rsidR="00526C40">
        <w:t>Overall</w:t>
      </w:r>
      <w:proofErr w:type="gramEnd"/>
      <w:r w:rsidR="00D2121F">
        <w:t xml:space="preserve"> </w:t>
      </w:r>
      <w:r w:rsidR="00526C40">
        <w:t>the e</w:t>
      </w:r>
      <w:r w:rsidR="00D2121F" w:rsidRPr="00D2121F">
        <w:t>mergency responders hesitate</w:t>
      </w:r>
      <w:r w:rsidR="00526C40">
        <w:t>d</w:t>
      </w:r>
      <w:r w:rsidR="00D2121F" w:rsidRPr="00D2121F">
        <w:t xml:space="preserve"> to act in the</w:t>
      </w:r>
      <w:r w:rsidR="00526C40">
        <w:t xml:space="preserve"> incident due to an</w:t>
      </w:r>
      <w:r w:rsidR="00D2121F" w:rsidRPr="00D2121F">
        <w:t xml:space="preserve"> absence of clear information or role clarity, </w:t>
      </w:r>
      <w:r w:rsidR="00526C40">
        <w:t xml:space="preserve">this can be identified </w:t>
      </w:r>
      <w:r w:rsidR="00D2121F" w:rsidRPr="00D2121F">
        <w:t>as "decision inertia" (Power and Alison, 2017).</w:t>
      </w:r>
      <w:r w:rsidR="002742E0">
        <w:br/>
      </w:r>
    </w:p>
    <w:p w14:paraId="689EF81F" w14:textId="5E247416" w:rsidR="00A968AC" w:rsidRDefault="00526C40" w:rsidP="0091214F">
      <w:r>
        <w:t xml:space="preserve">The Manchester arena bombings show us </w:t>
      </w:r>
      <w:r w:rsidR="00766F77">
        <w:t>the extreme importance of effective multi-agency response, primarily through working communication methods</w:t>
      </w:r>
      <w:r w:rsidR="00A37009">
        <w:t xml:space="preserve"> with review of frameworks such as JESIP</w:t>
      </w:r>
      <w:r w:rsidR="00AE36C4">
        <w:t>s work</w:t>
      </w:r>
      <w:r w:rsidR="00766F77">
        <w:t xml:space="preserve">. </w:t>
      </w:r>
      <w:proofErr w:type="gramStart"/>
      <w:r w:rsidR="00A37009">
        <w:t>However</w:t>
      </w:r>
      <w:proofErr w:type="gramEnd"/>
      <w:r w:rsidR="00A37009">
        <w:t xml:space="preserve"> t</w:t>
      </w:r>
      <w:r w:rsidR="00766F77">
        <w:t>he mere existence of interoperability frameworks and policies doesn’t work without cohesive implementation across all levels of all emergency services</w:t>
      </w:r>
      <w:r w:rsidR="00AE36C4">
        <w:t xml:space="preserve"> </w:t>
      </w:r>
      <w:r w:rsidR="00766F77" w:rsidRPr="00766F77">
        <w:t>(Power et al., 2025)</w:t>
      </w:r>
      <w:r w:rsidR="00A5440F">
        <w:t xml:space="preserve">. </w:t>
      </w:r>
      <w:r w:rsidR="007E48E0">
        <w:t xml:space="preserve"> </w:t>
      </w:r>
      <w:r w:rsidR="00AE36C4">
        <w:t xml:space="preserve">The lesson learnt overall is that a framework in theory can only work in practice when it is used with real-world, system wide integration via joint-training, individual service member awareness and technology </w:t>
      </w:r>
      <w:r w:rsidR="00AE36C4">
        <w:lastRenderedPageBreak/>
        <w:t xml:space="preserve">matching in mind. Every emergency service should be able to effectively share vital information as without that ability, there will be a lack of cohesion and in turn the risk of unnecessary loss </w:t>
      </w:r>
      <w:r w:rsidR="00786872">
        <w:t>of life</w:t>
      </w:r>
      <w:r w:rsidR="006B6C90">
        <w:t>.</w:t>
      </w:r>
      <w:r w:rsidR="00546CEE">
        <w:br/>
      </w:r>
      <w:r w:rsidR="00546CEE">
        <w:br/>
      </w:r>
      <w:r w:rsidR="00546CEE">
        <w:br/>
        <w:t xml:space="preserve">Whilst terror related major incidents have </w:t>
      </w:r>
      <w:r w:rsidR="000401F1">
        <w:t>revealed the need for operational multi-agency reform, more common civil unrest such as the 2011 England riots have shown deeper challenges in policing the community through relations and public order management.</w:t>
      </w:r>
      <w:r w:rsidR="000401F1">
        <w:br/>
      </w:r>
      <w:r w:rsidR="000401F1">
        <w:br/>
        <w:t>The 2011 riots revealed major issues with police community relations, use of force and general public order strategy, showing how a lack of public trust, racial tensions and operational failings can create a national crisis. In policing, the riots became a moment in time that caused significant reform and learning for forces.</w:t>
      </w:r>
      <w:r w:rsidR="000401F1">
        <w:br/>
      </w:r>
      <w:r w:rsidR="000401F1">
        <w:br/>
        <w:t xml:space="preserve">The 2011 riots began following the shooting of Mark Duggan, a black man from Tottenham. Following the riots, there was </w:t>
      </w:r>
      <w:proofErr w:type="gramStart"/>
      <w:r w:rsidR="000401F1">
        <w:t>a number of</w:t>
      </w:r>
      <w:proofErr w:type="gramEnd"/>
      <w:r w:rsidR="000401F1">
        <w:t xml:space="preserve"> reviews both from the I</w:t>
      </w:r>
      <w:r w:rsidR="000C1D7B">
        <w:t xml:space="preserve">OPC (IPCC at the time) and independent academic researchers. Primarily, the IOPC in 2015 acknowledged that failures in communication with the family of Duggan and their surrounding community played a large part in the escalation of tension in the incident </w:t>
      </w:r>
      <w:r w:rsidR="00EA2CE1">
        <w:t>(IPCC 2015). Academic research found that the communities most effected and engaging in the unrest were those with historic issues over unfairly targeted stop-search practices, lack of police engagement and racial bias</w:t>
      </w:r>
      <w:r w:rsidR="004340AF">
        <w:t xml:space="preserve"> </w:t>
      </w:r>
      <w:r w:rsidR="004340AF" w:rsidRPr="004340AF">
        <w:t>(Newburn, 2014)</w:t>
      </w:r>
      <w:r w:rsidR="00D30C0F">
        <w:t>. The riots weren’t just a response to the death of Mark Duggan but a long awaited reaction to years of marginalisation and over-policing in areas where racial minorities reside</w:t>
      </w:r>
      <w:r w:rsidR="00E56EDA">
        <w:t xml:space="preserve"> </w:t>
      </w:r>
      <w:r w:rsidR="00E56EDA" w:rsidRPr="00E56EDA">
        <w:t>(Newburn et al., 2016</w:t>
      </w:r>
      <w:r w:rsidR="00E56EDA">
        <w:t xml:space="preserve">; </w:t>
      </w:r>
      <w:proofErr w:type="spellStart"/>
      <w:r w:rsidR="00E56EDA" w:rsidRPr="00E56EDA">
        <w:t>Murji</w:t>
      </w:r>
      <w:proofErr w:type="spellEnd"/>
      <w:r w:rsidR="00E56EDA" w:rsidRPr="00E56EDA">
        <w:t xml:space="preserve"> &amp; Neal, 2011)</w:t>
      </w:r>
      <w:r w:rsidR="006B6C90">
        <w:br/>
      </w:r>
      <w:r w:rsidR="006B6C90">
        <w:br/>
      </w:r>
      <w:r w:rsidR="006B6C90">
        <w:br/>
      </w:r>
      <w:r w:rsidR="00E56EDA">
        <w:t xml:space="preserve">The police response to these riots was publicly criticised as </w:t>
      </w:r>
      <w:r w:rsidR="00F06851">
        <w:t>slow and disorganised in the beginning and then overly forceful in the later escalated stages. As a result, there was a widely heard call for reform in public order response as well as community engagement strategy. As a response, the College of Policing and nationwide police forces introduced additional training for public order trained officers and commanders. This training focused on crowd psychology</w:t>
      </w:r>
      <w:r w:rsidR="005D0C77">
        <w:t xml:space="preserve"> and</w:t>
      </w:r>
      <w:r w:rsidR="00F06851">
        <w:t xml:space="preserve"> real time coordination</w:t>
      </w:r>
      <w:r w:rsidR="005D0C77">
        <w:t xml:space="preserve"> to avoid unnecessary escalation during future public order incidents</w:t>
      </w:r>
      <w:r w:rsidR="005D0C77" w:rsidRPr="005D0C77">
        <w:t xml:space="preserve"> (Stott et al., 2011)</w:t>
      </w:r>
      <w:r w:rsidR="005D0C77">
        <w:t xml:space="preserve">. There was also expansion of community liaison roles </w:t>
      </w:r>
      <w:proofErr w:type="gramStart"/>
      <w:r w:rsidR="005D0C77">
        <w:t>in order to</w:t>
      </w:r>
      <w:proofErr w:type="gramEnd"/>
      <w:r w:rsidR="005D0C77">
        <w:t xml:space="preserve"> better understand the issues the community were showing and in turn de-escalate tension in said community. Outside of training, there was a focus on the issues presented by way of a reassessment of stop and search practice. Forces revised their stop and search guidance and created stricter scrutiny for stop and search reviews with a focus on procedural justice</w:t>
      </w:r>
      <w:r w:rsidR="004F2952">
        <w:t xml:space="preserve"> </w:t>
      </w:r>
      <w:r w:rsidR="004F2952" w:rsidRPr="004F2952">
        <w:t>(Bradford, 2012)</w:t>
      </w:r>
      <w:r w:rsidR="004F2952">
        <w:t xml:space="preserve">. </w:t>
      </w:r>
      <w:r w:rsidR="004F2952">
        <w:br/>
      </w:r>
      <w:r w:rsidR="004F2952">
        <w:lastRenderedPageBreak/>
        <w:br/>
        <w:t xml:space="preserve">The 2011 riots helped to shape policing best practice by showing the implications of reactive police enforcement without having a community who see the police as legitimate. The key lessons learnt from the riots included the importance of </w:t>
      </w:r>
      <w:proofErr w:type="gramStart"/>
      <w:r w:rsidR="004F2952">
        <w:t>long term</w:t>
      </w:r>
      <w:proofErr w:type="gramEnd"/>
      <w:r w:rsidR="004F2952">
        <w:t xml:space="preserve"> community engagement in troubled areas, transparency and timely communication. The reforms created as a result now act as education in the wider policing landscape, particularly in terms of balancing authoritarian responses </w:t>
      </w:r>
      <w:r w:rsidR="00B05519">
        <w:t xml:space="preserve">to </w:t>
      </w:r>
      <w:r w:rsidR="004F2952">
        <w:t xml:space="preserve">incidents with </w:t>
      </w:r>
      <w:r w:rsidR="00B05519">
        <w:t xml:space="preserve">community consent. </w:t>
      </w:r>
      <w:r w:rsidR="002742E0">
        <w:br/>
      </w:r>
      <w:r w:rsidR="00687BB7">
        <w:br/>
        <w:t xml:space="preserve">Overall, the critical and major incidents examined in this essay demonstrate that crisis moments in policing history can act as education for future responses by revealing weaknesses within policing practice and fundamental structure. These incidents caused major reform in policing with responses targeted at changes in vetting protocol and misconduct handling, to reviewed multi-agency interoperability and coordination and the introduction of </w:t>
      </w:r>
      <w:r w:rsidR="00FD5799">
        <w:t>enhanced training for public order units. In short, the incidents have demonstrated the need for long term systematic change as opposed to short term solutions.</w:t>
      </w:r>
      <w:r w:rsidR="00FD5799">
        <w:br/>
      </w:r>
      <w:r w:rsidR="00FD5799">
        <w:br/>
        <w:t xml:space="preserve">Across the examination of these incidents, a common theme is clear. The public trust in policing has been and continues to be low. Public trust is heavily focused on the legitimacy and accountability of not just the individual officer but the policing </w:t>
      </w:r>
      <w:proofErr w:type="gramStart"/>
      <w:r w:rsidR="00FD5799">
        <w:t>system as a whole</w:t>
      </w:r>
      <w:proofErr w:type="gramEnd"/>
      <w:r w:rsidR="00FD5799">
        <w:t xml:space="preserve">. Whenever that trust is compromised by misconduct, failed operational responses or injustice, public cooperation declines and in turn policing turns reactive instead of preventative. The lessons learnt from these incidents have turned policing reforms focus </w:t>
      </w:r>
      <w:proofErr w:type="gramStart"/>
      <w:r w:rsidR="00FD5799">
        <w:t>towards</w:t>
      </w:r>
      <w:proofErr w:type="gramEnd"/>
      <w:r w:rsidR="00FD5799">
        <w:t xml:space="preserve"> transparency, better training, effective community engagement and multi-agency </w:t>
      </w:r>
      <w:r w:rsidR="003A53D1">
        <w:t>interoperability and cohesion.</w:t>
      </w:r>
      <w:r w:rsidR="003A53D1">
        <w:br/>
      </w:r>
      <w:r w:rsidR="003A53D1">
        <w:br/>
        <w:t>These reforms show clear progress towards effective policing however their effectiveness relies on constant application and review. The policing system should remain focused on policing by consent with a focus on social, cultural and technological changes. By doing this, the lessons learnt by past incidents can continue to influence best practice in policing and overall create a legitimate and community focused policing model.</w:t>
      </w:r>
    </w:p>
    <w:p w14:paraId="6C7FDD82" w14:textId="58AC4690" w:rsidR="005715FA" w:rsidRDefault="00F327C8" w:rsidP="005715FA">
      <w:r>
        <w:br/>
      </w:r>
    </w:p>
    <w:p w14:paraId="715A20FE" w14:textId="3B57AB59" w:rsidR="00F327C8" w:rsidRPr="00F327C8" w:rsidRDefault="002D196E" w:rsidP="00F327C8">
      <w:r>
        <w:br/>
      </w:r>
      <w:r>
        <w:br/>
      </w:r>
      <w:r>
        <w:br/>
      </w:r>
    </w:p>
    <w:p w14:paraId="5D0E9AA6" w14:textId="1BFF9333" w:rsidR="00D84F01" w:rsidRDefault="00757DC2" w:rsidP="00D84F01">
      <w:pPr>
        <w:jc w:val="center"/>
        <w:rPr>
          <w:b/>
          <w:bCs/>
        </w:rPr>
      </w:pPr>
      <w:r>
        <w:lastRenderedPageBreak/>
        <w:br/>
      </w:r>
      <w:r>
        <w:br/>
      </w:r>
      <w:r w:rsidRPr="0036616B">
        <w:rPr>
          <w:b/>
          <w:bCs/>
        </w:rPr>
        <w:t>Essay 2</w:t>
      </w:r>
      <w:r w:rsidRPr="0036616B">
        <w:rPr>
          <w:b/>
          <w:bCs/>
        </w:rPr>
        <w:br/>
      </w:r>
      <w:r w:rsidRPr="0036616B">
        <w:rPr>
          <w:b/>
          <w:bCs/>
        </w:rPr>
        <w:br/>
      </w:r>
      <w:r w:rsidR="00D84F01">
        <w:rPr>
          <w:b/>
          <w:bCs/>
        </w:rPr>
        <w:t>“</w:t>
      </w:r>
      <w:r w:rsidRPr="0036616B">
        <w:rPr>
          <w:b/>
          <w:bCs/>
        </w:rPr>
        <w:t>What impact can the challenges of operational policing have on individual and group wellbeing? Why is it important to manage mental wellbeing in policing?</w:t>
      </w:r>
      <w:r w:rsidR="00D84F01">
        <w:rPr>
          <w:b/>
          <w:bCs/>
        </w:rPr>
        <w:t>”</w:t>
      </w:r>
    </w:p>
    <w:p w14:paraId="1E465917" w14:textId="584B5527" w:rsidR="00B53CB0" w:rsidRDefault="00A64186" w:rsidP="00D84F01">
      <w:r w:rsidRPr="0036616B">
        <w:rPr>
          <w:b/>
          <w:bCs/>
        </w:rPr>
        <w:br/>
      </w:r>
      <w:r>
        <w:br/>
      </w:r>
      <w:r>
        <w:br/>
        <w:t xml:space="preserve">Operational policing is a demanding and stressful job that exposes Officers to an array of situations </w:t>
      </w:r>
      <w:proofErr w:type="gramStart"/>
      <w:r>
        <w:t>on a daily basis</w:t>
      </w:r>
      <w:proofErr w:type="gramEnd"/>
      <w:r>
        <w:t xml:space="preserve"> which have the potential to impact their mental health. The common impact is caused by stressors usually ranging from direct exposure to a traumatic event to pressures applied by their organisation. Such stressors and</w:t>
      </w:r>
      <w:r w:rsidR="00556C92">
        <w:t xml:space="preserve"> other impacts can severely affect both the individual officer and teams within the organisation. This essay discusses what impact operational policing can have on the wellbeing of an individual and groups within policing.</w:t>
      </w:r>
      <w:r w:rsidR="00556C92">
        <w:br/>
      </w:r>
      <w:r w:rsidR="00556C92">
        <w:br/>
      </w:r>
      <w:r w:rsidR="00556C92">
        <w:br/>
        <w:t xml:space="preserve">One of the most common and significant challenges that police face is the repeated exposure to traumatic incidents. Police officers attend traumatic incidents </w:t>
      </w:r>
      <w:proofErr w:type="gramStart"/>
      <w:r w:rsidR="00556C92">
        <w:t>on a daily basis</w:t>
      </w:r>
      <w:proofErr w:type="gramEnd"/>
      <w:r w:rsidR="00556C92">
        <w:t xml:space="preserve"> which can involve violence, death and general high stress situations. These incidents can cause psychological disorders such as anxiety, depression and </w:t>
      </w:r>
      <w:proofErr w:type="spellStart"/>
      <w:r w:rsidR="00556C92">
        <w:t>post traumatic</w:t>
      </w:r>
      <w:proofErr w:type="spellEnd"/>
      <w:r w:rsidR="00556C92">
        <w:t xml:space="preserve"> stress disorder</w:t>
      </w:r>
      <w:r w:rsidR="00105447">
        <w:t xml:space="preserve"> </w:t>
      </w:r>
      <w:r w:rsidR="00105447" w:rsidRPr="00105447">
        <w:t>(Papazoglou &amp; Tuttle, 2018)</w:t>
      </w:r>
      <w:r w:rsidR="00105447">
        <w:t xml:space="preserve">. Research indicates that the prevalence of PTSD is higher among police officers than in the general population with an approximate 12% to 19% of police officers meeting the diagnostic criteria for PTSD </w:t>
      </w:r>
      <w:r w:rsidR="00105447" w:rsidRPr="00105447">
        <w:t>(</w:t>
      </w:r>
      <w:proofErr w:type="spellStart"/>
      <w:r w:rsidR="00105447" w:rsidRPr="00105447">
        <w:t>Jetelina</w:t>
      </w:r>
      <w:proofErr w:type="spellEnd"/>
      <w:r w:rsidR="00105447" w:rsidRPr="00105447">
        <w:t xml:space="preserve"> et al., 2020)</w:t>
      </w:r>
      <w:r w:rsidR="00105447">
        <w:t>. This effect is attributed mainly to exposure of multiple traumatic incidents as opposed to just one.</w:t>
      </w:r>
      <w:r w:rsidR="00105447">
        <w:br/>
      </w:r>
      <w:r w:rsidR="00105447">
        <w:br/>
      </w:r>
      <w:r w:rsidR="008A256E">
        <w:t xml:space="preserve">Further studies have shown that police officers have significantly higher levels of general psychological distress compared to civilians. Links have been made between operational incidents and the unknown of daily policing tasks to high stress levels and mental health deterioration. Long term exposure to such states has been shown to result in hypervigilance and emotional numbing which can severely affect a </w:t>
      </w:r>
      <w:proofErr w:type="gramStart"/>
      <w:r w:rsidR="008A256E">
        <w:t>police</w:t>
      </w:r>
      <w:proofErr w:type="gramEnd"/>
      <w:r w:rsidR="008A256E">
        <w:t xml:space="preserve"> </w:t>
      </w:r>
      <w:proofErr w:type="spellStart"/>
      <w:proofErr w:type="gramStart"/>
      <w:r w:rsidR="008A256E">
        <w:t>officers</w:t>
      </w:r>
      <w:proofErr w:type="spellEnd"/>
      <w:proofErr w:type="gramEnd"/>
      <w:r w:rsidR="008A256E">
        <w:t xml:space="preserve"> life, let alone their job </w:t>
      </w:r>
      <w:r w:rsidR="008A256E" w:rsidRPr="008A256E">
        <w:t>(</w:t>
      </w:r>
      <w:proofErr w:type="spellStart"/>
      <w:r w:rsidR="008A256E" w:rsidRPr="008A256E">
        <w:t>Houdmont</w:t>
      </w:r>
      <w:proofErr w:type="spellEnd"/>
      <w:r w:rsidR="008A256E" w:rsidRPr="008A256E">
        <w:t xml:space="preserve"> et al., 2019)</w:t>
      </w:r>
      <w:r w:rsidR="008A256E">
        <w:t xml:space="preserve">. </w:t>
      </w:r>
      <w:r w:rsidR="008A256E">
        <w:br/>
      </w:r>
      <w:r w:rsidR="008A256E">
        <w:br/>
        <w:t xml:space="preserve">Outside of operational stress and trauma, the </w:t>
      </w:r>
      <w:proofErr w:type="gramStart"/>
      <w:r w:rsidR="008A256E">
        <w:t>day to day</w:t>
      </w:r>
      <w:proofErr w:type="gramEnd"/>
      <w:r w:rsidR="008A256E">
        <w:t xml:space="preserve"> environment created by a police organisation is also shown to contribute to individual stress. Stressors such as </w:t>
      </w:r>
      <w:r w:rsidR="002B6C93">
        <w:t xml:space="preserve">shift work, lack of supervisor support, administrative complexity and unclear job roles have been shown to at times apply more pressure to individual officers than the operational duties themselves </w:t>
      </w:r>
      <w:r w:rsidR="002B6C93" w:rsidRPr="002B6C93">
        <w:t>(Hart et al., 1995)</w:t>
      </w:r>
      <w:r w:rsidR="002B6C93">
        <w:t xml:space="preserve"> and contribute to burnout and </w:t>
      </w:r>
      <w:r w:rsidR="002B6C93">
        <w:lastRenderedPageBreak/>
        <w:t>workplace stress</w:t>
      </w:r>
      <w:r w:rsidR="001E57C7">
        <w:t xml:space="preserve"> </w:t>
      </w:r>
      <w:r w:rsidR="001E57C7" w:rsidRPr="001E57C7">
        <w:t>(Biggs et al., 2014)</w:t>
      </w:r>
      <w:r w:rsidR="001E57C7">
        <w:t>.</w:t>
      </w:r>
      <w:r w:rsidR="001E57C7">
        <w:br/>
      </w:r>
      <w:r w:rsidR="001E57C7">
        <w:br/>
        <w:t xml:space="preserve">Burnout is indicated by emotional exhaustion, cynicism and decrease in self-confidence </w:t>
      </w:r>
      <w:r w:rsidR="001E57C7" w:rsidRPr="001E57C7">
        <w:t>(Maslach &amp; Leiter, 2016)</w:t>
      </w:r>
      <w:r w:rsidR="001E57C7">
        <w:t xml:space="preserve">. Maslach’s Burnout Inventory is widely used to review these factors in a policing context. Burnout doesn’t only apply an immediate effect to an </w:t>
      </w:r>
      <w:proofErr w:type="spellStart"/>
      <w:proofErr w:type="gramStart"/>
      <w:r w:rsidR="001E57C7">
        <w:t>individuals</w:t>
      </w:r>
      <w:proofErr w:type="spellEnd"/>
      <w:proofErr w:type="gramEnd"/>
      <w:r w:rsidR="001E57C7">
        <w:t xml:space="preserve"> mental health but also increases the chances of further mental health issues</w:t>
      </w:r>
      <w:r w:rsidR="007A0107">
        <w:t xml:space="preserve">, lack of motivation to go to work and the intention of an individual to leave an organisation </w:t>
      </w:r>
      <w:r w:rsidR="007A0107" w:rsidRPr="007A0107">
        <w:t>(</w:t>
      </w:r>
      <w:proofErr w:type="spellStart"/>
      <w:r w:rsidR="007A0107" w:rsidRPr="007A0107">
        <w:t>Purba</w:t>
      </w:r>
      <w:proofErr w:type="spellEnd"/>
      <w:r w:rsidR="007A0107" w:rsidRPr="007A0107">
        <w:t xml:space="preserve"> &amp; </w:t>
      </w:r>
      <w:proofErr w:type="spellStart"/>
      <w:r w:rsidR="007A0107" w:rsidRPr="007A0107">
        <w:t>Demou</w:t>
      </w:r>
      <w:proofErr w:type="spellEnd"/>
      <w:r w:rsidR="007A0107" w:rsidRPr="007A0107">
        <w:t>, 2019)</w:t>
      </w:r>
      <w:r w:rsidR="007A0107">
        <w:t xml:space="preserve">. </w:t>
      </w:r>
      <w:r w:rsidR="007A0107">
        <w:br/>
      </w:r>
      <w:r w:rsidR="007A0107">
        <w:br/>
        <w:t xml:space="preserve">Burnout can also </w:t>
      </w:r>
      <w:proofErr w:type="gramStart"/>
      <w:r w:rsidR="007A0107">
        <w:t>effect</w:t>
      </w:r>
      <w:proofErr w:type="gramEnd"/>
      <w:r w:rsidR="007A0107">
        <w:t xml:space="preserve"> an </w:t>
      </w:r>
      <w:proofErr w:type="gramStart"/>
      <w:r w:rsidR="007A0107">
        <w:t>officers</w:t>
      </w:r>
      <w:proofErr w:type="gramEnd"/>
      <w:r w:rsidR="007A0107">
        <w:t xml:space="preserve"> emotional capacity</w:t>
      </w:r>
      <w:r w:rsidR="005F41B7">
        <w:t xml:space="preserve"> with the potential for a lack of empathy </w:t>
      </w:r>
      <w:r w:rsidR="005F41B7" w:rsidRPr="005F41B7">
        <w:t>(Bianchi et al., 2015)</w:t>
      </w:r>
      <w:r w:rsidR="005F41B7">
        <w:t xml:space="preserve"> a critical skill in policing as well as impairment on decision making. This can lead to errors in professional judgement, inappropriate use of force due to emotional stress </w:t>
      </w:r>
      <w:r w:rsidR="005F41B7" w:rsidRPr="005F41B7">
        <w:t>(Baldwin et al., 2022)</w:t>
      </w:r>
      <w:r w:rsidR="005F41B7">
        <w:t xml:space="preserve"> and unproductive interactions with the public. Those potential factors can lead to consequences that not only diminish public safety and community relations but also further harm an </w:t>
      </w:r>
      <w:proofErr w:type="gramStart"/>
      <w:r w:rsidR="005F41B7">
        <w:t>officers</w:t>
      </w:r>
      <w:proofErr w:type="gramEnd"/>
      <w:r w:rsidR="005F41B7">
        <w:t xml:space="preserve"> mental health</w:t>
      </w:r>
      <w:r w:rsidR="0077219F">
        <w:t xml:space="preserve"> by engaging them in a vicious circle of stress and consequential dysfunction.</w:t>
      </w:r>
      <w:r w:rsidR="0077219F">
        <w:br/>
      </w:r>
      <w:r w:rsidR="0077219F">
        <w:br/>
        <w:t>A lesser acknowledged but equally important consequence to poor mental health is physical toll. Psychological strain in Police officers can manifest itself in physical health problems such as significant weight loss and gain</w:t>
      </w:r>
      <w:r w:rsidR="00F65EF7">
        <w:t xml:space="preserve"> </w:t>
      </w:r>
      <w:r w:rsidR="00F65EF7" w:rsidRPr="00F65EF7">
        <w:t>(Gu et al., 2013)</w:t>
      </w:r>
      <w:r w:rsidR="00F65EF7">
        <w:t xml:space="preserve">. Furthermore </w:t>
      </w:r>
      <w:r w:rsidR="00F65EF7" w:rsidRPr="00F65EF7">
        <w:t xml:space="preserve">Violanti, J.M. </w:t>
      </w:r>
      <w:r w:rsidR="00F65EF7" w:rsidRPr="00F65EF7">
        <w:rPr>
          <w:i/>
          <w:iCs/>
        </w:rPr>
        <w:t>et al.</w:t>
      </w:r>
      <w:r w:rsidR="00F65EF7">
        <w:rPr>
          <w:i/>
          <w:iCs/>
        </w:rPr>
        <w:t xml:space="preserve"> (2017) </w:t>
      </w:r>
      <w:r w:rsidR="00F65EF7" w:rsidRPr="00F65EF7">
        <w:t xml:space="preserve">found that the policing sector is commonly associated with higher risks of </w:t>
      </w:r>
      <w:r w:rsidR="00F65EF7">
        <w:t>cardiovascular disease and metabolic syndrome. Such conditions are partially associated with stress related physical changes such as increased cortisol and a poor sleep pattern due to shift work. A poor sleep pattern can also contribute to long term fatigue and poor eating habits which in themselves aid health issues.</w:t>
      </w:r>
      <w:r w:rsidR="00F65EF7">
        <w:br/>
      </w:r>
      <w:r w:rsidR="00F65EF7">
        <w:br/>
      </w:r>
      <w:r w:rsidR="00CB64A7">
        <w:t xml:space="preserve">Moreover, shift work has been shown to not only effect sleeping patterns but also relationships outside of work such as family and friends. This then contributes to depressive emotions and feelings of isolation </w:t>
      </w:r>
      <w:r w:rsidR="00CB64A7" w:rsidRPr="00CB64A7">
        <w:t>(Rohwer et al., 2022)</w:t>
      </w:r>
      <w:r w:rsidR="00CB64A7">
        <w:t xml:space="preserve">. Such feelings can again contribute to a vicious circle where Officers aren’t able to effectively engage with their own family and friends which then presents further issues with socialisation within work. </w:t>
      </w:r>
      <w:r w:rsidR="00E80525">
        <w:t xml:space="preserve">Overtime, the dual effect of mental and physical health can severely limit an </w:t>
      </w:r>
      <w:proofErr w:type="gramStart"/>
      <w:r w:rsidR="00E80525">
        <w:t>officers</w:t>
      </w:r>
      <w:proofErr w:type="gramEnd"/>
      <w:r w:rsidR="00E80525">
        <w:t xml:space="preserve"> capacity to function properly, not just in the context of policing but also within the realms of their own personal life.</w:t>
      </w:r>
      <w:r w:rsidR="00E80525">
        <w:br/>
      </w:r>
      <w:r w:rsidR="00E80525">
        <w:br/>
      </w:r>
      <w:r w:rsidR="00E91B9C">
        <w:t xml:space="preserve">The impact of policing on the individual officer is clear and such effects naturally translate to teams within the police. Groups within the police are mainly </w:t>
      </w:r>
      <w:proofErr w:type="gramStart"/>
      <w:r w:rsidR="00E91B9C">
        <w:t>effected</w:t>
      </w:r>
      <w:proofErr w:type="gramEnd"/>
      <w:r w:rsidR="00E91B9C">
        <w:t xml:space="preserve"> by shared trauma and stress caused by the factors already discussed on individual officers such as traumatic incidents and organisational pressures. Research</w:t>
      </w:r>
      <w:r w:rsidR="009D388E">
        <w:t xml:space="preserve"> conducted by </w:t>
      </w:r>
      <w:r w:rsidR="009D388E" w:rsidRPr="009D388E">
        <w:t xml:space="preserve">Oliver et al., </w:t>
      </w:r>
      <w:r w:rsidR="009D388E">
        <w:t>(</w:t>
      </w:r>
      <w:r w:rsidR="009D388E" w:rsidRPr="009D388E">
        <w:t>2022)</w:t>
      </w:r>
      <w:r w:rsidR="009D388E">
        <w:t xml:space="preserve"> makes a point of the fact that poor mental health amongst officers has the potential to disrupt what should be strong communication, trust and cohesion </w:t>
      </w:r>
      <w:r w:rsidR="009D388E">
        <w:lastRenderedPageBreak/>
        <w:t>in policing teams. Whenever an individual officer suffers with psychological issues such as anxiety, depression, burnout and PTSD, it has the potential to cause a domino effect which as a consequence decreases morale and increases conflict.</w:t>
      </w:r>
      <w:r w:rsidR="009D388E">
        <w:br/>
      </w:r>
      <w:r w:rsidR="009D388E">
        <w:br/>
        <w:t xml:space="preserve">Furthermore, within police culture itself, there is often a stereotype of cynicism and tough character which can limit officers feelings on mental health being discussed in an open setting </w:t>
      </w:r>
      <w:r w:rsidR="002D71D9" w:rsidRPr="002D71D9">
        <w:t>(Karaffa &amp; Koch, 2015)</w:t>
      </w:r>
      <w:r w:rsidR="002D71D9">
        <w:t>. This culture can lead to officers keeping their feelings to themselves and not talking about incidents which such group of officers often attend together. This can then lead further issues amongst the groups stress and feelings of isolation. When Officers don’t communicate their emotions and distress with each other, it can also hinder the possibility of peer support which is a critical source of emotional support for some when processing emotions caused within the policing role.</w:t>
      </w:r>
      <w:r w:rsidR="002D71D9">
        <w:br/>
      </w:r>
      <w:r w:rsidR="002D71D9">
        <w:br/>
      </w:r>
      <w:r w:rsidR="000A6414">
        <w:t xml:space="preserve">As time goes on, shared group stress can start incidents of conflict within a group, it can also lead to a reduced operational performance amongst the whole group and in short creating a toxic work environment </w:t>
      </w:r>
      <w:r w:rsidR="000A6414" w:rsidRPr="007A0107">
        <w:t>(</w:t>
      </w:r>
      <w:proofErr w:type="spellStart"/>
      <w:r w:rsidR="000A6414" w:rsidRPr="007A0107">
        <w:t>Purba</w:t>
      </w:r>
      <w:proofErr w:type="spellEnd"/>
      <w:r w:rsidR="000A6414" w:rsidRPr="007A0107">
        <w:t xml:space="preserve"> &amp; </w:t>
      </w:r>
      <w:proofErr w:type="spellStart"/>
      <w:r w:rsidR="000A6414" w:rsidRPr="007A0107">
        <w:t>Demou</w:t>
      </w:r>
      <w:proofErr w:type="spellEnd"/>
      <w:r w:rsidR="000A6414" w:rsidRPr="007A0107">
        <w:t>, 2019)</w:t>
      </w:r>
      <w:r w:rsidR="000A6414">
        <w:t xml:space="preserve">. Such factors can not only </w:t>
      </w:r>
      <w:proofErr w:type="gramStart"/>
      <w:r w:rsidR="000A6414">
        <w:t>effect</w:t>
      </w:r>
      <w:proofErr w:type="gramEnd"/>
      <w:r w:rsidR="000A6414">
        <w:t xml:space="preserve"> the individual officer and teams of officers but also the ability to deliver effective service to the public as a force.</w:t>
      </w:r>
      <w:r w:rsidR="000A6414">
        <w:br/>
      </w:r>
      <w:r w:rsidR="000A6414">
        <w:br/>
        <w:t>Policing group wellbeing is often directly linked to the effectiveness of service delivery</w:t>
      </w:r>
      <w:r w:rsidR="007B0FB9">
        <w:t xml:space="preserve">. Whenever officers within a team are mentally strained, their ability to work together properly and deal with incidents together effectively </w:t>
      </w:r>
      <w:r w:rsidR="004F6C64">
        <w:t>are compromised. An impaired group function can lead to risks of errors in judgement and general heightened risk during incidents</w:t>
      </w:r>
      <w:r w:rsidR="00EB75E5">
        <w:t xml:space="preserve"> </w:t>
      </w:r>
      <w:r w:rsidR="00EB75E5" w:rsidRPr="00EB75E5">
        <w:t>(Cooper, 2003)</w:t>
      </w:r>
      <w:r w:rsidR="004F6C64">
        <w:t xml:space="preserve">. Once again, this doesn’t only </w:t>
      </w:r>
      <w:proofErr w:type="gramStart"/>
      <w:r w:rsidR="004F6C64">
        <w:t>effect</w:t>
      </w:r>
      <w:proofErr w:type="gramEnd"/>
      <w:r w:rsidR="004F6C64">
        <w:t xml:space="preserve"> the individual officer but also the public safety and trust in police.</w:t>
      </w:r>
      <w:r w:rsidR="00EB75E5">
        <w:t xml:space="preserve"> </w:t>
      </w:r>
      <w:r w:rsidR="00EB75E5">
        <w:br/>
      </w:r>
      <w:r w:rsidR="00EB75E5">
        <w:br/>
      </w:r>
      <w:r w:rsidR="004F6683">
        <w:t xml:space="preserve">In recent time, policing has adopted </w:t>
      </w:r>
      <w:proofErr w:type="gramStart"/>
      <w:r w:rsidR="004F6683">
        <w:t>a number of</w:t>
      </w:r>
      <w:proofErr w:type="gramEnd"/>
      <w:r w:rsidR="004F6683">
        <w:t xml:space="preserve"> systems such as the Trauma Risk Incident Management system in which referrals are made for officers following traumatic incidents on the job </w:t>
      </w:r>
      <w:r w:rsidR="004F6683" w:rsidRPr="004F6683">
        <w:t>(Hunt et al., 2013)</w:t>
      </w:r>
      <w:r w:rsidR="004F6683">
        <w:t>. However, such system requires the officer to accept the referral and partake in its system</w:t>
      </w:r>
      <w:r w:rsidR="003A1289">
        <w:t xml:space="preserve"> so therefore, the absence of mental health care injected directly into the system poses the risk of loss of officers either by sick leave or complete leave from the force. </w:t>
      </w:r>
      <w:r w:rsidR="00F56F71">
        <w:t>Furthermore</w:t>
      </w:r>
      <w:r w:rsidR="003A1289">
        <w:t xml:space="preserve">, the loss of such officers, especially those with </w:t>
      </w:r>
      <w:r w:rsidR="00423247">
        <w:t>seniority puts further strain on remaining police officers and staff.</w:t>
      </w:r>
      <w:r w:rsidR="00423247">
        <w:br/>
      </w:r>
      <w:r w:rsidR="00423247">
        <w:br/>
        <w:t xml:space="preserve">Research indicates that managing the wellbeing of teams </w:t>
      </w:r>
      <w:proofErr w:type="gramStart"/>
      <w:r w:rsidR="00423247">
        <w:t>as a whole is</w:t>
      </w:r>
      <w:proofErr w:type="gramEnd"/>
      <w:r w:rsidR="00423247">
        <w:t xml:space="preserve"> important for reducing the risk of consequences such as the previously discussed loss to operationality, use of force issues and loss of officers</w:t>
      </w:r>
      <w:r w:rsidR="006A37EF">
        <w:t xml:space="preserve"> </w:t>
      </w:r>
      <w:r w:rsidR="006A37EF" w:rsidRPr="006A37EF">
        <w:t>(Carleton et al., 2017)</w:t>
      </w:r>
      <w:r w:rsidR="006A37EF">
        <w:t xml:space="preserve">. Mass loss of officers can cost a lot of money for police forces and can impact the public community as officers will be seen less and will. In short, poor policing team wellbeing creates unnecessary risks and erodes the core principles of policing both in the eyes of </w:t>
      </w:r>
      <w:r w:rsidR="006A37EF">
        <w:lastRenderedPageBreak/>
        <w:t xml:space="preserve">the public and the officers delivering its service. </w:t>
      </w:r>
      <w:r w:rsidR="006A37EF">
        <w:br/>
      </w:r>
      <w:r w:rsidR="006A37EF">
        <w:br/>
      </w:r>
      <w:r w:rsidR="006A37EF">
        <w:br/>
        <w:t>The evidence presented indicates that managing the wellbeing of all police officers and staff is critical as to avoid the damaging impacts of policing stressors. By implementing effective mental health management, officers can feel supported and in turn increase their resilience</w:t>
      </w:r>
      <w:r w:rsidR="00C47AAE">
        <w:t xml:space="preserve">. This can then allow officers to cope better with the stresses of </w:t>
      </w:r>
      <w:proofErr w:type="gramStart"/>
      <w:r w:rsidR="00C47AAE">
        <w:t>day to day</w:t>
      </w:r>
      <w:proofErr w:type="gramEnd"/>
      <w:r w:rsidR="00C47AAE">
        <w:t xml:space="preserve"> policing </w:t>
      </w:r>
      <w:r w:rsidR="00C47AAE" w:rsidRPr="00C47AAE">
        <w:t>(Papazoglou &amp; Tuttle, 2018)</w:t>
      </w:r>
      <w:r w:rsidR="00C47AAE">
        <w:t>.</w:t>
      </w:r>
      <w:r w:rsidR="008614D5">
        <w:t xml:space="preserve"> Early intervention and mental health inclusive systems can assist in preventing a </w:t>
      </w:r>
      <w:proofErr w:type="spellStart"/>
      <w:r w:rsidR="008614D5">
        <w:t>build up</w:t>
      </w:r>
      <w:proofErr w:type="spellEnd"/>
      <w:r w:rsidR="008614D5">
        <w:t xml:space="preserve"> of negative mental health therefore preventing its symptoms.</w:t>
      </w:r>
      <w:r w:rsidR="008614D5">
        <w:br/>
      </w:r>
      <w:r w:rsidR="008614D5">
        <w:br/>
        <w:t xml:space="preserve">Programs such as trauma counselling, resilience training and the peer lead </w:t>
      </w:r>
      <w:proofErr w:type="spellStart"/>
      <w:r w:rsidR="008614D5">
        <w:t>TRiM</w:t>
      </w:r>
      <w:proofErr w:type="spellEnd"/>
      <w:r w:rsidR="008614D5">
        <w:t xml:space="preserve"> system have been evidenced to improve wellbeing amongst officers </w:t>
      </w:r>
      <w:r w:rsidR="008614D5" w:rsidRPr="008614D5">
        <w:t>(Andersen et al., 2015)</w:t>
      </w:r>
      <w:r w:rsidR="008614D5">
        <w:t xml:space="preserve">. For </w:t>
      </w:r>
      <w:proofErr w:type="gramStart"/>
      <w:r w:rsidR="008614D5">
        <w:t>example</w:t>
      </w:r>
      <w:proofErr w:type="gramEnd"/>
      <w:r w:rsidR="008614D5">
        <w:t xml:space="preserve"> Andersen et al. (2015) found that when officers engaged in resilience training, it reduced symptoms of PTSD and assisted officers in growing coping skills when exposed to traumatic incidents. When these programs are promoted or better yet initiated by police forces, </w:t>
      </w:r>
      <w:r w:rsidR="00B53CB0">
        <w:t xml:space="preserve">they help to reduce the stigma surrounding mental health. </w:t>
      </w:r>
      <w:r w:rsidR="00B53CB0">
        <w:br/>
      </w:r>
    </w:p>
    <w:p w14:paraId="71212A43" w14:textId="35EE8FF5" w:rsidR="005715FA" w:rsidRDefault="00B53CB0" w:rsidP="005715FA">
      <w:r>
        <w:t xml:space="preserve">Such methods should be regularly used by police forces nationwide along with the use of regular de-briefs following traumatic incidents supported by </w:t>
      </w:r>
      <w:proofErr w:type="gramStart"/>
      <w:r>
        <w:t>officers</w:t>
      </w:r>
      <w:proofErr w:type="gramEnd"/>
      <w:r>
        <w:t xml:space="preserve"> line-management and should always be considered as a procedural step. With use of those methods, police forces can help to normalise stress reactions in their officers and in turn create the ability to quickly react to any stress indicators.</w:t>
      </w:r>
      <w:r>
        <w:br/>
      </w:r>
      <w:r>
        <w:br/>
        <w:t xml:space="preserve">As stated, it is incredibly important to address and normalise mental health but when it is addressed at an organisational level, it helps to encourage help seeking and reduces overall stigma surrounding mental health </w:t>
      </w:r>
      <w:r w:rsidR="00A66827" w:rsidRPr="00A66827">
        <w:t>(Karaffa &amp; Koch, 2015)</w:t>
      </w:r>
      <w:r w:rsidR="00A66827">
        <w:t xml:space="preserve">. Police leadership play a large part in promoting open communication on mental health and are ultimately the people who implement policies on workload management. If policing stressors are considered in such policies, their </w:t>
      </w:r>
      <w:proofErr w:type="gramStart"/>
      <w:r w:rsidR="00A66827">
        <w:t>officers</w:t>
      </w:r>
      <w:proofErr w:type="gramEnd"/>
      <w:r w:rsidR="00A66827">
        <w:t xml:space="preserve"> benefit. Similarly, supervisor awareness and training on mental health is essential to maintaining a comfortable work environment. Supervisors are the people who are able to immediately notice any changes in their teams members therefore by providing such supervisors with the knowledge and skills needed to help, they can respond to any such signs of distress and in turn can facilitate early intervention.</w:t>
      </w:r>
      <w:r w:rsidR="00A66827">
        <w:br/>
      </w:r>
      <w:r w:rsidR="00A66827">
        <w:br/>
        <w:t xml:space="preserve">As briefly discussed in this essay, the maintenance of mental wellbeing in policing isn’t just an issue relating to the health of officers but also a matter of operationality. Officers who are in a good state of mind in the course of their duties </w:t>
      </w:r>
      <w:proofErr w:type="gramStart"/>
      <w:r w:rsidR="00A66827">
        <w:t>are able to</w:t>
      </w:r>
      <w:proofErr w:type="gramEnd"/>
      <w:r w:rsidR="00A66827">
        <w:t xml:space="preserve"> perform better, make sound decisions and act positively with the community </w:t>
      </w:r>
      <w:r w:rsidR="00A66827" w:rsidRPr="006A37EF">
        <w:t>(Carleton et al., 2017)</w:t>
      </w:r>
      <w:r w:rsidR="00A66827">
        <w:t>.</w:t>
      </w:r>
      <w:r w:rsidR="00A66827">
        <w:t xml:space="preserve"> </w:t>
      </w:r>
      <w:r w:rsidR="00A66827">
        <w:lastRenderedPageBreak/>
        <w:t>Without such mental stability the opposite is possible, leading to</w:t>
      </w:r>
      <w:r w:rsidR="00F56F71">
        <w:t xml:space="preserve"> poor decision making and lack of emotional control leading to potential excessive use of force or on the extreme, police misconduct. This can then damage the relationship between the police and community and threaten the legitimacy of the police.</w:t>
      </w:r>
      <w:r w:rsidR="00F56F71">
        <w:br/>
      </w:r>
      <w:r w:rsidR="00F56F71">
        <w:br/>
        <w:t xml:space="preserve">Furthermore, a police service that publicly promotes mental wellbeing in their officers assists its image in the eyes of the public and can help increase recruitment. Additionally, in an age where public confidence in the police is at an </w:t>
      </w:r>
      <w:proofErr w:type="spellStart"/>
      <w:r w:rsidR="00F56F71">
        <w:t>all time</w:t>
      </w:r>
      <w:proofErr w:type="spellEnd"/>
      <w:r w:rsidR="00F56F71">
        <w:t xml:space="preserve"> low, frontline officers must be cared for </w:t>
      </w:r>
      <w:proofErr w:type="gramStart"/>
      <w:r w:rsidR="00F56F71">
        <w:t>in order to</w:t>
      </w:r>
      <w:proofErr w:type="gramEnd"/>
      <w:r w:rsidR="00F56F71">
        <w:t xml:space="preserve"> work at full capacity and by doing so, officers can help to build that trust up with the community by positively engaging with members of the public and effectively build positive outcomes for victims of crime. </w:t>
      </w:r>
      <w:r w:rsidR="00A476A7">
        <w:br/>
      </w:r>
      <w:r w:rsidR="00A476A7">
        <w:br/>
      </w:r>
      <w:r w:rsidR="00D26AA8">
        <w:br/>
        <w:t>In conclusion, the challenges</w:t>
      </w:r>
      <w:r w:rsidR="00454AEC">
        <w:t xml:space="preserve"> present in policing heavily impact the mental and physical wellbeing of both the individual officer and groups. </w:t>
      </w:r>
      <w:r w:rsidR="007403B4">
        <w:t>Factors such as c</w:t>
      </w:r>
      <w:r w:rsidR="00454AEC">
        <w:t>onstant exposure to traumatic events</w:t>
      </w:r>
      <w:r w:rsidR="00470BC4">
        <w:t>,</w:t>
      </w:r>
      <w:r w:rsidR="00454AEC">
        <w:t xml:space="preserve"> pressures from the organisation and an inherent culture that can indirectly prevent </w:t>
      </w:r>
      <w:r w:rsidR="00470BC4">
        <w:t>officers from speaking out about their stress and mental health</w:t>
      </w:r>
      <w:r w:rsidR="007403B4">
        <w:t xml:space="preserve"> all contribute to long term psychological and physiological impacts. This then not only affects </w:t>
      </w:r>
      <w:proofErr w:type="gramStart"/>
      <w:r w:rsidR="007403B4">
        <w:t>officers</w:t>
      </w:r>
      <w:proofErr w:type="gramEnd"/>
      <w:r w:rsidR="007403B4">
        <w:t xml:space="preserve"> health but also compromises team cohesion and ability to effectively respond to the public.</w:t>
      </w:r>
      <w:r w:rsidR="007403B4">
        <w:br/>
      </w:r>
      <w:r w:rsidR="007403B4">
        <w:br/>
        <w:t>Therefore, the maintenance of mental wellbeing in policing is critical. It allows for resilience amongst officers, improves policing culture, increases officer retainment and overall maintains the quality of policing services. Academically grounded research supports the necessity for integrated mental health management systems within policing organisations not only to safeguard its police officers and staff but the communities that receive their service.</w:t>
      </w:r>
      <w:r w:rsidR="00C47AAE">
        <w:br/>
      </w:r>
      <w:r w:rsidR="004F6C64">
        <w:br/>
      </w:r>
      <w:r w:rsidR="004F6C64">
        <w:br/>
      </w:r>
      <w:r w:rsidR="0077219F">
        <w:br/>
      </w:r>
      <w:r w:rsidR="0077219F">
        <w:br/>
      </w:r>
      <w:r w:rsidR="00105447">
        <w:br/>
      </w:r>
      <w:r w:rsidR="00105447">
        <w:br/>
      </w:r>
    </w:p>
    <w:p w14:paraId="205F34A4" w14:textId="77777777" w:rsidR="005715FA" w:rsidRDefault="005715FA" w:rsidP="005715FA">
      <w:r>
        <w:t xml:space="preserve">Allen, D.K., </w:t>
      </w:r>
      <w:proofErr w:type="spellStart"/>
      <w:r>
        <w:t>Karanasios</w:t>
      </w:r>
      <w:proofErr w:type="spellEnd"/>
      <w:r>
        <w:t>, S. and Norman, A. (2014). Information sharing and interoperability: the case of major incident management. European Journal of Information Systems, 23(4), pp.418–432. https://doi.org/10.1057/ejis.2013.9</w:t>
      </w:r>
    </w:p>
    <w:p w14:paraId="7F734B6B" w14:textId="77777777" w:rsidR="005715FA" w:rsidRDefault="005715FA" w:rsidP="005715FA"/>
    <w:p w14:paraId="052151E5" w14:textId="77777777" w:rsidR="005715FA" w:rsidRDefault="005715FA" w:rsidP="005715FA">
      <w:r>
        <w:lastRenderedPageBreak/>
        <w:t>Andersen, J.P. et al. (2015) ‘Applying resilience promotion training among special forces police officers’, Sage Open, 5(2). doi:10.1177/2158244015590446.</w:t>
      </w:r>
    </w:p>
    <w:p w14:paraId="6A4F61C8" w14:textId="77777777" w:rsidR="005715FA" w:rsidRDefault="005715FA" w:rsidP="005715FA"/>
    <w:p w14:paraId="02671A37" w14:textId="77777777" w:rsidR="005715FA" w:rsidRDefault="005715FA" w:rsidP="005715FA">
      <w:r>
        <w:t>Baldwin, S. et al. (2022) ‘A reasonable officer: Examining the relationships among stress, training, and performance in a highly realistic lethal force scenario’, Frontiers in Psychology, 12. doi:10.3389/fpsyg.2021.759132.</w:t>
      </w:r>
    </w:p>
    <w:p w14:paraId="48655A51" w14:textId="77777777" w:rsidR="005715FA" w:rsidRDefault="005715FA" w:rsidP="005715FA"/>
    <w:p w14:paraId="7346A0F4" w14:textId="77777777" w:rsidR="005715FA" w:rsidRDefault="005715FA" w:rsidP="005715FA">
      <w:r>
        <w:t xml:space="preserve">Bianchi, R., Schonfeld, I.S. and Laurent, E. (2015) ‘Burnout–Depression Overlap: A Review’, Clinical Psychology Review, 36, pp. 28–41. </w:t>
      </w:r>
      <w:proofErr w:type="gramStart"/>
      <w:r>
        <w:t>doi:10.1016/j.cpr</w:t>
      </w:r>
      <w:proofErr w:type="gramEnd"/>
      <w:r>
        <w:t>.2015.01.004.</w:t>
      </w:r>
    </w:p>
    <w:p w14:paraId="7799A513" w14:textId="77777777" w:rsidR="005715FA" w:rsidRDefault="005715FA" w:rsidP="005715FA"/>
    <w:p w14:paraId="5C5ED498" w14:textId="77777777" w:rsidR="005715FA" w:rsidRDefault="005715FA" w:rsidP="005715FA">
      <w:r>
        <w:t xml:space="preserve">Biggs, A., Brough, P. and Barbour, J.P. (2014) ‘Exposure to </w:t>
      </w:r>
      <w:proofErr w:type="spellStart"/>
      <w:r>
        <w:t>extraorganizational</w:t>
      </w:r>
      <w:proofErr w:type="spellEnd"/>
      <w:r>
        <w:t xml:space="preserve"> stressors: Impact on mental health and organizational perceptions for police officers.’, International Journal of Stress Management, 21(3), pp. 255–282. doi:10.1037/a0037297.</w:t>
      </w:r>
    </w:p>
    <w:p w14:paraId="3D0EAD73" w14:textId="77777777" w:rsidR="005715FA" w:rsidRDefault="005715FA" w:rsidP="005715FA"/>
    <w:p w14:paraId="7720F3A2" w14:textId="77777777" w:rsidR="005715FA" w:rsidRDefault="005715FA" w:rsidP="005715FA">
      <w:r>
        <w:t>Bradford, B. (2012). Policing and social identity: Procedural justice, inclusion and cooperation between police and public. Policing and Society, 24(1), pp.22–43. https://doi.org/10.1080/10439463.2012.724068</w:t>
      </w:r>
    </w:p>
    <w:p w14:paraId="462F8C68" w14:textId="77777777" w:rsidR="005715FA" w:rsidRDefault="005715FA" w:rsidP="005715FA"/>
    <w:p w14:paraId="292A43AE" w14:textId="77777777" w:rsidR="005715FA" w:rsidRDefault="005715FA" w:rsidP="005715FA">
      <w:r>
        <w:t>Carleton, R.N. et al. (2017) ‘Mental disorder symptoms among public safety personnel in Canada’, The Canadian Journal of Psychiatry, 63(1), pp. 54–64. doi:10.1177/0706743717723825.</w:t>
      </w:r>
    </w:p>
    <w:p w14:paraId="55733224" w14:textId="77777777" w:rsidR="005715FA" w:rsidRDefault="005715FA" w:rsidP="005715FA"/>
    <w:p w14:paraId="3F57774E" w14:textId="77777777" w:rsidR="005715FA" w:rsidRDefault="005715FA" w:rsidP="005715FA">
      <w:r>
        <w:t>Casey, L. (2023). The Baroness Casey Review: A review into the standards of behaviour and internal culture of the Metropolitan Police Service. Available at: https://www.met.police.uk/police-forces/metropolitan-police/areas/about-us/about-the-met/bcr/baroness-casey-review/</w:t>
      </w:r>
    </w:p>
    <w:p w14:paraId="1988B837" w14:textId="77777777" w:rsidR="005715FA" w:rsidRDefault="005715FA" w:rsidP="005715FA"/>
    <w:p w14:paraId="2D0FD765" w14:textId="77777777" w:rsidR="005715FA" w:rsidRDefault="005715FA" w:rsidP="005715FA">
      <w:r>
        <w:t>Cooper, C.L. (2003) ‘Stress prevention in the police’, Occupational Medicine, 53(4), pp. 244–245. doi:10.1093/</w:t>
      </w:r>
      <w:proofErr w:type="spellStart"/>
      <w:r>
        <w:t>occmed</w:t>
      </w:r>
      <w:proofErr w:type="spellEnd"/>
      <w:r>
        <w:t>/kqg073.</w:t>
      </w:r>
    </w:p>
    <w:p w14:paraId="53C7071F" w14:textId="77777777" w:rsidR="005715FA" w:rsidRDefault="005715FA" w:rsidP="005715FA"/>
    <w:p w14:paraId="15690A67" w14:textId="77777777" w:rsidR="005715FA" w:rsidRDefault="005715FA" w:rsidP="005715FA">
      <w:r>
        <w:t>Cubitt, T.I. (2023). The value of criminal history and police intelligence in vetting and selection of police. Crime Science, 12(1). https://doi.org/10.1186/s40163-023-00186-3</w:t>
      </w:r>
    </w:p>
    <w:p w14:paraId="79C0D899" w14:textId="77777777" w:rsidR="005715FA" w:rsidRDefault="005715FA" w:rsidP="005715FA"/>
    <w:p w14:paraId="764254D9" w14:textId="77777777" w:rsidR="005715FA" w:rsidRDefault="005715FA" w:rsidP="005715FA">
      <w:r>
        <w:lastRenderedPageBreak/>
        <w:t>Gu, J.K. et al. (2013) ‘Associations between psychological distress and body mass index among law enforcement officers: The National Health Interview Survey 2004-2010’, Safety and Health at Work, 4(1), pp. 52–62. doi:10.5491/shaw.2013.4.1.52.</w:t>
      </w:r>
    </w:p>
    <w:p w14:paraId="69BDFEFE" w14:textId="77777777" w:rsidR="005715FA" w:rsidRDefault="005715FA" w:rsidP="005715FA"/>
    <w:p w14:paraId="38EC4159" w14:textId="77777777" w:rsidR="005715FA" w:rsidRDefault="005715FA" w:rsidP="005715FA">
      <w:r>
        <w:t>Hart, P.M., Wearing, A.J. and Headey, B. (1995) ‘Police stress and well</w:t>
      </w:r>
      <w:r>
        <w:rPr>
          <w:rFonts w:ascii="Cambria Math" w:hAnsi="Cambria Math" w:cs="Cambria Math"/>
        </w:rPr>
        <w:t>‐</w:t>
      </w:r>
      <w:r>
        <w:t>being: Integrating personality, coping and daily work experiences</w:t>
      </w:r>
      <w:r>
        <w:rPr>
          <w:rFonts w:ascii="Aptos" w:hAnsi="Aptos" w:cs="Aptos"/>
        </w:rPr>
        <w:t>’</w:t>
      </w:r>
      <w:r>
        <w:t>, Journal of Occupational and Organizational Psychology, 68(2), pp. 133</w:t>
      </w:r>
      <w:r>
        <w:rPr>
          <w:rFonts w:ascii="Aptos" w:hAnsi="Aptos" w:cs="Aptos"/>
        </w:rPr>
        <w:t>–</w:t>
      </w:r>
      <w:r>
        <w:t>156. doi:10.1111/j.2044-</w:t>
      </w:r>
      <w:proofErr w:type="gramStart"/>
      <w:r>
        <w:t>8325.1995.tb00578.x.</w:t>
      </w:r>
      <w:proofErr w:type="gramEnd"/>
    </w:p>
    <w:p w14:paraId="5A93BC76" w14:textId="77777777" w:rsidR="005715FA" w:rsidRDefault="005715FA" w:rsidP="005715FA"/>
    <w:p w14:paraId="70B1DF7E" w14:textId="77777777" w:rsidR="005715FA" w:rsidRDefault="005715FA" w:rsidP="005715FA">
      <w:r>
        <w:t>HMICFRS (2022). An inspection of vetting, misconduct, and misogyny in the police service. Available at: https://hmicfrs.justiceinspectorates.gov.uk/publications/an-inspection-of-vetting-misconduct-and-misogyny-in-the-police-service/</w:t>
      </w:r>
    </w:p>
    <w:p w14:paraId="72D7E2CD" w14:textId="77777777" w:rsidR="005715FA" w:rsidRDefault="005715FA" w:rsidP="005715FA"/>
    <w:p w14:paraId="5F24C064" w14:textId="77777777" w:rsidR="005715FA" w:rsidRDefault="005715FA" w:rsidP="005715FA">
      <w:proofErr w:type="spellStart"/>
      <w:r>
        <w:t>Houdmont</w:t>
      </w:r>
      <w:proofErr w:type="spellEnd"/>
      <w:r>
        <w:t>, J. et al. (2019) ‘Stress management competency framework in English policing’, Occupational Medicine, 70(1), pp. 31–37. doi:10.1093/</w:t>
      </w:r>
      <w:proofErr w:type="spellStart"/>
      <w:r>
        <w:t>occmed</w:t>
      </w:r>
      <w:proofErr w:type="spellEnd"/>
      <w:r>
        <w:t>/kqz143.</w:t>
      </w:r>
    </w:p>
    <w:p w14:paraId="1FF5A827" w14:textId="77777777" w:rsidR="005715FA" w:rsidRDefault="005715FA" w:rsidP="005715FA"/>
    <w:p w14:paraId="2E40A242" w14:textId="77777777" w:rsidR="005715FA" w:rsidRDefault="005715FA" w:rsidP="005715FA">
      <w:r>
        <w:t>Hunt, E. et al. (2013) ‘Trim: An organizational response to traumatic events in Cumbria Constabulary’, Occupational Medicine, 63(8), pp. 549–555. doi:10.1093/</w:t>
      </w:r>
      <w:proofErr w:type="spellStart"/>
      <w:r>
        <w:t>occmed</w:t>
      </w:r>
      <w:proofErr w:type="spellEnd"/>
      <w:r>
        <w:t>/kqt113.</w:t>
      </w:r>
    </w:p>
    <w:p w14:paraId="009D7966" w14:textId="77777777" w:rsidR="005715FA" w:rsidRDefault="005715FA" w:rsidP="005715FA"/>
    <w:p w14:paraId="3446F31B" w14:textId="77777777" w:rsidR="005715FA" w:rsidRDefault="005715FA" w:rsidP="005715FA">
      <w:r>
        <w:t>IPCC (2015). The fatal police shooting of Mr Mark Duggan on 4 August 2011. Available at: https://www.statewatch.org/media/documents/news/2015/mar/uk-IPCC-investigation-report-fatal-shooting-of-MD.pdf</w:t>
      </w:r>
    </w:p>
    <w:p w14:paraId="20E91D5E" w14:textId="77777777" w:rsidR="005715FA" w:rsidRDefault="005715FA" w:rsidP="005715FA"/>
    <w:p w14:paraId="2A1853DD" w14:textId="77777777" w:rsidR="005715FA" w:rsidRDefault="005715FA" w:rsidP="005715FA">
      <w:r>
        <w:t>IOPC (2022). Operation Hotton, Learning report. Available at: https://www.policeconduct.gov.uk/sites/default/files/documents/Operation%20Hotton%20Learning%20report%20-%20January%202022.pdf</w:t>
      </w:r>
    </w:p>
    <w:p w14:paraId="025603AB" w14:textId="77777777" w:rsidR="005715FA" w:rsidRDefault="005715FA" w:rsidP="005715FA"/>
    <w:p w14:paraId="38D75FB2" w14:textId="77777777" w:rsidR="005715FA" w:rsidRDefault="005715FA" w:rsidP="005715FA">
      <w:proofErr w:type="spellStart"/>
      <w:r>
        <w:t>Jetelina</w:t>
      </w:r>
      <w:proofErr w:type="spellEnd"/>
      <w:r>
        <w:t>, K.K. et al. (2020) ‘Prevalence of mental illness and mental health care use among police officers’, JAMA Network Open, 3(10). doi:10.1001/jamanetworkopen.2020.19658.</w:t>
      </w:r>
    </w:p>
    <w:p w14:paraId="397F0413" w14:textId="77777777" w:rsidR="005715FA" w:rsidRDefault="005715FA" w:rsidP="005715FA"/>
    <w:p w14:paraId="58CC1BE0" w14:textId="77777777" w:rsidR="005715FA" w:rsidRDefault="005715FA" w:rsidP="005715FA">
      <w:r>
        <w:lastRenderedPageBreak/>
        <w:t xml:space="preserve">Karaffa, K.M. and Koch, J.M. (2015) ‘Stigma, pluralistic ignorance, and attitudes toward seeking mental health services among police officers’, Criminal Justice and </w:t>
      </w:r>
      <w:proofErr w:type="spellStart"/>
      <w:r>
        <w:t>Behavior</w:t>
      </w:r>
      <w:proofErr w:type="spellEnd"/>
      <w:r>
        <w:t>, 43(6), pp. 759–777. doi:10.1177/0093854815613103.</w:t>
      </w:r>
    </w:p>
    <w:p w14:paraId="29564B73" w14:textId="77777777" w:rsidR="005715FA" w:rsidRDefault="005715FA" w:rsidP="005715FA"/>
    <w:p w14:paraId="6E9943E8" w14:textId="77777777" w:rsidR="005715FA" w:rsidRDefault="005715FA" w:rsidP="005715FA">
      <w:r>
        <w:t>Kerslake, B. (2018). The Kerslake Report: An independent review into the preparedness for, and emergency response to, the Manchester Arena attack on 22nd May 2017. Available at: https://www.jesip.org.uk/uploads/media/Documents%20Products/Kerslake_Report_Manchester_Are.pdf</w:t>
      </w:r>
    </w:p>
    <w:p w14:paraId="08CEFFEA" w14:textId="77777777" w:rsidR="005715FA" w:rsidRDefault="005715FA" w:rsidP="005715FA"/>
    <w:p w14:paraId="083C6564" w14:textId="77777777" w:rsidR="005715FA" w:rsidRDefault="005715FA" w:rsidP="005715FA">
      <w:r>
        <w:t>Maslach, C. and Leiter, M.P. (2016) ‘Understanding the burnout experience: Recent research and its implications for psychiatry’, World Psychiatry, 15(2), pp. 103–111. doi:10.1002/wps.20311.</w:t>
      </w:r>
    </w:p>
    <w:p w14:paraId="100A5558" w14:textId="77777777" w:rsidR="005715FA" w:rsidRDefault="005715FA" w:rsidP="005715FA"/>
    <w:p w14:paraId="7778C44B" w14:textId="77777777" w:rsidR="005715FA" w:rsidRDefault="005715FA" w:rsidP="005715FA">
      <w:proofErr w:type="spellStart"/>
      <w:r>
        <w:t>Murji</w:t>
      </w:r>
      <w:proofErr w:type="spellEnd"/>
      <w:r>
        <w:t>, K. and Neal, S. (2011). Riot: Race and politics in the 2011 disorders. Sociological Research Online, 16(4), pp.216–220. https://doi.org/10.5153/sro.2557</w:t>
      </w:r>
    </w:p>
    <w:p w14:paraId="6F0F5B58" w14:textId="77777777" w:rsidR="005715FA" w:rsidRDefault="005715FA" w:rsidP="005715FA"/>
    <w:p w14:paraId="3B30209A" w14:textId="77777777" w:rsidR="005715FA" w:rsidRDefault="005715FA" w:rsidP="005715FA">
      <w:r>
        <w:t>Newburn, T. (2014). The 2011 England riots in recent historical perspective. British Journal of Criminology, 55(1), pp.39–64. https://doi.org/10.1093/bjc/azu074</w:t>
      </w:r>
    </w:p>
    <w:p w14:paraId="405F817F" w14:textId="77777777" w:rsidR="005715FA" w:rsidRDefault="005715FA" w:rsidP="005715FA"/>
    <w:p w14:paraId="2AF7BEE7" w14:textId="77777777" w:rsidR="005715FA" w:rsidRDefault="005715FA" w:rsidP="005715FA">
      <w:r>
        <w:t>Newburn, T. et al. (2016). “The biggest gang”? Police and people in the 2011 England riots. Policing and Society, 28(2), pp.205–222. https://doi.org/10.1080/10439463.2016.1165220</w:t>
      </w:r>
    </w:p>
    <w:p w14:paraId="7D636E9E" w14:textId="77777777" w:rsidR="005715FA" w:rsidRDefault="005715FA" w:rsidP="005715FA"/>
    <w:p w14:paraId="6A97A745" w14:textId="77777777" w:rsidR="005715FA" w:rsidRDefault="005715FA" w:rsidP="005715FA">
      <w:r>
        <w:t>Oliver, H. et al. (2022) ‘Stress and psychological wellbeing in British police force officers and staff’, Current Psychology, 42(33), pp. 29291–29304. doi:10.1007/s12144-022-03903-4.</w:t>
      </w:r>
    </w:p>
    <w:p w14:paraId="56F8F647" w14:textId="77777777" w:rsidR="005715FA" w:rsidRDefault="005715FA" w:rsidP="005715FA"/>
    <w:p w14:paraId="280CF76F" w14:textId="77777777" w:rsidR="005715FA" w:rsidRDefault="005715FA" w:rsidP="005715FA">
      <w:r>
        <w:t>Papazoglou, K. and Tuttle, B.M. (2018) ‘Fighting police trauma: Practical approaches to addressing psychological needs of officers’, Sage Open, 8(3). doi:10.1177/2158244018794794.</w:t>
      </w:r>
    </w:p>
    <w:p w14:paraId="147D178C" w14:textId="77777777" w:rsidR="005715FA" w:rsidRDefault="005715FA" w:rsidP="005715FA"/>
    <w:p w14:paraId="1DFD0E82" w14:textId="77777777" w:rsidR="005715FA" w:rsidRDefault="005715FA" w:rsidP="005715FA">
      <w:r>
        <w:lastRenderedPageBreak/>
        <w:t>Power, N. and Alison, L. (2017). Redundant deliberation about negative consequences: Decision inertia in emergency responders. Psychology, Public Policy, and Law, 23(2), pp.243–258. https://doi.org/10.1037/law0000114</w:t>
      </w:r>
    </w:p>
    <w:p w14:paraId="102250FE" w14:textId="77777777" w:rsidR="005715FA" w:rsidRDefault="005715FA" w:rsidP="005715FA"/>
    <w:p w14:paraId="0F89E9DB" w14:textId="77777777" w:rsidR="005715FA" w:rsidRDefault="005715FA" w:rsidP="005715FA">
      <w:r>
        <w:t>Power, N. et al. (2025). Bridging the principle</w:t>
      </w:r>
      <w:r>
        <w:rPr>
          <w:rFonts w:ascii="Cambria Math" w:hAnsi="Cambria Math" w:cs="Cambria Math"/>
        </w:rPr>
        <w:t>‐</w:t>
      </w:r>
      <w:r>
        <w:t>implementation gap: Evaluating organizational change to achieve interoperability between the UK emergency services. Journal of Occupational and Organizational Psychology, 98(1). https://doi.org/10.1111/joop.70010</w:t>
      </w:r>
    </w:p>
    <w:p w14:paraId="38DD3845" w14:textId="77777777" w:rsidR="005715FA" w:rsidRDefault="005715FA" w:rsidP="005715FA"/>
    <w:p w14:paraId="19C4945F" w14:textId="77777777" w:rsidR="005715FA" w:rsidRDefault="005715FA" w:rsidP="005715FA">
      <w:proofErr w:type="spellStart"/>
      <w:r>
        <w:t>Purba</w:t>
      </w:r>
      <w:proofErr w:type="spellEnd"/>
      <w:r>
        <w:t xml:space="preserve">, A. and </w:t>
      </w:r>
      <w:proofErr w:type="spellStart"/>
      <w:r>
        <w:t>Demou</w:t>
      </w:r>
      <w:proofErr w:type="spellEnd"/>
      <w:r>
        <w:t>, E. (2019) ‘The relationship between organisational stressors and mental wellbeing within police officers: A systematic review’, BMC Public Health, 19(1). doi:10.1186/s12889-019-7609-0.</w:t>
      </w:r>
    </w:p>
    <w:p w14:paraId="257CCA2B" w14:textId="77777777" w:rsidR="005715FA" w:rsidRDefault="005715FA" w:rsidP="005715FA"/>
    <w:p w14:paraId="3F649C4D" w14:textId="77777777" w:rsidR="005715FA" w:rsidRDefault="005715FA" w:rsidP="005715FA">
      <w:r>
        <w:t>Rohwer, E. et al. (2022) ‘Police officers’ work–life balance, job satisfaction and quality of life: Longitudinal effects after changing the shift schedule’, BMJ Open, 12(9). doi:10.1136/bmjopen-2022-063302.</w:t>
      </w:r>
    </w:p>
    <w:p w14:paraId="11CD1728" w14:textId="77777777" w:rsidR="005715FA" w:rsidRDefault="005715FA" w:rsidP="005715FA"/>
    <w:p w14:paraId="03FE2390" w14:textId="77777777" w:rsidR="005715FA" w:rsidRDefault="005715FA" w:rsidP="005715FA">
      <w:r>
        <w:t>Rowe, M. (2020). Policing the police: Challenges of democracy and accountability. Policy Press. ISBN: 9781447347057</w:t>
      </w:r>
    </w:p>
    <w:p w14:paraId="47A71079" w14:textId="77777777" w:rsidR="005715FA" w:rsidRDefault="005715FA" w:rsidP="005715FA"/>
    <w:p w14:paraId="6F2FBE88" w14:textId="77777777" w:rsidR="005715FA" w:rsidRDefault="005715FA" w:rsidP="005715FA">
      <w:r>
        <w:t>Saunders, J. (2022). Report of the Public Inquiry into the Attack on Manchester Arena on 22nd May 2017. Available at: https://assets.publishing.service.gov.uk/media/6363d508e90e0705a935f36d/MAI-Vol2-_Part_i_Accessible_.pdf</w:t>
      </w:r>
    </w:p>
    <w:p w14:paraId="15AD59AD" w14:textId="77777777" w:rsidR="005715FA" w:rsidRDefault="005715FA" w:rsidP="005715FA"/>
    <w:p w14:paraId="3655F579" w14:textId="77777777" w:rsidR="005715FA" w:rsidRDefault="005715FA" w:rsidP="005715FA">
      <w:r>
        <w:t xml:space="preserve">Stott, C., </w:t>
      </w:r>
      <w:proofErr w:type="spellStart"/>
      <w:r>
        <w:t>Hoggett</w:t>
      </w:r>
      <w:proofErr w:type="spellEnd"/>
      <w:r>
        <w:t>, J. and Pearson, G. (2011). ‘Keeping the peace’: Social identity, procedural justice and the policing of football crowds. British Journal of Criminology, 52(2), pp.381–399. https://doi.org/10.1093/bjc/azr076</w:t>
      </w:r>
    </w:p>
    <w:p w14:paraId="1AB70291" w14:textId="77777777" w:rsidR="005715FA" w:rsidRDefault="005715FA" w:rsidP="005715FA"/>
    <w:p w14:paraId="30400B79" w14:textId="79EA45D2" w:rsidR="00D2121F" w:rsidRPr="0091214F" w:rsidRDefault="005715FA" w:rsidP="005715FA">
      <w:r>
        <w:t>Violanti, J.M. et al. (2017) ‘Police stressors and health: A state-of-the-art review’, Policing: An International Journal of Police Strategies &amp; Management, 40(4), pp. 642–656. doi:10.1108/pijpsm-06-2016-0097.</w:t>
      </w:r>
    </w:p>
    <w:sectPr w:rsidR="00D2121F" w:rsidRPr="009121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5E1E5F"/>
    <w:multiLevelType w:val="hybridMultilevel"/>
    <w:tmpl w:val="92FC4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45549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14F"/>
    <w:rsid w:val="00023429"/>
    <w:rsid w:val="000401F1"/>
    <w:rsid w:val="00062A8C"/>
    <w:rsid w:val="000A6414"/>
    <w:rsid w:val="000B56F6"/>
    <w:rsid w:val="000C1D7B"/>
    <w:rsid w:val="000E0466"/>
    <w:rsid w:val="00105447"/>
    <w:rsid w:val="00173DE4"/>
    <w:rsid w:val="001E57C7"/>
    <w:rsid w:val="00261C38"/>
    <w:rsid w:val="002742E0"/>
    <w:rsid w:val="00280E22"/>
    <w:rsid w:val="002914BA"/>
    <w:rsid w:val="00297D59"/>
    <w:rsid w:val="002B6C93"/>
    <w:rsid w:val="002C1F1F"/>
    <w:rsid w:val="002D196E"/>
    <w:rsid w:val="002D71D9"/>
    <w:rsid w:val="0036616B"/>
    <w:rsid w:val="003A1289"/>
    <w:rsid w:val="003A53D1"/>
    <w:rsid w:val="003D05FD"/>
    <w:rsid w:val="00423247"/>
    <w:rsid w:val="004340AF"/>
    <w:rsid w:val="00454AEC"/>
    <w:rsid w:val="00470BC4"/>
    <w:rsid w:val="004D7A1F"/>
    <w:rsid w:val="004F2952"/>
    <w:rsid w:val="004F6683"/>
    <w:rsid w:val="004F6C64"/>
    <w:rsid w:val="00517E85"/>
    <w:rsid w:val="00526C40"/>
    <w:rsid w:val="00546CEE"/>
    <w:rsid w:val="00556C92"/>
    <w:rsid w:val="005715FA"/>
    <w:rsid w:val="005D0C77"/>
    <w:rsid w:val="005F41B7"/>
    <w:rsid w:val="0064532E"/>
    <w:rsid w:val="00687BB7"/>
    <w:rsid w:val="006A37EF"/>
    <w:rsid w:val="006B0AB8"/>
    <w:rsid w:val="006B6C90"/>
    <w:rsid w:val="007403B4"/>
    <w:rsid w:val="00757DC2"/>
    <w:rsid w:val="00766F77"/>
    <w:rsid w:val="0077219F"/>
    <w:rsid w:val="00786872"/>
    <w:rsid w:val="007A0107"/>
    <w:rsid w:val="007B0FB9"/>
    <w:rsid w:val="007E3B82"/>
    <w:rsid w:val="007E48E0"/>
    <w:rsid w:val="008222A8"/>
    <w:rsid w:val="00826BFA"/>
    <w:rsid w:val="008314C7"/>
    <w:rsid w:val="008614D5"/>
    <w:rsid w:val="008A256E"/>
    <w:rsid w:val="008B3AF0"/>
    <w:rsid w:val="008D25F0"/>
    <w:rsid w:val="008E09D5"/>
    <w:rsid w:val="008E56E1"/>
    <w:rsid w:val="00902DEA"/>
    <w:rsid w:val="0091214F"/>
    <w:rsid w:val="00957E2B"/>
    <w:rsid w:val="00982C2B"/>
    <w:rsid w:val="009B1A8E"/>
    <w:rsid w:val="009D388E"/>
    <w:rsid w:val="00A15AE2"/>
    <w:rsid w:val="00A37009"/>
    <w:rsid w:val="00A476A7"/>
    <w:rsid w:val="00A5440F"/>
    <w:rsid w:val="00A56CE8"/>
    <w:rsid w:val="00A64186"/>
    <w:rsid w:val="00A66827"/>
    <w:rsid w:val="00A67194"/>
    <w:rsid w:val="00A968AC"/>
    <w:rsid w:val="00AB3663"/>
    <w:rsid w:val="00AE36C4"/>
    <w:rsid w:val="00B05519"/>
    <w:rsid w:val="00B203DC"/>
    <w:rsid w:val="00B53CB0"/>
    <w:rsid w:val="00B776CE"/>
    <w:rsid w:val="00BB40E7"/>
    <w:rsid w:val="00C47AAE"/>
    <w:rsid w:val="00CA4F2F"/>
    <w:rsid w:val="00CB64A7"/>
    <w:rsid w:val="00D2121F"/>
    <w:rsid w:val="00D243A1"/>
    <w:rsid w:val="00D26AA8"/>
    <w:rsid w:val="00D30C0F"/>
    <w:rsid w:val="00D36AFE"/>
    <w:rsid w:val="00D67ED2"/>
    <w:rsid w:val="00D7450F"/>
    <w:rsid w:val="00D84F01"/>
    <w:rsid w:val="00DA019E"/>
    <w:rsid w:val="00DF6F2F"/>
    <w:rsid w:val="00E138BB"/>
    <w:rsid w:val="00E56EDA"/>
    <w:rsid w:val="00E80525"/>
    <w:rsid w:val="00E91B9C"/>
    <w:rsid w:val="00EA2CE1"/>
    <w:rsid w:val="00EB75E5"/>
    <w:rsid w:val="00F06851"/>
    <w:rsid w:val="00F327C8"/>
    <w:rsid w:val="00F404E6"/>
    <w:rsid w:val="00F51397"/>
    <w:rsid w:val="00F521CC"/>
    <w:rsid w:val="00F56F71"/>
    <w:rsid w:val="00F65EF7"/>
    <w:rsid w:val="00F71BA9"/>
    <w:rsid w:val="00F8699D"/>
    <w:rsid w:val="00FB718F"/>
    <w:rsid w:val="00FD5799"/>
    <w:rsid w:val="00FE5CAF"/>
    <w:rsid w:val="00FF32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C6FDC"/>
  <w15:chartTrackingRefBased/>
  <w15:docId w15:val="{099E12EF-575B-4508-9250-D19F78E9C3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21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21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21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21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21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21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21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21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21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21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21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21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21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21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21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21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21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214F"/>
    <w:rPr>
      <w:rFonts w:eastAsiaTheme="majorEastAsia" w:cstheme="majorBidi"/>
      <w:color w:val="272727" w:themeColor="text1" w:themeTint="D8"/>
    </w:rPr>
  </w:style>
  <w:style w:type="paragraph" w:styleId="Title">
    <w:name w:val="Title"/>
    <w:basedOn w:val="Normal"/>
    <w:next w:val="Normal"/>
    <w:link w:val="TitleChar"/>
    <w:uiPriority w:val="10"/>
    <w:qFormat/>
    <w:rsid w:val="009121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21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21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21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214F"/>
    <w:pPr>
      <w:spacing w:before="160"/>
      <w:jc w:val="center"/>
    </w:pPr>
    <w:rPr>
      <w:i/>
      <w:iCs/>
      <w:color w:val="404040" w:themeColor="text1" w:themeTint="BF"/>
    </w:rPr>
  </w:style>
  <w:style w:type="character" w:customStyle="1" w:styleId="QuoteChar">
    <w:name w:val="Quote Char"/>
    <w:basedOn w:val="DefaultParagraphFont"/>
    <w:link w:val="Quote"/>
    <w:uiPriority w:val="29"/>
    <w:rsid w:val="0091214F"/>
    <w:rPr>
      <w:i/>
      <w:iCs/>
      <w:color w:val="404040" w:themeColor="text1" w:themeTint="BF"/>
    </w:rPr>
  </w:style>
  <w:style w:type="paragraph" w:styleId="ListParagraph">
    <w:name w:val="List Paragraph"/>
    <w:basedOn w:val="Normal"/>
    <w:uiPriority w:val="34"/>
    <w:qFormat/>
    <w:rsid w:val="0091214F"/>
    <w:pPr>
      <w:ind w:left="720"/>
      <w:contextualSpacing/>
    </w:pPr>
  </w:style>
  <w:style w:type="character" w:styleId="IntenseEmphasis">
    <w:name w:val="Intense Emphasis"/>
    <w:basedOn w:val="DefaultParagraphFont"/>
    <w:uiPriority w:val="21"/>
    <w:qFormat/>
    <w:rsid w:val="0091214F"/>
    <w:rPr>
      <w:i/>
      <w:iCs/>
      <w:color w:val="0F4761" w:themeColor="accent1" w:themeShade="BF"/>
    </w:rPr>
  </w:style>
  <w:style w:type="paragraph" w:styleId="IntenseQuote">
    <w:name w:val="Intense Quote"/>
    <w:basedOn w:val="Normal"/>
    <w:next w:val="Normal"/>
    <w:link w:val="IntenseQuoteChar"/>
    <w:uiPriority w:val="30"/>
    <w:qFormat/>
    <w:rsid w:val="009121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214F"/>
    <w:rPr>
      <w:i/>
      <w:iCs/>
      <w:color w:val="0F4761" w:themeColor="accent1" w:themeShade="BF"/>
    </w:rPr>
  </w:style>
  <w:style w:type="character" w:styleId="IntenseReference">
    <w:name w:val="Intense Reference"/>
    <w:basedOn w:val="DefaultParagraphFont"/>
    <w:uiPriority w:val="32"/>
    <w:qFormat/>
    <w:rsid w:val="0091214F"/>
    <w:rPr>
      <w:b/>
      <w:bCs/>
      <w:smallCaps/>
      <w:color w:val="0F4761" w:themeColor="accent1" w:themeShade="BF"/>
      <w:spacing w:val="5"/>
    </w:rPr>
  </w:style>
  <w:style w:type="character" w:styleId="Hyperlink">
    <w:name w:val="Hyperlink"/>
    <w:basedOn w:val="DefaultParagraphFont"/>
    <w:uiPriority w:val="99"/>
    <w:unhideWhenUsed/>
    <w:rsid w:val="00B776CE"/>
    <w:rPr>
      <w:color w:val="467886" w:themeColor="hyperlink"/>
      <w:u w:val="single"/>
    </w:rPr>
  </w:style>
  <w:style w:type="character" w:styleId="UnresolvedMention">
    <w:name w:val="Unresolved Mention"/>
    <w:basedOn w:val="DefaultParagraphFont"/>
    <w:uiPriority w:val="99"/>
    <w:semiHidden/>
    <w:unhideWhenUsed/>
    <w:rsid w:val="00B776CE"/>
    <w:rPr>
      <w:color w:val="605E5C"/>
      <w:shd w:val="clear" w:color="auto" w:fill="E1DFDD"/>
    </w:rPr>
  </w:style>
  <w:style w:type="paragraph" w:styleId="NormalWeb">
    <w:name w:val="Normal (Web)"/>
    <w:basedOn w:val="Normal"/>
    <w:uiPriority w:val="99"/>
    <w:semiHidden/>
    <w:unhideWhenUsed/>
    <w:rsid w:val="00FB718F"/>
    <w:rPr>
      <w:rFonts w:ascii="Times New Roman" w:hAnsi="Times New Roman" w:cs="Times New Roman"/>
    </w:rPr>
  </w:style>
  <w:style w:type="character" w:styleId="FollowedHyperlink">
    <w:name w:val="FollowedHyperlink"/>
    <w:basedOn w:val="DefaultParagraphFont"/>
    <w:uiPriority w:val="99"/>
    <w:semiHidden/>
    <w:unhideWhenUsed/>
    <w:rsid w:val="00766F7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044422">
      <w:bodyDiv w:val="1"/>
      <w:marLeft w:val="0"/>
      <w:marRight w:val="0"/>
      <w:marTop w:val="0"/>
      <w:marBottom w:val="0"/>
      <w:divBdr>
        <w:top w:val="none" w:sz="0" w:space="0" w:color="auto"/>
        <w:left w:val="none" w:sz="0" w:space="0" w:color="auto"/>
        <w:bottom w:val="none" w:sz="0" w:space="0" w:color="auto"/>
        <w:right w:val="none" w:sz="0" w:space="0" w:color="auto"/>
      </w:divBdr>
    </w:div>
    <w:div w:id="76488304">
      <w:bodyDiv w:val="1"/>
      <w:marLeft w:val="0"/>
      <w:marRight w:val="0"/>
      <w:marTop w:val="0"/>
      <w:marBottom w:val="0"/>
      <w:divBdr>
        <w:top w:val="none" w:sz="0" w:space="0" w:color="auto"/>
        <w:left w:val="none" w:sz="0" w:space="0" w:color="auto"/>
        <w:bottom w:val="none" w:sz="0" w:space="0" w:color="auto"/>
        <w:right w:val="none" w:sz="0" w:space="0" w:color="auto"/>
      </w:divBdr>
    </w:div>
    <w:div w:id="85543995">
      <w:bodyDiv w:val="1"/>
      <w:marLeft w:val="0"/>
      <w:marRight w:val="0"/>
      <w:marTop w:val="0"/>
      <w:marBottom w:val="0"/>
      <w:divBdr>
        <w:top w:val="none" w:sz="0" w:space="0" w:color="auto"/>
        <w:left w:val="none" w:sz="0" w:space="0" w:color="auto"/>
        <w:bottom w:val="none" w:sz="0" w:space="0" w:color="auto"/>
        <w:right w:val="none" w:sz="0" w:space="0" w:color="auto"/>
      </w:divBdr>
    </w:div>
    <w:div w:id="121272483">
      <w:bodyDiv w:val="1"/>
      <w:marLeft w:val="0"/>
      <w:marRight w:val="0"/>
      <w:marTop w:val="0"/>
      <w:marBottom w:val="0"/>
      <w:divBdr>
        <w:top w:val="none" w:sz="0" w:space="0" w:color="auto"/>
        <w:left w:val="none" w:sz="0" w:space="0" w:color="auto"/>
        <w:bottom w:val="none" w:sz="0" w:space="0" w:color="auto"/>
        <w:right w:val="none" w:sz="0" w:space="0" w:color="auto"/>
      </w:divBdr>
    </w:div>
    <w:div w:id="203489332">
      <w:bodyDiv w:val="1"/>
      <w:marLeft w:val="0"/>
      <w:marRight w:val="0"/>
      <w:marTop w:val="0"/>
      <w:marBottom w:val="0"/>
      <w:divBdr>
        <w:top w:val="none" w:sz="0" w:space="0" w:color="auto"/>
        <w:left w:val="none" w:sz="0" w:space="0" w:color="auto"/>
        <w:bottom w:val="none" w:sz="0" w:space="0" w:color="auto"/>
        <w:right w:val="none" w:sz="0" w:space="0" w:color="auto"/>
      </w:divBdr>
    </w:div>
    <w:div w:id="217476746">
      <w:bodyDiv w:val="1"/>
      <w:marLeft w:val="0"/>
      <w:marRight w:val="0"/>
      <w:marTop w:val="0"/>
      <w:marBottom w:val="0"/>
      <w:divBdr>
        <w:top w:val="none" w:sz="0" w:space="0" w:color="auto"/>
        <w:left w:val="none" w:sz="0" w:space="0" w:color="auto"/>
        <w:bottom w:val="none" w:sz="0" w:space="0" w:color="auto"/>
        <w:right w:val="none" w:sz="0" w:space="0" w:color="auto"/>
      </w:divBdr>
    </w:div>
    <w:div w:id="219480346">
      <w:bodyDiv w:val="1"/>
      <w:marLeft w:val="0"/>
      <w:marRight w:val="0"/>
      <w:marTop w:val="0"/>
      <w:marBottom w:val="0"/>
      <w:divBdr>
        <w:top w:val="none" w:sz="0" w:space="0" w:color="auto"/>
        <w:left w:val="none" w:sz="0" w:space="0" w:color="auto"/>
        <w:bottom w:val="none" w:sz="0" w:space="0" w:color="auto"/>
        <w:right w:val="none" w:sz="0" w:space="0" w:color="auto"/>
      </w:divBdr>
    </w:div>
    <w:div w:id="255484660">
      <w:bodyDiv w:val="1"/>
      <w:marLeft w:val="0"/>
      <w:marRight w:val="0"/>
      <w:marTop w:val="0"/>
      <w:marBottom w:val="0"/>
      <w:divBdr>
        <w:top w:val="none" w:sz="0" w:space="0" w:color="auto"/>
        <w:left w:val="none" w:sz="0" w:space="0" w:color="auto"/>
        <w:bottom w:val="none" w:sz="0" w:space="0" w:color="auto"/>
        <w:right w:val="none" w:sz="0" w:space="0" w:color="auto"/>
      </w:divBdr>
    </w:div>
    <w:div w:id="300159050">
      <w:bodyDiv w:val="1"/>
      <w:marLeft w:val="0"/>
      <w:marRight w:val="0"/>
      <w:marTop w:val="0"/>
      <w:marBottom w:val="0"/>
      <w:divBdr>
        <w:top w:val="none" w:sz="0" w:space="0" w:color="auto"/>
        <w:left w:val="none" w:sz="0" w:space="0" w:color="auto"/>
        <w:bottom w:val="none" w:sz="0" w:space="0" w:color="auto"/>
        <w:right w:val="none" w:sz="0" w:space="0" w:color="auto"/>
      </w:divBdr>
    </w:div>
    <w:div w:id="318585100">
      <w:bodyDiv w:val="1"/>
      <w:marLeft w:val="0"/>
      <w:marRight w:val="0"/>
      <w:marTop w:val="0"/>
      <w:marBottom w:val="0"/>
      <w:divBdr>
        <w:top w:val="none" w:sz="0" w:space="0" w:color="auto"/>
        <w:left w:val="none" w:sz="0" w:space="0" w:color="auto"/>
        <w:bottom w:val="none" w:sz="0" w:space="0" w:color="auto"/>
        <w:right w:val="none" w:sz="0" w:space="0" w:color="auto"/>
      </w:divBdr>
    </w:div>
    <w:div w:id="350228645">
      <w:bodyDiv w:val="1"/>
      <w:marLeft w:val="0"/>
      <w:marRight w:val="0"/>
      <w:marTop w:val="0"/>
      <w:marBottom w:val="0"/>
      <w:divBdr>
        <w:top w:val="none" w:sz="0" w:space="0" w:color="auto"/>
        <w:left w:val="none" w:sz="0" w:space="0" w:color="auto"/>
        <w:bottom w:val="none" w:sz="0" w:space="0" w:color="auto"/>
        <w:right w:val="none" w:sz="0" w:space="0" w:color="auto"/>
      </w:divBdr>
    </w:div>
    <w:div w:id="466515027">
      <w:bodyDiv w:val="1"/>
      <w:marLeft w:val="0"/>
      <w:marRight w:val="0"/>
      <w:marTop w:val="0"/>
      <w:marBottom w:val="0"/>
      <w:divBdr>
        <w:top w:val="none" w:sz="0" w:space="0" w:color="auto"/>
        <w:left w:val="none" w:sz="0" w:space="0" w:color="auto"/>
        <w:bottom w:val="none" w:sz="0" w:space="0" w:color="auto"/>
        <w:right w:val="none" w:sz="0" w:space="0" w:color="auto"/>
      </w:divBdr>
    </w:div>
    <w:div w:id="489829028">
      <w:bodyDiv w:val="1"/>
      <w:marLeft w:val="0"/>
      <w:marRight w:val="0"/>
      <w:marTop w:val="0"/>
      <w:marBottom w:val="0"/>
      <w:divBdr>
        <w:top w:val="none" w:sz="0" w:space="0" w:color="auto"/>
        <w:left w:val="none" w:sz="0" w:space="0" w:color="auto"/>
        <w:bottom w:val="none" w:sz="0" w:space="0" w:color="auto"/>
        <w:right w:val="none" w:sz="0" w:space="0" w:color="auto"/>
      </w:divBdr>
    </w:div>
    <w:div w:id="582954583">
      <w:bodyDiv w:val="1"/>
      <w:marLeft w:val="0"/>
      <w:marRight w:val="0"/>
      <w:marTop w:val="0"/>
      <w:marBottom w:val="0"/>
      <w:divBdr>
        <w:top w:val="none" w:sz="0" w:space="0" w:color="auto"/>
        <w:left w:val="none" w:sz="0" w:space="0" w:color="auto"/>
        <w:bottom w:val="none" w:sz="0" w:space="0" w:color="auto"/>
        <w:right w:val="none" w:sz="0" w:space="0" w:color="auto"/>
      </w:divBdr>
    </w:div>
    <w:div w:id="585307455">
      <w:bodyDiv w:val="1"/>
      <w:marLeft w:val="0"/>
      <w:marRight w:val="0"/>
      <w:marTop w:val="0"/>
      <w:marBottom w:val="0"/>
      <w:divBdr>
        <w:top w:val="none" w:sz="0" w:space="0" w:color="auto"/>
        <w:left w:val="none" w:sz="0" w:space="0" w:color="auto"/>
        <w:bottom w:val="none" w:sz="0" w:space="0" w:color="auto"/>
        <w:right w:val="none" w:sz="0" w:space="0" w:color="auto"/>
      </w:divBdr>
    </w:div>
    <w:div w:id="615261794">
      <w:bodyDiv w:val="1"/>
      <w:marLeft w:val="0"/>
      <w:marRight w:val="0"/>
      <w:marTop w:val="0"/>
      <w:marBottom w:val="0"/>
      <w:divBdr>
        <w:top w:val="none" w:sz="0" w:space="0" w:color="auto"/>
        <w:left w:val="none" w:sz="0" w:space="0" w:color="auto"/>
        <w:bottom w:val="none" w:sz="0" w:space="0" w:color="auto"/>
        <w:right w:val="none" w:sz="0" w:space="0" w:color="auto"/>
      </w:divBdr>
    </w:div>
    <w:div w:id="701711215">
      <w:bodyDiv w:val="1"/>
      <w:marLeft w:val="0"/>
      <w:marRight w:val="0"/>
      <w:marTop w:val="0"/>
      <w:marBottom w:val="0"/>
      <w:divBdr>
        <w:top w:val="none" w:sz="0" w:space="0" w:color="auto"/>
        <w:left w:val="none" w:sz="0" w:space="0" w:color="auto"/>
        <w:bottom w:val="none" w:sz="0" w:space="0" w:color="auto"/>
        <w:right w:val="none" w:sz="0" w:space="0" w:color="auto"/>
      </w:divBdr>
    </w:div>
    <w:div w:id="726146517">
      <w:bodyDiv w:val="1"/>
      <w:marLeft w:val="0"/>
      <w:marRight w:val="0"/>
      <w:marTop w:val="0"/>
      <w:marBottom w:val="0"/>
      <w:divBdr>
        <w:top w:val="none" w:sz="0" w:space="0" w:color="auto"/>
        <w:left w:val="none" w:sz="0" w:space="0" w:color="auto"/>
        <w:bottom w:val="none" w:sz="0" w:space="0" w:color="auto"/>
        <w:right w:val="none" w:sz="0" w:space="0" w:color="auto"/>
      </w:divBdr>
    </w:div>
    <w:div w:id="730035269">
      <w:bodyDiv w:val="1"/>
      <w:marLeft w:val="0"/>
      <w:marRight w:val="0"/>
      <w:marTop w:val="0"/>
      <w:marBottom w:val="0"/>
      <w:divBdr>
        <w:top w:val="none" w:sz="0" w:space="0" w:color="auto"/>
        <w:left w:val="none" w:sz="0" w:space="0" w:color="auto"/>
        <w:bottom w:val="none" w:sz="0" w:space="0" w:color="auto"/>
        <w:right w:val="none" w:sz="0" w:space="0" w:color="auto"/>
      </w:divBdr>
    </w:div>
    <w:div w:id="741172815">
      <w:bodyDiv w:val="1"/>
      <w:marLeft w:val="0"/>
      <w:marRight w:val="0"/>
      <w:marTop w:val="0"/>
      <w:marBottom w:val="0"/>
      <w:divBdr>
        <w:top w:val="none" w:sz="0" w:space="0" w:color="auto"/>
        <w:left w:val="none" w:sz="0" w:space="0" w:color="auto"/>
        <w:bottom w:val="none" w:sz="0" w:space="0" w:color="auto"/>
        <w:right w:val="none" w:sz="0" w:space="0" w:color="auto"/>
      </w:divBdr>
    </w:div>
    <w:div w:id="771899887">
      <w:bodyDiv w:val="1"/>
      <w:marLeft w:val="0"/>
      <w:marRight w:val="0"/>
      <w:marTop w:val="0"/>
      <w:marBottom w:val="0"/>
      <w:divBdr>
        <w:top w:val="none" w:sz="0" w:space="0" w:color="auto"/>
        <w:left w:val="none" w:sz="0" w:space="0" w:color="auto"/>
        <w:bottom w:val="none" w:sz="0" w:space="0" w:color="auto"/>
        <w:right w:val="none" w:sz="0" w:space="0" w:color="auto"/>
      </w:divBdr>
    </w:div>
    <w:div w:id="780883123">
      <w:bodyDiv w:val="1"/>
      <w:marLeft w:val="0"/>
      <w:marRight w:val="0"/>
      <w:marTop w:val="0"/>
      <w:marBottom w:val="0"/>
      <w:divBdr>
        <w:top w:val="none" w:sz="0" w:space="0" w:color="auto"/>
        <w:left w:val="none" w:sz="0" w:space="0" w:color="auto"/>
        <w:bottom w:val="none" w:sz="0" w:space="0" w:color="auto"/>
        <w:right w:val="none" w:sz="0" w:space="0" w:color="auto"/>
      </w:divBdr>
    </w:div>
    <w:div w:id="785393741">
      <w:bodyDiv w:val="1"/>
      <w:marLeft w:val="0"/>
      <w:marRight w:val="0"/>
      <w:marTop w:val="0"/>
      <w:marBottom w:val="0"/>
      <w:divBdr>
        <w:top w:val="none" w:sz="0" w:space="0" w:color="auto"/>
        <w:left w:val="none" w:sz="0" w:space="0" w:color="auto"/>
        <w:bottom w:val="none" w:sz="0" w:space="0" w:color="auto"/>
        <w:right w:val="none" w:sz="0" w:space="0" w:color="auto"/>
      </w:divBdr>
    </w:div>
    <w:div w:id="821694973">
      <w:bodyDiv w:val="1"/>
      <w:marLeft w:val="0"/>
      <w:marRight w:val="0"/>
      <w:marTop w:val="0"/>
      <w:marBottom w:val="0"/>
      <w:divBdr>
        <w:top w:val="none" w:sz="0" w:space="0" w:color="auto"/>
        <w:left w:val="none" w:sz="0" w:space="0" w:color="auto"/>
        <w:bottom w:val="none" w:sz="0" w:space="0" w:color="auto"/>
        <w:right w:val="none" w:sz="0" w:space="0" w:color="auto"/>
      </w:divBdr>
    </w:div>
    <w:div w:id="836068836">
      <w:bodyDiv w:val="1"/>
      <w:marLeft w:val="0"/>
      <w:marRight w:val="0"/>
      <w:marTop w:val="0"/>
      <w:marBottom w:val="0"/>
      <w:divBdr>
        <w:top w:val="none" w:sz="0" w:space="0" w:color="auto"/>
        <w:left w:val="none" w:sz="0" w:space="0" w:color="auto"/>
        <w:bottom w:val="none" w:sz="0" w:space="0" w:color="auto"/>
        <w:right w:val="none" w:sz="0" w:space="0" w:color="auto"/>
      </w:divBdr>
    </w:div>
    <w:div w:id="841244093">
      <w:bodyDiv w:val="1"/>
      <w:marLeft w:val="0"/>
      <w:marRight w:val="0"/>
      <w:marTop w:val="0"/>
      <w:marBottom w:val="0"/>
      <w:divBdr>
        <w:top w:val="none" w:sz="0" w:space="0" w:color="auto"/>
        <w:left w:val="none" w:sz="0" w:space="0" w:color="auto"/>
        <w:bottom w:val="none" w:sz="0" w:space="0" w:color="auto"/>
        <w:right w:val="none" w:sz="0" w:space="0" w:color="auto"/>
      </w:divBdr>
    </w:div>
    <w:div w:id="874729941">
      <w:bodyDiv w:val="1"/>
      <w:marLeft w:val="0"/>
      <w:marRight w:val="0"/>
      <w:marTop w:val="0"/>
      <w:marBottom w:val="0"/>
      <w:divBdr>
        <w:top w:val="none" w:sz="0" w:space="0" w:color="auto"/>
        <w:left w:val="none" w:sz="0" w:space="0" w:color="auto"/>
        <w:bottom w:val="none" w:sz="0" w:space="0" w:color="auto"/>
        <w:right w:val="none" w:sz="0" w:space="0" w:color="auto"/>
      </w:divBdr>
    </w:div>
    <w:div w:id="946546154">
      <w:bodyDiv w:val="1"/>
      <w:marLeft w:val="0"/>
      <w:marRight w:val="0"/>
      <w:marTop w:val="0"/>
      <w:marBottom w:val="0"/>
      <w:divBdr>
        <w:top w:val="none" w:sz="0" w:space="0" w:color="auto"/>
        <w:left w:val="none" w:sz="0" w:space="0" w:color="auto"/>
        <w:bottom w:val="none" w:sz="0" w:space="0" w:color="auto"/>
        <w:right w:val="none" w:sz="0" w:space="0" w:color="auto"/>
      </w:divBdr>
    </w:div>
    <w:div w:id="973950004">
      <w:bodyDiv w:val="1"/>
      <w:marLeft w:val="0"/>
      <w:marRight w:val="0"/>
      <w:marTop w:val="0"/>
      <w:marBottom w:val="0"/>
      <w:divBdr>
        <w:top w:val="none" w:sz="0" w:space="0" w:color="auto"/>
        <w:left w:val="none" w:sz="0" w:space="0" w:color="auto"/>
        <w:bottom w:val="none" w:sz="0" w:space="0" w:color="auto"/>
        <w:right w:val="none" w:sz="0" w:space="0" w:color="auto"/>
      </w:divBdr>
    </w:div>
    <w:div w:id="982201639">
      <w:bodyDiv w:val="1"/>
      <w:marLeft w:val="0"/>
      <w:marRight w:val="0"/>
      <w:marTop w:val="0"/>
      <w:marBottom w:val="0"/>
      <w:divBdr>
        <w:top w:val="none" w:sz="0" w:space="0" w:color="auto"/>
        <w:left w:val="none" w:sz="0" w:space="0" w:color="auto"/>
        <w:bottom w:val="none" w:sz="0" w:space="0" w:color="auto"/>
        <w:right w:val="none" w:sz="0" w:space="0" w:color="auto"/>
      </w:divBdr>
    </w:div>
    <w:div w:id="982927938">
      <w:bodyDiv w:val="1"/>
      <w:marLeft w:val="0"/>
      <w:marRight w:val="0"/>
      <w:marTop w:val="0"/>
      <w:marBottom w:val="0"/>
      <w:divBdr>
        <w:top w:val="none" w:sz="0" w:space="0" w:color="auto"/>
        <w:left w:val="none" w:sz="0" w:space="0" w:color="auto"/>
        <w:bottom w:val="none" w:sz="0" w:space="0" w:color="auto"/>
        <w:right w:val="none" w:sz="0" w:space="0" w:color="auto"/>
      </w:divBdr>
    </w:div>
    <w:div w:id="983434805">
      <w:bodyDiv w:val="1"/>
      <w:marLeft w:val="0"/>
      <w:marRight w:val="0"/>
      <w:marTop w:val="0"/>
      <w:marBottom w:val="0"/>
      <w:divBdr>
        <w:top w:val="none" w:sz="0" w:space="0" w:color="auto"/>
        <w:left w:val="none" w:sz="0" w:space="0" w:color="auto"/>
        <w:bottom w:val="none" w:sz="0" w:space="0" w:color="auto"/>
        <w:right w:val="none" w:sz="0" w:space="0" w:color="auto"/>
      </w:divBdr>
    </w:div>
    <w:div w:id="1000696593">
      <w:bodyDiv w:val="1"/>
      <w:marLeft w:val="0"/>
      <w:marRight w:val="0"/>
      <w:marTop w:val="0"/>
      <w:marBottom w:val="0"/>
      <w:divBdr>
        <w:top w:val="none" w:sz="0" w:space="0" w:color="auto"/>
        <w:left w:val="none" w:sz="0" w:space="0" w:color="auto"/>
        <w:bottom w:val="none" w:sz="0" w:space="0" w:color="auto"/>
        <w:right w:val="none" w:sz="0" w:space="0" w:color="auto"/>
      </w:divBdr>
    </w:div>
    <w:div w:id="1035424088">
      <w:bodyDiv w:val="1"/>
      <w:marLeft w:val="0"/>
      <w:marRight w:val="0"/>
      <w:marTop w:val="0"/>
      <w:marBottom w:val="0"/>
      <w:divBdr>
        <w:top w:val="none" w:sz="0" w:space="0" w:color="auto"/>
        <w:left w:val="none" w:sz="0" w:space="0" w:color="auto"/>
        <w:bottom w:val="none" w:sz="0" w:space="0" w:color="auto"/>
        <w:right w:val="none" w:sz="0" w:space="0" w:color="auto"/>
      </w:divBdr>
    </w:div>
    <w:div w:id="1067729325">
      <w:bodyDiv w:val="1"/>
      <w:marLeft w:val="0"/>
      <w:marRight w:val="0"/>
      <w:marTop w:val="0"/>
      <w:marBottom w:val="0"/>
      <w:divBdr>
        <w:top w:val="none" w:sz="0" w:space="0" w:color="auto"/>
        <w:left w:val="none" w:sz="0" w:space="0" w:color="auto"/>
        <w:bottom w:val="none" w:sz="0" w:space="0" w:color="auto"/>
        <w:right w:val="none" w:sz="0" w:space="0" w:color="auto"/>
      </w:divBdr>
    </w:div>
    <w:div w:id="1168591967">
      <w:bodyDiv w:val="1"/>
      <w:marLeft w:val="0"/>
      <w:marRight w:val="0"/>
      <w:marTop w:val="0"/>
      <w:marBottom w:val="0"/>
      <w:divBdr>
        <w:top w:val="none" w:sz="0" w:space="0" w:color="auto"/>
        <w:left w:val="none" w:sz="0" w:space="0" w:color="auto"/>
        <w:bottom w:val="none" w:sz="0" w:space="0" w:color="auto"/>
        <w:right w:val="none" w:sz="0" w:space="0" w:color="auto"/>
      </w:divBdr>
    </w:div>
    <w:div w:id="1214540238">
      <w:bodyDiv w:val="1"/>
      <w:marLeft w:val="0"/>
      <w:marRight w:val="0"/>
      <w:marTop w:val="0"/>
      <w:marBottom w:val="0"/>
      <w:divBdr>
        <w:top w:val="none" w:sz="0" w:space="0" w:color="auto"/>
        <w:left w:val="none" w:sz="0" w:space="0" w:color="auto"/>
        <w:bottom w:val="none" w:sz="0" w:space="0" w:color="auto"/>
        <w:right w:val="none" w:sz="0" w:space="0" w:color="auto"/>
      </w:divBdr>
    </w:div>
    <w:div w:id="1243443381">
      <w:bodyDiv w:val="1"/>
      <w:marLeft w:val="0"/>
      <w:marRight w:val="0"/>
      <w:marTop w:val="0"/>
      <w:marBottom w:val="0"/>
      <w:divBdr>
        <w:top w:val="none" w:sz="0" w:space="0" w:color="auto"/>
        <w:left w:val="none" w:sz="0" w:space="0" w:color="auto"/>
        <w:bottom w:val="none" w:sz="0" w:space="0" w:color="auto"/>
        <w:right w:val="none" w:sz="0" w:space="0" w:color="auto"/>
      </w:divBdr>
    </w:div>
    <w:div w:id="1286352494">
      <w:bodyDiv w:val="1"/>
      <w:marLeft w:val="0"/>
      <w:marRight w:val="0"/>
      <w:marTop w:val="0"/>
      <w:marBottom w:val="0"/>
      <w:divBdr>
        <w:top w:val="none" w:sz="0" w:space="0" w:color="auto"/>
        <w:left w:val="none" w:sz="0" w:space="0" w:color="auto"/>
        <w:bottom w:val="none" w:sz="0" w:space="0" w:color="auto"/>
        <w:right w:val="none" w:sz="0" w:space="0" w:color="auto"/>
      </w:divBdr>
    </w:div>
    <w:div w:id="1306550565">
      <w:bodyDiv w:val="1"/>
      <w:marLeft w:val="0"/>
      <w:marRight w:val="0"/>
      <w:marTop w:val="0"/>
      <w:marBottom w:val="0"/>
      <w:divBdr>
        <w:top w:val="none" w:sz="0" w:space="0" w:color="auto"/>
        <w:left w:val="none" w:sz="0" w:space="0" w:color="auto"/>
        <w:bottom w:val="none" w:sz="0" w:space="0" w:color="auto"/>
        <w:right w:val="none" w:sz="0" w:space="0" w:color="auto"/>
      </w:divBdr>
    </w:div>
    <w:div w:id="1310552436">
      <w:bodyDiv w:val="1"/>
      <w:marLeft w:val="0"/>
      <w:marRight w:val="0"/>
      <w:marTop w:val="0"/>
      <w:marBottom w:val="0"/>
      <w:divBdr>
        <w:top w:val="none" w:sz="0" w:space="0" w:color="auto"/>
        <w:left w:val="none" w:sz="0" w:space="0" w:color="auto"/>
        <w:bottom w:val="none" w:sz="0" w:space="0" w:color="auto"/>
        <w:right w:val="none" w:sz="0" w:space="0" w:color="auto"/>
      </w:divBdr>
    </w:div>
    <w:div w:id="1317343569">
      <w:bodyDiv w:val="1"/>
      <w:marLeft w:val="0"/>
      <w:marRight w:val="0"/>
      <w:marTop w:val="0"/>
      <w:marBottom w:val="0"/>
      <w:divBdr>
        <w:top w:val="none" w:sz="0" w:space="0" w:color="auto"/>
        <w:left w:val="none" w:sz="0" w:space="0" w:color="auto"/>
        <w:bottom w:val="none" w:sz="0" w:space="0" w:color="auto"/>
        <w:right w:val="none" w:sz="0" w:space="0" w:color="auto"/>
      </w:divBdr>
    </w:div>
    <w:div w:id="1317955334">
      <w:bodyDiv w:val="1"/>
      <w:marLeft w:val="0"/>
      <w:marRight w:val="0"/>
      <w:marTop w:val="0"/>
      <w:marBottom w:val="0"/>
      <w:divBdr>
        <w:top w:val="none" w:sz="0" w:space="0" w:color="auto"/>
        <w:left w:val="none" w:sz="0" w:space="0" w:color="auto"/>
        <w:bottom w:val="none" w:sz="0" w:space="0" w:color="auto"/>
        <w:right w:val="none" w:sz="0" w:space="0" w:color="auto"/>
      </w:divBdr>
    </w:div>
    <w:div w:id="1444105614">
      <w:bodyDiv w:val="1"/>
      <w:marLeft w:val="0"/>
      <w:marRight w:val="0"/>
      <w:marTop w:val="0"/>
      <w:marBottom w:val="0"/>
      <w:divBdr>
        <w:top w:val="none" w:sz="0" w:space="0" w:color="auto"/>
        <w:left w:val="none" w:sz="0" w:space="0" w:color="auto"/>
        <w:bottom w:val="none" w:sz="0" w:space="0" w:color="auto"/>
        <w:right w:val="none" w:sz="0" w:space="0" w:color="auto"/>
      </w:divBdr>
    </w:div>
    <w:div w:id="1462533621">
      <w:bodyDiv w:val="1"/>
      <w:marLeft w:val="0"/>
      <w:marRight w:val="0"/>
      <w:marTop w:val="0"/>
      <w:marBottom w:val="0"/>
      <w:divBdr>
        <w:top w:val="none" w:sz="0" w:space="0" w:color="auto"/>
        <w:left w:val="none" w:sz="0" w:space="0" w:color="auto"/>
        <w:bottom w:val="none" w:sz="0" w:space="0" w:color="auto"/>
        <w:right w:val="none" w:sz="0" w:space="0" w:color="auto"/>
      </w:divBdr>
    </w:div>
    <w:div w:id="1512990750">
      <w:bodyDiv w:val="1"/>
      <w:marLeft w:val="0"/>
      <w:marRight w:val="0"/>
      <w:marTop w:val="0"/>
      <w:marBottom w:val="0"/>
      <w:divBdr>
        <w:top w:val="none" w:sz="0" w:space="0" w:color="auto"/>
        <w:left w:val="none" w:sz="0" w:space="0" w:color="auto"/>
        <w:bottom w:val="none" w:sz="0" w:space="0" w:color="auto"/>
        <w:right w:val="none" w:sz="0" w:space="0" w:color="auto"/>
      </w:divBdr>
    </w:div>
    <w:div w:id="1520699079">
      <w:bodyDiv w:val="1"/>
      <w:marLeft w:val="0"/>
      <w:marRight w:val="0"/>
      <w:marTop w:val="0"/>
      <w:marBottom w:val="0"/>
      <w:divBdr>
        <w:top w:val="none" w:sz="0" w:space="0" w:color="auto"/>
        <w:left w:val="none" w:sz="0" w:space="0" w:color="auto"/>
        <w:bottom w:val="none" w:sz="0" w:space="0" w:color="auto"/>
        <w:right w:val="none" w:sz="0" w:space="0" w:color="auto"/>
      </w:divBdr>
    </w:div>
    <w:div w:id="1525942396">
      <w:bodyDiv w:val="1"/>
      <w:marLeft w:val="0"/>
      <w:marRight w:val="0"/>
      <w:marTop w:val="0"/>
      <w:marBottom w:val="0"/>
      <w:divBdr>
        <w:top w:val="none" w:sz="0" w:space="0" w:color="auto"/>
        <w:left w:val="none" w:sz="0" w:space="0" w:color="auto"/>
        <w:bottom w:val="none" w:sz="0" w:space="0" w:color="auto"/>
        <w:right w:val="none" w:sz="0" w:space="0" w:color="auto"/>
      </w:divBdr>
    </w:div>
    <w:div w:id="1526670451">
      <w:bodyDiv w:val="1"/>
      <w:marLeft w:val="0"/>
      <w:marRight w:val="0"/>
      <w:marTop w:val="0"/>
      <w:marBottom w:val="0"/>
      <w:divBdr>
        <w:top w:val="none" w:sz="0" w:space="0" w:color="auto"/>
        <w:left w:val="none" w:sz="0" w:space="0" w:color="auto"/>
        <w:bottom w:val="none" w:sz="0" w:space="0" w:color="auto"/>
        <w:right w:val="none" w:sz="0" w:space="0" w:color="auto"/>
      </w:divBdr>
    </w:div>
    <w:div w:id="1528982859">
      <w:bodyDiv w:val="1"/>
      <w:marLeft w:val="0"/>
      <w:marRight w:val="0"/>
      <w:marTop w:val="0"/>
      <w:marBottom w:val="0"/>
      <w:divBdr>
        <w:top w:val="none" w:sz="0" w:space="0" w:color="auto"/>
        <w:left w:val="none" w:sz="0" w:space="0" w:color="auto"/>
        <w:bottom w:val="none" w:sz="0" w:space="0" w:color="auto"/>
        <w:right w:val="none" w:sz="0" w:space="0" w:color="auto"/>
      </w:divBdr>
    </w:div>
    <w:div w:id="1574125955">
      <w:bodyDiv w:val="1"/>
      <w:marLeft w:val="0"/>
      <w:marRight w:val="0"/>
      <w:marTop w:val="0"/>
      <w:marBottom w:val="0"/>
      <w:divBdr>
        <w:top w:val="none" w:sz="0" w:space="0" w:color="auto"/>
        <w:left w:val="none" w:sz="0" w:space="0" w:color="auto"/>
        <w:bottom w:val="none" w:sz="0" w:space="0" w:color="auto"/>
        <w:right w:val="none" w:sz="0" w:space="0" w:color="auto"/>
      </w:divBdr>
    </w:div>
    <w:div w:id="1618247374">
      <w:bodyDiv w:val="1"/>
      <w:marLeft w:val="0"/>
      <w:marRight w:val="0"/>
      <w:marTop w:val="0"/>
      <w:marBottom w:val="0"/>
      <w:divBdr>
        <w:top w:val="none" w:sz="0" w:space="0" w:color="auto"/>
        <w:left w:val="none" w:sz="0" w:space="0" w:color="auto"/>
        <w:bottom w:val="none" w:sz="0" w:space="0" w:color="auto"/>
        <w:right w:val="none" w:sz="0" w:space="0" w:color="auto"/>
      </w:divBdr>
    </w:div>
    <w:div w:id="1648431877">
      <w:bodyDiv w:val="1"/>
      <w:marLeft w:val="0"/>
      <w:marRight w:val="0"/>
      <w:marTop w:val="0"/>
      <w:marBottom w:val="0"/>
      <w:divBdr>
        <w:top w:val="none" w:sz="0" w:space="0" w:color="auto"/>
        <w:left w:val="none" w:sz="0" w:space="0" w:color="auto"/>
        <w:bottom w:val="none" w:sz="0" w:space="0" w:color="auto"/>
        <w:right w:val="none" w:sz="0" w:space="0" w:color="auto"/>
      </w:divBdr>
    </w:div>
    <w:div w:id="1671135211">
      <w:bodyDiv w:val="1"/>
      <w:marLeft w:val="0"/>
      <w:marRight w:val="0"/>
      <w:marTop w:val="0"/>
      <w:marBottom w:val="0"/>
      <w:divBdr>
        <w:top w:val="none" w:sz="0" w:space="0" w:color="auto"/>
        <w:left w:val="none" w:sz="0" w:space="0" w:color="auto"/>
        <w:bottom w:val="none" w:sz="0" w:space="0" w:color="auto"/>
        <w:right w:val="none" w:sz="0" w:space="0" w:color="auto"/>
      </w:divBdr>
    </w:div>
    <w:div w:id="1751997425">
      <w:bodyDiv w:val="1"/>
      <w:marLeft w:val="0"/>
      <w:marRight w:val="0"/>
      <w:marTop w:val="0"/>
      <w:marBottom w:val="0"/>
      <w:divBdr>
        <w:top w:val="none" w:sz="0" w:space="0" w:color="auto"/>
        <w:left w:val="none" w:sz="0" w:space="0" w:color="auto"/>
        <w:bottom w:val="none" w:sz="0" w:space="0" w:color="auto"/>
        <w:right w:val="none" w:sz="0" w:space="0" w:color="auto"/>
      </w:divBdr>
    </w:div>
    <w:div w:id="1764646399">
      <w:bodyDiv w:val="1"/>
      <w:marLeft w:val="0"/>
      <w:marRight w:val="0"/>
      <w:marTop w:val="0"/>
      <w:marBottom w:val="0"/>
      <w:divBdr>
        <w:top w:val="none" w:sz="0" w:space="0" w:color="auto"/>
        <w:left w:val="none" w:sz="0" w:space="0" w:color="auto"/>
        <w:bottom w:val="none" w:sz="0" w:space="0" w:color="auto"/>
        <w:right w:val="none" w:sz="0" w:space="0" w:color="auto"/>
      </w:divBdr>
    </w:div>
    <w:div w:id="1785076546">
      <w:bodyDiv w:val="1"/>
      <w:marLeft w:val="0"/>
      <w:marRight w:val="0"/>
      <w:marTop w:val="0"/>
      <w:marBottom w:val="0"/>
      <w:divBdr>
        <w:top w:val="none" w:sz="0" w:space="0" w:color="auto"/>
        <w:left w:val="none" w:sz="0" w:space="0" w:color="auto"/>
        <w:bottom w:val="none" w:sz="0" w:space="0" w:color="auto"/>
        <w:right w:val="none" w:sz="0" w:space="0" w:color="auto"/>
      </w:divBdr>
    </w:div>
    <w:div w:id="1801217529">
      <w:bodyDiv w:val="1"/>
      <w:marLeft w:val="0"/>
      <w:marRight w:val="0"/>
      <w:marTop w:val="0"/>
      <w:marBottom w:val="0"/>
      <w:divBdr>
        <w:top w:val="none" w:sz="0" w:space="0" w:color="auto"/>
        <w:left w:val="none" w:sz="0" w:space="0" w:color="auto"/>
        <w:bottom w:val="none" w:sz="0" w:space="0" w:color="auto"/>
        <w:right w:val="none" w:sz="0" w:space="0" w:color="auto"/>
      </w:divBdr>
    </w:div>
    <w:div w:id="1837916615">
      <w:bodyDiv w:val="1"/>
      <w:marLeft w:val="0"/>
      <w:marRight w:val="0"/>
      <w:marTop w:val="0"/>
      <w:marBottom w:val="0"/>
      <w:divBdr>
        <w:top w:val="none" w:sz="0" w:space="0" w:color="auto"/>
        <w:left w:val="none" w:sz="0" w:space="0" w:color="auto"/>
        <w:bottom w:val="none" w:sz="0" w:space="0" w:color="auto"/>
        <w:right w:val="none" w:sz="0" w:space="0" w:color="auto"/>
      </w:divBdr>
    </w:div>
    <w:div w:id="1898126186">
      <w:bodyDiv w:val="1"/>
      <w:marLeft w:val="0"/>
      <w:marRight w:val="0"/>
      <w:marTop w:val="0"/>
      <w:marBottom w:val="0"/>
      <w:divBdr>
        <w:top w:val="none" w:sz="0" w:space="0" w:color="auto"/>
        <w:left w:val="none" w:sz="0" w:space="0" w:color="auto"/>
        <w:bottom w:val="none" w:sz="0" w:space="0" w:color="auto"/>
        <w:right w:val="none" w:sz="0" w:space="0" w:color="auto"/>
      </w:divBdr>
    </w:div>
    <w:div w:id="1930846266">
      <w:bodyDiv w:val="1"/>
      <w:marLeft w:val="0"/>
      <w:marRight w:val="0"/>
      <w:marTop w:val="0"/>
      <w:marBottom w:val="0"/>
      <w:divBdr>
        <w:top w:val="none" w:sz="0" w:space="0" w:color="auto"/>
        <w:left w:val="none" w:sz="0" w:space="0" w:color="auto"/>
        <w:bottom w:val="none" w:sz="0" w:space="0" w:color="auto"/>
        <w:right w:val="none" w:sz="0" w:space="0" w:color="auto"/>
      </w:divBdr>
    </w:div>
    <w:div w:id="1938519909">
      <w:bodyDiv w:val="1"/>
      <w:marLeft w:val="0"/>
      <w:marRight w:val="0"/>
      <w:marTop w:val="0"/>
      <w:marBottom w:val="0"/>
      <w:divBdr>
        <w:top w:val="none" w:sz="0" w:space="0" w:color="auto"/>
        <w:left w:val="none" w:sz="0" w:space="0" w:color="auto"/>
        <w:bottom w:val="none" w:sz="0" w:space="0" w:color="auto"/>
        <w:right w:val="none" w:sz="0" w:space="0" w:color="auto"/>
      </w:divBdr>
    </w:div>
    <w:div w:id="2030639466">
      <w:bodyDiv w:val="1"/>
      <w:marLeft w:val="0"/>
      <w:marRight w:val="0"/>
      <w:marTop w:val="0"/>
      <w:marBottom w:val="0"/>
      <w:divBdr>
        <w:top w:val="none" w:sz="0" w:space="0" w:color="auto"/>
        <w:left w:val="none" w:sz="0" w:space="0" w:color="auto"/>
        <w:bottom w:val="none" w:sz="0" w:space="0" w:color="auto"/>
        <w:right w:val="none" w:sz="0" w:space="0" w:color="auto"/>
      </w:divBdr>
    </w:div>
    <w:div w:id="2037198640">
      <w:bodyDiv w:val="1"/>
      <w:marLeft w:val="0"/>
      <w:marRight w:val="0"/>
      <w:marTop w:val="0"/>
      <w:marBottom w:val="0"/>
      <w:divBdr>
        <w:top w:val="none" w:sz="0" w:space="0" w:color="auto"/>
        <w:left w:val="none" w:sz="0" w:space="0" w:color="auto"/>
        <w:bottom w:val="none" w:sz="0" w:space="0" w:color="auto"/>
        <w:right w:val="none" w:sz="0" w:space="0" w:color="auto"/>
      </w:divBdr>
    </w:div>
    <w:div w:id="2048989191">
      <w:bodyDiv w:val="1"/>
      <w:marLeft w:val="0"/>
      <w:marRight w:val="0"/>
      <w:marTop w:val="0"/>
      <w:marBottom w:val="0"/>
      <w:divBdr>
        <w:top w:val="none" w:sz="0" w:space="0" w:color="auto"/>
        <w:left w:val="none" w:sz="0" w:space="0" w:color="auto"/>
        <w:bottom w:val="none" w:sz="0" w:space="0" w:color="auto"/>
        <w:right w:val="none" w:sz="0" w:space="0" w:color="auto"/>
      </w:divBdr>
    </w:div>
    <w:div w:id="2083093037">
      <w:bodyDiv w:val="1"/>
      <w:marLeft w:val="0"/>
      <w:marRight w:val="0"/>
      <w:marTop w:val="0"/>
      <w:marBottom w:val="0"/>
      <w:divBdr>
        <w:top w:val="none" w:sz="0" w:space="0" w:color="auto"/>
        <w:left w:val="none" w:sz="0" w:space="0" w:color="auto"/>
        <w:bottom w:val="none" w:sz="0" w:space="0" w:color="auto"/>
        <w:right w:val="none" w:sz="0" w:space="0" w:color="auto"/>
      </w:divBdr>
    </w:div>
    <w:div w:id="2113240325">
      <w:bodyDiv w:val="1"/>
      <w:marLeft w:val="0"/>
      <w:marRight w:val="0"/>
      <w:marTop w:val="0"/>
      <w:marBottom w:val="0"/>
      <w:divBdr>
        <w:top w:val="none" w:sz="0" w:space="0" w:color="auto"/>
        <w:left w:val="none" w:sz="0" w:space="0" w:color="auto"/>
        <w:bottom w:val="none" w:sz="0" w:space="0" w:color="auto"/>
        <w:right w:val="none" w:sz="0" w:space="0" w:color="auto"/>
      </w:divBdr>
    </w:div>
    <w:div w:id="2136022502">
      <w:bodyDiv w:val="1"/>
      <w:marLeft w:val="0"/>
      <w:marRight w:val="0"/>
      <w:marTop w:val="0"/>
      <w:marBottom w:val="0"/>
      <w:divBdr>
        <w:top w:val="none" w:sz="0" w:space="0" w:color="auto"/>
        <w:left w:val="none" w:sz="0" w:space="0" w:color="auto"/>
        <w:bottom w:val="none" w:sz="0" w:space="0" w:color="auto"/>
        <w:right w:val="none" w:sz="0" w:space="0" w:color="auto"/>
      </w:divBdr>
    </w:div>
    <w:div w:id="2139644257">
      <w:bodyDiv w:val="1"/>
      <w:marLeft w:val="0"/>
      <w:marRight w:val="0"/>
      <w:marTop w:val="0"/>
      <w:marBottom w:val="0"/>
      <w:divBdr>
        <w:top w:val="none" w:sz="0" w:space="0" w:color="auto"/>
        <w:left w:val="none" w:sz="0" w:space="0" w:color="auto"/>
        <w:bottom w:val="none" w:sz="0" w:space="0" w:color="auto"/>
        <w:right w:val="none" w:sz="0" w:space="0" w:color="auto"/>
      </w:divBdr>
    </w:div>
    <w:div w:id="2145002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1357</TotalTime>
  <Pages>14</Pages>
  <Words>4802</Words>
  <Characters>27373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Weaver</dc:creator>
  <cp:keywords/>
  <dc:description/>
  <cp:lastModifiedBy>Ethan Weaver</cp:lastModifiedBy>
  <cp:revision>32</cp:revision>
  <dcterms:created xsi:type="dcterms:W3CDTF">2025-06-21T19:45:00Z</dcterms:created>
  <dcterms:modified xsi:type="dcterms:W3CDTF">2025-06-30T20:07:00Z</dcterms:modified>
</cp:coreProperties>
</file>