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89F2" w14:textId="77777777" w:rsidR="00CC44A0" w:rsidRPr="009406F5" w:rsidRDefault="00CC44A0" w:rsidP="009406F5">
      <w:pPr>
        <w:spacing w:line="360" w:lineRule="auto"/>
        <w:jc w:val="both"/>
        <w:rPr>
          <w:rFonts w:ascii="Arial" w:hAnsi="Arial" w:cs="Arial"/>
          <w:sz w:val="24"/>
          <w:szCs w:val="24"/>
        </w:rPr>
      </w:pPr>
    </w:p>
    <w:p w14:paraId="27C2CC0D" w14:textId="77777777" w:rsidR="000A2C8A" w:rsidRPr="009406F5" w:rsidRDefault="000A2C8A" w:rsidP="009406F5">
      <w:pPr>
        <w:spacing w:line="360" w:lineRule="auto"/>
        <w:jc w:val="both"/>
        <w:rPr>
          <w:rFonts w:ascii="Arial" w:hAnsi="Arial" w:cs="Arial"/>
          <w:sz w:val="24"/>
          <w:szCs w:val="24"/>
        </w:rPr>
      </w:pPr>
    </w:p>
    <w:p w14:paraId="771ADEF8" w14:textId="77777777" w:rsidR="000A2C8A" w:rsidRPr="009406F5" w:rsidRDefault="000A2C8A" w:rsidP="009406F5">
      <w:pPr>
        <w:spacing w:line="360" w:lineRule="auto"/>
        <w:jc w:val="both"/>
        <w:rPr>
          <w:rFonts w:ascii="Arial" w:hAnsi="Arial" w:cs="Arial"/>
          <w:sz w:val="24"/>
          <w:szCs w:val="24"/>
        </w:rPr>
      </w:pPr>
    </w:p>
    <w:p w14:paraId="5CE8BE89" w14:textId="77777777" w:rsidR="000A2C8A" w:rsidRPr="009406F5" w:rsidRDefault="00D92C0D" w:rsidP="009406F5">
      <w:pPr>
        <w:spacing w:line="360" w:lineRule="auto"/>
        <w:jc w:val="center"/>
        <w:rPr>
          <w:rFonts w:ascii="Arial" w:hAnsi="Arial" w:cs="Arial"/>
          <w:sz w:val="24"/>
          <w:szCs w:val="24"/>
        </w:rPr>
      </w:pPr>
      <w:r w:rsidRPr="009406F5">
        <w:rPr>
          <w:rFonts w:ascii="Arial" w:hAnsi="Arial" w:cs="Arial"/>
          <w:sz w:val="24"/>
          <w:szCs w:val="24"/>
        </w:rPr>
        <w:t>ANALYZING THE IMPACTS OF EXTERNAL FACTORS ON EMPLOYEE RECRUITMENT AND RETENTION IN HILTON HOTELS</w:t>
      </w:r>
    </w:p>
    <w:p w14:paraId="67E283EE" w14:textId="77777777" w:rsidR="000A2C8A" w:rsidRPr="009406F5" w:rsidRDefault="000A2C8A" w:rsidP="009406F5">
      <w:pPr>
        <w:spacing w:line="360" w:lineRule="auto"/>
        <w:jc w:val="center"/>
        <w:rPr>
          <w:rFonts w:ascii="Arial" w:hAnsi="Arial" w:cs="Arial"/>
          <w:sz w:val="24"/>
          <w:szCs w:val="24"/>
        </w:rPr>
      </w:pPr>
    </w:p>
    <w:p w14:paraId="77EC2C75" w14:textId="77777777" w:rsidR="000A2C8A" w:rsidRPr="009406F5" w:rsidRDefault="000A2C8A" w:rsidP="009406F5">
      <w:pPr>
        <w:spacing w:line="360" w:lineRule="auto"/>
        <w:jc w:val="center"/>
        <w:rPr>
          <w:rFonts w:ascii="Arial" w:hAnsi="Arial" w:cs="Arial"/>
          <w:sz w:val="24"/>
          <w:szCs w:val="24"/>
        </w:rPr>
      </w:pPr>
    </w:p>
    <w:p w14:paraId="3A726D08" w14:textId="77777777" w:rsidR="000A2C8A" w:rsidRPr="009406F5" w:rsidRDefault="000A2C8A" w:rsidP="009406F5">
      <w:pPr>
        <w:spacing w:line="360" w:lineRule="auto"/>
        <w:jc w:val="center"/>
        <w:rPr>
          <w:rFonts w:ascii="Arial" w:hAnsi="Arial" w:cs="Arial"/>
          <w:sz w:val="24"/>
          <w:szCs w:val="24"/>
        </w:rPr>
      </w:pPr>
    </w:p>
    <w:p w14:paraId="4BCB9991" w14:textId="77777777" w:rsidR="005E53EA" w:rsidRDefault="005E53EA" w:rsidP="0083592D">
      <w:pPr>
        <w:spacing w:line="360" w:lineRule="auto"/>
        <w:jc w:val="center"/>
        <w:rPr>
          <w:rFonts w:ascii="Arial" w:hAnsi="Arial" w:cs="Arial"/>
          <w:sz w:val="24"/>
          <w:szCs w:val="24"/>
        </w:rPr>
      </w:pPr>
      <w:r w:rsidRPr="009406F5">
        <w:rPr>
          <w:rFonts w:ascii="Arial" w:hAnsi="Arial" w:cs="Arial"/>
          <w:sz w:val="24"/>
          <w:szCs w:val="24"/>
        </w:rPr>
        <w:t>Studen</w:t>
      </w:r>
      <w:r>
        <w:rPr>
          <w:rFonts w:ascii="Arial" w:hAnsi="Arial" w:cs="Arial"/>
          <w:sz w:val="24"/>
          <w:szCs w:val="24"/>
        </w:rPr>
        <w:t xml:space="preserve">t : Roxana-Maria Burlacu </w:t>
      </w:r>
    </w:p>
    <w:p w14:paraId="5CCF2684" w14:textId="77777777" w:rsidR="005E53EA" w:rsidRPr="009406F5" w:rsidRDefault="005E53EA" w:rsidP="0083592D">
      <w:pPr>
        <w:spacing w:line="360" w:lineRule="auto"/>
        <w:jc w:val="center"/>
        <w:rPr>
          <w:rFonts w:ascii="Arial" w:hAnsi="Arial" w:cs="Arial"/>
          <w:sz w:val="24"/>
          <w:szCs w:val="24"/>
        </w:rPr>
      </w:pPr>
      <w:r>
        <w:rPr>
          <w:rFonts w:ascii="Arial" w:hAnsi="Arial" w:cs="Arial"/>
          <w:sz w:val="24"/>
          <w:szCs w:val="24"/>
        </w:rPr>
        <w:t xml:space="preserve">(2014302) </w:t>
      </w:r>
    </w:p>
    <w:p w14:paraId="120583CD" w14:textId="77777777" w:rsidR="005E53EA" w:rsidRDefault="005E53EA" w:rsidP="0083592D">
      <w:pPr>
        <w:spacing w:line="360" w:lineRule="auto"/>
        <w:jc w:val="center"/>
        <w:rPr>
          <w:rFonts w:ascii="Arial" w:hAnsi="Arial" w:cs="Arial"/>
          <w:sz w:val="24"/>
          <w:szCs w:val="24"/>
        </w:rPr>
      </w:pPr>
      <w:r>
        <w:rPr>
          <w:rFonts w:ascii="Arial" w:hAnsi="Arial" w:cs="Arial"/>
          <w:sz w:val="24"/>
          <w:szCs w:val="24"/>
        </w:rPr>
        <w:t xml:space="preserve">Module: Personnel Resourcing and Development </w:t>
      </w:r>
    </w:p>
    <w:p w14:paraId="789E0DE3" w14:textId="77777777" w:rsidR="005E53EA" w:rsidRPr="009406F5" w:rsidRDefault="005E53EA" w:rsidP="0083592D">
      <w:pPr>
        <w:spacing w:line="360" w:lineRule="auto"/>
        <w:jc w:val="center"/>
        <w:rPr>
          <w:rFonts w:ascii="Arial" w:hAnsi="Arial" w:cs="Arial"/>
          <w:sz w:val="24"/>
          <w:szCs w:val="24"/>
        </w:rPr>
      </w:pPr>
      <w:r>
        <w:rPr>
          <w:rFonts w:ascii="Arial" w:hAnsi="Arial" w:cs="Arial"/>
          <w:sz w:val="24"/>
          <w:szCs w:val="24"/>
        </w:rPr>
        <w:t xml:space="preserve">( BMIH5005) </w:t>
      </w:r>
    </w:p>
    <w:p w14:paraId="6287A311" w14:textId="77777777" w:rsidR="005E53EA" w:rsidRPr="009406F5" w:rsidRDefault="005E53EA" w:rsidP="0083592D">
      <w:pPr>
        <w:spacing w:line="360" w:lineRule="auto"/>
        <w:jc w:val="center"/>
        <w:rPr>
          <w:rFonts w:ascii="Arial" w:hAnsi="Arial" w:cs="Arial"/>
          <w:sz w:val="24"/>
          <w:szCs w:val="24"/>
        </w:rPr>
      </w:pPr>
      <w:r>
        <w:rPr>
          <w:rFonts w:ascii="Arial" w:hAnsi="Arial" w:cs="Arial"/>
          <w:sz w:val="24"/>
          <w:szCs w:val="24"/>
        </w:rPr>
        <w:t>Lecturer name : Helen Lee</w:t>
      </w:r>
    </w:p>
    <w:p w14:paraId="0887A8B5" w14:textId="77777777" w:rsidR="005E53EA" w:rsidRPr="009406F5" w:rsidRDefault="005E53EA" w:rsidP="0083592D">
      <w:pPr>
        <w:spacing w:line="360" w:lineRule="auto"/>
        <w:rPr>
          <w:rFonts w:ascii="Arial" w:hAnsi="Arial" w:cs="Arial"/>
          <w:sz w:val="24"/>
          <w:szCs w:val="24"/>
        </w:rPr>
      </w:pPr>
    </w:p>
    <w:p w14:paraId="575FDFF3" w14:textId="77777777" w:rsidR="005E53EA" w:rsidRPr="009406F5" w:rsidRDefault="005E53EA" w:rsidP="0083592D">
      <w:pPr>
        <w:spacing w:line="360" w:lineRule="auto"/>
        <w:jc w:val="center"/>
        <w:rPr>
          <w:rFonts w:ascii="Arial" w:hAnsi="Arial" w:cs="Arial"/>
          <w:sz w:val="24"/>
          <w:szCs w:val="24"/>
        </w:rPr>
      </w:pPr>
    </w:p>
    <w:p w14:paraId="52CD8E5E" w14:textId="77777777" w:rsidR="000A2C8A" w:rsidRPr="009406F5" w:rsidRDefault="000A2C8A" w:rsidP="009406F5">
      <w:pPr>
        <w:spacing w:line="360" w:lineRule="auto"/>
        <w:jc w:val="center"/>
        <w:rPr>
          <w:rFonts w:ascii="Arial" w:hAnsi="Arial" w:cs="Arial"/>
          <w:sz w:val="24"/>
          <w:szCs w:val="24"/>
        </w:rPr>
      </w:pPr>
    </w:p>
    <w:p w14:paraId="75A72004" w14:textId="79AF0E7C" w:rsidR="000A2C8A" w:rsidRPr="009406F5" w:rsidRDefault="000A2C8A" w:rsidP="005E53EA">
      <w:pPr>
        <w:spacing w:line="360" w:lineRule="auto"/>
        <w:jc w:val="center"/>
        <w:rPr>
          <w:rFonts w:ascii="Arial" w:hAnsi="Arial" w:cs="Arial"/>
          <w:sz w:val="24"/>
          <w:szCs w:val="24"/>
        </w:rPr>
      </w:pPr>
    </w:p>
    <w:p w14:paraId="278437B6" w14:textId="77777777" w:rsidR="002E3878" w:rsidRPr="009406F5" w:rsidRDefault="002E3878" w:rsidP="009406F5">
      <w:pPr>
        <w:spacing w:line="360" w:lineRule="auto"/>
        <w:jc w:val="center"/>
        <w:rPr>
          <w:rFonts w:ascii="Arial" w:hAnsi="Arial" w:cs="Arial"/>
          <w:sz w:val="24"/>
          <w:szCs w:val="24"/>
        </w:rPr>
      </w:pPr>
    </w:p>
    <w:p w14:paraId="1659F725" w14:textId="77777777" w:rsidR="002E3878" w:rsidRPr="009406F5" w:rsidRDefault="002E3878" w:rsidP="009406F5">
      <w:pPr>
        <w:spacing w:line="360" w:lineRule="auto"/>
        <w:jc w:val="center"/>
        <w:rPr>
          <w:rFonts w:ascii="Arial" w:hAnsi="Arial" w:cs="Arial"/>
          <w:sz w:val="24"/>
          <w:szCs w:val="24"/>
        </w:rPr>
      </w:pPr>
    </w:p>
    <w:p w14:paraId="146AF87F" w14:textId="77777777" w:rsidR="002E3878" w:rsidRPr="009406F5" w:rsidRDefault="002E3878" w:rsidP="009406F5">
      <w:pPr>
        <w:spacing w:line="360" w:lineRule="auto"/>
        <w:jc w:val="both"/>
        <w:rPr>
          <w:rFonts w:ascii="Arial" w:hAnsi="Arial" w:cs="Arial"/>
          <w:sz w:val="24"/>
          <w:szCs w:val="24"/>
        </w:rPr>
      </w:pPr>
    </w:p>
    <w:p w14:paraId="66CBE080" w14:textId="77777777" w:rsidR="002E3878" w:rsidRPr="009406F5" w:rsidRDefault="002E3878" w:rsidP="009406F5">
      <w:pPr>
        <w:spacing w:line="360" w:lineRule="auto"/>
        <w:jc w:val="both"/>
        <w:rPr>
          <w:rFonts w:ascii="Arial" w:hAnsi="Arial" w:cs="Arial"/>
          <w:sz w:val="24"/>
          <w:szCs w:val="24"/>
        </w:rPr>
      </w:pPr>
    </w:p>
    <w:p w14:paraId="36706977" w14:textId="77777777" w:rsidR="00811E52" w:rsidRPr="009406F5" w:rsidRDefault="00811E52" w:rsidP="009406F5">
      <w:pPr>
        <w:spacing w:line="360" w:lineRule="auto"/>
        <w:jc w:val="both"/>
        <w:rPr>
          <w:rFonts w:ascii="Arial" w:hAnsi="Arial" w:cs="Arial"/>
          <w:sz w:val="24"/>
          <w:szCs w:val="24"/>
        </w:rPr>
      </w:pPr>
    </w:p>
    <w:p w14:paraId="118AC157" w14:textId="77777777" w:rsidR="00811E52" w:rsidRPr="009406F5" w:rsidRDefault="00811E52" w:rsidP="009406F5">
      <w:pPr>
        <w:spacing w:line="360" w:lineRule="auto"/>
        <w:jc w:val="both"/>
        <w:rPr>
          <w:rFonts w:ascii="Arial" w:hAnsi="Arial" w:cs="Arial"/>
          <w:sz w:val="24"/>
          <w:szCs w:val="24"/>
        </w:rPr>
      </w:pPr>
    </w:p>
    <w:p w14:paraId="1327E88C" w14:textId="77777777" w:rsidR="009406F5" w:rsidRDefault="009406F5" w:rsidP="009406F5">
      <w:pPr>
        <w:spacing w:line="360" w:lineRule="auto"/>
        <w:jc w:val="both"/>
        <w:rPr>
          <w:rFonts w:ascii="Arial" w:hAnsi="Arial" w:cs="Arial"/>
          <w:b/>
          <w:sz w:val="24"/>
          <w:szCs w:val="24"/>
        </w:rPr>
      </w:pPr>
    </w:p>
    <w:p w14:paraId="7D10F056" w14:textId="77777777" w:rsidR="009406F5" w:rsidRDefault="009406F5" w:rsidP="009406F5">
      <w:pPr>
        <w:spacing w:line="360" w:lineRule="auto"/>
        <w:jc w:val="both"/>
        <w:rPr>
          <w:rFonts w:ascii="Arial" w:hAnsi="Arial" w:cs="Arial"/>
          <w:b/>
          <w:sz w:val="24"/>
          <w:szCs w:val="24"/>
        </w:rPr>
      </w:pPr>
    </w:p>
    <w:p w14:paraId="0DE11D43" w14:textId="77777777" w:rsidR="009406F5" w:rsidRDefault="009406F5" w:rsidP="009406F5">
      <w:pPr>
        <w:spacing w:line="360" w:lineRule="auto"/>
        <w:jc w:val="both"/>
        <w:rPr>
          <w:rFonts w:ascii="Arial" w:hAnsi="Arial" w:cs="Arial"/>
          <w:b/>
          <w:sz w:val="24"/>
          <w:szCs w:val="24"/>
        </w:rPr>
      </w:pPr>
    </w:p>
    <w:sdt>
      <w:sdtPr>
        <w:rPr>
          <w:rFonts w:asciiTheme="minorHAnsi" w:eastAsiaTheme="minorHAnsi" w:hAnsiTheme="minorHAnsi" w:cstheme="minorBidi"/>
          <w:color w:val="auto"/>
          <w:sz w:val="22"/>
          <w:szCs w:val="22"/>
        </w:rPr>
        <w:id w:val="-430670105"/>
        <w:docPartObj>
          <w:docPartGallery w:val="Table of Contents"/>
          <w:docPartUnique/>
        </w:docPartObj>
      </w:sdtPr>
      <w:sdtEndPr>
        <w:rPr>
          <w:b/>
          <w:bCs/>
          <w:noProof/>
        </w:rPr>
      </w:sdtEndPr>
      <w:sdtContent>
        <w:p w14:paraId="102C5D26" w14:textId="77777777" w:rsidR="006F2F53" w:rsidRDefault="006F2F53">
          <w:pPr>
            <w:pStyle w:val="TOCHeading"/>
          </w:pPr>
          <w:r>
            <w:t>Contents</w:t>
          </w:r>
        </w:p>
        <w:p w14:paraId="10FE2B10" w14:textId="77777777" w:rsidR="005C40F7" w:rsidRDefault="006F2F5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0301641" w:history="1">
            <w:r w:rsidR="005C40F7" w:rsidRPr="008061A3">
              <w:rPr>
                <w:rStyle w:val="Hyperlink"/>
                <w:rFonts w:ascii="Arial" w:hAnsi="Arial" w:cs="Arial"/>
                <w:b/>
                <w:noProof/>
              </w:rPr>
              <w:t>Introduction and Background</w:t>
            </w:r>
            <w:r w:rsidR="005C40F7">
              <w:rPr>
                <w:noProof/>
                <w:webHidden/>
              </w:rPr>
              <w:tab/>
            </w:r>
            <w:r w:rsidR="005C40F7">
              <w:rPr>
                <w:noProof/>
                <w:webHidden/>
              </w:rPr>
              <w:fldChar w:fldCharType="begin"/>
            </w:r>
            <w:r w:rsidR="005C40F7">
              <w:rPr>
                <w:noProof/>
                <w:webHidden/>
              </w:rPr>
              <w:instrText xml:space="preserve"> PAGEREF _Toc150301641 \h </w:instrText>
            </w:r>
            <w:r w:rsidR="005C40F7">
              <w:rPr>
                <w:noProof/>
                <w:webHidden/>
              </w:rPr>
            </w:r>
            <w:r w:rsidR="005C40F7">
              <w:rPr>
                <w:noProof/>
                <w:webHidden/>
              </w:rPr>
              <w:fldChar w:fldCharType="separate"/>
            </w:r>
            <w:r w:rsidR="005C40F7">
              <w:rPr>
                <w:noProof/>
                <w:webHidden/>
              </w:rPr>
              <w:t>2</w:t>
            </w:r>
            <w:r w:rsidR="005C40F7">
              <w:rPr>
                <w:noProof/>
                <w:webHidden/>
              </w:rPr>
              <w:fldChar w:fldCharType="end"/>
            </w:r>
          </w:hyperlink>
        </w:p>
        <w:p w14:paraId="01C6B765" w14:textId="77777777" w:rsidR="005C40F7" w:rsidRDefault="00000000">
          <w:pPr>
            <w:pStyle w:val="TOC1"/>
            <w:tabs>
              <w:tab w:val="right" w:leader="dot" w:pos="9350"/>
            </w:tabs>
            <w:rPr>
              <w:rFonts w:eastAsiaTheme="minorEastAsia"/>
              <w:noProof/>
            </w:rPr>
          </w:pPr>
          <w:hyperlink w:anchor="_Toc150301642" w:history="1">
            <w:r w:rsidR="005C40F7" w:rsidRPr="008061A3">
              <w:rPr>
                <w:rStyle w:val="Hyperlink"/>
                <w:rFonts w:ascii="Arial" w:hAnsi="Arial" w:cs="Arial"/>
                <w:b/>
                <w:noProof/>
              </w:rPr>
              <w:t>Discussion/Literature</w:t>
            </w:r>
            <w:r w:rsidR="005C40F7">
              <w:rPr>
                <w:noProof/>
                <w:webHidden/>
              </w:rPr>
              <w:tab/>
            </w:r>
            <w:r w:rsidR="005C40F7">
              <w:rPr>
                <w:noProof/>
                <w:webHidden/>
              </w:rPr>
              <w:fldChar w:fldCharType="begin"/>
            </w:r>
            <w:r w:rsidR="005C40F7">
              <w:rPr>
                <w:noProof/>
                <w:webHidden/>
              </w:rPr>
              <w:instrText xml:space="preserve"> PAGEREF _Toc150301642 \h </w:instrText>
            </w:r>
            <w:r w:rsidR="005C40F7">
              <w:rPr>
                <w:noProof/>
                <w:webHidden/>
              </w:rPr>
            </w:r>
            <w:r w:rsidR="005C40F7">
              <w:rPr>
                <w:noProof/>
                <w:webHidden/>
              </w:rPr>
              <w:fldChar w:fldCharType="separate"/>
            </w:r>
            <w:r w:rsidR="005C40F7">
              <w:rPr>
                <w:noProof/>
                <w:webHidden/>
              </w:rPr>
              <w:t>4</w:t>
            </w:r>
            <w:r w:rsidR="005C40F7">
              <w:rPr>
                <w:noProof/>
                <w:webHidden/>
              </w:rPr>
              <w:fldChar w:fldCharType="end"/>
            </w:r>
          </w:hyperlink>
        </w:p>
        <w:p w14:paraId="3F76421B" w14:textId="77777777" w:rsidR="005C40F7" w:rsidRDefault="00000000">
          <w:pPr>
            <w:pStyle w:val="TOC2"/>
            <w:tabs>
              <w:tab w:val="right" w:leader="dot" w:pos="9350"/>
            </w:tabs>
            <w:rPr>
              <w:rFonts w:eastAsiaTheme="minorEastAsia"/>
              <w:noProof/>
            </w:rPr>
          </w:pPr>
          <w:hyperlink w:anchor="_Toc150301643" w:history="1">
            <w:r w:rsidR="005C40F7" w:rsidRPr="008061A3">
              <w:rPr>
                <w:rStyle w:val="Hyperlink"/>
                <w:rFonts w:ascii="Arial" w:hAnsi="Arial" w:cs="Arial"/>
                <w:b/>
                <w:noProof/>
              </w:rPr>
              <w:t>External Factors Affecting Employee Recruitment and Retention</w:t>
            </w:r>
            <w:r w:rsidR="005C40F7">
              <w:rPr>
                <w:noProof/>
                <w:webHidden/>
              </w:rPr>
              <w:tab/>
            </w:r>
            <w:r w:rsidR="005C40F7">
              <w:rPr>
                <w:noProof/>
                <w:webHidden/>
              </w:rPr>
              <w:fldChar w:fldCharType="begin"/>
            </w:r>
            <w:r w:rsidR="005C40F7">
              <w:rPr>
                <w:noProof/>
                <w:webHidden/>
              </w:rPr>
              <w:instrText xml:space="preserve"> PAGEREF _Toc150301643 \h </w:instrText>
            </w:r>
            <w:r w:rsidR="005C40F7">
              <w:rPr>
                <w:noProof/>
                <w:webHidden/>
              </w:rPr>
            </w:r>
            <w:r w:rsidR="005C40F7">
              <w:rPr>
                <w:noProof/>
                <w:webHidden/>
              </w:rPr>
              <w:fldChar w:fldCharType="separate"/>
            </w:r>
            <w:r w:rsidR="005C40F7">
              <w:rPr>
                <w:noProof/>
                <w:webHidden/>
              </w:rPr>
              <w:t>4</w:t>
            </w:r>
            <w:r w:rsidR="005C40F7">
              <w:rPr>
                <w:noProof/>
                <w:webHidden/>
              </w:rPr>
              <w:fldChar w:fldCharType="end"/>
            </w:r>
          </w:hyperlink>
        </w:p>
        <w:p w14:paraId="36D2EA4A" w14:textId="77777777" w:rsidR="005C40F7" w:rsidRDefault="00000000">
          <w:pPr>
            <w:pStyle w:val="TOC3"/>
            <w:tabs>
              <w:tab w:val="right" w:leader="dot" w:pos="9350"/>
            </w:tabs>
            <w:rPr>
              <w:rFonts w:eastAsiaTheme="minorEastAsia"/>
              <w:noProof/>
            </w:rPr>
          </w:pPr>
          <w:hyperlink w:anchor="_Toc150301644" w:history="1">
            <w:r w:rsidR="005C40F7" w:rsidRPr="008061A3">
              <w:rPr>
                <w:rStyle w:val="Hyperlink"/>
                <w:rFonts w:ascii="Arial" w:hAnsi="Arial" w:cs="Arial"/>
                <w:b/>
                <w:i/>
                <w:noProof/>
              </w:rPr>
              <w:t>Brexit: Unpacking Political Instability</w:t>
            </w:r>
            <w:r w:rsidR="005C40F7">
              <w:rPr>
                <w:noProof/>
                <w:webHidden/>
              </w:rPr>
              <w:tab/>
            </w:r>
            <w:r w:rsidR="005C40F7">
              <w:rPr>
                <w:noProof/>
                <w:webHidden/>
              </w:rPr>
              <w:fldChar w:fldCharType="begin"/>
            </w:r>
            <w:r w:rsidR="005C40F7">
              <w:rPr>
                <w:noProof/>
                <w:webHidden/>
              </w:rPr>
              <w:instrText xml:space="preserve"> PAGEREF _Toc150301644 \h </w:instrText>
            </w:r>
            <w:r w:rsidR="005C40F7">
              <w:rPr>
                <w:noProof/>
                <w:webHidden/>
              </w:rPr>
            </w:r>
            <w:r w:rsidR="005C40F7">
              <w:rPr>
                <w:noProof/>
                <w:webHidden/>
              </w:rPr>
              <w:fldChar w:fldCharType="separate"/>
            </w:r>
            <w:r w:rsidR="005C40F7">
              <w:rPr>
                <w:noProof/>
                <w:webHidden/>
              </w:rPr>
              <w:t>4</w:t>
            </w:r>
            <w:r w:rsidR="005C40F7">
              <w:rPr>
                <w:noProof/>
                <w:webHidden/>
              </w:rPr>
              <w:fldChar w:fldCharType="end"/>
            </w:r>
          </w:hyperlink>
        </w:p>
        <w:p w14:paraId="5472F99D" w14:textId="77777777" w:rsidR="005C40F7" w:rsidRDefault="00000000">
          <w:pPr>
            <w:pStyle w:val="TOC3"/>
            <w:tabs>
              <w:tab w:val="right" w:leader="dot" w:pos="9350"/>
            </w:tabs>
            <w:rPr>
              <w:rFonts w:eastAsiaTheme="minorEastAsia"/>
              <w:noProof/>
            </w:rPr>
          </w:pPr>
          <w:hyperlink w:anchor="_Toc150301645" w:history="1">
            <w:r w:rsidR="005C40F7" w:rsidRPr="008061A3">
              <w:rPr>
                <w:rStyle w:val="Hyperlink"/>
                <w:rFonts w:ascii="Arial" w:hAnsi="Arial" w:cs="Arial"/>
                <w:b/>
                <w:i/>
                <w:noProof/>
              </w:rPr>
              <w:t>The COVID-19 Pandemic</w:t>
            </w:r>
            <w:r w:rsidR="005C40F7">
              <w:rPr>
                <w:noProof/>
                <w:webHidden/>
              </w:rPr>
              <w:tab/>
            </w:r>
            <w:r w:rsidR="005C40F7">
              <w:rPr>
                <w:noProof/>
                <w:webHidden/>
              </w:rPr>
              <w:fldChar w:fldCharType="begin"/>
            </w:r>
            <w:r w:rsidR="005C40F7">
              <w:rPr>
                <w:noProof/>
                <w:webHidden/>
              </w:rPr>
              <w:instrText xml:space="preserve"> PAGEREF _Toc150301645 \h </w:instrText>
            </w:r>
            <w:r w:rsidR="005C40F7">
              <w:rPr>
                <w:noProof/>
                <w:webHidden/>
              </w:rPr>
            </w:r>
            <w:r w:rsidR="005C40F7">
              <w:rPr>
                <w:noProof/>
                <w:webHidden/>
              </w:rPr>
              <w:fldChar w:fldCharType="separate"/>
            </w:r>
            <w:r w:rsidR="005C40F7">
              <w:rPr>
                <w:noProof/>
                <w:webHidden/>
              </w:rPr>
              <w:t>4</w:t>
            </w:r>
            <w:r w:rsidR="005C40F7">
              <w:rPr>
                <w:noProof/>
                <w:webHidden/>
              </w:rPr>
              <w:fldChar w:fldCharType="end"/>
            </w:r>
          </w:hyperlink>
        </w:p>
        <w:p w14:paraId="59DEE8FB" w14:textId="77777777" w:rsidR="005C40F7" w:rsidRDefault="00000000">
          <w:pPr>
            <w:pStyle w:val="TOC3"/>
            <w:tabs>
              <w:tab w:val="right" w:leader="dot" w:pos="9350"/>
            </w:tabs>
            <w:rPr>
              <w:rFonts w:eastAsiaTheme="minorEastAsia"/>
              <w:noProof/>
            </w:rPr>
          </w:pPr>
          <w:hyperlink w:anchor="_Toc150301646" w:history="1">
            <w:r w:rsidR="005C40F7" w:rsidRPr="008061A3">
              <w:rPr>
                <w:rStyle w:val="Hyperlink"/>
                <w:rFonts w:ascii="Arial" w:hAnsi="Arial" w:cs="Arial"/>
                <w:b/>
                <w:i/>
                <w:noProof/>
              </w:rPr>
              <w:t>Inflation: Navigating Economic Fluctuations</w:t>
            </w:r>
            <w:r w:rsidR="005C40F7">
              <w:rPr>
                <w:noProof/>
                <w:webHidden/>
              </w:rPr>
              <w:tab/>
            </w:r>
            <w:r w:rsidR="005C40F7">
              <w:rPr>
                <w:noProof/>
                <w:webHidden/>
              </w:rPr>
              <w:fldChar w:fldCharType="begin"/>
            </w:r>
            <w:r w:rsidR="005C40F7">
              <w:rPr>
                <w:noProof/>
                <w:webHidden/>
              </w:rPr>
              <w:instrText xml:space="preserve"> PAGEREF _Toc150301646 \h </w:instrText>
            </w:r>
            <w:r w:rsidR="005C40F7">
              <w:rPr>
                <w:noProof/>
                <w:webHidden/>
              </w:rPr>
            </w:r>
            <w:r w:rsidR="005C40F7">
              <w:rPr>
                <w:noProof/>
                <w:webHidden/>
              </w:rPr>
              <w:fldChar w:fldCharType="separate"/>
            </w:r>
            <w:r w:rsidR="005C40F7">
              <w:rPr>
                <w:noProof/>
                <w:webHidden/>
              </w:rPr>
              <w:t>5</w:t>
            </w:r>
            <w:r w:rsidR="005C40F7">
              <w:rPr>
                <w:noProof/>
                <w:webHidden/>
              </w:rPr>
              <w:fldChar w:fldCharType="end"/>
            </w:r>
          </w:hyperlink>
        </w:p>
        <w:p w14:paraId="579CC311" w14:textId="77777777" w:rsidR="005C40F7" w:rsidRDefault="00000000">
          <w:pPr>
            <w:pStyle w:val="TOC3"/>
            <w:tabs>
              <w:tab w:val="right" w:leader="dot" w:pos="9350"/>
            </w:tabs>
            <w:rPr>
              <w:rFonts w:eastAsiaTheme="minorEastAsia"/>
              <w:noProof/>
            </w:rPr>
          </w:pPr>
          <w:hyperlink w:anchor="_Toc150301647" w:history="1">
            <w:r w:rsidR="005C40F7" w:rsidRPr="008061A3">
              <w:rPr>
                <w:rStyle w:val="Hyperlink"/>
                <w:rFonts w:ascii="Arial" w:hAnsi="Arial" w:cs="Arial"/>
                <w:b/>
                <w:i/>
                <w:noProof/>
              </w:rPr>
              <w:t>Global Retirement Trend</w:t>
            </w:r>
            <w:r w:rsidR="005C40F7">
              <w:rPr>
                <w:noProof/>
                <w:webHidden/>
              </w:rPr>
              <w:tab/>
            </w:r>
            <w:r w:rsidR="005C40F7">
              <w:rPr>
                <w:noProof/>
                <w:webHidden/>
              </w:rPr>
              <w:fldChar w:fldCharType="begin"/>
            </w:r>
            <w:r w:rsidR="005C40F7">
              <w:rPr>
                <w:noProof/>
                <w:webHidden/>
              </w:rPr>
              <w:instrText xml:space="preserve"> PAGEREF _Toc150301647 \h </w:instrText>
            </w:r>
            <w:r w:rsidR="005C40F7">
              <w:rPr>
                <w:noProof/>
                <w:webHidden/>
              </w:rPr>
            </w:r>
            <w:r w:rsidR="005C40F7">
              <w:rPr>
                <w:noProof/>
                <w:webHidden/>
              </w:rPr>
              <w:fldChar w:fldCharType="separate"/>
            </w:r>
            <w:r w:rsidR="005C40F7">
              <w:rPr>
                <w:noProof/>
                <w:webHidden/>
              </w:rPr>
              <w:t>5</w:t>
            </w:r>
            <w:r w:rsidR="005C40F7">
              <w:rPr>
                <w:noProof/>
                <w:webHidden/>
              </w:rPr>
              <w:fldChar w:fldCharType="end"/>
            </w:r>
          </w:hyperlink>
        </w:p>
        <w:p w14:paraId="33F453DE" w14:textId="77777777" w:rsidR="005C40F7" w:rsidRDefault="00000000">
          <w:pPr>
            <w:pStyle w:val="TOC3"/>
            <w:tabs>
              <w:tab w:val="right" w:leader="dot" w:pos="9350"/>
            </w:tabs>
            <w:rPr>
              <w:rFonts w:eastAsiaTheme="minorEastAsia"/>
              <w:noProof/>
            </w:rPr>
          </w:pPr>
          <w:hyperlink w:anchor="_Toc150301648" w:history="1">
            <w:r w:rsidR="005C40F7" w:rsidRPr="008061A3">
              <w:rPr>
                <w:rStyle w:val="Hyperlink"/>
                <w:rFonts w:ascii="Arial" w:hAnsi="Arial" w:cs="Arial"/>
                <w:b/>
                <w:i/>
                <w:noProof/>
              </w:rPr>
              <w:t>Economic Situation</w:t>
            </w:r>
            <w:r w:rsidR="005C40F7">
              <w:rPr>
                <w:noProof/>
                <w:webHidden/>
              </w:rPr>
              <w:tab/>
            </w:r>
            <w:r w:rsidR="005C40F7">
              <w:rPr>
                <w:noProof/>
                <w:webHidden/>
              </w:rPr>
              <w:fldChar w:fldCharType="begin"/>
            </w:r>
            <w:r w:rsidR="005C40F7">
              <w:rPr>
                <w:noProof/>
                <w:webHidden/>
              </w:rPr>
              <w:instrText xml:space="preserve"> PAGEREF _Toc150301648 \h </w:instrText>
            </w:r>
            <w:r w:rsidR="005C40F7">
              <w:rPr>
                <w:noProof/>
                <w:webHidden/>
              </w:rPr>
            </w:r>
            <w:r w:rsidR="005C40F7">
              <w:rPr>
                <w:noProof/>
                <w:webHidden/>
              </w:rPr>
              <w:fldChar w:fldCharType="separate"/>
            </w:r>
            <w:r w:rsidR="005C40F7">
              <w:rPr>
                <w:noProof/>
                <w:webHidden/>
              </w:rPr>
              <w:t>6</w:t>
            </w:r>
            <w:r w:rsidR="005C40F7">
              <w:rPr>
                <w:noProof/>
                <w:webHidden/>
              </w:rPr>
              <w:fldChar w:fldCharType="end"/>
            </w:r>
          </w:hyperlink>
        </w:p>
        <w:p w14:paraId="3F424CAE" w14:textId="77777777" w:rsidR="005C40F7" w:rsidRDefault="00000000">
          <w:pPr>
            <w:pStyle w:val="TOC2"/>
            <w:tabs>
              <w:tab w:val="right" w:leader="dot" w:pos="9350"/>
            </w:tabs>
            <w:rPr>
              <w:rFonts w:eastAsiaTheme="minorEastAsia"/>
              <w:noProof/>
            </w:rPr>
          </w:pPr>
          <w:hyperlink w:anchor="_Toc150301649" w:history="1">
            <w:r w:rsidR="005C40F7" w:rsidRPr="008061A3">
              <w:rPr>
                <w:rStyle w:val="Hyperlink"/>
                <w:rFonts w:ascii="Arial" w:hAnsi="Arial" w:cs="Arial"/>
                <w:b/>
                <w:noProof/>
              </w:rPr>
              <w:t>Employee Retention Strategies in the Hospitality Industry</w:t>
            </w:r>
            <w:r w:rsidR="005C40F7">
              <w:rPr>
                <w:noProof/>
                <w:webHidden/>
              </w:rPr>
              <w:tab/>
            </w:r>
            <w:r w:rsidR="005C40F7">
              <w:rPr>
                <w:noProof/>
                <w:webHidden/>
              </w:rPr>
              <w:fldChar w:fldCharType="begin"/>
            </w:r>
            <w:r w:rsidR="005C40F7">
              <w:rPr>
                <w:noProof/>
                <w:webHidden/>
              </w:rPr>
              <w:instrText xml:space="preserve"> PAGEREF _Toc150301649 \h </w:instrText>
            </w:r>
            <w:r w:rsidR="005C40F7">
              <w:rPr>
                <w:noProof/>
                <w:webHidden/>
              </w:rPr>
            </w:r>
            <w:r w:rsidR="005C40F7">
              <w:rPr>
                <w:noProof/>
                <w:webHidden/>
              </w:rPr>
              <w:fldChar w:fldCharType="separate"/>
            </w:r>
            <w:r w:rsidR="005C40F7">
              <w:rPr>
                <w:noProof/>
                <w:webHidden/>
              </w:rPr>
              <w:t>6</w:t>
            </w:r>
            <w:r w:rsidR="005C40F7">
              <w:rPr>
                <w:noProof/>
                <w:webHidden/>
              </w:rPr>
              <w:fldChar w:fldCharType="end"/>
            </w:r>
          </w:hyperlink>
        </w:p>
        <w:p w14:paraId="6D8491AA" w14:textId="77777777" w:rsidR="005C40F7" w:rsidRDefault="00000000">
          <w:pPr>
            <w:pStyle w:val="TOC3"/>
            <w:tabs>
              <w:tab w:val="right" w:leader="dot" w:pos="9350"/>
            </w:tabs>
            <w:rPr>
              <w:rFonts w:eastAsiaTheme="minorEastAsia"/>
              <w:noProof/>
            </w:rPr>
          </w:pPr>
          <w:hyperlink w:anchor="_Toc150301650" w:history="1">
            <w:r w:rsidR="005C40F7" w:rsidRPr="008061A3">
              <w:rPr>
                <w:rStyle w:val="Hyperlink"/>
                <w:rFonts w:ascii="Arial" w:hAnsi="Arial" w:cs="Arial"/>
                <w:b/>
                <w:i/>
                <w:noProof/>
              </w:rPr>
              <w:t>Invest in Employee Training</w:t>
            </w:r>
            <w:r w:rsidR="005C40F7">
              <w:rPr>
                <w:noProof/>
                <w:webHidden/>
              </w:rPr>
              <w:tab/>
            </w:r>
            <w:r w:rsidR="005C40F7">
              <w:rPr>
                <w:noProof/>
                <w:webHidden/>
              </w:rPr>
              <w:fldChar w:fldCharType="begin"/>
            </w:r>
            <w:r w:rsidR="005C40F7">
              <w:rPr>
                <w:noProof/>
                <w:webHidden/>
              </w:rPr>
              <w:instrText xml:space="preserve"> PAGEREF _Toc150301650 \h </w:instrText>
            </w:r>
            <w:r w:rsidR="005C40F7">
              <w:rPr>
                <w:noProof/>
                <w:webHidden/>
              </w:rPr>
            </w:r>
            <w:r w:rsidR="005C40F7">
              <w:rPr>
                <w:noProof/>
                <w:webHidden/>
              </w:rPr>
              <w:fldChar w:fldCharType="separate"/>
            </w:r>
            <w:r w:rsidR="005C40F7">
              <w:rPr>
                <w:noProof/>
                <w:webHidden/>
              </w:rPr>
              <w:t>6</w:t>
            </w:r>
            <w:r w:rsidR="005C40F7">
              <w:rPr>
                <w:noProof/>
                <w:webHidden/>
              </w:rPr>
              <w:fldChar w:fldCharType="end"/>
            </w:r>
          </w:hyperlink>
        </w:p>
        <w:p w14:paraId="11D51A86" w14:textId="77777777" w:rsidR="005C40F7" w:rsidRDefault="00000000">
          <w:pPr>
            <w:pStyle w:val="TOC3"/>
            <w:tabs>
              <w:tab w:val="right" w:leader="dot" w:pos="9350"/>
            </w:tabs>
            <w:rPr>
              <w:rFonts w:eastAsiaTheme="minorEastAsia"/>
              <w:noProof/>
            </w:rPr>
          </w:pPr>
          <w:hyperlink w:anchor="_Toc150301651" w:history="1">
            <w:r w:rsidR="005C40F7" w:rsidRPr="008061A3">
              <w:rPr>
                <w:rStyle w:val="Hyperlink"/>
                <w:rFonts w:ascii="Arial" w:hAnsi="Arial" w:cs="Arial"/>
                <w:b/>
                <w:i/>
                <w:noProof/>
              </w:rPr>
              <w:t>Enhance Employee Satisfaction</w:t>
            </w:r>
            <w:r w:rsidR="005C40F7">
              <w:rPr>
                <w:noProof/>
                <w:webHidden/>
              </w:rPr>
              <w:tab/>
            </w:r>
            <w:r w:rsidR="005C40F7">
              <w:rPr>
                <w:noProof/>
                <w:webHidden/>
              </w:rPr>
              <w:fldChar w:fldCharType="begin"/>
            </w:r>
            <w:r w:rsidR="005C40F7">
              <w:rPr>
                <w:noProof/>
                <w:webHidden/>
              </w:rPr>
              <w:instrText xml:space="preserve"> PAGEREF _Toc150301651 \h </w:instrText>
            </w:r>
            <w:r w:rsidR="005C40F7">
              <w:rPr>
                <w:noProof/>
                <w:webHidden/>
              </w:rPr>
            </w:r>
            <w:r w:rsidR="005C40F7">
              <w:rPr>
                <w:noProof/>
                <w:webHidden/>
              </w:rPr>
              <w:fldChar w:fldCharType="separate"/>
            </w:r>
            <w:r w:rsidR="005C40F7">
              <w:rPr>
                <w:noProof/>
                <w:webHidden/>
              </w:rPr>
              <w:t>7</w:t>
            </w:r>
            <w:r w:rsidR="005C40F7">
              <w:rPr>
                <w:noProof/>
                <w:webHidden/>
              </w:rPr>
              <w:fldChar w:fldCharType="end"/>
            </w:r>
          </w:hyperlink>
        </w:p>
        <w:p w14:paraId="37675295" w14:textId="77777777" w:rsidR="005C40F7" w:rsidRDefault="00000000">
          <w:pPr>
            <w:pStyle w:val="TOC3"/>
            <w:tabs>
              <w:tab w:val="right" w:leader="dot" w:pos="9350"/>
            </w:tabs>
            <w:rPr>
              <w:rFonts w:eastAsiaTheme="minorEastAsia"/>
              <w:noProof/>
            </w:rPr>
          </w:pPr>
          <w:hyperlink w:anchor="_Toc150301652" w:history="1">
            <w:r w:rsidR="005C40F7" w:rsidRPr="008061A3">
              <w:rPr>
                <w:rStyle w:val="Hyperlink"/>
                <w:rFonts w:ascii="Arial" w:hAnsi="Arial" w:cs="Arial"/>
                <w:b/>
                <w:i/>
                <w:noProof/>
              </w:rPr>
              <w:t>Industry Examples</w:t>
            </w:r>
            <w:r w:rsidR="005C40F7">
              <w:rPr>
                <w:noProof/>
                <w:webHidden/>
              </w:rPr>
              <w:tab/>
            </w:r>
            <w:r w:rsidR="005C40F7">
              <w:rPr>
                <w:noProof/>
                <w:webHidden/>
              </w:rPr>
              <w:fldChar w:fldCharType="begin"/>
            </w:r>
            <w:r w:rsidR="005C40F7">
              <w:rPr>
                <w:noProof/>
                <w:webHidden/>
              </w:rPr>
              <w:instrText xml:space="preserve"> PAGEREF _Toc150301652 \h </w:instrText>
            </w:r>
            <w:r w:rsidR="005C40F7">
              <w:rPr>
                <w:noProof/>
                <w:webHidden/>
              </w:rPr>
            </w:r>
            <w:r w:rsidR="005C40F7">
              <w:rPr>
                <w:noProof/>
                <w:webHidden/>
              </w:rPr>
              <w:fldChar w:fldCharType="separate"/>
            </w:r>
            <w:r w:rsidR="005C40F7">
              <w:rPr>
                <w:noProof/>
                <w:webHidden/>
              </w:rPr>
              <w:t>7</w:t>
            </w:r>
            <w:r w:rsidR="005C40F7">
              <w:rPr>
                <w:noProof/>
                <w:webHidden/>
              </w:rPr>
              <w:fldChar w:fldCharType="end"/>
            </w:r>
          </w:hyperlink>
        </w:p>
        <w:p w14:paraId="11D7F80C" w14:textId="77777777" w:rsidR="005C40F7" w:rsidRDefault="00000000">
          <w:pPr>
            <w:pStyle w:val="TOC1"/>
            <w:tabs>
              <w:tab w:val="right" w:leader="dot" w:pos="9350"/>
            </w:tabs>
            <w:rPr>
              <w:rFonts w:eastAsiaTheme="minorEastAsia"/>
              <w:noProof/>
            </w:rPr>
          </w:pPr>
          <w:hyperlink w:anchor="_Toc150301653" w:history="1">
            <w:r w:rsidR="005C40F7" w:rsidRPr="008061A3">
              <w:rPr>
                <w:rStyle w:val="Hyperlink"/>
                <w:rFonts w:ascii="Arial" w:hAnsi="Arial" w:cs="Arial"/>
                <w:b/>
                <w:noProof/>
              </w:rPr>
              <w:t>Evaluation and Conclusion</w:t>
            </w:r>
            <w:r w:rsidR="005C40F7">
              <w:rPr>
                <w:noProof/>
                <w:webHidden/>
              </w:rPr>
              <w:tab/>
            </w:r>
            <w:r w:rsidR="005C40F7">
              <w:rPr>
                <w:noProof/>
                <w:webHidden/>
              </w:rPr>
              <w:fldChar w:fldCharType="begin"/>
            </w:r>
            <w:r w:rsidR="005C40F7">
              <w:rPr>
                <w:noProof/>
                <w:webHidden/>
              </w:rPr>
              <w:instrText xml:space="preserve"> PAGEREF _Toc150301653 \h </w:instrText>
            </w:r>
            <w:r w:rsidR="005C40F7">
              <w:rPr>
                <w:noProof/>
                <w:webHidden/>
              </w:rPr>
            </w:r>
            <w:r w:rsidR="005C40F7">
              <w:rPr>
                <w:noProof/>
                <w:webHidden/>
              </w:rPr>
              <w:fldChar w:fldCharType="separate"/>
            </w:r>
            <w:r w:rsidR="005C40F7">
              <w:rPr>
                <w:noProof/>
                <w:webHidden/>
              </w:rPr>
              <w:t>7</w:t>
            </w:r>
            <w:r w:rsidR="005C40F7">
              <w:rPr>
                <w:noProof/>
                <w:webHidden/>
              </w:rPr>
              <w:fldChar w:fldCharType="end"/>
            </w:r>
          </w:hyperlink>
        </w:p>
        <w:p w14:paraId="255396A3" w14:textId="77777777" w:rsidR="005C40F7" w:rsidRDefault="00000000">
          <w:pPr>
            <w:pStyle w:val="TOC1"/>
            <w:tabs>
              <w:tab w:val="right" w:leader="dot" w:pos="9350"/>
            </w:tabs>
            <w:rPr>
              <w:rFonts w:eastAsiaTheme="minorEastAsia"/>
              <w:noProof/>
            </w:rPr>
          </w:pPr>
          <w:hyperlink w:anchor="_Toc150301654" w:history="1">
            <w:r w:rsidR="005C40F7" w:rsidRPr="008061A3">
              <w:rPr>
                <w:rStyle w:val="Hyperlink"/>
                <w:rFonts w:ascii="Arial" w:hAnsi="Arial" w:cs="Arial"/>
                <w:b/>
                <w:noProof/>
              </w:rPr>
              <w:t>References</w:t>
            </w:r>
            <w:r w:rsidR="005C40F7">
              <w:rPr>
                <w:noProof/>
                <w:webHidden/>
              </w:rPr>
              <w:tab/>
            </w:r>
            <w:r w:rsidR="005C40F7">
              <w:rPr>
                <w:noProof/>
                <w:webHidden/>
              </w:rPr>
              <w:fldChar w:fldCharType="begin"/>
            </w:r>
            <w:r w:rsidR="005C40F7">
              <w:rPr>
                <w:noProof/>
                <w:webHidden/>
              </w:rPr>
              <w:instrText xml:space="preserve"> PAGEREF _Toc150301654 \h </w:instrText>
            </w:r>
            <w:r w:rsidR="005C40F7">
              <w:rPr>
                <w:noProof/>
                <w:webHidden/>
              </w:rPr>
            </w:r>
            <w:r w:rsidR="005C40F7">
              <w:rPr>
                <w:noProof/>
                <w:webHidden/>
              </w:rPr>
              <w:fldChar w:fldCharType="separate"/>
            </w:r>
            <w:r w:rsidR="005C40F7">
              <w:rPr>
                <w:noProof/>
                <w:webHidden/>
              </w:rPr>
              <w:t>9</w:t>
            </w:r>
            <w:r w:rsidR="005C40F7">
              <w:rPr>
                <w:noProof/>
                <w:webHidden/>
              </w:rPr>
              <w:fldChar w:fldCharType="end"/>
            </w:r>
          </w:hyperlink>
        </w:p>
        <w:p w14:paraId="12C6C07C" w14:textId="77777777" w:rsidR="006F2F53" w:rsidRDefault="006F2F53">
          <w:r>
            <w:rPr>
              <w:b/>
              <w:bCs/>
              <w:noProof/>
            </w:rPr>
            <w:fldChar w:fldCharType="end"/>
          </w:r>
        </w:p>
      </w:sdtContent>
    </w:sdt>
    <w:p w14:paraId="6DD323A5" w14:textId="77777777" w:rsidR="006F2F53" w:rsidRDefault="006F2F53" w:rsidP="006F2F53">
      <w:pPr>
        <w:pStyle w:val="Title"/>
        <w:rPr>
          <w:rFonts w:ascii="Arial" w:hAnsi="Arial" w:cs="Arial"/>
          <w:b/>
          <w:sz w:val="24"/>
          <w:szCs w:val="24"/>
        </w:rPr>
      </w:pPr>
    </w:p>
    <w:p w14:paraId="580B5F89" w14:textId="77777777" w:rsidR="006F2F53" w:rsidRDefault="006F2F53" w:rsidP="00E721FC">
      <w:pPr>
        <w:pStyle w:val="Title"/>
        <w:jc w:val="center"/>
        <w:rPr>
          <w:rFonts w:ascii="Arial" w:hAnsi="Arial" w:cs="Arial"/>
          <w:b/>
          <w:sz w:val="24"/>
          <w:szCs w:val="24"/>
        </w:rPr>
      </w:pPr>
    </w:p>
    <w:p w14:paraId="475CE881" w14:textId="77777777" w:rsidR="005033C2" w:rsidRDefault="005033C2" w:rsidP="00D67258">
      <w:pPr>
        <w:pStyle w:val="Heading1"/>
        <w:jc w:val="center"/>
        <w:rPr>
          <w:rFonts w:ascii="Arial" w:hAnsi="Arial" w:cs="Arial"/>
          <w:b/>
          <w:color w:val="000000" w:themeColor="text1"/>
          <w:sz w:val="24"/>
          <w:szCs w:val="24"/>
        </w:rPr>
      </w:pPr>
    </w:p>
    <w:p w14:paraId="52507F9E" w14:textId="77777777" w:rsidR="005033C2" w:rsidRDefault="005033C2" w:rsidP="00D67258">
      <w:pPr>
        <w:pStyle w:val="Heading1"/>
        <w:jc w:val="center"/>
        <w:rPr>
          <w:rFonts w:ascii="Arial" w:hAnsi="Arial" w:cs="Arial"/>
          <w:b/>
          <w:color w:val="000000" w:themeColor="text1"/>
          <w:sz w:val="24"/>
          <w:szCs w:val="24"/>
        </w:rPr>
      </w:pPr>
    </w:p>
    <w:p w14:paraId="753CB9AB" w14:textId="77777777" w:rsidR="005033C2" w:rsidRDefault="005033C2" w:rsidP="005033C2"/>
    <w:p w14:paraId="35ABDD31" w14:textId="77777777" w:rsidR="005033C2" w:rsidRDefault="005033C2" w:rsidP="005033C2"/>
    <w:p w14:paraId="1D51753F" w14:textId="77777777" w:rsidR="005033C2" w:rsidRDefault="005033C2" w:rsidP="005033C2"/>
    <w:p w14:paraId="590BC08F" w14:textId="77777777" w:rsidR="005033C2" w:rsidRDefault="005033C2" w:rsidP="005033C2"/>
    <w:p w14:paraId="32E72383" w14:textId="77777777" w:rsidR="005033C2" w:rsidRDefault="005033C2" w:rsidP="005033C2"/>
    <w:p w14:paraId="684A3234" w14:textId="77777777" w:rsidR="005033C2" w:rsidRDefault="005033C2" w:rsidP="005033C2"/>
    <w:p w14:paraId="0174D806" w14:textId="77777777" w:rsidR="005033C2" w:rsidRDefault="005033C2" w:rsidP="005033C2"/>
    <w:p w14:paraId="7A901D91" w14:textId="77777777" w:rsidR="005033C2" w:rsidRDefault="005033C2" w:rsidP="00D67258">
      <w:pPr>
        <w:pStyle w:val="Heading1"/>
        <w:jc w:val="center"/>
        <w:rPr>
          <w:rFonts w:asciiTheme="minorHAnsi" w:eastAsiaTheme="minorHAnsi" w:hAnsiTheme="minorHAnsi" w:cstheme="minorBidi"/>
          <w:color w:val="auto"/>
          <w:sz w:val="22"/>
          <w:szCs w:val="22"/>
        </w:rPr>
      </w:pPr>
    </w:p>
    <w:p w14:paraId="05CB3725" w14:textId="77777777" w:rsidR="005033C2" w:rsidRPr="005033C2" w:rsidRDefault="005033C2" w:rsidP="005033C2"/>
    <w:p w14:paraId="600F41DC" w14:textId="77777777" w:rsidR="00811E52" w:rsidRPr="00D67258" w:rsidRDefault="00D92C0D" w:rsidP="00D67258">
      <w:pPr>
        <w:pStyle w:val="Heading1"/>
        <w:jc w:val="center"/>
        <w:rPr>
          <w:rFonts w:ascii="Arial" w:hAnsi="Arial" w:cs="Arial"/>
          <w:b/>
          <w:color w:val="000000" w:themeColor="text1"/>
          <w:sz w:val="24"/>
          <w:szCs w:val="24"/>
        </w:rPr>
      </w:pPr>
      <w:bookmarkStart w:id="0" w:name="_Toc150301641"/>
      <w:r w:rsidRPr="00D67258">
        <w:rPr>
          <w:rFonts w:ascii="Arial" w:hAnsi="Arial" w:cs="Arial"/>
          <w:b/>
          <w:color w:val="000000" w:themeColor="text1"/>
          <w:sz w:val="24"/>
          <w:szCs w:val="24"/>
        </w:rPr>
        <w:t>Introduction and Background</w:t>
      </w:r>
      <w:bookmarkEnd w:id="0"/>
    </w:p>
    <w:p w14:paraId="445E7056" w14:textId="3149A26D" w:rsidR="00F33C74" w:rsidRDefault="00F33C74" w:rsidP="00FF2933">
      <w:pPr>
        <w:spacing w:line="360" w:lineRule="auto"/>
        <w:ind w:firstLine="720"/>
        <w:jc w:val="both"/>
        <w:rPr>
          <w:rFonts w:ascii="Arial" w:hAnsi="Arial" w:cs="Arial"/>
          <w:sz w:val="24"/>
          <w:szCs w:val="24"/>
        </w:rPr>
      </w:pPr>
      <w:r w:rsidRPr="00F33C74">
        <w:rPr>
          <w:rFonts w:ascii="Arial" w:hAnsi="Arial" w:cs="Arial"/>
          <w:sz w:val="24"/>
          <w:szCs w:val="24"/>
        </w:rPr>
        <w:t xml:space="preserve">Conrad Hilton founded Hilton Hotels, a well-known </w:t>
      </w:r>
      <w:r w:rsidR="000D227A" w:rsidRPr="00F33C74">
        <w:rPr>
          <w:rFonts w:ascii="Arial" w:hAnsi="Arial" w:cs="Arial"/>
          <w:sz w:val="24"/>
          <w:szCs w:val="24"/>
        </w:rPr>
        <w:t>organization</w:t>
      </w:r>
      <w:r w:rsidRPr="00F33C74">
        <w:rPr>
          <w:rFonts w:ascii="Arial" w:hAnsi="Arial" w:cs="Arial"/>
          <w:sz w:val="24"/>
          <w:szCs w:val="24"/>
        </w:rPr>
        <w:t xml:space="preserve"> in the global tourism sector, in 1919. Over the years, the </w:t>
      </w:r>
      <w:r w:rsidR="000D227A" w:rsidRPr="00F33C74">
        <w:rPr>
          <w:rFonts w:ascii="Arial" w:hAnsi="Arial" w:cs="Arial"/>
          <w:sz w:val="24"/>
          <w:szCs w:val="24"/>
        </w:rPr>
        <w:t>organization</w:t>
      </w:r>
      <w:r w:rsidRPr="00F33C74">
        <w:rPr>
          <w:rFonts w:ascii="Arial" w:hAnsi="Arial" w:cs="Arial"/>
          <w:sz w:val="24"/>
          <w:szCs w:val="24"/>
        </w:rPr>
        <w:t xml:space="preserve"> has received recognition for its dedication to providing exceptional service and creating amazing encounters for its customers (Ma, 2021, p. 02058). The brand's global presence is reflected in a diverse range of resorts and hotels in over a hundred countries. This proposal conducts a thorough assessment of Hilton Hotels, with a particular emphasis on the analysis of modern difficulties that have a significant impact on the hiring and retaining procedures of this acclaimed hospitality </w:t>
      </w:r>
      <w:r w:rsidR="000D227A" w:rsidRPr="00F33C74">
        <w:rPr>
          <w:rFonts w:ascii="Arial" w:hAnsi="Arial" w:cs="Arial"/>
          <w:sz w:val="24"/>
          <w:szCs w:val="24"/>
        </w:rPr>
        <w:t>organization</w:t>
      </w:r>
      <w:r w:rsidRPr="00F33C74">
        <w:rPr>
          <w:rFonts w:ascii="Arial" w:hAnsi="Arial" w:cs="Arial"/>
          <w:sz w:val="24"/>
          <w:szCs w:val="24"/>
        </w:rPr>
        <w:t>.</w:t>
      </w:r>
    </w:p>
    <w:p w14:paraId="76085DCB" w14:textId="3801D504" w:rsidR="00D42262" w:rsidRDefault="00D42262" w:rsidP="00E721FC">
      <w:pPr>
        <w:spacing w:line="360" w:lineRule="auto"/>
        <w:ind w:firstLine="720"/>
        <w:jc w:val="both"/>
        <w:rPr>
          <w:rFonts w:ascii="Arial" w:hAnsi="Arial" w:cs="Arial"/>
          <w:sz w:val="24"/>
          <w:szCs w:val="24"/>
        </w:rPr>
      </w:pPr>
      <w:r w:rsidRPr="00D42262">
        <w:rPr>
          <w:rFonts w:ascii="Arial" w:hAnsi="Arial" w:cs="Arial"/>
          <w:sz w:val="24"/>
          <w:szCs w:val="24"/>
        </w:rPr>
        <w:t xml:space="preserve">The present hotel sector is troubled by a slew of external issues that make it difficult to attract and retain talented employees. The approach </w:t>
      </w:r>
      <w:r w:rsidR="000D227A" w:rsidRPr="00D42262">
        <w:rPr>
          <w:rFonts w:ascii="Arial" w:hAnsi="Arial" w:cs="Arial"/>
          <w:sz w:val="24"/>
          <w:szCs w:val="24"/>
        </w:rPr>
        <w:t>emphasizes</w:t>
      </w:r>
      <w:r w:rsidRPr="00D42262">
        <w:rPr>
          <w:rFonts w:ascii="Arial" w:hAnsi="Arial" w:cs="Arial"/>
          <w:sz w:val="24"/>
          <w:szCs w:val="24"/>
        </w:rPr>
        <w:t xml:space="preserve"> staff retention as the key priority, with a particular emphasis on the challenges related to inadequate training, worker scarcity, and managerial complications. In the middle of an intricate and diversified environment, Hilton Hotels faces a number of challenges that have a significant impact on their approaches to staff retention. The aforementioned challenges include the ramifications of Brexit, the negative effects of the COVID-19 epidemic, the persistent concern about inflation, global retirement developments and the larger economic environment. Concurrently, these aspects provide unprecedented hurdles to Hilton Hotels' precisely developed employee retention initiatives. It is critical to undertake a thorough investigation into their implications and to devise practical solutions to strengthen Hilton's position in the extremely competitive arena of people recruitment and retention in the hospitality business. This procedure will aid in overcoming these significant obstacles.</w:t>
      </w:r>
    </w:p>
    <w:p w14:paraId="3A032AAF" w14:textId="77777777" w:rsidR="00FF2933" w:rsidRPr="00FF2933" w:rsidRDefault="00D92C0D" w:rsidP="00E721FC">
      <w:pPr>
        <w:spacing w:line="360" w:lineRule="auto"/>
        <w:ind w:firstLine="720"/>
        <w:jc w:val="both"/>
        <w:rPr>
          <w:rFonts w:ascii="Arial" w:hAnsi="Arial" w:cs="Arial"/>
          <w:sz w:val="24"/>
          <w:szCs w:val="24"/>
        </w:rPr>
      </w:pPr>
      <w:r w:rsidRPr="00FF2933">
        <w:rPr>
          <w:rFonts w:ascii="Arial" w:hAnsi="Arial" w:cs="Arial"/>
          <w:sz w:val="24"/>
          <w:szCs w:val="24"/>
        </w:rPr>
        <w:t>This research undertakes an extensive analysis of Hilton Hotels, a significant participant in the international hospitality industry, in order to identify and evaluate a range of external challenges that impede the organization's capacity to attract and retain skilled personnel. The objective of this research is to analyze the complex dynamics that exist among the Brexit vote, the COVID-19 pandemic, cost escalation, global retirement patterns, and economic instability. This report aims to offer valuable perspectives on the repercussions of these obstacles and suggest tactical approaches to fortify Hilton's standing within the fiercely competitive hospitality sector.</w:t>
      </w:r>
    </w:p>
    <w:p w14:paraId="268951AB" w14:textId="77777777" w:rsidR="002E3878" w:rsidRPr="00D67258" w:rsidRDefault="00D92C0D" w:rsidP="00D67258">
      <w:pPr>
        <w:pStyle w:val="Heading1"/>
        <w:jc w:val="center"/>
        <w:rPr>
          <w:rFonts w:ascii="Arial" w:hAnsi="Arial" w:cs="Arial"/>
          <w:b/>
          <w:sz w:val="24"/>
          <w:szCs w:val="24"/>
        </w:rPr>
      </w:pPr>
      <w:bookmarkStart w:id="1" w:name="_Toc150301642"/>
      <w:r w:rsidRPr="00D67258">
        <w:rPr>
          <w:rFonts w:ascii="Arial" w:hAnsi="Arial" w:cs="Arial"/>
          <w:b/>
          <w:color w:val="000000" w:themeColor="text1"/>
          <w:sz w:val="24"/>
          <w:szCs w:val="24"/>
        </w:rPr>
        <w:t>Dis</w:t>
      </w:r>
      <w:r w:rsidR="00C51F42" w:rsidRPr="00D67258">
        <w:rPr>
          <w:rFonts w:ascii="Arial" w:hAnsi="Arial" w:cs="Arial"/>
          <w:b/>
          <w:color w:val="000000" w:themeColor="text1"/>
          <w:sz w:val="24"/>
          <w:szCs w:val="24"/>
        </w:rPr>
        <w:t>cussion/Literature</w:t>
      </w:r>
      <w:bookmarkEnd w:id="1"/>
    </w:p>
    <w:p w14:paraId="7D0EDBA4" w14:textId="77777777" w:rsidR="00C175FA" w:rsidRPr="00D67258" w:rsidRDefault="00D92C0D" w:rsidP="00D67258">
      <w:pPr>
        <w:pStyle w:val="Heading2"/>
        <w:rPr>
          <w:rFonts w:ascii="Arial" w:hAnsi="Arial" w:cs="Arial"/>
          <w:b/>
          <w:color w:val="000000" w:themeColor="text1"/>
          <w:sz w:val="24"/>
          <w:szCs w:val="24"/>
        </w:rPr>
      </w:pPr>
      <w:bookmarkStart w:id="2" w:name="_Toc150301643"/>
      <w:r w:rsidRPr="00D67258">
        <w:rPr>
          <w:rFonts w:ascii="Arial" w:hAnsi="Arial" w:cs="Arial"/>
          <w:b/>
          <w:color w:val="000000" w:themeColor="text1"/>
          <w:sz w:val="24"/>
          <w:szCs w:val="24"/>
        </w:rPr>
        <w:t>External Factors Affecting Employee Recruitment and Retention</w:t>
      </w:r>
      <w:bookmarkEnd w:id="2"/>
    </w:p>
    <w:p w14:paraId="3E0D3091" w14:textId="77777777" w:rsidR="00C175FA" w:rsidRPr="00D67258" w:rsidRDefault="00D92C0D" w:rsidP="00D67258">
      <w:pPr>
        <w:pStyle w:val="Heading3"/>
        <w:rPr>
          <w:rFonts w:ascii="Arial" w:hAnsi="Arial" w:cs="Arial"/>
          <w:b/>
          <w:i/>
          <w:color w:val="000000" w:themeColor="text1"/>
        </w:rPr>
      </w:pPr>
      <w:bookmarkStart w:id="3" w:name="_Toc150301644"/>
      <w:r w:rsidRPr="00D67258">
        <w:rPr>
          <w:rFonts w:ascii="Arial" w:hAnsi="Arial" w:cs="Arial"/>
          <w:b/>
          <w:i/>
          <w:color w:val="000000" w:themeColor="text1"/>
        </w:rPr>
        <w:t>Brexit: Unpacking Political Instability</w:t>
      </w:r>
      <w:bookmarkEnd w:id="3"/>
    </w:p>
    <w:p w14:paraId="1B0D0C9C" w14:textId="77777777" w:rsidR="00E96ED9"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labor market has been affected by the political volatility arising from the negotiations around Brexit, leading to a state of uncertainty. Consequently, Hilton is facing challenges in formulating long-term strategies for recruiting and retention</w:t>
      </w:r>
      <w:r w:rsidR="00F94021">
        <w:rPr>
          <w:rFonts w:ascii="Arial" w:hAnsi="Arial" w:cs="Arial"/>
          <w:sz w:val="24"/>
          <w:szCs w:val="24"/>
        </w:rPr>
        <w:t xml:space="preserve"> (</w:t>
      </w:r>
      <w:proofErr w:type="spellStart"/>
      <w:r w:rsidR="00F94021">
        <w:rPr>
          <w:rFonts w:ascii="Arial" w:hAnsi="Arial" w:cs="Arial"/>
          <w:sz w:val="24"/>
          <w:szCs w:val="24"/>
        </w:rPr>
        <w:t>Sperance</w:t>
      </w:r>
      <w:proofErr w:type="spellEnd"/>
      <w:r w:rsidR="00F94021">
        <w:rPr>
          <w:rFonts w:ascii="Arial" w:hAnsi="Arial" w:cs="Arial"/>
          <w:sz w:val="24"/>
          <w:szCs w:val="24"/>
        </w:rPr>
        <w:t>, 2022)</w:t>
      </w:r>
      <w:r w:rsidRPr="009406F5">
        <w:rPr>
          <w:rFonts w:ascii="Arial" w:hAnsi="Arial" w:cs="Arial"/>
          <w:sz w:val="24"/>
          <w:szCs w:val="24"/>
        </w:rPr>
        <w:t>. The dynamic and constantly changing nature of Brexit discussions has given rise to an environment characterized by uncertainty, which has had implications not only on the accessibility of highly trained workers but also on the attitudes and perspectives of prospective employees</w:t>
      </w:r>
      <w:r w:rsidR="00B5529C">
        <w:rPr>
          <w:rFonts w:ascii="Arial" w:hAnsi="Arial" w:cs="Arial"/>
          <w:sz w:val="24"/>
          <w:szCs w:val="24"/>
        </w:rPr>
        <w:t xml:space="preserve"> (Burnett &amp; Johnston, 2020, p. 597)</w:t>
      </w:r>
      <w:r w:rsidRPr="009406F5">
        <w:rPr>
          <w:rFonts w:ascii="Arial" w:hAnsi="Arial" w:cs="Arial"/>
          <w:sz w:val="24"/>
          <w:szCs w:val="24"/>
        </w:rPr>
        <w:t>. Skilled laborers may exhibit hesitancy in engaging in extended employment commitments due to the prevailing ambiguity regarding their legal standing inside the United Kingdom.</w:t>
      </w:r>
    </w:p>
    <w:p w14:paraId="5EA97FA8" w14:textId="77777777" w:rsidR="00093999"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 xml:space="preserve"> Hilton, similar to numerous other entities in the hospitality industry, places significant reliance on a heterogeneous workforce, encompassing individuals from diverse nations who collectively contribute to the dynamic composition of its employee cohort. The impact of alterations in immigration policy extends beyond the mere availability of skilled labor, as it also gives rise to apprehensions regarding the handling of foreign workers</w:t>
      </w:r>
      <w:r w:rsidR="00DD32DC">
        <w:rPr>
          <w:rFonts w:ascii="Arial" w:hAnsi="Arial" w:cs="Arial"/>
          <w:sz w:val="24"/>
          <w:szCs w:val="24"/>
        </w:rPr>
        <w:t xml:space="preserve"> (</w:t>
      </w:r>
      <w:proofErr w:type="spellStart"/>
      <w:r w:rsidR="00DD32DC">
        <w:rPr>
          <w:rFonts w:ascii="Arial" w:hAnsi="Arial" w:cs="Arial"/>
          <w:sz w:val="24"/>
          <w:szCs w:val="24"/>
        </w:rPr>
        <w:t>Filimnau</w:t>
      </w:r>
      <w:proofErr w:type="spellEnd"/>
      <w:r w:rsidR="00DD32DC">
        <w:rPr>
          <w:rFonts w:ascii="Arial" w:hAnsi="Arial" w:cs="Arial"/>
          <w:sz w:val="24"/>
          <w:szCs w:val="24"/>
        </w:rPr>
        <w:t xml:space="preserve"> &amp; Mika, 2019, p. 359)</w:t>
      </w:r>
      <w:r w:rsidRPr="009406F5">
        <w:rPr>
          <w:rFonts w:ascii="Arial" w:hAnsi="Arial" w:cs="Arial"/>
          <w:sz w:val="24"/>
          <w:szCs w:val="24"/>
        </w:rPr>
        <w:t>. This challenge, in turn, adds complexity to the processes of recruiting and retaining such individuals. Hilton should prioritize the diligent observation of Brexit discussions and then adjust its efforts to recruit and keep employees in a timely manner.</w:t>
      </w:r>
    </w:p>
    <w:p w14:paraId="279338B5" w14:textId="77777777" w:rsidR="00C175FA" w:rsidRPr="00D67258" w:rsidRDefault="00D92C0D" w:rsidP="00D67258">
      <w:pPr>
        <w:pStyle w:val="Heading3"/>
        <w:rPr>
          <w:rFonts w:ascii="Arial" w:hAnsi="Arial" w:cs="Arial"/>
          <w:b/>
          <w:i/>
          <w:color w:val="000000" w:themeColor="text1"/>
        </w:rPr>
      </w:pPr>
      <w:bookmarkStart w:id="4" w:name="_Toc150301645"/>
      <w:r w:rsidRPr="00D67258">
        <w:rPr>
          <w:rFonts w:ascii="Arial" w:hAnsi="Arial" w:cs="Arial"/>
          <w:b/>
          <w:i/>
          <w:color w:val="000000" w:themeColor="text1"/>
        </w:rPr>
        <w:t>The COVID-19 Pandemic</w:t>
      </w:r>
      <w:bookmarkEnd w:id="4"/>
    </w:p>
    <w:p w14:paraId="55F34813" w14:textId="77777777" w:rsidR="00E96ED9"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COVID-19 pandemic resulted in a significant cessation of operations within the worldwide hospitality business. Hilton Hotels experienced considerable adverse effects as a result of the implementation of lockdown measures, travel restrictions, and a substantial decline in the tourism industry. Pervasive concerns emerged in the form of reduced rate of occupancy, financial strains, and personnel challenges, which had immediate effects on staff retention</w:t>
      </w:r>
      <w:r w:rsidR="003B380F">
        <w:rPr>
          <w:rFonts w:ascii="Arial" w:hAnsi="Arial" w:cs="Arial"/>
          <w:sz w:val="24"/>
          <w:szCs w:val="24"/>
        </w:rPr>
        <w:t xml:space="preserve"> (</w:t>
      </w:r>
      <w:proofErr w:type="spellStart"/>
      <w:r w:rsidR="003B380F">
        <w:rPr>
          <w:rFonts w:ascii="Arial" w:hAnsi="Arial" w:cs="Arial"/>
          <w:sz w:val="24"/>
          <w:szCs w:val="24"/>
        </w:rPr>
        <w:t>Dube</w:t>
      </w:r>
      <w:proofErr w:type="spellEnd"/>
      <w:r w:rsidR="003B380F">
        <w:rPr>
          <w:rFonts w:ascii="Arial" w:hAnsi="Arial" w:cs="Arial"/>
          <w:sz w:val="24"/>
          <w:szCs w:val="24"/>
        </w:rPr>
        <w:t xml:space="preserve"> et al., 2021, p. 1490)</w:t>
      </w:r>
      <w:r w:rsidRPr="009406F5">
        <w:rPr>
          <w:rFonts w:ascii="Arial" w:hAnsi="Arial" w:cs="Arial"/>
          <w:sz w:val="24"/>
          <w:szCs w:val="24"/>
        </w:rPr>
        <w:t>. Hilton, similar to numerous other entities within the sector, confronted the arduous choice of implementing staff furloughs and layoffs in response to the abrupt and significant decline in business.</w:t>
      </w:r>
    </w:p>
    <w:p w14:paraId="7120F650" w14:textId="77777777" w:rsidR="00A46417"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 xml:space="preserve"> Although these steps were crucial for the business's existence, they unavoidably had a detrimental impact on staff morale and loyalty. The presence of ambiguity over the duration and consequences of the pandemic has contributed to an augmented level of apprehension within the working population. Hilton's capacity to retain competent and loyal staff was impacted by the apprehension around job uncertainty, as well as the concurrent financial pressures</w:t>
      </w:r>
      <w:r w:rsidR="00FC09D1">
        <w:rPr>
          <w:rFonts w:ascii="Arial" w:hAnsi="Arial" w:cs="Arial"/>
          <w:sz w:val="24"/>
          <w:szCs w:val="24"/>
        </w:rPr>
        <w:t xml:space="preserve"> (Kruger, 2020)</w:t>
      </w:r>
      <w:r w:rsidRPr="009406F5">
        <w:rPr>
          <w:rFonts w:ascii="Arial" w:hAnsi="Arial" w:cs="Arial"/>
          <w:sz w:val="24"/>
          <w:szCs w:val="24"/>
        </w:rPr>
        <w:t>. The era of recovery following the epidemic necessitates a nuanced approach that entails both the reconstruction of the labor force and the mitigation of mental health and financial consequences resulting from the crisis.</w:t>
      </w:r>
    </w:p>
    <w:p w14:paraId="18964D1B" w14:textId="77777777" w:rsidR="00C175FA" w:rsidRPr="00B20FB9" w:rsidRDefault="00D92C0D" w:rsidP="00D67258">
      <w:pPr>
        <w:pStyle w:val="Heading3"/>
        <w:rPr>
          <w:rFonts w:ascii="Arial" w:hAnsi="Arial" w:cs="Arial"/>
          <w:b/>
          <w:i/>
          <w:color w:val="000000" w:themeColor="text1"/>
        </w:rPr>
      </w:pPr>
      <w:bookmarkStart w:id="5" w:name="_Toc150301646"/>
      <w:r w:rsidRPr="00B20FB9">
        <w:rPr>
          <w:rFonts w:ascii="Arial" w:hAnsi="Arial" w:cs="Arial"/>
          <w:b/>
          <w:i/>
          <w:color w:val="000000" w:themeColor="text1"/>
        </w:rPr>
        <w:t>Inflation: Navigating Economic Fluctuations</w:t>
      </w:r>
      <w:bookmarkEnd w:id="5"/>
    </w:p>
    <w:p w14:paraId="5918C9D1" w14:textId="77777777" w:rsidR="00944B6E"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escalation of living expenses can be attributed to economic reasons, particularly inflation. The increasing financial burdens faced by employees may provide difficulties for Hilton's compensation packages in maintaining their competitiveness</w:t>
      </w:r>
      <w:r w:rsidR="00F94021">
        <w:rPr>
          <w:rFonts w:ascii="Arial" w:hAnsi="Arial" w:cs="Arial"/>
          <w:sz w:val="24"/>
          <w:szCs w:val="24"/>
        </w:rPr>
        <w:t xml:space="preserve"> (</w:t>
      </w:r>
      <w:proofErr w:type="spellStart"/>
      <w:r w:rsidR="00F94021">
        <w:rPr>
          <w:rFonts w:ascii="Arial" w:hAnsi="Arial" w:cs="Arial"/>
          <w:sz w:val="24"/>
          <w:szCs w:val="24"/>
        </w:rPr>
        <w:t>Momin</w:t>
      </w:r>
      <w:proofErr w:type="spellEnd"/>
      <w:r w:rsidR="00F94021">
        <w:rPr>
          <w:rFonts w:ascii="Arial" w:hAnsi="Arial" w:cs="Arial"/>
          <w:sz w:val="24"/>
          <w:szCs w:val="24"/>
        </w:rPr>
        <w:t>, 2023)</w:t>
      </w:r>
      <w:r w:rsidRPr="009406F5">
        <w:rPr>
          <w:rFonts w:ascii="Arial" w:hAnsi="Arial" w:cs="Arial"/>
          <w:sz w:val="24"/>
          <w:szCs w:val="24"/>
        </w:rPr>
        <w:t>. When there is a disparity between the rate of compensation increases and the rising cost of living, it can result in reduced levels of employee satisfaction and heightened rates of employee turnover</w:t>
      </w:r>
      <w:r w:rsidR="00517E48">
        <w:rPr>
          <w:rFonts w:ascii="Arial" w:hAnsi="Arial" w:cs="Arial"/>
          <w:sz w:val="24"/>
          <w:szCs w:val="24"/>
        </w:rPr>
        <w:t xml:space="preserve"> (</w:t>
      </w:r>
      <w:proofErr w:type="spellStart"/>
      <w:r w:rsidR="00517E48">
        <w:rPr>
          <w:rFonts w:ascii="Arial" w:hAnsi="Arial" w:cs="Arial"/>
          <w:sz w:val="24"/>
          <w:szCs w:val="24"/>
        </w:rPr>
        <w:t>Ramlawati</w:t>
      </w:r>
      <w:proofErr w:type="spellEnd"/>
      <w:r w:rsidR="00517E48">
        <w:rPr>
          <w:rFonts w:ascii="Arial" w:hAnsi="Arial" w:cs="Arial"/>
          <w:sz w:val="24"/>
          <w:szCs w:val="24"/>
        </w:rPr>
        <w:t xml:space="preserve"> et al., 2021, p. 513)</w:t>
      </w:r>
      <w:r w:rsidRPr="009406F5">
        <w:rPr>
          <w:rFonts w:ascii="Arial" w:hAnsi="Arial" w:cs="Arial"/>
          <w:sz w:val="24"/>
          <w:szCs w:val="24"/>
        </w:rPr>
        <w:t>. Hilton should demonstrate sensitivity to economic fluctuations and proactively adapt remuneration packages and perks in order to maintain its attractiveness to both existing and prospective employees.</w:t>
      </w:r>
    </w:p>
    <w:p w14:paraId="27033BEE" w14:textId="77777777" w:rsidR="00C175FA" w:rsidRPr="00B20FB9" w:rsidRDefault="00D92C0D" w:rsidP="00B20FB9">
      <w:pPr>
        <w:pStyle w:val="Heading3"/>
        <w:rPr>
          <w:rFonts w:ascii="Arial" w:hAnsi="Arial" w:cs="Arial"/>
          <w:b/>
          <w:i/>
        </w:rPr>
      </w:pPr>
      <w:bookmarkStart w:id="6" w:name="_Toc150301647"/>
      <w:r w:rsidRPr="00B20FB9">
        <w:rPr>
          <w:rFonts w:ascii="Arial" w:hAnsi="Arial" w:cs="Arial"/>
          <w:b/>
          <w:i/>
          <w:color w:val="000000" w:themeColor="text1"/>
        </w:rPr>
        <w:t>Global Retirement Trend</w:t>
      </w:r>
      <w:bookmarkEnd w:id="6"/>
    </w:p>
    <w:p w14:paraId="421EED9B" w14:textId="77777777" w:rsidR="002922C2"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labor market experiences a notable transformation as the global aging population undergoes the process of transitioning into retirement. Hilton can see challenges in maintaining a skilled workforce as it competes for emerging talent in the job market. The hotel sector frequently depends on a combination of experienced individuals and youthful, energetic staff members</w:t>
      </w:r>
      <w:r w:rsidR="008A42A1">
        <w:rPr>
          <w:rFonts w:ascii="Arial" w:hAnsi="Arial" w:cs="Arial"/>
          <w:sz w:val="24"/>
          <w:szCs w:val="24"/>
        </w:rPr>
        <w:t xml:space="preserve"> (Sumpter &amp; Gibs</w:t>
      </w:r>
      <w:r w:rsidR="00C72BE1">
        <w:rPr>
          <w:rFonts w:ascii="Arial" w:hAnsi="Arial" w:cs="Arial"/>
          <w:sz w:val="24"/>
          <w:szCs w:val="24"/>
        </w:rPr>
        <w:t>o</w:t>
      </w:r>
      <w:r w:rsidR="008A42A1">
        <w:rPr>
          <w:rFonts w:ascii="Arial" w:hAnsi="Arial" w:cs="Arial"/>
          <w:sz w:val="24"/>
          <w:szCs w:val="24"/>
        </w:rPr>
        <w:t>n, 2023, p. 583)</w:t>
      </w:r>
      <w:r w:rsidRPr="009406F5">
        <w:rPr>
          <w:rFonts w:ascii="Arial" w:hAnsi="Arial" w:cs="Arial"/>
          <w:sz w:val="24"/>
          <w:szCs w:val="24"/>
        </w:rPr>
        <w:t>. The equilibrium is affected by the phenomenon of retirement, wherein knowledgeable and skilled staff people depart from the workforce, leading to a void in knowledge and expertise. Hilton is required to develop strategies aimed at effectively capturing and transferring the knowledge possessed by departing employees to newly recruited individuals, with the objective of facilitating a smooth and uninterrupted transition process. In addition, the process of recruiting younger individuals who possess distinct expectations and preferences necessitates a reevaluation and adjustment of recruitment and retention methodologies.</w:t>
      </w:r>
    </w:p>
    <w:p w14:paraId="378E2C79" w14:textId="77777777" w:rsidR="00C175FA" w:rsidRPr="00B20FB9" w:rsidRDefault="00D92C0D" w:rsidP="00B20FB9">
      <w:pPr>
        <w:pStyle w:val="Heading3"/>
        <w:rPr>
          <w:rFonts w:ascii="Arial" w:hAnsi="Arial" w:cs="Arial"/>
          <w:b/>
          <w:i/>
          <w:color w:val="000000" w:themeColor="text1"/>
        </w:rPr>
      </w:pPr>
      <w:bookmarkStart w:id="7" w:name="_Toc150301648"/>
      <w:r w:rsidRPr="00B20FB9">
        <w:rPr>
          <w:rFonts w:ascii="Arial" w:hAnsi="Arial" w:cs="Arial"/>
          <w:b/>
          <w:i/>
          <w:color w:val="000000" w:themeColor="text1"/>
        </w:rPr>
        <w:t>Economic Situation</w:t>
      </w:r>
      <w:bookmarkEnd w:id="7"/>
    </w:p>
    <w:p w14:paraId="644CFDA3" w14:textId="77777777" w:rsidR="007F7D18"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economy's fluctuations have a consequential impact on consumer travel behaviors, which in turn affect Hilton's personnel and recruitment requirements. Economic recessions have the potential to trigger cost reduction strategies, which in turn might impact initiatives aimed at retaining employees</w:t>
      </w:r>
      <w:r w:rsidR="004A0C0C">
        <w:rPr>
          <w:rFonts w:ascii="Arial" w:hAnsi="Arial" w:cs="Arial"/>
          <w:sz w:val="24"/>
          <w:szCs w:val="24"/>
        </w:rPr>
        <w:t xml:space="preserve"> (</w:t>
      </w:r>
      <w:proofErr w:type="spellStart"/>
      <w:r w:rsidR="004A0C0C">
        <w:rPr>
          <w:rFonts w:ascii="Arial" w:hAnsi="Arial" w:cs="Arial"/>
          <w:sz w:val="24"/>
          <w:szCs w:val="24"/>
        </w:rPr>
        <w:t>Cesar</w:t>
      </w:r>
      <w:r w:rsidR="00874672">
        <w:rPr>
          <w:rFonts w:ascii="Arial" w:hAnsi="Arial" w:cs="Arial"/>
          <w:sz w:val="24"/>
          <w:szCs w:val="24"/>
        </w:rPr>
        <w:t>o</w:t>
      </w:r>
      <w:r w:rsidR="004A0C0C">
        <w:rPr>
          <w:rFonts w:ascii="Arial" w:hAnsi="Arial" w:cs="Arial"/>
          <w:sz w:val="24"/>
          <w:szCs w:val="24"/>
        </w:rPr>
        <w:t>ni</w:t>
      </w:r>
      <w:proofErr w:type="spellEnd"/>
      <w:r w:rsidR="004A0C0C">
        <w:rPr>
          <w:rFonts w:ascii="Arial" w:hAnsi="Arial" w:cs="Arial"/>
          <w:sz w:val="24"/>
          <w:szCs w:val="24"/>
        </w:rPr>
        <w:t xml:space="preserve"> et al., 2020, p. 28)</w:t>
      </w:r>
      <w:r w:rsidRPr="009406F5">
        <w:rPr>
          <w:rFonts w:ascii="Arial" w:hAnsi="Arial" w:cs="Arial"/>
          <w:sz w:val="24"/>
          <w:szCs w:val="24"/>
        </w:rPr>
        <w:t>. During periods of decreased commercial activity, Hilton, similar to other entities within the industry, may opt to implement labor reduction strategies as a means of cost management</w:t>
      </w:r>
      <w:r w:rsidR="003B3605">
        <w:rPr>
          <w:rFonts w:ascii="Arial" w:hAnsi="Arial" w:cs="Arial"/>
          <w:sz w:val="24"/>
          <w:szCs w:val="24"/>
        </w:rPr>
        <w:t xml:space="preserve"> (</w:t>
      </w:r>
      <w:proofErr w:type="spellStart"/>
      <w:r w:rsidR="00F94021">
        <w:rPr>
          <w:rFonts w:ascii="Arial" w:hAnsi="Arial" w:cs="Arial"/>
          <w:sz w:val="24"/>
          <w:szCs w:val="24"/>
        </w:rPr>
        <w:t>Momin</w:t>
      </w:r>
      <w:proofErr w:type="spellEnd"/>
      <w:r w:rsidR="00F94021">
        <w:rPr>
          <w:rFonts w:ascii="Arial" w:hAnsi="Arial" w:cs="Arial"/>
          <w:sz w:val="24"/>
          <w:szCs w:val="24"/>
        </w:rPr>
        <w:t>, 2023</w:t>
      </w:r>
      <w:r w:rsidR="003B3605">
        <w:rPr>
          <w:rFonts w:ascii="Arial" w:hAnsi="Arial" w:cs="Arial"/>
          <w:sz w:val="24"/>
          <w:szCs w:val="24"/>
        </w:rPr>
        <w:t>)</w:t>
      </w:r>
      <w:r w:rsidRPr="009406F5">
        <w:rPr>
          <w:rFonts w:ascii="Arial" w:hAnsi="Arial" w:cs="Arial"/>
          <w:sz w:val="24"/>
          <w:szCs w:val="24"/>
        </w:rPr>
        <w:t>. The apprehension regarding possible workforce reductions during periods of economic decline can engender a climate of uncertainty among personnel, leading them to consider alternate employment prospects actively. Hilton must effectively control costs while simultaneously ensuring employee retention in the face of economic changes.</w:t>
      </w:r>
    </w:p>
    <w:p w14:paraId="78AB54B1" w14:textId="77777777" w:rsidR="00C175FA" w:rsidRPr="00B20FB9" w:rsidRDefault="00D92C0D" w:rsidP="00B20FB9">
      <w:pPr>
        <w:pStyle w:val="Heading2"/>
        <w:rPr>
          <w:rFonts w:ascii="Arial" w:hAnsi="Arial" w:cs="Arial"/>
          <w:b/>
          <w:color w:val="000000" w:themeColor="text1"/>
          <w:sz w:val="24"/>
          <w:szCs w:val="24"/>
        </w:rPr>
      </w:pPr>
      <w:bookmarkStart w:id="8" w:name="_Toc150301649"/>
      <w:r w:rsidRPr="00B20FB9">
        <w:rPr>
          <w:rFonts w:ascii="Arial" w:hAnsi="Arial" w:cs="Arial"/>
          <w:b/>
          <w:color w:val="000000" w:themeColor="text1"/>
          <w:sz w:val="24"/>
          <w:szCs w:val="24"/>
        </w:rPr>
        <w:t>Employee Retention Strateg</w:t>
      </w:r>
      <w:r w:rsidR="007F7D18" w:rsidRPr="00B20FB9">
        <w:rPr>
          <w:rFonts w:ascii="Arial" w:hAnsi="Arial" w:cs="Arial"/>
          <w:b/>
          <w:color w:val="000000" w:themeColor="text1"/>
          <w:sz w:val="24"/>
          <w:szCs w:val="24"/>
        </w:rPr>
        <w:t>ies in the Hospitality Industry</w:t>
      </w:r>
      <w:bookmarkEnd w:id="8"/>
    </w:p>
    <w:p w14:paraId="5FDCFB84" w14:textId="77777777" w:rsidR="007F7D18"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implementation of efficient retention tactics is crucial in order to effectively tackle the significant external issues encountered by Hilton and other hotel operators. In order to optimize employee recruitment and retention, it is imperative to prioritize the implementation of the following strategies:</w:t>
      </w:r>
    </w:p>
    <w:p w14:paraId="3BA9E27A" w14:textId="77777777" w:rsidR="00C175FA" w:rsidRPr="00B20FB9" w:rsidRDefault="00D92C0D" w:rsidP="00B20FB9">
      <w:pPr>
        <w:pStyle w:val="Heading3"/>
        <w:rPr>
          <w:rFonts w:ascii="Arial" w:hAnsi="Arial" w:cs="Arial"/>
          <w:b/>
          <w:i/>
        </w:rPr>
      </w:pPr>
      <w:bookmarkStart w:id="9" w:name="_Toc150301650"/>
      <w:r w:rsidRPr="00B20FB9">
        <w:rPr>
          <w:rFonts w:ascii="Arial" w:hAnsi="Arial" w:cs="Arial"/>
          <w:b/>
          <w:i/>
          <w:color w:val="000000" w:themeColor="text1"/>
        </w:rPr>
        <w:t>Invest in Employee Training</w:t>
      </w:r>
      <w:bookmarkEnd w:id="9"/>
    </w:p>
    <w:p w14:paraId="7F622EE5" w14:textId="77777777" w:rsidR="007F7D18"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implementation of employee education and growth initiatives is of paramount importance in facilitating employees' ability to acclimatize to technology advancements and progress in their professional trajectories</w:t>
      </w:r>
      <w:r w:rsidR="00874672">
        <w:rPr>
          <w:rFonts w:ascii="Arial" w:hAnsi="Arial" w:cs="Arial"/>
          <w:sz w:val="24"/>
          <w:szCs w:val="24"/>
        </w:rPr>
        <w:t xml:space="preserve"> (Codling et al., 2022)</w:t>
      </w:r>
      <w:r w:rsidRPr="009406F5">
        <w:rPr>
          <w:rFonts w:ascii="Arial" w:hAnsi="Arial" w:cs="Arial"/>
          <w:sz w:val="24"/>
          <w:szCs w:val="24"/>
        </w:rPr>
        <w:t>. Given the prevailing challenges posed by Brexit and the ongoing epidemic, it is crucial to provide employees with the necessary skills and knowledge to effectively navigate and excel in dynamic and changing environments</w:t>
      </w:r>
      <w:r w:rsidR="007113AE">
        <w:rPr>
          <w:rFonts w:ascii="Arial" w:hAnsi="Arial" w:cs="Arial"/>
          <w:sz w:val="24"/>
          <w:szCs w:val="24"/>
        </w:rPr>
        <w:t xml:space="preserve"> (</w:t>
      </w:r>
      <w:proofErr w:type="spellStart"/>
      <w:r w:rsidR="007113AE">
        <w:rPr>
          <w:rFonts w:ascii="Arial" w:hAnsi="Arial" w:cs="Arial"/>
          <w:sz w:val="24"/>
          <w:szCs w:val="24"/>
        </w:rPr>
        <w:t>Do</w:t>
      </w:r>
      <w:r w:rsidR="008E3136">
        <w:rPr>
          <w:rFonts w:ascii="Arial" w:hAnsi="Arial" w:cs="Arial"/>
          <w:sz w:val="24"/>
          <w:szCs w:val="24"/>
        </w:rPr>
        <w:t>gonyaro</w:t>
      </w:r>
      <w:proofErr w:type="spellEnd"/>
      <w:r w:rsidR="008E3136">
        <w:rPr>
          <w:rFonts w:ascii="Arial" w:hAnsi="Arial" w:cs="Arial"/>
          <w:sz w:val="24"/>
          <w:szCs w:val="24"/>
        </w:rPr>
        <w:t>, 2021</w:t>
      </w:r>
      <w:r w:rsidR="007113AE">
        <w:rPr>
          <w:rFonts w:ascii="Arial" w:hAnsi="Arial" w:cs="Arial"/>
          <w:sz w:val="24"/>
          <w:szCs w:val="24"/>
        </w:rPr>
        <w:t>)</w:t>
      </w:r>
      <w:r w:rsidRPr="009406F5">
        <w:rPr>
          <w:rFonts w:ascii="Arial" w:hAnsi="Arial" w:cs="Arial"/>
          <w:sz w:val="24"/>
          <w:szCs w:val="24"/>
        </w:rPr>
        <w:t>. Hilton can develop comprehensive training initiatives that not only augment the technical proficiencies of its workforce but also concentrate on soft skills and flexibility, thereby equipping employees to navigate the dynamic terrain of the hospitality sector.</w:t>
      </w:r>
    </w:p>
    <w:p w14:paraId="74ADF974" w14:textId="77777777" w:rsidR="00C175FA" w:rsidRPr="00B20FB9" w:rsidRDefault="00D92C0D" w:rsidP="00B20FB9">
      <w:pPr>
        <w:pStyle w:val="Heading3"/>
        <w:rPr>
          <w:rFonts w:ascii="Arial" w:hAnsi="Arial" w:cs="Arial"/>
          <w:b/>
          <w:i/>
          <w:color w:val="000000" w:themeColor="text1"/>
        </w:rPr>
      </w:pPr>
      <w:bookmarkStart w:id="10" w:name="_Toc150301651"/>
      <w:r w:rsidRPr="00B20FB9">
        <w:rPr>
          <w:rFonts w:ascii="Arial" w:hAnsi="Arial" w:cs="Arial"/>
          <w:b/>
          <w:i/>
          <w:color w:val="000000" w:themeColor="text1"/>
        </w:rPr>
        <w:t>Enhance Employee Satisfaction</w:t>
      </w:r>
      <w:bookmarkEnd w:id="10"/>
    </w:p>
    <w:p w14:paraId="5147D77E" w14:textId="77777777" w:rsidR="001F66DE"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establishment of a sustainable and favorable work atmosphere is essential for fostering employee satisfaction. The provision of growth possibilities and the establishment of effective communication channels within an organization are both factors that significantly contribute to increased levels of employee satisfaction</w:t>
      </w:r>
      <w:r w:rsidR="003B3605">
        <w:rPr>
          <w:rFonts w:ascii="Arial" w:hAnsi="Arial" w:cs="Arial"/>
          <w:sz w:val="24"/>
          <w:szCs w:val="24"/>
        </w:rPr>
        <w:t xml:space="preserve"> (</w:t>
      </w:r>
      <w:proofErr w:type="spellStart"/>
      <w:r w:rsidR="003B3605">
        <w:rPr>
          <w:rFonts w:ascii="Arial" w:hAnsi="Arial" w:cs="Arial"/>
          <w:sz w:val="24"/>
          <w:szCs w:val="24"/>
        </w:rPr>
        <w:t>Ghani</w:t>
      </w:r>
      <w:proofErr w:type="spellEnd"/>
      <w:r w:rsidR="003B3605">
        <w:rPr>
          <w:rFonts w:ascii="Arial" w:hAnsi="Arial" w:cs="Arial"/>
          <w:sz w:val="24"/>
          <w:szCs w:val="24"/>
        </w:rPr>
        <w:t xml:space="preserve"> et al., 2022)</w:t>
      </w:r>
      <w:r w:rsidRPr="009406F5">
        <w:rPr>
          <w:rFonts w:ascii="Arial" w:hAnsi="Arial" w:cs="Arial"/>
          <w:sz w:val="24"/>
          <w:szCs w:val="24"/>
        </w:rPr>
        <w:t>. Hilton must place a high priority on the welfare of its employees, guaranteeing that they experience a sense of appreciation and receive adequate support. Ensuring well-defined avenues for career progression and fostering opportunities for professional development are crucial factors in the retention of highly skilled individuals</w:t>
      </w:r>
      <w:r w:rsidR="00F85B21">
        <w:rPr>
          <w:rFonts w:ascii="Arial" w:hAnsi="Arial" w:cs="Arial"/>
          <w:sz w:val="24"/>
          <w:szCs w:val="24"/>
        </w:rPr>
        <w:t xml:space="preserve"> (Frye et al., 2020, p. </w:t>
      </w:r>
      <w:r w:rsidR="00D36259">
        <w:rPr>
          <w:rFonts w:ascii="Arial" w:hAnsi="Arial" w:cs="Arial"/>
          <w:sz w:val="24"/>
          <w:szCs w:val="24"/>
        </w:rPr>
        <w:t>102352)</w:t>
      </w:r>
      <w:r w:rsidRPr="009406F5">
        <w:rPr>
          <w:rFonts w:ascii="Arial" w:hAnsi="Arial" w:cs="Arial"/>
          <w:sz w:val="24"/>
          <w:szCs w:val="24"/>
        </w:rPr>
        <w:t>. An organization is more likely to endure external challenges and maintain employee commitment when it has a staff that is satisfied and motivated.</w:t>
      </w:r>
    </w:p>
    <w:p w14:paraId="4C22DC75" w14:textId="77777777" w:rsidR="00C175FA" w:rsidRPr="00B20FB9" w:rsidRDefault="00D92C0D" w:rsidP="00B20FB9">
      <w:pPr>
        <w:pStyle w:val="Heading3"/>
        <w:rPr>
          <w:rFonts w:ascii="Arial" w:hAnsi="Arial" w:cs="Arial"/>
          <w:b/>
          <w:i/>
          <w:color w:val="000000" w:themeColor="text1"/>
        </w:rPr>
      </w:pPr>
      <w:bookmarkStart w:id="11" w:name="_Toc150301652"/>
      <w:r w:rsidRPr="00B20FB9">
        <w:rPr>
          <w:rFonts w:ascii="Arial" w:hAnsi="Arial" w:cs="Arial"/>
          <w:b/>
          <w:i/>
          <w:color w:val="000000" w:themeColor="text1"/>
        </w:rPr>
        <w:t>Industry Examples</w:t>
      </w:r>
      <w:bookmarkEnd w:id="11"/>
    </w:p>
    <w:p w14:paraId="70704C9E" w14:textId="77777777" w:rsidR="008D4284"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The collaboration between Hilton and Guild Education serves as a notable illustration of the company's commitment to investing in the professional growth of its employees by providing educational avenues that facilitate career progression</w:t>
      </w:r>
      <w:r w:rsidR="00D45967">
        <w:rPr>
          <w:rFonts w:ascii="Arial" w:hAnsi="Arial" w:cs="Arial"/>
          <w:sz w:val="24"/>
          <w:szCs w:val="24"/>
        </w:rPr>
        <w:t xml:space="preserve"> (Diaz et al., 2022)</w:t>
      </w:r>
      <w:r w:rsidRPr="009406F5">
        <w:rPr>
          <w:rFonts w:ascii="Arial" w:hAnsi="Arial" w:cs="Arial"/>
          <w:sz w:val="24"/>
          <w:szCs w:val="24"/>
        </w:rPr>
        <w:t>. The establishment of this relationship demonstrates Hilton's dedication to providing its staff with the necessary resources for professional development and advancement, hence enhancing employee retention rates. Marriott's emphasis on enhancing its employer benefits package underscores the need to craft a captivating narrative for prospective employees, effectively highlighting the advantages and prospects associated with employment in the hospitality sector. The experience of the Best Western Hotel Group serves as a notable example that sheds light on the difficulties encountered by specific sectors within the more significant hospitality industry. It also emphasizes the crucial need to improve workplace environments and employee happiness in order to enhance rates of staff retention.</w:t>
      </w:r>
    </w:p>
    <w:p w14:paraId="1F383A9E" w14:textId="77777777" w:rsidR="002E3878" w:rsidRPr="005033C2" w:rsidRDefault="00D92C0D" w:rsidP="005033C2">
      <w:pPr>
        <w:pStyle w:val="Heading1"/>
        <w:jc w:val="center"/>
        <w:rPr>
          <w:rFonts w:ascii="Arial" w:hAnsi="Arial" w:cs="Arial"/>
          <w:b/>
          <w:color w:val="000000" w:themeColor="text1"/>
          <w:sz w:val="24"/>
          <w:szCs w:val="24"/>
        </w:rPr>
      </w:pPr>
      <w:bookmarkStart w:id="12" w:name="_Toc150301653"/>
      <w:r w:rsidRPr="005033C2">
        <w:rPr>
          <w:rFonts w:ascii="Arial" w:hAnsi="Arial" w:cs="Arial"/>
          <w:b/>
          <w:color w:val="000000" w:themeColor="text1"/>
          <w:sz w:val="24"/>
          <w:szCs w:val="24"/>
        </w:rPr>
        <w:t>Evalua</w:t>
      </w:r>
      <w:r w:rsidR="008D4284" w:rsidRPr="005033C2">
        <w:rPr>
          <w:rFonts w:ascii="Arial" w:hAnsi="Arial" w:cs="Arial"/>
          <w:b/>
          <w:color w:val="000000" w:themeColor="text1"/>
          <w:sz w:val="24"/>
          <w:szCs w:val="24"/>
        </w:rPr>
        <w:t>tion and Conclusion</w:t>
      </w:r>
      <w:bookmarkEnd w:id="12"/>
    </w:p>
    <w:p w14:paraId="4B2D848F" w14:textId="77777777" w:rsidR="00FE5FDB" w:rsidRPr="009406F5" w:rsidRDefault="00D92C0D" w:rsidP="009406F5">
      <w:pPr>
        <w:spacing w:line="360" w:lineRule="auto"/>
        <w:ind w:firstLine="720"/>
        <w:jc w:val="both"/>
        <w:rPr>
          <w:rFonts w:ascii="Arial" w:hAnsi="Arial" w:cs="Arial"/>
          <w:sz w:val="24"/>
          <w:szCs w:val="24"/>
        </w:rPr>
      </w:pPr>
      <w:r w:rsidRPr="009406F5">
        <w:rPr>
          <w:rFonts w:ascii="Arial" w:hAnsi="Arial" w:cs="Arial"/>
          <w:sz w:val="24"/>
          <w:szCs w:val="24"/>
        </w:rPr>
        <w:t>As an international pioneer in the hospitality business, Hilton Hotels must contend with a variety of external issues that have a substantial impact on the company's attempts to recruit and retain employees. The unpredictability of Brexit, the repercussions of the COVID-19 epidemic, inflation, the worldwide retirement trend, and volatility in the economy all provide distinctive obstacles to Hilton's capacity to recruit and keep competent workers. Hilton, on the other hand, is able to overcome these hurdles and strengthen its standing in the exceptionally competitive hospitality sector because it has implemented effective retention methods. These strategies include investing in staff training, improving employee happiness, and benefiting from the examples set by other companies in the field.</w:t>
      </w:r>
    </w:p>
    <w:p w14:paraId="2C432E87" w14:textId="77777777" w:rsidR="008D4148" w:rsidRPr="008D4148" w:rsidRDefault="00D92C0D" w:rsidP="008D4148">
      <w:pPr>
        <w:spacing w:line="360" w:lineRule="auto"/>
        <w:ind w:firstLine="720"/>
        <w:jc w:val="both"/>
        <w:rPr>
          <w:rFonts w:ascii="Arial" w:hAnsi="Arial" w:cs="Arial"/>
          <w:sz w:val="24"/>
          <w:szCs w:val="24"/>
        </w:rPr>
      </w:pPr>
      <w:r w:rsidRPr="009406F5">
        <w:rPr>
          <w:rFonts w:ascii="Arial" w:hAnsi="Arial" w:cs="Arial"/>
          <w:sz w:val="24"/>
          <w:szCs w:val="24"/>
        </w:rPr>
        <w:t xml:space="preserve">The hospitality sector is constantly changing as a result of globalization and other factors. The ability of Hilton to change with the times and remain dedicated to its employees will be necessary for the company to maintain its current level of success. Hilton is able to prosper in the face of hardship and continue to give outstanding service to its customers as long as it addresses these external problems and fosters a workforce that is supportive, motivated, and </w:t>
      </w:r>
      <w:r w:rsidR="00207CF4" w:rsidRPr="009406F5">
        <w:rPr>
          <w:rFonts w:ascii="Arial" w:hAnsi="Arial" w:cs="Arial"/>
          <w:sz w:val="24"/>
          <w:szCs w:val="24"/>
        </w:rPr>
        <w:t xml:space="preserve">talented. </w:t>
      </w:r>
      <w:r w:rsidRPr="008D4148">
        <w:rPr>
          <w:rFonts w:ascii="Arial" w:hAnsi="Arial" w:cs="Arial"/>
          <w:sz w:val="24"/>
          <w:szCs w:val="24"/>
        </w:rPr>
        <w:t>Hilton Hotels, similar to numerous other entities operating in the hospitality sector, encounters a diverse range of external challenges that have an impact on the ability to attract and retain employees. A number of factors, including Brexit, COVID-19, price hikes, worldwide retirement developments, and economic shifts, have exacerbated these challenges. In order to mitigate the effects of these elements, Hilton ought to uphold its dedication to staff education and growth, prioritize customer contentment, and market the hospitality industry as an appealing and gratifying professional trajectory.</w:t>
      </w:r>
    </w:p>
    <w:p w14:paraId="285CBCF2" w14:textId="77777777" w:rsidR="008D4148" w:rsidRPr="008D4148" w:rsidRDefault="00D92C0D" w:rsidP="008D4148">
      <w:pPr>
        <w:spacing w:line="360" w:lineRule="auto"/>
        <w:ind w:firstLine="720"/>
        <w:jc w:val="both"/>
        <w:rPr>
          <w:rFonts w:ascii="Arial" w:hAnsi="Arial" w:cs="Arial"/>
          <w:sz w:val="24"/>
          <w:szCs w:val="24"/>
        </w:rPr>
      </w:pPr>
      <w:r w:rsidRPr="008D4148">
        <w:rPr>
          <w:rFonts w:ascii="Arial" w:hAnsi="Arial" w:cs="Arial"/>
          <w:sz w:val="24"/>
          <w:szCs w:val="24"/>
        </w:rPr>
        <w:t>Hilton is capable of fortifying its position in a progressively competitive market by initially comprehending the impacts of external variables on employee retention and subsequently implementing the suggested countermeasures. In the dynamic realm of the hospitality industry, the capacity to adjust, invent, and concentrate endeavors on employee requirements is critical for attracting and retaining top-tier personnel.</w:t>
      </w:r>
    </w:p>
    <w:p w14:paraId="08C969D5" w14:textId="77777777" w:rsidR="0053528F" w:rsidRDefault="0053528F" w:rsidP="008D4148">
      <w:pPr>
        <w:spacing w:line="360" w:lineRule="auto"/>
        <w:ind w:firstLine="720"/>
        <w:jc w:val="both"/>
        <w:rPr>
          <w:rFonts w:ascii="Arial" w:hAnsi="Arial" w:cs="Arial"/>
          <w:sz w:val="24"/>
          <w:szCs w:val="24"/>
        </w:rPr>
      </w:pPr>
    </w:p>
    <w:p w14:paraId="31EDC2A8" w14:textId="77777777" w:rsidR="00D36259" w:rsidRDefault="00D36259" w:rsidP="008D4148">
      <w:pPr>
        <w:spacing w:line="360" w:lineRule="auto"/>
        <w:ind w:firstLine="720"/>
        <w:jc w:val="both"/>
        <w:rPr>
          <w:rFonts w:ascii="Arial" w:hAnsi="Arial" w:cs="Arial"/>
          <w:sz w:val="24"/>
          <w:szCs w:val="24"/>
        </w:rPr>
      </w:pPr>
    </w:p>
    <w:p w14:paraId="09517C4E" w14:textId="77777777" w:rsidR="00D36259" w:rsidRDefault="00D36259" w:rsidP="008D4148">
      <w:pPr>
        <w:spacing w:line="360" w:lineRule="auto"/>
        <w:ind w:firstLine="720"/>
        <w:jc w:val="both"/>
        <w:rPr>
          <w:rFonts w:ascii="Arial" w:hAnsi="Arial" w:cs="Arial"/>
          <w:sz w:val="24"/>
          <w:szCs w:val="24"/>
        </w:rPr>
      </w:pPr>
    </w:p>
    <w:p w14:paraId="161A6493" w14:textId="77777777" w:rsidR="00D36259" w:rsidRDefault="00D36259" w:rsidP="008D4148">
      <w:pPr>
        <w:spacing w:line="360" w:lineRule="auto"/>
        <w:ind w:firstLine="720"/>
        <w:jc w:val="both"/>
        <w:rPr>
          <w:rFonts w:ascii="Arial" w:hAnsi="Arial" w:cs="Arial"/>
          <w:sz w:val="24"/>
          <w:szCs w:val="24"/>
        </w:rPr>
      </w:pPr>
    </w:p>
    <w:p w14:paraId="0D9123A3" w14:textId="77777777" w:rsidR="00D36259" w:rsidRDefault="00D36259" w:rsidP="006F2F53">
      <w:pPr>
        <w:spacing w:line="360" w:lineRule="auto"/>
        <w:jc w:val="both"/>
        <w:rPr>
          <w:rFonts w:ascii="Arial" w:hAnsi="Arial" w:cs="Arial"/>
          <w:sz w:val="24"/>
          <w:szCs w:val="24"/>
        </w:rPr>
      </w:pPr>
    </w:p>
    <w:p w14:paraId="1410DB97" w14:textId="77777777" w:rsidR="0053528F" w:rsidRPr="00BF3AB9" w:rsidRDefault="00D92C0D" w:rsidP="00BF3AB9">
      <w:pPr>
        <w:pStyle w:val="Heading1"/>
        <w:jc w:val="center"/>
        <w:rPr>
          <w:rFonts w:ascii="Arial" w:hAnsi="Arial" w:cs="Arial"/>
          <w:b/>
          <w:color w:val="000000" w:themeColor="text1"/>
          <w:sz w:val="24"/>
          <w:szCs w:val="24"/>
        </w:rPr>
      </w:pPr>
      <w:bookmarkStart w:id="13" w:name="_Toc150301654"/>
      <w:r w:rsidRPr="00BF3AB9">
        <w:rPr>
          <w:rFonts w:ascii="Arial" w:hAnsi="Arial" w:cs="Arial"/>
          <w:b/>
          <w:color w:val="000000" w:themeColor="text1"/>
          <w:sz w:val="24"/>
          <w:szCs w:val="24"/>
        </w:rPr>
        <w:t>References</w:t>
      </w:r>
      <w:bookmarkEnd w:id="13"/>
    </w:p>
    <w:p w14:paraId="65C4EC3F"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Burnett, M. and Johnston, T., 2020. Brexit anticipated economic shock on Ireland’s planning for hospitality and tourism: resilience, volatility and exposure. </w:t>
      </w:r>
      <w:r w:rsidRPr="0053528F">
        <w:rPr>
          <w:rFonts w:ascii="Arial" w:hAnsi="Arial" w:cs="Arial"/>
          <w:i/>
          <w:iCs/>
          <w:sz w:val="24"/>
          <w:szCs w:val="24"/>
        </w:rPr>
        <w:t>Tourism Review</w:t>
      </w:r>
      <w:r w:rsidRPr="0053528F">
        <w:rPr>
          <w:rFonts w:ascii="Arial" w:hAnsi="Arial" w:cs="Arial"/>
          <w:sz w:val="24"/>
          <w:szCs w:val="24"/>
        </w:rPr>
        <w:t>, </w:t>
      </w:r>
      <w:r w:rsidRPr="0053528F">
        <w:rPr>
          <w:rFonts w:ascii="Arial" w:hAnsi="Arial" w:cs="Arial"/>
          <w:i/>
          <w:iCs/>
          <w:sz w:val="24"/>
          <w:szCs w:val="24"/>
        </w:rPr>
        <w:t>75</w:t>
      </w:r>
      <w:r w:rsidRPr="0053528F">
        <w:rPr>
          <w:rFonts w:ascii="Arial" w:hAnsi="Arial" w:cs="Arial"/>
          <w:sz w:val="24"/>
          <w:szCs w:val="24"/>
        </w:rPr>
        <w:t>(3), pp.595-606.</w:t>
      </w:r>
    </w:p>
    <w:p w14:paraId="4EA81629"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Cesaroni</w:t>
      </w:r>
      <w:proofErr w:type="spellEnd"/>
      <w:r w:rsidRPr="0053528F">
        <w:rPr>
          <w:rFonts w:ascii="Arial" w:hAnsi="Arial" w:cs="Arial"/>
          <w:sz w:val="24"/>
          <w:szCs w:val="24"/>
        </w:rPr>
        <w:t xml:space="preserve">, F.M., </w:t>
      </w:r>
      <w:proofErr w:type="spellStart"/>
      <w:r w:rsidRPr="0053528F">
        <w:rPr>
          <w:rFonts w:ascii="Arial" w:hAnsi="Arial" w:cs="Arial"/>
          <w:sz w:val="24"/>
          <w:szCs w:val="24"/>
        </w:rPr>
        <w:t>Sentuti</w:t>
      </w:r>
      <w:proofErr w:type="spellEnd"/>
      <w:r w:rsidRPr="0053528F">
        <w:rPr>
          <w:rFonts w:ascii="Arial" w:hAnsi="Arial" w:cs="Arial"/>
          <w:sz w:val="24"/>
          <w:szCs w:val="24"/>
        </w:rPr>
        <w:t xml:space="preserve">, A. and </w:t>
      </w:r>
      <w:proofErr w:type="spellStart"/>
      <w:r w:rsidRPr="0053528F">
        <w:rPr>
          <w:rFonts w:ascii="Arial" w:hAnsi="Arial" w:cs="Arial"/>
          <w:sz w:val="24"/>
          <w:szCs w:val="24"/>
        </w:rPr>
        <w:t>Cubico</w:t>
      </w:r>
      <w:proofErr w:type="spellEnd"/>
      <w:r w:rsidRPr="0053528F">
        <w:rPr>
          <w:rFonts w:ascii="Arial" w:hAnsi="Arial" w:cs="Arial"/>
          <w:sz w:val="24"/>
          <w:szCs w:val="24"/>
        </w:rPr>
        <w:t>, S., 2020. Small family firms and strategies coping the economic crisis: the influence of socio-emotional wealth. </w:t>
      </w:r>
      <w:r w:rsidRPr="0053528F">
        <w:rPr>
          <w:rFonts w:ascii="Arial" w:hAnsi="Arial" w:cs="Arial"/>
          <w:i/>
          <w:iCs/>
          <w:sz w:val="24"/>
          <w:szCs w:val="24"/>
        </w:rPr>
        <w:t>Entrepreneurship and Family Business Vitality: Surviving and Flourishing in the Long Term</w:t>
      </w:r>
      <w:r w:rsidRPr="0053528F">
        <w:rPr>
          <w:rFonts w:ascii="Arial" w:hAnsi="Arial" w:cs="Arial"/>
          <w:sz w:val="24"/>
          <w:szCs w:val="24"/>
        </w:rPr>
        <w:t>, pp.27-48.</w:t>
      </w:r>
    </w:p>
    <w:p w14:paraId="2167049A"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 xml:space="preserve">Codling, S., Pinnock, J., Barrett, E., Gayle, S., Stephenson, N., </w:t>
      </w:r>
      <w:proofErr w:type="spellStart"/>
      <w:r w:rsidRPr="0053528F">
        <w:rPr>
          <w:rFonts w:ascii="Arial" w:hAnsi="Arial" w:cs="Arial"/>
          <w:sz w:val="24"/>
          <w:szCs w:val="24"/>
        </w:rPr>
        <w:t>Sibblies</w:t>
      </w:r>
      <w:proofErr w:type="spellEnd"/>
      <w:r w:rsidRPr="0053528F">
        <w:rPr>
          <w:rFonts w:ascii="Arial" w:hAnsi="Arial" w:cs="Arial"/>
          <w:sz w:val="24"/>
          <w:szCs w:val="24"/>
        </w:rPr>
        <w:t xml:space="preserve">, N. and </w:t>
      </w:r>
      <w:proofErr w:type="spellStart"/>
      <w:r w:rsidRPr="0053528F">
        <w:rPr>
          <w:rFonts w:ascii="Arial" w:hAnsi="Arial" w:cs="Arial"/>
          <w:sz w:val="24"/>
          <w:szCs w:val="24"/>
        </w:rPr>
        <w:t>Sinclair-Maragh</w:t>
      </w:r>
      <w:proofErr w:type="spellEnd"/>
      <w:r w:rsidRPr="0053528F">
        <w:rPr>
          <w:rFonts w:ascii="Arial" w:hAnsi="Arial" w:cs="Arial"/>
          <w:sz w:val="24"/>
          <w:szCs w:val="24"/>
        </w:rPr>
        <w:t xml:space="preserve">, G. (2022). </w:t>
      </w:r>
      <w:r w:rsidRPr="0053528F">
        <w:rPr>
          <w:rFonts w:ascii="Arial" w:hAnsi="Arial" w:cs="Arial"/>
          <w:i/>
          <w:iCs/>
          <w:sz w:val="24"/>
          <w:szCs w:val="24"/>
        </w:rPr>
        <w:t>Factors Contributing to Staff Turnover in the Hotel Industry: A Literature Review</w:t>
      </w:r>
      <w:r w:rsidRPr="0053528F">
        <w:rPr>
          <w:rFonts w:ascii="Arial" w:hAnsi="Arial" w:cs="Arial"/>
          <w:sz w:val="24"/>
          <w:szCs w:val="24"/>
        </w:rPr>
        <w:t xml:space="preserve">. [online] </w:t>
      </w:r>
      <w:r w:rsidRPr="0053528F">
        <w:rPr>
          <w:rFonts w:ascii="Arial" w:hAnsi="Arial" w:cs="Arial"/>
          <w:i/>
          <w:iCs/>
          <w:sz w:val="24"/>
          <w:szCs w:val="24"/>
        </w:rPr>
        <w:t>www.intechopen.com</w:t>
      </w:r>
      <w:r w:rsidRPr="0053528F">
        <w:rPr>
          <w:rFonts w:ascii="Arial" w:hAnsi="Arial" w:cs="Arial"/>
          <w:sz w:val="24"/>
          <w:szCs w:val="24"/>
        </w:rPr>
        <w:t xml:space="preserve">. </w:t>
      </w:r>
      <w:proofErr w:type="spellStart"/>
      <w:r w:rsidRPr="0053528F">
        <w:rPr>
          <w:rFonts w:ascii="Arial" w:hAnsi="Arial" w:cs="Arial"/>
          <w:sz w:val="24"/>
          <w:szCs w:val="24"/>
        </w:rPr>
        <w:t>IntechOpen</w:t>
      </w:r>
      <w:proofErr w:type="spellEnd"/>
      <w:r w:rsidRPr="0053528F">
        <w:rPr>
          <w:rFonts w:ascii="Arial" w:hAnsi="Arial" w:cs="Arial"/>
          <w:sz w:val="24"/>
          <w:szCs w:val="24"/>
        </w:rPr>
        <w:t xml:space="preserve">. Available at: </w:t>
      </w:r>
      <w:hyperlink r:id="rId7" w:history="1">
        <w:r w:rsidRPr="0053528F">
          <w:rPr>
            <w:rStyle w:val="Hyperlink"/>
            <w:rFonts w:ascii="Arial" w:hAnsi="Arial" w:cs="Arial"/>
            <w:sz w:val="24"/>
            <w:szCs w:val="24"/>
          </w:rPr>
          <w:t>https://www.intechopen.com/chapters/84110</w:t>
        </w:r>
      </w:hyperlink>
      <w:r w:rsidRPr="0053528F">
        <w:rPr>
          <w:rFonts w:ascii="Arial" w:hAnsi="Arial" w:cs="Arial"/>
          <w:sz w:val="24"/>
          <w:szCs w:val="24"/>
        </w:rPr>
        <w:t>.</w:t>
      </w:r>
    </w:p>
    <w:p w14:paraId="08285C65"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 xml:space="preserve">Diaz, J., </w:t>
      </w:r>
      <w:proofErr w:type="spellStart"/>
      <w:r w:rsidRPr="0053528F">
        <w:rPr>
          <w:rFonts w:ascii="Arial" w:hAnsi="Arial" w:cs="Arial"/>
          <w:sz w:val="24"/>
          <w:szCs w:val="24"/>
        </w:rPr>
        <w:t>Halkias</w:t>
      </w:r>
      <w:proofErr w:type="spellEnd"/>
      <w:r w:rsidRPr="0053528F">
        <w:rPr>
          <w:rFonts w:ascii="Arial" w:hAnsi="Arial" w:cs="Arial"/>
          <w:sz w:val="24"/>
          <w:szCs w:val="24"/>
        </w:rPr>
        <w:t>, D. and Thurman, P.W., 2022. </w:t>
      </w:r>
      <w:r w:rsidRPr="0053528F">
        <w:rPr>
          <w:rFonts w:ascii="Arial" w:hAnsi="Arial" w:cs="Arial"/>
          <w:i/>
          <w:iCs/>
          <w:sz w:val="24"/>
          <w:szCs w:val="24"/>
        </w:rPr>
        <w:t xml:space="preserve">The innovative management education ecosystem: </w:t>
      </w:r>
      <w:proofErr w:type="spellStart"/>
      <w:r w:rsidRPr="0053528F">
        <w:rPr>
          <w:rFonts w:ascii="Arial" w:hAnsi="Arial" w:cs="Arial"/>
          <w:i/>
          <w:iCs/>
          <w:sz w:val="24"/>
          <w:szCs w:val="24"/>
        </w:rPr>
        <w:t>Reskilling</w:t>
      </w:r>
      <w:proofErr w:type="spellEnd"/>
      <w:r w:rsidRPr="0053528F">
        <w:rPr>
          <w:rFonts w:ascii="Arial" w:hAnsi="Arial" w:cs="Arial"/>
          <w:i/>
          <w:iCs/>
          <w:sz w:val="24"/>
          <w:szCs w:val="24"/>
        </w:rPr>
        <w:t xml:space="preserve"> and </w:t>
      </w:r>
      <w:proofErr w:type="spellStart"/>
      <w:r w:rsidRPr="0053528F">
        <w:rPr>
          <w:rFonts w:ascii="Arial" w:hAnsi="Arial" w:cs="Arial"/>
          <w:i/>
          <w:iCs/>
          <w:sz w:val="24"/>
          <w:szCs w:val="24"/>
        </w:rPr>
        <w:t>upskilling</w:t>
      </w:r>
      <w:proofErr w:type="spellEnd"/>
      <w:r w:rsidRPr="0053528F">
        <w:rPr>
          <w:rFonts w:ascii="Arial" w:hAnsi="Arial" w:cs="Arial"/>
          <w:i/>
          <w:iCs/>
          <w:sz w:val="24"/>
          <w:szCs w:val="24"/>
        </w:rPr>
        <w:t xml:space="preserve"> the future workforce</w:t>
      </w:r>
      <w:r w:rsidRPr="0053528F">
        <w:rPr>
          <w:rFonts w:ascii="Arial" w:hAnsi="Arial" w:cs="Arial"/>
          <w:sz w:val="24"/>
          <w:szCs w:val="24"/>
        </w:rPr>
        <w:t>. Taylor &amp; Francis.</w:t>
      </w:r>
    </w:p>
    <w:p w14:paraId="0F6D3702"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Dogonyaro</w:t>
      </w:r>
      <w:proofErr w:type="spellEnd"/>
      <w:r w:rsidRPr="0053528F">
        <w:rPr>
          <w:rFonts w:ascii="Arial" w:hAnsi="Arial" w:cs="Arial"/>
          <w:sz w:val="24"/>
          <w:szCs w:val="24"/>
        </w:rPr>
        <w:t>, H., 2021. </w:t>
      </w:r>
      <w:r w:rsidRPr="0053528F">
        <w:rPr>
          <w:rFonts w:ascii="Arial" w:hAnsi="Arial" w:cs="Arial"/>
          <w:i/>
          <w:iCs/>
          <w:sz w:val="24"/>
          <w:szCs w:val="24"/>
        </w:rPr>
        <w:t>Employee Retention Strategy in the Hospitality Industry</w:t>
      </w:r>
      <w:r w:rsidRPr="0053528F">
        <w:rPr>
          <w:rFonts w:ascii="Arial" w:hAnsi="Arial" w:cs="Arial"/>
          <w:sz w:val="24"/>
          <w:szCs w:val="24"/>
        </w:rPr>
        <w:t> (Doctoral dissertation, Walden University).</w:t>
      </w:r>
    </w:p>
    <w:p w14:paraId="6BE3F08F"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Dube</w:t>
      </w:r>
      <w:proofErr w:type="spellEnd"/>
      <w:r w:rsidRPr="0053528F">
        <w:rPr>
          <w:rFonts w:ascii="Arial" w:hAnsi="Arial" w:cs="Arial"/>
          <w:sz w:val="24"/>
          <w:szCs w:val="24"/>
        </w:rPr>
        <w:t xml:space="preserve">, K., </w:t>
      </w:r>
      <w:proofErr w:type="spellStart"/>
      <w:r w:rsidRPr="0053528F">
        <w:rPr>
          <w:rFonts w:ascii="Arial" w:hAnsi="Arial" w:cs="Arial"/>
          <w:sz w:val="24"/>
          <w:szCs w:val="24"/>
        </w:rPr>
        <w:t>Nhamo</w:t>
      </w:r>
      <w:proofErr w:type="spellEnd"/>
      <w:r w:rsidRPr="0053528F">
        <w:rPr>
          <w:rFonts w:ascii="Arial" w:hAnsi="Arial" w:cs="Arial"/>
          <w:sz w:val="24"/>
          <w:szCs w:val="24"/>
        </w:rPr>
        <w:t xml:space="preserve">, G., &amp; </w:t>
      </w:r>
      <w:proofErr w:type="spellStart"/>
      <w:r w:rsidRPr="0053528F">
        <w:rPr>
          <w:rFonts w:ascii="Arial" w:hAnsi="Arial" w:cs="Arial"/>
          <w:sz w:val="24"/>
          <w:szCs w:val="24"/>
        </w:rPr>
        <w:t>Chikodzi</w:t>
      </w:r>
      <w:proofErr w:type="spellEnd"/>
      <w:r w:rsidRPr="0053528F">
        <w:rPr>
          <w:rFonts w:ascii="Arial" w:hAnsi="Arial" w:cs="Arial"/>
          <w:sz w:val="24"/>
          <w:szCs w:val="24"/>
        </w:rPr>
        <w:t xml:space="preserve">, D. (2021). COVID-19 disabled people global restaurant and hospitality industry. </w:t>
      </w:r>
      <w:r w:rsidRPr="0053528F">
        <w:rPr>
          <w:rFonts w:ascii="Arial" w:hAnsi="Arial" w:cs="Arial"/>
          <w:i/>
          <w:iCs/>
          <w:sz w:val="24"/>
          <w:szCs w:val="24"/>
        </w:rPr>
        <w:t>Current Issues in Tourism</w:t>
      </w:r>
      <w:r w:rsidRPr="0053528F">
        <w:rPr>
          <w:rFonts w:ascii="Arial" w:hAnsi="Arial" w:cs="Arial"/>
          <w:sz w:val="24"/>
          <w:szCs w:val="24"/>
        </w:rPr>
        <w:t>, </w:t>
      </w:r>
      <w:r w:rsidRPr="0053528F">
        <w:rPr>
          <w:rFonts w:ascii="Arial" w:hAnsi="Arial" w:cs="Arial"/>
          <w:i/>
          <w:iCs/>
          <w:sz w:val="24"/>
          <w:szCs w:val="24"/>
        </w:rPr>
        <w:t>24</w:t>
      </w:r>
      <w:r w:rsidRPr="0053528F">
        <w:rPr>
          <w:rFonts w:ascii="Arial" w:hAnsi="Arial" w:cs="Arial"/>
          <w:sz w:val="24"/>
          <w:szCs w:val="24"/>
        </w:rPr>
        <w:t>(11), 1487-1490.</w:t>
      </w:r>
    </w:p>
    <w:p w14:paraId="22909DEE"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Filimonau</w:t>
      </w:r>
      <w:proofErr w:type="spellEnd"/>
      <w:r w:rsidRPr="0053528F">
        <w:rPr>
          <w:rFonts w:ascii="Arial" w:hAnsi="Arial" w:cs="Arial"/>
          <w:sz w:val="24"/>
          <w:szCs w:val="24"/>
        </w:rPr>
        <w:t xml:space="preserve">, V. and Mika, M., 2019. Return labor migration: an exploratory study of Polish migrant workers from the UK hospitality industry. </w:t>
      </w:r>
      <w:r w:rsidRPr="0053528F">
        <w:rPr>
          <w:rFonts w:ascii="Arial" w:hAnsi="Arial" w:cs="Arial"/>
          <w:i/>
          <w:iCs/>
          <w:sz w:val="24"/>
          <w:szCs w:val="24"/>
        </w:rPr>
        <w:t>Current Issues in Tourism</w:t>
      </w:r>
      <w:r w:rsidRPr="0053528F">
        <w:rPr>
          <w:rFonts w:ascii="Arial" w:hAnsi="Arial" w:cs="Arial"/>
          <w:sz w:val="24"/>
          <w:szCs w:val="24"/>
        </w:rPr>
        <w:t>, </w:t>
      </w:r>
      <w:r w:rsidRPr="0053528F">
        <w:rPr>
          <w:rFonts w:ascii="Arial" w:hAnsi="Arial" w:cs="Arial"/>
          <w:i/>
          <w:iCs/>
          <w:sz w:val="24"/>
          <w:szCs w:val="24"/>
        </w:rPr>
        <w:t>22</w:t>
      </w:r>
      <w:r w:rsidRPr="0053528F">
        <w:rPr>
          <w:rFonts w:ascii="Arial" w:hAnsi="Arial" w:cs="Arial"/>
          <w:sz w:val="24"/>
          <w:szCs w:val="24"/>
        </w:rPr>
        <w:t>(3), pp.357-378.</w:t>
      </w:r>
    </w:p>
    <w:p w14:paraId="2107703B"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 xml:space="preserve">Frye, W.D., </w:t>
      </w:r>
      <w:proofErr w:type="spellStart"/>
      <w:r w:rsidRPr="0053528F">
        <w:rPr>
          <w:rFonts w:ascii="Arial" w:hAnsi="Arial" w:cs="Arial"/>
          <w:sz w:val="24"/>
          <w:szCs w:val="24"/>
        </w:rPr>
        <w:t>Kang</w:t>
      </w:r>
      <w:proofErr w:type="spellEnd"/>
      <w:r w:rsidRPr="0053528F">
        <w:rPr>
          <w:rFonts w:ascii="Arial" w:hAnsi="Arial" w:cs="Arial"/>
          <w:sz w:val="24"/>
          <w:szCs w:val="24"/>
        </w:rPr>
        <w:t xml:space="preserve">, S., Huh, C. and Lee, M.J.M., 2020. What factors influence Generation Y’s employee retention in the hospitality </w:t>
      </w:r>
      <w:r w:rsidR="00D36259" w:rsidRPr="0053528F">
        <w:rPr>
          <w:rFonts w:ascii="Arial" w:hAnsi="Arial" w:cs="Arial"/>
          <w:sz w:val="24"/>
          <w:szCs w:val="24"/>
        </w:rPr>
        <w:t>industry?</w:t>
      </w:r>
      <w:r w:rsidRPr="0053528F">
        <w:rPr>
          <w:rFonts w:ascii="Arial" w:hAnsi="Arial" w:cs="Arial"/>
          <w:sz w:val="24"/>
          <w:szCs w:val="24"/>
        </w:rPr>
        <w:t xml:space="preserve"> An internal marketing approach. </w:t>
      </w:r>
      <w:r w:rsidRPr="0053528F">
        <w:rPr>
          <w:rFonts w:ascii="Arial" w:hAnsi="Arial" w:cs="Arial"/>
          <w:i/>
          <w:iCs/>
          <w:sz w:val="24"/>
          <w:szCs w:val="24"/>
        </w:rPr>
        <w:t>International Journal of Hospitality Management</w:t>
      </w:r>
      <w:r w:rsidRPr="0053528F">
        <w:rPr>
          <w:rFonts w:ascii="Arial" w:hAnsi="Arial" w:cs="Arial"/>
          <w:sz w:val="24"/>
          <w:szCs w:val="24"/>
        </w:rPr>
        <w:t>, </w:t>
      </w:r>
      <w:r w:rsidRPr="0053528F">
        <w:rPr>
          <w:rFonts w:ascii="Arial" w:hAnsi="Arial" w:cs="Arial"/>
          <w:i/>
          <w:iCs/>
          <w:sz w:val="24"/>
          <w:szCs w:val="24"/>
        </w:rPr>
        <w:t>85</w:t>
      </w:r>
      <w:r w:rsidRPr="0053528F">
        <w:rPr>
          <w:rFonts w:ascii="Arial" w:hAnsi="Arial" w:cs="Arial"/>
          <w:sz w:val="24"/>
          <w:szCs w:val="24"/>
        </w:rPr>
        <w:t>, p.102352.</w:t>
      </w:r>
    </w:p>
    <w:p w14:paraId="356946D3"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Ghani</w:t>
      </w:r>
      <w:proofErr w:type="spellEnd"/>
      <w:r w:rsidRPr="0053528F">
        <w:rPr>
          <w:rFonts w:ascii="Arial" w:hAnsi="Arial" w:cs="Arial"/>
          <w:sz w:val="24"/>
          <w:szCs w:val="24"/>
        </w:rPr>
        <w:t xml:space="preserve">, B., </w:t>
      </w:r>
      <w:proofErr w:type="spellStart"/>
      <w:r w:rsidRPr="0053528F">
        <w:rPr>
          <w:rFonts w:ascii="Arial" w:hAnsi="Arial" w:cs="Arial"/>
          <w:sz w:val="24"/>
          <w:szCs w:val="24"/>
        </w:rPr>
        <w:t>Zada</w:t>
      </w:r>
      <w:proofErr w:type="spellEnd"/>
      <w:r w:rsidRPr="0053528F">
        <w:rPr>
          <w:rFonts w:ascii="Arial" w:hAnsi="Arial" w:cs="Arial"/>
          <w:sz w:val="24"/>
          <w:szCs w:val="24"/>
        </w:rPr>
        <w:t xml:space="preserve">, M., </w:t>
      </w:r>
      <w:proofErr w:type="spellStart"/>
      <w:r w:rsidRPr="0053528F">
        <w:rPr>
          <w:rFonts w:ascii="Arial" w:hAnsi="Arial" w:cs="Arial"/>
          <w:sz w:val="24"/>
          <w:szCs w:val="24"/>
        </w:rPr>
        <w:t>Memon</w:t>
      </w:r>
      <w:proofErr w:type="spellEnd"/>
      <w:r w:rsidRPr="0053528F">
        <w:rPr>
          <w:rFonts w:ascii="Arial" w:hAnsi="Arial" w:cs="Arial"/>
          <w:sz w:val="24"/>
          <w:szCs w:val="24"/>
        </w:rPr>
        <w:t xml:space="preserve">, K.R., </w:t>
      </w:r>
      <w:proofErr w:type="spellStart"/>
      <w:r w:rsidRPr="0053528F">
        <w:rPr>
          <w:rFonts w:ascii="Arial" w:hAnsi="Arial" w:cs="Arial"/>
          <w:sz w:val="24"/>
          <w:szCs w:val="24"/>
        </w:rPr>
        <w:t>Ullah</w:t>
      </w:r>
      <w:proofErr w:type="spellEnd"/>
      <w:r w:rsidRPr="0053528F">
        <w:rPr>
          <w:rFonts w:ascii="Arial" w:hAnsi="Arial" w:cs="Arial"/>
          <w:sz w:val="24"/>
          <w:szCs w:val="24"/>
        </w:rPr>
        <w:t xml:space="preserve">, R., </w:t>
      </w:r>
      <w:proofErr w:type="spellStart"/>
      <w:r w:rsidRPr="0053528F">
        <w:rPr>
          <w:rFonts w:ascii="Arial" w:hAnsi="Arial" w:cs="Arial"/>
          <w:sz w:val="24"/>
          <w:szCs w:val="24"/>
        </w:rPr>
        <w:t>Khattak</w:t>
      </w:r>
      <w:proofErr w:type="spellEnd"/>
      <w:r w:rsidRPr="0053528F">
        <w:rPr>
          <w:rFonts w:ascii="Arial" w:hAnsi="Arial" w:cs="Arial"/>
          <w:sz w:val="24"/>
          <w:szCs w:val="24"/>
        </w:rPr>
        <w:t xml:space="preserve">, A., Han, H., </w:t>
      </w:r>
      <w:proofErr w:type="spellStart"/>
      <w:r w:rsidRPr="0053528F">
        <w:rPr>
          <w:rFonts w:ascii="Arial" w:hAnsi="Arial" w:cs="Arial"/>
          <w:sz w:val="24"/>
          <w:szCs w:val="24"/>
        </w:rPr>
        <w:t>Ariza-Montes</w:t>
      </w:r>
      <w:proofErr w:type="spellEnd"/>
      <w:r w:rsidRPr="0053528F">
        <w:rPr>
          <w:rFonts w:ascii="Arial" w:hAnsi="Arial" w:cs="Arial"/>
          <w:sz w:val="24"/>
          <w:szCs w:val="24"/>
        </w:rPr>
        <w:t xml:space="preserve">, A. and </w:t>
      </w:r>
      <w:proofErr w:type="spellStart"/>
      <w:r w:rsidRPr="0053528F">
        <w:rPr>
          <w:rFonts w:ascii="Arial" w:hAnsi="Arial" w:cs="Arial"/>
          <w:sz w:val="24"/>
          <w:szCs w:val="24"/>
        </w:rPr>
        <w:t>Araya-Castillo</w:t>
      </w:r>
      <w:proofErr w:type="spellEnd"/>
      <w:r w:rsidRPr="0053528F">
        <w:rPr>
          <w:rFonts w:ascii="Arial" w:hAnsi="Arial" w:cs="Arial"/>
          <w:sz w:val="24"/>
          <w:szCs w:val="24"/>
        </w:rPr>
        <w:t xml:space="preserve">, L. (2022). Challenges and Strategies for Employee Retention in the Hospitality Industry: A Review. </w:t>
      </w:r>
      <w:r w:rsidRPr="0053528F">
        <w:rPr>
          <w:rFonts w:ascii="Arial" w:hAnsi="Arial" w:cs="Arial"/>
          <w:i/>
          <w:iCs/>
          <w:sz w:val="24"/>
          <w:szCs w:val="24"/>
        </w:rPr>
        <w:t>Sustainability</w:t>
      </w:r>
      <w:r w:rsidRPr="0053528F">
        <w:rPr>
          <w:rFonts w:ascii="Arial" w:hAnsi="Arial" w:cs="Arial"/>
          <w:sz w:val="24"/>
          <w:szCs w:val="24"/>
        </w:rPr>
        <w:t xml:space="preserve">, [online] 14(5), p.2885. </w:t>
      </w:r>
      <w:proofErr w:type="spellStart"/>
      <w:r w:rsidRPr="0053528F">
        <w:rPr>
          <w:rFonts w:ascii="Arial" w:hAnsi="Arial" w:cs="Arial"/>
          <w:sz w:val="24"/>
          <w:szCs w:val="24"/>
        </w:rPr>
        <w:t>doi:https</w:t>
      </w:r>
      <w:proofErr w:type="spellEnd"/>
      <w:r w:rsidRPr="0053528F">
        <w:rPr>
          <w:rFonts w:ascii="Arial" w:hAnsi="Arial" w:cs="Arial"/>
          <w:sz w:val="24"/>
          <w:szCs w:val="24"/>
        </w:rPr>
        <w:t>://doi.org/10.3390/su14052885.</w:t>
      </w:r>
    </w:p>
    <w:p w14:paraId="22CED9C1"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Kruger, P.L., 2020. </w:t>
      </w:r>
      <w:r w:rsidRPr="0053528F">
        <w:rPr>
          <w:rFonts w:ascii="Arial" w:hAnsi="Arial" w:cs="Arial"/>
          <w:i/>
          <w:iCs/>
          <w:sz w:val="24"/>
          <w:szCs w:val="24"/>
        </w:rPr>
        <w:t>Talent retention framework for the hospitality industry</w:t>
      </w:r>
      <w:r w:rsidRPr="0053528F">
        <w:rPr>
          <w:rFonts w:ascii="Arial" w:hAnsi="Arial" w:cs="Arial"/>
          <w:sz w:val="24"/>
          <w:szCs w:val="24"/>
        </w:rPr>
        <w:t> (Doctoral dissertation).</w:t>
      </w:r>
    </w:p>
    <w:p w14:paraId="7484976E"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Ma, R., 2021. Human resource management in multinational companies——from the perspective of Hilton Hotels. In </w:t>
      </w:r>
      <w:r w:rsidRPr="0053528F">
        <w:rPr>
          <w:rFonts w:ascii="Arial" w:hAnsi="Arial" w:cs="Arial"/>
          <w:i/>
          <w:iCs/>
          <w:sz w:val="24"/>
          <w:szCs w:val="24"/>
        </w:rPr>
        <w:t>E3S Web of Conferences</w:t>
      </w:r>
      <w:r w:rsidRPr="0053528F">
        <w:rPr>
          <w:rFonts w:ascii="Arial" w:hAnsi="Arial" w:cs="Arial"/>
          <w:sz w:val="24"/>
          <w:szCs w:val="24"/>
        </w:rPr>
        <w:t> (Vol. 235, p. 02058). EDP Sciences.</w:t>
      </w:r>
    </w:p>
    <w:p w14:paraId="1DB23A65"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Momin</w:t>
      </w:r>
      <w:proofErr w:type="spellEnd"/>
      <w:r w:rsidRPr="0053528F">
        <w:rPr>
          <w:rFonts w:ascii="Arial" w:hAnsi="Arial" w:cs="Arial"/>
          <w:sz w:val="24"/>
          <w:szCs w:val="24"/>
        </w:rPr>
        <w:t xml:space="preserve">, A. (2023). </w:t>
      </w:r>
      <w:r w:rsidRPr="0053528F">
        <w:rPr>
          <w:rFonts w:ascii="Arial" w:hAnsi="Arial" w:cs="Arial"/>
          <w:i/>
          <w:iCs/>
          <w:sz w:val="24"/>
          <w:szCs w:val="24"/>
        </w:rPr>
        <w:t>Hilton PESTLE Analysis: Tourism is not the Only Factor Affecting Hotels</w:t>
      </w:r>
      <w:r w:rsidRPr="0053528F">
        <w:rPr>
          <w:rFonts w:ascii="Arial" w:hAnsi="Arial" w:cs="Arial"/>
          <w:sz w:val="24"/>
          <w:szCs w:val="24"/>
        </w:rPr>
        <w:t xml:space="preserve">. [online] pestleanalysis.com. Available at: </w:t>
      </w:r>
      <w:hyperlink r:id="rId8" w:history="1">
        <w:r w:rsidRPr="0053528F">
          <w:rPr>
            <w:rStyle w:val="Hyperlink"/>
            <w:rFonts w:ascii="Arial" w:hAnsi="Arial" w:cs="Arial"/>
            <w:sz w:val="24"/>
            <w:szCs w:val="24"/>
          </w:rPr>
          <w:t>https://pestleanalysis.com/hilton-pestle-analysis/</w:t>
        </w:r>
      </w:hyperlink>
      <w:r w:rsidRPr="0053528F">
        <w:rPr>
          <w:rFonts w:ascii="Arial" w:hAnsi="Arial" w:cs="Arial"/>
          <w:sz w:val="24"/>
          <w:szCs w:val="24"/>
        </w:rPr>
        <w:t>.</w:t>
      </w:r>
    </w:p>
    <w:p w14:paraId="5976E9AA"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Ramlawati</w:t>
      </w:r>
      <w:proofErr w:type="spellEnd"/>
      <w:r w:rsidRPr="0053528F">
        <w:rPr>
          <w:rFonts w:ascii="Arial" w:hAnsi="Arial" w:cs="Arial"/>
          <w:sz w:val="24"/>
          <w:szCs w:val="24"/>
        </w:rPr>
        <w:t xml:space="preserve">, R., </w:t>
      </w:r>
      <w:proofErr w:type="spellStart"/>
      <w:r w:rsidRPr="0053528F">
        <w:rPr>
          <w:rFonts w:ascii="Arial" w:hAnsi="Arial" w:cs="Arial"/>
          <w:sz w:val="24"/>
          <w:szCs w:val="24"/>
        </w:rPr>
        <w:t>Trisnawati</w:t>
      </w:r>
      <w:proofErr w:type="spellEnd"/>
      <w:r w:rsidRPr="0053528F">
        <w:rPr>
          <w:rFonts w:ascii="Arial" w:hAnsi="Arial" w:cs="Arial"/>
          <w:sz w:val="24"/>
          <w:szCs w:val="24"/>
        </w:rPr>
        <w:t xml:space="preserve">, E., </w:t>
      </w:r>
      <w:proofErr w:type="spellStart"/>
      <w:r w:rsidRPr="0053528F">
        <w:rPr>
          <w:rFonts w:ascii="Arial" w:hAnsi="Arial" w:cs="Arial"/>
          <w:sz w:val="24"/>
          <w:szCs w:val="24"/>
        </w:rPr>
        <w:t>Yasin</w:t>
      </w:r>
      <w:proofErr w:type="spellEnd"/>
      <w:r w:rsidRPr="0053528F">
        <w:rPr>
          <w:rFonts w:ascii="Arial" w:hAnsi="Arial" w:cs="Arial"/>
          <w:sz w:val="24"/>
          <w:szCs w:val="24"/>
        </w:rPr>
        <w:t xml:space="preserve">, N. and </w:t>
      </w:r>
      <w:proofErr w:type="spellStart"/>
      <w:r w:rsidRPr="0053528F">
        <w:rPr>
          <w:rFonts w:ascii="Arial" w:hAnsi="Arial" w:cs="Arial"/>
          <w:sz w:val="24"/>
          <w:szCs w:val="24"/>
        </w:rPr>
        <w:t>Kurniawaty</w:t>
      </w:r>
      <w:proofErr w:type="spellEnd"/>
      <w:r w:rsidRPr="0053528F">
        <w:rPr>
          <w:rFonts w:ascii="Arial" w:hAnsi="Arial" w:cs="Arial"/>
          <w:sz w:val="24"/>
          <w:szCs w:val="24"/>
        </w:rPr>
        <w:t>, K., 2021. External alternatives, job stress on job satisfaction and employee turnover intention. </w:t>
      </w:r>
      <w:r w:rsidRPr="0053528F">
        <w:rPr>
          <w:rFonts w:ascii="Arial" w:hAnsi="Arial" w:cs="Arial"/>
          <w:i/>
          <w:iCs/>
          <w:sz w:val="24"/>
          <w:szCs w:val="24"/>
        </w:rPr>
        <w:t>Management Science Letters</w:t>
      </w:r>
      <w:r w:rsidRPr="0053528F">
        <w:rPr>
          <w:rFonts w:ascii="Arial" w:hAnsi="Arial" w:cs="Arial"/>
          <w:sz w:val="24"/>
          <w:szCs w:val="24"/>
        </w:rPr>
        <w:t>, </w:t>
      </w:r>
      <w:r w:rsidRPr="0053528F">
        <w:rPr>
          <w:rFonts w:ascii="Arial" w:hAnsi="Arial" w:cs="Arial"/>
          <w:i/>
          <w:iCs/>
          <w:sz w:val="24"/>
          <w:szCs w:val="24"/>
        </w:rPr>
        <w:t>11</w:t>
      </w:r>
      <w:r w:rsidRPr="0053528F">
        <w:rPr>
          <w:rFonts w:ascii="Arial" w:hAnsi="Arial" w:cs="Arial"/>
          <w:sz w:val="24"/>
          <w:szCs w:val="24"/>
        </w:rPr>
        <w:t>(2), pp.511-518.</w:t>
      </w:r>
    </w:p>
    <w:p w14:paraId="41EF08B5" w14:textId="77777777" w:rsidR="0053528F" w:rsidRPr="0053528F" w:rsidRDefault="00D92C0D" w:rsidP="0053528F">
      <w:pPr>
        <w:spacing w:line="360" w:lineRule="auto"/>
        <w:ind w:left="720" w:hanging="720"/>
        <w:rPr>
          <w:rFonts w:ascii="Arial" w:hAnsi="Arial" w:cs="Arial"/>
          <w:sz w:val="24"/>
          <w:szCs w:val="24"/>
        </w:rPr>
      </w:pPr>
      <w:proofErr w:type="spellStart"/>
      <w:r w:rsidRPr="0053528F">
        <w:rPr>
          <w:rFonts w:ascii="Arial" w:hAnsi="Arial" w:cs="Arial"/>
          <w:sz w:val="24"/>
          <w:szCs w:val="24"/>
        </w:rPr>
        <w:t>Sperance</w:t>
      </w:r>
      <w:proofErr w:type="spellEnd"/>
      <w:r w:rsidRPr="0053528F">
        <w:rPr>
          <w:rFonts w:ascii="Arial" w:hAnsi="Arial" w:cs="Arial"/>
          <w:sz w:val="24"/>
          <w:szCs w:val="24"/>
        </w:rPr>
        <w:t xml:space="preserve">, C. (2022). </w:t>
      </w:r>
      <w:r w:rsidRPr="0053528F">
        <w:rPr>
          <w:rFonts w:ascii="Arial" w:hAnsi="Arial" w:cs="Arial"/>
          <w:i/>
          <w:iCs/>
          <w:sz w:val="24"/>
          <w:szCs w:val="24"/>
        </w:rPr>
        <w:t xml:space="preserve">Hilton’s Latest Employee Benefit Leans </w:t>
      </w:r>
      <w:r w:rsidR="00D36259" w:rsidRPr="0053528F">
        <w:rPr>
          <w:rFonts w:ascii="Arial" w:hAnsi="Arial" w:cs="Arial"/>
          <w:i/>
          <w:iCs/>
          <w:sz w:val="24"/>
          <w:szCs w:val="24"/>
        </w:rPr>
        <w:t>into</w:t>
      </w:r>
      <w:r w:rsidRPr="0053528F">
        <w:rPr>
          <w:rFonts w:ascii="Arial" w:hAnsi="Arial" w:cs="Arial"/>
          <w:i/>
          <w:iCs/>
          <w:sz w:val="24"/>
          <w:szCs w:val="24"/>
        </w:rPr>
        <w:t xml:space="preserve"> the Labor Shortage Crisis</w:t>
      </w:r>
      <w:r w:rsidRPr="0053528F">
        <w:rPr>
          <w:rFonts w:ascii="Arial" w:hAnsi="Arial" w:cs="Arial"/>
          <w:sz w:val="24"/>
          <w:szCs w:val="24"/>
        </w:rPr>
        <w:t xml:space="preserve">. [online] </w:t>
      </w:r>
      <w:proofErr w:type="spellStart"/>
      <w:r w:rsidRPr="0053528F">
        <w:rPr>
          <w:rFonts w:ascii="Arial" w:hAnsi="Arial" w:cs="Arial"/>
          <w:sz w:val="24"/>
          <w:szCs w:val="24"/>
        </w:rPr>
        <w:t>Skift</w:t>
      </w:r>
      <w:proofErr w:type="spellEnd"/>
      <w:r w:rsidRPr="0053528F">
        <w:rPr>
          <w:rFonts w:ascii="Arial" w:hAnsi="Arial" w:cs="Arial"/>
          <w:sz w:val="24"/>
          <w:szCs w:val="24"/>
        </w:rPr>
        <w:t xml:space="preserve">. Available at: </w:t>
      </w:r>
      <w:hyperlink r:id="rId9" w:anchor=":~:text=Hilton%20touted%20its%20already%20significant" w:history="1">
        <w:r w:rsidRPr="0053528F">
          <w:rPr>
            <w:rStyle w:val="Hyperlink"/>
            <w:rFonts w:ascii="Arial" w:hAnsi="Arial" w:cs="Arial"/>
            <w:sz w:val="24"/>
            <w:szCs w:val="24"/>
          </w:rPr>
          <w:t>https://skift.com/2022/01/19/hiltons-latest-employee-benefit-leans-into-the-labor-shortage-crisis/#:~:text=Hilton%20touted%20its%20already%20significant</w:t>
        </w:r>
      </w:hyperlink>
      <w:r w:rsidRPr="0053528F">
        <w:rPr>
          <w:rFonts w:ascii="Arial" w:hAnsi="Arial" w:cs="Arial"/>
          <w:sz w:val="24"/>
          <w:szCs w:val="24"/>
        </w:rPr>
        <w:t>.</w:t>
      </w:r>
    </w:p>
    <w:p w14:paraId="0A2DDB74" w14:textId="77777777" w:rsidR="0053528F" w:rsidRPr="0053528F" w:rsidRDefault="00D92C0D" w:rsidP="0053528F">
      <w:pPr>
        <w:spacing w:line="360" w:lineRule="auto"/>
        <w:ind w:left="720" w:hanging="720"/>
        <w:rPr>
          <w:rFonts w:ascii="Arial" w:hAnsi="Arial" w:cs="Arial"/>
          <w:sz w:val="24"/>
          <w:szCs w:val="24"/>
        </w:rPr>
      </w:pPr>
      <w:r w:rsidRPr="0053528F">
        <w:rPr>
          <w:rFonts w:ascii="Arial" w:hAnsi="Arial" w:cs="Arial"/>
          <w:sz w:val="24"/>
          <w:szCs w:val="24"/>
        </w:rPr>
        <w:t>Sumpter, D.M. and Gibson, C.B., 2023. Riding the wave to recovery: Relational energy as an HR managerial resource for employees during crisis recovery. </w:t>
      </w:r>
      <w:r w:rsidRPr="0053528F">
        <w:rPr>
          <w:rFonts w:ascii="Arial" w:hAnsi="Arial" w:cs="Arial"/>
          <w:i/>
          <w:iCs/>
          <w:sz w:val="24"/>
          <w:szCs w:val="24"/>
        </w:rPr>
        <w:t>Human Resource Management</w:t>
      </w:r>
      <w:r w:rsidRPr="0053528F">
        <w:rPr>
          <w:rFonts w:ascii="Arial" w:hAnsi="Arial" w:cs="Arial"/>
          <w:sz w:val="24"/>
          <w:szCs w:val="24"/>
        </w:rPr>
        <w:t>, </w:t>
      </w:r>
      <w:r w:rsidRPr="0053528F">
        <w:rPr>
          <w:rFonts w:ascii="Arial" w:hAnsi="Arial" w:cs="Arial"/>
          <w:i/>
          <w:iCs/>
          <w:sz w:val="24"/>
          <w:szCs w:val="24"/>
        </w:rPr>
        <w:t>62</w:t>
      </w:r>
      <w:r w:rsidRPr="0053528F">
        <w:rPr>
          <w:rFonts w:ascii="Arial" w:hAnsi="Arial" w:cs="Arial"/>
          <w:sz w:val="24"/>
          <w:szCs w:val="24"/>
        </w:rPr>
        <w:t>(4), pp.581-613.</w:t>
      </w:r>
    </w:p>
    <w:p w14:paraId="1C48A07F" w14:textId="77777777" w:rsidR="0053528F" w:rsidRPr="0053528F" w:rsidRDefault="0053528F" w:rsidP="0053528F">
      <w:pPr>
        <w:spacing w:line="360" w:lineRule="auto"/>
        <w:rPr>
          <w:rFonts w:ascii="Arial" w:hAnsi="Arial" w:cs="Arial"/>
          <w:b/>
          <w:sz w:val="24"/>
          <w:szCs w:val="24"/>
        </w:rPr>
      </w:pPr>
    </w:p>
    <w:p w14:paraId="2941FA2F" w14:textId="77777777" w:rsidR="0053528F" w:rsidRPr="0053528F" w:rsidRDefault="0053528F" w:rsidP="0053528F">
      <w:pPr>
        <w:spacing w:line="360" w:lineRule="auto"/>
        <w:rPr>
          <w:rFonts w:ascii="Arial" w:hAnsi="Arial" w:cs="Arial"/>
          <w:b/>
          <w:sz w:val="24"/>
          <w:szCs w:val="24"/>
        </w:rPr>
      </w:pPr>
    </w:p>
    <w:p w14:paraId="6327B2F1" w14:textId="77777777" w:rsidR="002E3878" w:rsidRPr="009406F5" w:rsidRDefault="002E3878" w:rsidP="009406F5">
      <w:pPr>
        <w:spacing w:line="360" w:lineRule="auto"/>
        <w:jc w:val="both"/>
        <w:rPr>
          <w:rFonts w:ascii="Arial" w:hAnsi="Arial" w:cs="Arial"/>
          <w:sz w:val="24"/>
          <w:szCs w:val="24"/>
        </w:rPr>
      </w:pPr>
    </w:p>
    <w:sectPr w:rsidR="002E3878" w:rsidRPr="009406F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70CF9" w14:textId="77777777" w:rsidR="00EB23DD" w:rsidRDefault="00EB23DD">
      <w:pPr>
        <w:spacing w:after="0" w:line="240" w:lineRule="auto"/>
      </w:pPr>
      <w:r>
        <w:separator/>
      </w:r>
    </w:p>
  </w:endnote>
  <w:endnote w:type="continuationSeparator" w:id="0">
    <w:p w14:paraId="06ECEAB7" w14:textId="77777777" w:rsidR="00EB23DD" w:rsidRDefault="00EB2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81AB2" w14:textId="77777777" w:rsidR="00EB23DD" w:rsidRDefault="00EB23DD">
      <w:pPr>
        <w:spacing w:after="0" w:line="240" w:lineRule="auto"/>
      </w:pPr>
      <w:r>
        <w:separator/>
      </w:r>
    </w:p>
  </w:footnote>
  <w:footnote w:type="continuationSeparator" w:id="0">
    <w:p w14:paraId="092A46B4" w14:textId="77777777" w:rsidR="00EB23DD" w:rsidRDefault="00EB2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722024"/>
      <w:docPartObj>
        <w:docPartGallery w:val="Page Numbers (Top of Page)"/>
        <w:docPartUnique/>
      </w:docPartObj>
    </w:sdtPr>
    <w:sdtEndPr>
      <w:rPr>
        <w:rFonts w:ascii="Times New Roman" w:hAnsi="Times New Roman" w:cs="Times New Roman"/>
        <w:noProof/>
        <w:sz w:val="24"/>
        <w:szCs w:val="24"/>
      </w:rPr>
    </w:sdtEndPr>
    <w:sdtContent>
      <w:p w14:paraId="69768FF0" w14:textId="77777777" w:rsidR="000A2C8A" w:rsidRPr="000A2C8A" w:rsidRDefault="00D92C0D">
        <w:pPr>
          <w:pStyle w:val="Header"/>
          <w:jc w:val="right"/>
          <w:rPr>
            <w:rFonts w:ascii="Times New Roman" w:hAnsi="Times New Roman" w:cs="Times New Roman"/>
            <w:sz w:val="24"/>
            <w:szCs w:val="24"/>
          </w:rPr>
        </w:pPr>
        <w:r w:rsidRPr="000A2C8A">
          <w:rPr>
            <w:rFonts w:ascii="Times New Roman" w:hAnsi="Times New Roman" w:cs="Times New Roman"/>
            <w:sz w:val="24"/>
            <w:szCs w:val="24"/>
          </w:rPr>
          <w:fldChar w:fldCharType="begin"/>
        </w:r>
        <w:r w:rsidRPr="000A2C8A">
          <w:rPr>
            <w:rFonts w:ascii="Times New Roman" w:hAnsi="Times New Roman" w:cs="Times New Roman"/>
            <w:sz w:val="24"/>
            <w:szCs w:val="24"/>
          </w:rPr>
          <w:instrText xml:space="preserve"> PAGE   \* MERGEFORMAT </w:instrText>
        </w:r>
        <w:r w:rsidRPr="000A2C8A">
          <w:rPr>
            <w:rFonts w:ascii="Times New Roman" w:hAnsi="Times New Roman" w:cs="Times New Roman"/>
            <w:sz w:val="24"/>
            <w:szCs w:val="24"/>
          </w:rPr>
          <w:fldChar w:fldCharType="separate"/>
        </w:r>
        <w:r w:rsidR="00F620DE">
          <w:rPr>
            <w:rFonts w:ascii="Times New Roman" w:hAnsi="Times New Roman" w:cs="Times New Roman"/>
            <w:noProof/>
            <w:sz w:val="24"/>
            <w:szCs w:val="24"/>
          </w:rPr>
          <w:t>10</w:t>
        </w:r>
        <w:r w:rsidRPr="000A2C8A">
          <w:rPr>
            <w:rFonts w:ascii="Times New Roman" w:hAnsi="Times New Roman" w:cs="Times New Roman"/>
            <w:noProof/>
            <w:sz w:val="24"/>
            <w:szCs w:val="24"/>
          </w:rPr>
          <w:fldChar w:fldCharType="end"/>
        </w:r>
      </w:p>
    </w:sdtContent>
  </w:sdt>
  <w:p w14:paraId="047CD8DC" w14:textId="77777777" w:rsidR="000A2C8A" w:rsidRDefault="000A2C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C8A"/>
    <w:rsid w:val="00093999"/>
    <w:rsid w:val="000A2C8A"/>
    <w:rsid w:val="000D227A"/>
    <w:rsid w:val="00115EF6"/>
    <w:rsid w:val="001C61E0"/>
    <w:rsid w:val="001F66DE"/>
    <w:rsid w:val="00207CF4"/>
    <w:rsid w:val="002922C2"/>
    <w:rsid w:val="002E3878"/>
    <w:rsid w:val="002F4AEB"/>
    <w:rsid w:val="003B3605"/>
    <w:rsid w:val="003B380F"/>
    <w:rsid w:val="004A0C0C"/>
    <w:rsid w:val="005033C2"/>
    <w:rsid w:val="00517E48"/>
    <w:rsid w:val="0053528F"/>
    <w:rsid w:val="005C40F7"/>
    <w:rsid w:val="005D7A78"/>
    <w:rsid w:val="005E53EA"/>
    <w:rsid w:val="00675551"/>
    <w:rsid w:val="006C0938"/>
    <w:rsid w:val="006F2F53"/>
    <w:rsid w:val="007113AE"/>
    <w:rsid w:val="007F076D"/>
    <w:rsid w:val="007F7D18"/>
    <w:rsid w:val="00811E52"/>
    <w:rsid w:val="00873089"/>
    <w:rsid w:val="00874672"/>
    <w:rsid w:val="008A42A1"/>
    <w:rsid w:val="008D4148"/>
    <w:rsid w:val="008D4284"/>
    <w:rsid w:val="008E3136"/>
    <w:rsid w:val="009406F5"/>
    <w:rsid w:val="00944B6E"/>
    <w:rsid w:val="00945648"/>
    <w:rsid w:val="009A4D2A"/>
    <w:rsid w:val="00A46417"/>
    <w:rsid w:val="00AC0FF7"/>
    <w:rsid w:val="00B20FB9"/>
    <w:rsid w:val="00B379CC"/>
    <w:rsid w:val="00B5529C"/>
    <w:rsid w:val="00BF3AB9"/>
    <w:rsid w:val="00C175FA"/>
    <w:rsid w:val="00C51F42"/>
    <w:rsid w:val="00C72BE1"/>
    <w:rsid w:val="00CC44A0"/>
    <w:rsid w:val="00D36259"/>
    <w:rsid w:val="00D42262"/>
    <w:rsid w:val="00D45967"/>
    <w:rsid w:val="00D67258"/>
    <w:rsid w:val="00D92C0D"/>
    <w:rsid w:val="00DD32DC"/>
    <w:rsid w:val="00E721FC"/>
    <w:rsid w:val="00E96ED9"/>
    <w:rsid w:val="00EB23DD"/>
    <w:rsid w:val="00F33C74"/>
    <w:rsid w:val="00F53CED"/>
    <w:rsid w:val="00F620DE"/>
    <w:rsid w:val="00F85B21"/>
    <w:rsid w:val="00F94021"/>
    <w:rsid w:val="00FC09D1"/>
    <w:rsid w:val="00FE5FDB"/>
    <w:rsid w:val="00FF2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909FE"/>
  <w15:chartTrackingRefBased/>
  <w15:docId w15:val="{18F3D22A-E9FE-409B-A752-3616E0997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1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09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72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2C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C8A"/>
  </w:style>
  <w:style w:type="paragraph" w:styleId="Footer">
    <w:name w:val="footer"/>
    <w:basedOn w:val="Normal"/>
    <w:link w:val="FooterChar"/>
    <w:uiPriority w:val="99"/>
    <w:unhideWhenUsed/>
    <w:rsid w:val="000A2C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C8A"/>
  </w:style>
  <w:style w:type="character" w:styleId="Hyperlink">
    <w:name w:val="Hyperlink"/>
    <w:basedOn w:val="DefaultParagraphFont"/>
    <w:uiPriority w:val="99"/>
    <w:unhideWhenUsed/>
    <w:rsid w:val="0053528F"/>
    <w:rPr>
      <w:color w:val="0563C1" w:themeColor="hyperlink"/>
      <w:u w:val="single"/>
    </w:rPr>
  </w:style>
  <w:style w:type="paragraph" w:styleId="Title">
    <w:name w:val="Title"/>
    <w:basedOn w:val="Normal"/>
    <w:next w:val="Normal"/>
    <w:link w:val="TitleChar"/>
    <w:uiPriority w:val="10"/>
    <w:qFormat/>
    <w:rsid w:val="00E721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1F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721F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C093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F2F53"/>
    <w:pPr>
      <w:outlineLvl w:val="9"/>
    </w:pPr>
  </w:style>
  <w:style w:type="paragraph" w:styleId="TOC1">
    <w:name w:val="toc 1"/>
    <w:basedOn w:val="Normal"/>
    <w:next w:val="Normal"/>
    <w:autoRedefine/>
    <w:uiPriority w:val="39"/>
    <w:unhideWhenUsed/>
    <w:rsid w:val="006F2F53"/>
    <w:pPr>
      <w:spacing w:after="100"/>
    </w:pPr>
  </w:style>
  <w:style w:type="paragraph" w:styleId="TOC2">
    <w:name w:val="toc 2"/>
    <w:basedOn w:val="Normal"/>
    <w:next w:val="Normal"/>
    <w:autoRedefine/>
    <w:uiPriority w:val="39"/>
    <w:unhideWhenUsed/>
    <w:rsid w:val="006F2F53"/>
    <w:pPr>
      <w:spacing w:after="100"/>
      <w:ind w:left="220"/>
    </w:pPr>
  </w:style>
  <w:style w:type="character" w:customStyle="1" w:styleId="Heading3Char">
    <w:name w:val="Heading 3 Char"/>
    <w:basedOn w:val="DefaultParagraphFont"/>
    <w:link w:val="Heading3"/>
    <w:uiPriority w:val="9"/>
    <w:rsid w:val="00D6725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033C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hilton-pestle-analysis/" TargetMode="External"/><Relationship Id="rId3" Type="http://schemas.openxmlformats.org/officeDocument/2006/relationships/settings" Target="settings.xml"/><Relationship Id="rId7" Type="http://schemas.openxmlformats.org/officeDocument/2006/relationships/hyperlink" Target="https://www.intechopen.com/chapters/841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kift.com/2022/01/19/hiltons-latest-employee-benefit-leans-into-the-labor-shortage-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A4D52B96-AEAC-426B-8BC5-EAB4E26E1E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BUSH</dc:creator>
  <cp:lastModifiedBy>Roxana Maria Burlacu (2014302)</cp:lastModifiedBy>
  <cp:revision>34</cp:revision>
  <dcterms:created xsi:type="dcterms:W3CDTF">2023-11-07T21:29:00Z</dcterms:created>
  <dcterms:modified xsi:type="dcterms:W3CDTF">2023-11-08T19:07:00Z</dcterms:modified>
</cp:coreProperties>
</file>