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1595D" w14:textId="0FF5CCF1" w:rsidR="00945168" w:rsidRDefault="00DB28B3" w:rsidP="0076208D">
      <w:pPr>
        <w:spacing w:line="360" w:lineRule="auto"/>
        <w:rPr>
          <w:rFonts w:ascii="Arial" w:hAnsi="Arial" w:cs="Arial"/>
          <w:b/>
          <w:bCs/>
          <w:sz w:val="22"/>
          <w:szCs w:val="22"/>
        </w:rPr>
      </w:pPr>
      <w:r w:rsidRPr="00617AC3">
        <w:rPr>
          <w:rFonts w:ascii="Arial" w:hAnsi="Arial" w:cs="Arial"/>
          <w:b/>
          <w:bCs/>
          <w:sz w:val="22"/>
          <w:szCs w:val="22"/>
        </w:rPr>
        <w:t>Name</w:t>
      </w:r>
      <w:r w:rsidRPr="00617AC3">
        <w:rPr>
          <w:rFonts w:ascii="Arial" w:hAnsi="Arial" w:cs="Arial"/>
          <w:sz w:val="22"/>
          <w:szCs w:val="22"/>
        </w:rPr>
        <w:t>: Leticia Maison</w:t>
      </w:r>
      <w:r w:rsidRPr="00617AC3">
        <w:rPr>
          <w:rFonts w:ascii="Arial" w:hAnsi="Arial" w:cs="Arial"/>
          <w:b/>
          <w:bCs/>
          <w:sz w:val="22"/>
          <w:szCs w:val="22"/>
        </w:rPr>
        <w:t xml:space="preserve"> </w:t>
      </w:r>
    </w:p>
    <w:p w14:paraId="40E33C34" w14:textId="64883DAF" w:rsidR="00531E7B" w:rsidRPr="00617AC3" w:rsidRDefault="00531E7B" w:rsidP="0076208D">
      <w:pPr>
        <w:spacing w:line="360" w:lineRule="auto"/>
        <w:rPr>
          <w:rFonts w:ascii="Arial" w:hAnsi="Arial" w:cs="Arial"/>
          <w:b/>
          <w:bCs/>
          <w:sz w:val="22"/>
          <w:szCs w:val="22"/>
        </w:rPr>
      </w:pPr>
      <w:r>
        <w:rPr>
          <w:rFonts w:ascii="Arial" w:hAnsi="Arial" w:cs="Arial"/>
          <w:b/>
          <w:bCs/>
          <w:sz w:val="22"/>
          <w:szCs w:val="22"/>
        </w:rPr>
        <w:t xml:space="preserve">Student Number: </w:t>
      </w:r>
      <w:r w:rsidRPr="00531E7B">
        <w:rPr>
          <w:rFonts w:ascii="Arial" w:hAnsi="Arial" w:cs="Arial"/>
          <w:sz w:val="22"/>
          <w:szCs w:val="22"/>
        </w:rPr>
        <w:t>2328708</w:t>
      </w:r>
    </w:p>
    <w:p w14:paraId="6F0FAFB6" w14:textId="09A87A5D" w:rsidR="00DB28B3" w:rsidRPr="00617AC3" w:rsidRDefault="00617AC3" w:rsidP="0076208D">
      <w:pPr>
        <w:spacing w:line="360" w:lineRule="auto"/>
        <w:rPr>
          <w:rFonts w:ascii="Arial" w:hAnsi="Arial" w:cs="Arial"/>
          <w:b/>
          <w:bCs/>
          <w:sz w:val="22"/>
          <w:szCs w:val="22"/>
          <w:u w:val="single"/>
        </w:rPr>
      </w:pPr>
      <w:r w:rsidRPr="00617AC3">
        <w:rPr>
          <w:rFonts w:ascii="Arial" w:hAnsi="Arial" w:cs="Arial"/>
          <w:b/>
          <w:bCs/>
          <w:sz w:val="22"/>
          <w:szCs w:val="22"/>
        </w:rPr>
        <w:t>Programme:</w:t>
      </w:r>
      <w:r w:rsidRPr="00617AC3">
        <w:rPr>
          <w:rFonts w:ascii="Arial" w:hAnsi="Arial" w:cs="Arial"/>
          <w:sz w:val="22"/>
          <w:szCs w:val="22"/>
        </w:rPr>
        <w:t xml:space="preserve"> BSc</w:t>
      </w:r>
      <w:r w:rsidR="00DB28B3" w:rsidRPr="00617AC3">
        <w:rPr>
          <w:rFonts w:ascii="Arial" w:hAnsi="Arial" w:cs="Arial"/>
          <w:sz w:val="22"/>
          <w:szCs w:val="22"/>
        </w:rPr>
        <w:t xml:space="preserve"> Health and Social Care</w:t>
      </w:r>
      <w:r w:rsidR="00DB28B3" w:rsidRPr="00617AC3">
        <w:rPr>
          <w:rFonts w:ascii="Arial" w:hAnsi="Arial" w:cs="Arial"/>
          <w:b/>
          <w:bCs/>
          <w:sz w:val="22"/>
          <w:szCs w:val="22"/>
          <w:u w:val="single"/>
        </w:rPr>
        <w:t xml:space="preserve"> </w:t>
      </w:r>
    </w:p>
    <w:p w14:paraId="43A78E67" w14:textId="0DB3F526" w:rsidR="00DB28B3" w:rsidRPr="00617AC3" w:rsidRDefault="00631ABA" w:rsidP="0076208D">
      <w:pPr>
        <w:spacing w:line="360" w:lineRule="auto"/>
        <w:rPr>
          <w:rFonts w:ascii="Arial" w:hAnsi="Arial" w:cs="Arial"/>
          <w:b/>
          <w:bCs/>
          <w:sz w:val="22"/>
          <w:szCs w:val="22"/>
          <w:u w:val="single"/>
        </w:rPr>
      </w:pPr>
      <w:r w:rsidRPr="00617AC3">
        <w:rPr>
          <w:rFonts w:ascii="Arial" w:hAnsi="Arial" w:cs="Arial"/>
          <w:b/>
          <w:bCs/>
          <w:sz w:val="22"/>
          <w:szCs w:val="22"/>
        </w:rPr>
        <w:t>Module:</w:t>
      </w:r>
      <w:r w:rsidRPr="00617AC3">
        <w:rPr>
          <w:rFonts w:ascii="Arial" w:hAnsi="Arial" w:cs="Arial"/>
          <w:sz w:val="22"/>
          <w:szCs w:val="22"/>
        </w:rPr>
        <w:t xml:space="preserve"> Introduction</w:t>
      </w:r>
      <w:r w:rsidR="00DB28B3" w:rsidRPr="00617AC3">
        <w:rPr>
          <w:rFonts w:ascii="Arial" w:hAnsi="Arial" w:cs="Arial"/>
          <w:sz w:val="22"/>
          <w:szCs w:val="22"/>
        </w:rPr>
        <w:t xml:space="preserve"> to Phys</w:t>
      </w:r>
      <w:r w:rsidR="00E75C0A" w:rsidRPr="00617AC3">
        <w:rPr>
          <w:rFonts w:ascii="Arial" w:hAnsi="Arial" w:cs="Arial"/>
          <w:sz w:val="22"/>
          <w:szCs w:val="22"/>
        </w:rPr>
        <w:t>iology</w:t>
      </w:r>
      <w:r w:rsidR="00E75C0A" w:rsidRPr="00617AC3">
        <w:rPr>
          <w:rFonts w:ascii="Arial" w:hAnsi="Arial" w:cs="Arial"/>
          <w:b/>
          <w:bCs/>
          <w:sz w:val="22"/>
          <w:szCs w:val="22"/>
          <w:u w:val="single"/>
        </w:rPr>
        <w:t xml:space="preserve"> </w:t>
      </w:r>
    </w:p>
    <w:p w14:paraId="21B95C6A" w14:textId="4B41F54D" w:rsidR="00E75C0A" w:rsidRPr="00617AC3" w:rsidRDefault="00E75C0A" w:rsidP="0076208D">
      <w:pPr>
        <w:spacing w:line="360" w:lineRule="auto"/>
        <w:rPr>
          <w:rFonts w:ascii="Arial" w:hAnsi="Arial" w:cs="Arial"/>
          <w:b/>
          <w:bCs/>
          <w:sz w:val="22"/>
          <w:szCs w:val="22"/>
          <w:u w:val="single"/>
        </w:rPr>
      </w:pPr>
      <w:r w:rsidRPr="00617AC3">
        <w:rPr>
          <w:rFonts w:ascii="Arial" w:hAnsi="Arial" w:cs="Arial"/>
          <w:b/>
          <w:bCs/>
          <w:sz w:val="22"/>
          <w:szCs w:val="22"/>
        </w:rPr>
        <w:t xml:space="preserve">Module </w:t>
      </w:r>
      <w:r w:rsidR="00617AC3" w:rsidRPr="00617AC3">
        <w:rPr>
          <w:rFonts w:ascii="Arial" w:hAnsi="Arial" w:cs="Arial"/>
          <w:b/>
          <w:bCs/>
          <w:sz w:val="22"/>
          <w:szCs w:val="22"/>
        </w:rPr>
        <w:t>Code:</w:t>
      </w:r>
      <w:r w:rsidR="00617AC3" w:rsidRPr="00617AC3">
        <w:rPr>
          <w:rFonts w:ascii="Arial" w:hAnsi="Arial" w:cs="Arial"/>
          <w:sz w:val="22"/>
          <w:szCs w:val="22"/>
        </w:rPr>
        <w:t xml:space="preserve"> BMHP</w:t>
      </w:r>
      <w:r w:rsidRPr="00617AC3">
        <w:rPr>
          <w:rFonts w:ascii="Arial" w:hAnsi="Arial" w:cs="Arial"/>
          <w:sz w:val="22"/>
          <w:szCs w:val="22"/>
        </w:rPr>
        <w:t>5023</w:t>
      </w:r>
    </w:p>
    <w:p w14:paraId="43A67081" w14:textId="31306111" w:rsidR="00945168" w:rsidRPr="00617AC3" w:rsidRDefault="00E75C0A" w:rsidP="0076208D">
      <w:pPr>
        <w:spacing w:line="360" w:lineRule="auto"/>
        <w:rPr>
          <w:rFonts w:ascii="Arial" w:hAnsi="Arial" w:cs="Arial"/>
          <w:sz w:val="22"/>
          <w:szCs w:val="22"/>
        </w:rPr>
      </w:pPr>
      <w:r w:rsidRPr="00617AC3">
        <w:rPr>
          <w:rFonts w:ascii="Arial" w:hAnsi="Arial" w:cs="Arial"/>
          <w:b/>
          <w:bCs/>
          <w:sz w:val="22"/>
          <w:szCs w:val="22"/>
        </w:rPr>
        <w:t xml:space="preserve">Assignment </w:t>
      </w:r>
      <w:r w:rsidR="00617AC3" w:rsidRPr="00617AC3">
        <w:rPr>
          <w:rFonts w:ascii="Arial" w:hAnsi="Arial" w:cs="Arial"/>
          <w:b/>
          <w:bCs/>
          <w:sz w:val="22"/>
          <w:szCs w:val="22"/>
        </w:rPr>
        <w:t>Title:</w:t>
      </w:r>
      <w:r w:rsidR="00617AC3" w:rsidRPr="00617AC3">
        <w:rPr>
          <w:rFonts w:ascii="Arial" w:hAnsi="Arial" w:cs="Arial"/>
          <w:sz w:val="22"/>
          <w:szCs w:val="22"/>
        </w:rPr>
        <w:t xml:space="preserve"> Component</w:t>
      </w:r>
      <w:r w:rsidRPr="00617AC3">
        <w:rPr>
          <w:rFonts w:ascii="Arial" w:hAnsi="Arial" w:cs="Arial"/>
          <w:sz w:val="22"/>
          <w:szCs w:val="22"/>
        </w:rPr>
        <w:t xml:space="preserve"> 1: Written </w:t>
      </w:r>
      <w:r w:rsidR="00631ABA" w:rsidRPr="00617AC3">
        <w:rPr>
          <w:rFonts w:ascii="Arial" w:hAnsi="Arial" w:cs="Arial"/>
          <w:sz w:val="22"/>
          <w:szCs w:val="22"/>
        </w:rPr>
        <w:t>Assignment (</w:t>
      </w:r>
      <w:r w:rsidRPr="00617AC3">
        <w:rPr>
          <w:rFonts w:ascii="Arial" w:hAnsi="Arial" w:cs="Arial"/>
          <w:sz w:val="22"/>
          <w:szCs w:val="22"/>
        </w:rPr>
        <w:t xml:space="preserve">Case Study Report </w:t>
      </w:r>
    </w:p>
    <w:p w14:paraId="6D11CC3B" w14:textId="6B7A239E" w:rsidR="00E75C0A" w:rsidRPr="00617AC3" w:rsidRDefault="00E75C0A" w:rsidP="0076208D">
      <w:pPr>
        <w:spacing w:line="360" w:lineRule="auto"/>
        <w:rPr>
          <w:rFonts w:ascii="Arial" w:hAnsi="Arial" w:cs="Arial"/>
          <w:sz w:val="22"/>
          <w:szCs w:val="22"/>
        </w:rPr>
      </w:pPr>
      <w:r w:rsidRPr="00617AC3">
        <w:rPr>
          <w:rFonts w:ascii="Arial" w:hAnsi="Arial" w:cs="Arial"/>
          <w:b/>
          <w:bCs/>
          <w:sz w:val="22"/>
          <w:szCs w:val="22"/>
        </w:rPr>
        <w:t>Word Count or equivalent:</w:t>
      </w:r>
      <w:r w:rsidR="00617AC3">
        <w:rPr>
          <w:rFonts w:ascii="Arial" w:hAnsi="Arial" w:cs="Arial"/>
          <w:b/>
          <w:bCs/>
          <w:sz w:val="22"/>
          <w:szCs w:val="22"/>
        </w:rPr>
        <w:t xml:space="preserve"> </w:t>
      </w:r>
      <w:r w:rsidRPr="00617AC3">
        <w:rPr>
          <w:rFonts w:ascii="Arial" w:hAnsi="Arial" w:cs="Arial"/>
          <w:sz w:val="22"/>
          <w:szCs w:val="22"/>
        </w:rPr>
        <w:t>2,000</w:t>
      </w:r>
    </w:p>
    <w:p w14:paraId="1A44E787" w14:textId="7BFCDB74" w:rsidR="00C44511" w:rsidRPr="00617AC3" w:rsidRDefault="00A61781" w:rsidP="0076208D">
      <w:pPr>
        <w:spacing w:line="360" w:lineRule="auto"/>
        <w:rPr>
          <w:rFonts w:ascii="Arial" w:hAnsi="Arial" w:cs="Arial"/>
          <w:b/>
          <w:bCs/>
          <w:sz w:val="22"/>
          <w:szCs w:val="22"/>
          <w:u w:val="single"/>
        </w:rPr>
      </w:pPr>
      <w:r w:rsidRPr="00617AC3">
        <w:rPr>
          <w:rFonts w:ascii="Arial" w:hAnsi="Arial" w:cs="Arial"/>
          <w:b/>
          <w:bCs/>
          <w:sz w:val="22"/>
          <w:szCs w:val="22"/>
        </w:rPr>
        <w:t xml:space="preserve">In This Report I Will Be Doing </w:t>
      </w:r>
      <w:r w:rsidR="00C44511" w:rsidRPr="00617AC3">
        <w:rPr>
          <w:rFonts w:ascii="Arial" w:hAnsi="Arial" w:cs="Arial"/>
          <w:b/>
          <w:bCs/>
          <w:sz w:val="22"/>
          <w:szCs w:val="22"/>
        </w:rPr>
        <w:t xml:space="preserve">Case study 1 </w:t>
      </w:r>
    </w:p>
    <w:p w14:paraId="4A8BF6C1" w14:textId="77777777" w:rsidR="00945168" w:rsidRDefault="00945168" w:rsidP="0076208D">
      <w:pPr>
        <w:spacing w:line="360" w:lineRule="auto"/>
        <w:rPr>
          <w:b/>
          <w:bCs/>
          <w:sz w:val="28"/>
          <w:szCs w:val="28"/>
          <w:u w:val="single"/>
        </w:rPr>
      </w:pPr>
    </w:p>
    <w:p w14:paraId="117A6C32" w14:textId="77777777" w:rsidR="00945168" w:rsidRDefault="00945168" w:rsidP="0076208D">
      <w:pPr>
        <w:spacing w:line="360" w:lineRule="auto"/>
        <w:rPr>
          <w:b/>
          <w:bCs/>
          <w:sz w:val="28"/>
          <w:szCs w:val="28"/>
          <w:u w:val="single"/>
        </w:rPr>
      </w:pPr>
    </w:p>
    <w:p w14:paraId="2378D1C4" w14:textId="77777777" w:rsidR="00945168" w:rsidRDefault="00945168" w:rsidP="0076208D">
      <w:pPr>
        <w:spacing w:line="360" w:lineRule="auto"/>
        <w:rPr>
          <w:b/>
          <w:bCs/>
          <w:sz w:val="28"/>
          <w:szCs w:val="28"/>
          <w:u w:val="single"/>
        </w:rPr>
      </w:pPr>
    </w:p>
    <w:p w14:paraId="3378458E" w14:textId="77777777" w:rsidR="00945168" w:rsidRDefault="00945168" w:rsidP="0076208D">
      <w:pPr>
        <w:spacing w:line="360" w:lineRule="auto"/>
        <w:rPr>
          <w:b/>
          <w:bCs/>
          <w:sz w:val="28"/>
          <w:szCs w:val="28"/>
          <w:u w:val="single"/>
        </w:rPr>
      </w:pPr>
    </w:p>
    <w:p w14:paraId="3718CDA6" w14:textId="77777777" w:rsidR="00945168" w:rsidRDefault="00945168" w:rsidP="0076208D">
      <w:pPr>
        <w:spacing w:line="360" w:lineRule="auto"/>
        <w:rPr>
          <w:b/>
          <w:bCs/>
          <w:sz w:val="28"/>
          <w:szCs w:val="28"/>
          <w:u w:val="single"/>
        </w:rPr>
      </w:pPr>
    </w:p>
    <w:p w14:paraId="16182569" w14:textId="77777777" w:rsidR="00945168" w:rsidRDefault="00945168" w:rsidP="0076208D">
      <w:pPr>
        <w:spacing w:line="360" w:lineRule="auto"/>
        <w:rPr>
          <w:b/>
          <w:bCs/>
          <w:sz w:val="28"/>
          <w:szCs w:val="28"/>
          <w:u w:val="single"/>
        </w:rPr>
      </w:pPr>
    </w:p>
    <w:p w14:paraId="7495014B" w14:textId="77777777" w:rsidR="00945168" w:rsidRDefault="00945168" w:rsidP="0076208D">
      <w:pPr>
        <w:spacing w:line="360" w:lineRule="auto"/>
        <w:rPr>
          <w:b/>
          <w:bCs/>
          <w:sz w:val="28"/>
          <w:szCs w:val="28"/>
          <w:u w:val="single"/>
        </w:rPr>
      </w:pPr>
    </w:p>
    <w:p w14:paraId="531FDD45" w14:textId="77777777" w:rsidR="00945168" w:rsidRDefault="00945168" w:rsidP="0076208D">
      <w:pPr>
        <w:spacing w:line="360" w:lineRule="auto"/>
        <w:rPr>
          <w:b/>
          <w:bCs/>
          <w:sz w:val="28"/>
          <w:szCs w:val="28"/>
          <w:u w:val="single"/>
        </w:rPr>
      </w:pPr>
    </w:p>
    <w:p w14:paraId="1034731B" w14:textId="77777777" w:rsidR="00945168" w:rsidRDefault="00945168" w:rsidP="0076208D">
      <w:pPr>
        <w:spacing w:line="360" w:lineRule="auto"/>
        <w:rPr>
          <w:b/>
          <w:bCs/>
          <w:sz w:val="28"/>
          <w:szCs w:val="28"/>
          <w:u w:val="single"/>
        </w:rPr>
      </w:pPr>
    </w:p>
    <w:p w14:paraId="2A35205C" w14:textId="77777777" w:rsidR="00945168" w:rsidRDefault="00945168" w:rsidP="0076208D">
      <w:pPr>
        <w:spacing w:line="360" w:lineRule="auto"/>
        <w:rPr>
          <w:b/>
          <w:bCs/>
          <w:sz w:val="28"/>
          <w:szCs w:val="28"/>
          <w:u w:val="single"/>
        </w:rPr>
      </w:pPr>
    </w:p>
    <w:p w14:paraId="20F0B9AF" w14:textId="77777777" w:rsidR="00945168" w:rsidRDefault="00945168" w:rsidP="0076208D">
      <w:pPr>
        <w:spacing w:line="360" w:lineRule="auto"/>
        <w:rPr>
          <w:b/>
          <w:bCs/>
          <w:sz w:val="28"/>
          <w:szCs w:val="28"/>
          <w:u w:val="single"/>
        </w:rPr>
      </w:pPr>
    </w:p>
    <w:p w14:paraId="5C953748" w14:textId="77777777" w:rsidR="00945168" w:rsidRDefault="00945168" w:rsidP="0076208D">
      <w:pPr>
        <w:spacing w:line="360" w:lineRule="auto"/>
        <w:rPr>
          <w:b/>
          <w:bCs/>
          <w:sz w:val="28"/>
          <w:szCs w:val="28"/>
          <w:u w:val="single"/>
        </w:rPr>
      </w:pPr>
    </w:p>
    <w:p w14:paraId="59344901" w14:textId="77777777" w:rsidR="00945168" w:rsidRDefault="00945168" w:rsidP="0076208D">
      <w:pPr>
        <w:spacing w:line="360" w:lineRule="auto"/>
        <w:rPr>
          <w:b/>
          <w:bCs/>
          <w:sz w:val="28"/>
          <w:szCs w:val="28"/>
          <w:u w:val="single"/>
        </w:rPr>
      </w:pPr>
    </w:p>
    <w:p w14:paraId="7B1B66E4" w14:textId="77777777" w:rsidR="00945168" w:rsidRDefault="00945168" w:rsidP="0076208D">
      <w:pPr>
        <w:spacing w:line="360" w:lineRule="auto"/>
        <w:rPr>
          <w:b/>
          <w:bCs/>
          <w:sz w:val="28"/>
          <w:szCs w:val="28"/>
          <w:u w:val="single"/>
        </w:rPr>
      </w:pPr>
    </w:p>
    <w:p w14:paraId="77A3223D" w14:textId="77777777" w:rsidR="00945168" w:rsidRDefault="00945168" w:rsidP="0076208D">
      <w:pPr>
        <w:spacing w:line="360" w:lineRule="auto"/>
        <w:rPr>
          <w:b/>
          <w:bCs/>
          <w:sz w:val="28"/>
          <w:szCs w:val="28"/>
          <w:u w:val="single"/>
        </w:rPr>
      </w:pPr>
    </w:p>
    <w:p w14:paraId="79BE9B51" w14:textId="77777777" w:rsidR="00945168" w:rsidRDefault="00945168" w:rsidP="0076208D">
      <w:pPr>
        <w:spacing w:line="360" w:lineRule="auto"/>
        <w:rPr>
          <w:b/>
          <w:bCs/>
          <w:sz w:val="28"/>
          <w:szCs w:val="28"/>
          <w:u w:val="single"/>
        </w:rPr>
      </w:pPr>
    </w:p>
    <w:p w14:paraId="2366F29D" w14:textId="77777777" w:rsidR="00945168" w:rsidRDefault="00945168" w:rsidP="0076208D">
      <w:pPr>
        <w:spacing w:line="360" w:lineRule="auto"/>
        <w:rPr>
          <w:b/>
          <w:bCs/>
          <w:sz w:val="28"/>
          <w:szCs w:val="28"/>
          <w:u w:val="single"/>
        </w:rPr>
      </w:pPr>
    </w:p>
    <w:p w14:paraId="341593BC" w14:textId="77777777" w:rsidR="00945168" w:rsidRDefault="00945168" w:rsidP="0076208D">
      <w:pPr>
        <w:spacing w:line="360" w:lineRule="auto"/>
        <w:rPr>
          <w:b/>
          <w:bCs/>
          <w:sz w:val="28"/>
          <w:szCs w:val="28"/>
          <w:u w:val="single"/>
        </w:rPr>
      </w:pPr>
    </w:p>
    <w:p w14:paraId="06A7786A" w14:textId="77777777" w:rsidR="00945168" w:rsidRDefault="00945168" w:rsidP="0076208D">
      <w:pPr>
        <w:spacing w:line="360" w:lineRule="auto"/>
        <w:rPr>
          <w:b/>
          <w:bCs/>
          <w:sz w:val="28"/>
          <w:szCs w:val="28"/>
          <w:u w:val="single"/>
        </w:rPr>
      </w:pPr>
    </w:p>
    <w:p w14:paraId="194EDCA2" w14:textId="77777777" w:rsidR="00945168" w:rsidRPr="00617AC3" w:rsidRDefault="00945168" w:rsidP="0076208D">
      <w:pPr>
        <w:spacing w:line="360" w:lineRule="auto"/>
        <w:rPr>
          <w:rFonts w:ascii="Arial" w:hAnsi="Arial" w:cs="Arial"/>
          <w:b/>
          <w:bCs/>
          <w:sz w:val="28"/>
          <w:szCs w:val="28"/>
          <w:u w:val="single"/>
        </w:rPr>
      </w:pPr>
    </w:p>
    <w:p w14:paraId="60DBC70A" w14:textId="34A61D49" w:rsidR="002331CA" w:rsidRPr="00617AC3" w:rsidRDefault="002331CA" w:rsidP="0076208D">
      <w:pPr>
        <w:spacing w:line="360" w:lineRule="auto"/>
        <w:rPr>
          <w:rFonts w:ascii="Arial" w:hAnsi="Arial" w:cs="Arial"/>
          <w:b/>
          <w:bCs/>
          <w:sz w:val="28"/>
          <w:szCs w:val="28"/>
          <w:u w:val="single"/>
        </w:rPr>
      </w:pPr>
      <w:r w:rsidRPr="00617AC3">
        <w:rPr>
          <w:rFonts w:ascii="Arial" w:hAnsi="Arial" w:cs="Arial"/>
          <w:b/>
          <w:bCs/>
          <w:sz w:val="28"/>
          <w:szCs w:val="28"/>
          <w:u w:val="single"/>
        </w:rPr>
        <w:t>Understanding Type 2 Diabetes: A Holistic Approach to Patient Education and Lifestyle Change</w:t>
      </w:r>
    </w:p>
    <w:p w14:paraId="46973460" w14:textId="71BC537D" w:rsidR="00046F97" w:rsidRPr="00617AC3" w:rsidRDefault="00046F97" w:rsidP="0076208D">
      <w:pPr>
        <w:spacing w:line="360" w:lineRule="auto"/>
        <w:rPr>
          <w:rFonts w:ascii="Arial" w:hAnsi="Arial" w:cs="Arial"/>
          <w:b/>
          <w:bCs/>
          <w:sz w:val="22"/>
          <w:szCs w:val="22"/>
          <w:u w:val="single"/>
        </w:rPr>
      </w:pPr>
      <w:r w:rsidRPr="00617AC3">
        <w:rPr>
          <w:rFonts w:ascii="Arial" w:hAnsi="Arial" w:cs="Arial"/>
          <w:b/>
          <w:bCs/>
          <w:sz w:val="22"/>
          <w:szCs w:val="22"/>
          <w:u w:val="single"/>
        </w:rPr>
        <w:t>Introduction: The Case Study and Context</w:t>
      </w:r>
    </w:p>
    <w:p w14:paraId="1347FB75" w14:textId="7B071005"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As a practicing nurse at a nearby general practitioner's office, I've noticed an increase in the number of patients receiving Type 2 diabetes diagnoses. The case study emphasises that numerous of these people go to clinics on a regular basis but frequently have no understanding of their health or the lifestyle aspects that affect it. They may be unable to safely and successfully control their blood sugar levels or engage completely in their treatment plans because of the lack of knowledge. To help patients understand their diagnosis, the significance of blood sugar monitoring, and how lifestyle modifications could help health outcomes, I have assembled information based on scientific research.</w:t>
      </w:r>
    </w:p>
    <w:p w14:paraId="5BF3C9A7" w14:textId="5D5C0BE1"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The chronic illness known as type 2 diabetes damages the body's ability to control blood sugar, or glucose. It happens when the body becomes resistant to insulin or does not create enough of it. A hormone called insulin facilitates the transfer of glucose from the blood into the cells, where it is converted into energy. High blood sugar levels are caused by glucose buildup in the blood when there is insufficient insulin or when the body is unable to use it correctly. Over time, this disorder, known as hyperglycaemia, can lead to major health issues, such as harm to the kidneys, heart, eyes, and nerves (NICE, 2022; NHS, 2023a).</w:t>
      </w:r>
    </w:p>
    <w:p w14:paraId="4C430CAF" w14:textId="12074C5A"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 xml:space="preserve">The case study shows a frequent trend in primary care: people receive a diagnosis but aren't necessarily prepared to treat their illness. It is crucial to comprehend the risk factors for Type 2 diabetes to avoid and treat the condition. These include possessing a family history of diabetes, being over 45, being overweight or obese, and living a sedentary lifestyle. Additionally, members of specific ethnic groups—such as Black African, African-Caribbean, or South Asian communities—are more vulnerable. High blood pressure, high cholesterol, </w:t>
      </w:r>
      <w:r w:rsidRPr="00617AC3">
        <w:rPr>
          <w:rFonts w:ascii="Arial" w:hAnsi="Arial" w:cs="Arial"/>
          <w:sz w:val="22"/>
          <w:szCs w:val="22"/>
        </w:rPr>
        <w:lastRenderedPageBreak/>
        <w:t>smoking, and poor eating habits are other contributing factors (Diabetes UK, 2023a; Warner and Ford, 2021).</w:t>
      </w:r>
    </w:p>
    <w:p w14:paraId="44CC1756" w14:textId="564B8AAE"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The case study emphasises how important it is for patients to comprehend how their bodies control blood sugar. The body cannot operate normally when blood sugar levels are too high. Symptoms of high blood sugar include fatigue, increased thirst, impaired vision, and frequent urination. It can cause long-term harm to the organs, nerves, and blood vessels if treatment is not received. Conversely, hypoglycaemia, or low blood sugar, can also be harmful. Sweating, light-headedness, disorientation, and in extreme situations, unconsciousness, can all result from it. For this reason, it is crucial that diabetics maintain blood sugar levels within a healthy range (Diabetes UK, 2023b; NHS, 2023).</w:t>
      </w:r>
    </w:p>
    <w:p w14:paraId="7A8E5871" w14:textId="3DB90F21" w:rsidR="00046F97" w:rsidRPr="00617AC3" w:rsidRDefault="00046F97" w:rsidP="0076208D">
      <w:pPr>
        <w:spacing w:line="360" w:lineRule="auto"/>
        <w:rPr>
          <w:rFonts w:ascii="Arial" w:hAnsi="Arial" w:cs="Arial"/>
          <w:b/>
          <w:bCs/>
          <w:sz w:val="22"/>
          <w:szCs w:val="22"/>
          <w:u w:val="single"/>
        </w:rPr>
      </w:pPr>
      <w:r w:rsidRPr="00617AC3">
        <w:rPr>
          <w:rFonts w:ascii="Arial" w:hAnsi="Arial" w:cs="Arial"/>
          <w:b/>
          <w:bCs/>
          <w:sz w:val="22"/>
          <w:szCs w:val="22"/>
          <w:u w:val="single"/>
        </w:rPr>
        <w:t>What is Type 2 Diabetes?</w:t>
      </w:r>
    </w:p>
    <w:p w14:paraId="22421C2F" w14:textId="77777777" w:rsidR="00046F97" w:rsidRPr="00617AC3" w:rsidRDefault="00046F97" w:rsidP="0076208D">
      <w:pPr>
        <w:spacing w:line="360" w:lineRule="auto"/>
        <w:rPr>
          <w:rFonts w:ascii="Arial" w:hAnsi="Arial" w:cs="Arial"/>
          <w:sz w:val="22"/>
          <w:szCs w:val="22"/>
        </w:rPr>
      </w:pPr>
      <w:r w:rsidRPr="00617AC3">
        <w:rPr>
          <w:rFonts w:ascii="Arial" w:hAnsi="Arial" w:cs="Arial"/>
          <w:sz w:val="22"/>
          <w:szCs w:val="22"/>
        </w:rPr>
        <w:t>The production of insulin and the consumption of glucose are balanced to maintain blood sugar levels. Following a meal, glucose is produced by the breakdown of carbohydrates and enters the bloodstream. The pancreas responds by releasing insulin to aid in the absorption of glucose by cells. This mechanism is disturbed in individuals with Type 2 diabetes. Insulin is either not produced in sufficient amounts by the pancreas or is not properly absorbed by the body's cells. High blood sugar levels occur from the glucose staying in the bloodstream. If left untreated, this can lead to major issues over time (NHS, 2023b; Bickley and Szilagyi, 2020).</w:t>
      </w:r>
    </w:p>
    <w:p w14:paraId="149B3B64" w14:textId="77777777" w:rsidR="00046F97" w:rsidRPr="00617AC3" w:rsidRDefault="00046F97" w:rsidP="0076208D">
      <w:pPr>
        <w:spacing w:line="360" w:lineRule="auto"/>
        <w:rPr>
          <w:rFonts w:ascii="Arial" w:hAnsi="Arial" w:cs="Arial"/>
          <w:sz w:val="22"/>
          <w:szCs w:val="22"/>
        </w:rPr>
      </w:pPr>
    </w:p>
    <w:p w14:paraId="3FD68640" w14:textId="7F8635AF"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Glucose and oxygen are essential for producing energy in the body. This process is called cellular respiration. During this process, glucose and oxygen are used by the cells to produce a substance called adenosine triphosphate, or ATP, which provides energy for all bodily functions. The chemical reaction involves glucose combining with oxygen to produce carbon dioxide, water, and energy. If glucose cannot enter the cells due to insulin resistance, the body cannot produce enough energy, which can lead to tiredness and other symptoms commonly experienced by people with diabetes (Diabetes UK, 2023c; Rutter et al., 2020).</w:t>
      </w:r>
      <w:r w:rsidR="00046F97" w:rsidRPr="00617AC3">
        <w:rPr>
          <w:rFonts w:ascii="Arial" w:hAnsi="Arial" w:cs="Arial"/>
          <w:sz w:val="22"/>
          <w:szCs w:val="22"/>
        </w:rPr>
        <w:t xml:space="preserve"> </w:t>
      </w:r>
    </w:p>
    <w:p w14:paraId="093BEEAB" w14:textId="659EAC5B" w:rsidR="00046F97" w:rsidRPr="00617AC3" w:rsidRDefault="00046F97" w:rsidP="0076208D">
      <w:pPr>
        <w:spacing w:line="360" w:lineRule="auto"/>
        <w:rPr>
          <w:rFonts w:ascii="Arial" w:hAnsi="Arial" w:cs="Arial"/>
          <w:b/>
          <w:bCs/>
          <w:sz w:val="22"/>
          <w:szCs w:val="22"/>
          <w:u w:val="single"/>
        </w:rPr>
      </w:pPr>
      <w:r w:rsidRPr="00617AC3">
        <w:rPr>
          <w:rFonts w:ascii="Arial" w:hAnsi="Arial" w:cs="Arial"/>
          <w:b/>
          <w:bCs/>
          <w:sz w:val="22"/>
          <w:szCs w:val="22"/>
          <w:u w:val="single"/>
        </w:rPr>
        <w:t xml:space="preserve">Importance of Monitoring Type 2 Diabetes </w:t>
      </w:r>
    </w:p>
    <w:p w14:paraId="52E6A6DE" w14:textId="77777777"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 xml:space="preserve">One of the most important aspects of managing Type 2 diabetes is keeping track of and documenting blood sugar levels. Many patients might benefit from knowing why this is crucial, according to the case study. Monitoring enables people to observe how their bodies react to various activities, diets, and drugs. Patients can find trends and make well-informed decisions regarding their care by monitoring their blood sugar levels over time. For instance, they might observe that activity lowers blood sugar or that some foods cause it to rise </w:t>
      </w:r>
      <w:r w:rsidRPr="00617AC3">
        <w:rPr>
          <w:rFonts w:ascii="Arial" w:hAnsi="Arial" w:cs="Arial"/>
          <w:sz w:val="22"/>
          <w:szCs w:val="22"/>
        </w:rPr>
        <w:lastRenderedPageBreak/>
        <w:t>quickly. Healthcare providers can use this information to modify treatment regimens and avoid issues. Additionally, routine monitoring enables prompt action by identifying dangerously high or low blood sugar levels (NICE, 2022; NHS, 2023d).</w:t>
      </w:r>
    </w:p>
    <w:p w14:paraId="7DF4CFCA" w14:textId="77777777"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Blood sugar monitoring can be done in a variety of ways. While some people utilise continuous glucose monitors (CGMs), which provide real-time data, others use finger-prick testing using glucose meters. To provide a comprehensive picture of how lifestyle choices impact blood sugar, these tools can be used in conjunction with food diaries and exercise logs. Patients who routinely check their blood sugar, in my experience, feel more in control of their health and are more likely to follow their treatment regimens. This supports the goal of the case study, which is to assist patients in better interacting with their treatment.</w:t>
      </w:r>
    </w:p>
    <w:p w14:paraId="27B59F79" w14:textId="57DE2281" w:rsidR="00046F97" w:rsidRPr="00617AC3" w:rsidRDefault="00046F97" w:rsidP="0076208D">
      <w:pPr>
        <w:spacing w:line="360" w:lineRule="auto"/>
        <w:rPr>
          <w:rFonts w:ascii="Arial" w:hAnsi="Arial" w:cs="Arial"/>
          <w:b/>
          <w:bCs/>
          <w:sz w:val="22"/>
          <w:szCs w:val="22"/>
          <w:u w:val="single"/>
        </w:rPr>
      </w:pPr>
      <w:r w:rsidRPr="00617AC3">
        <w:rPr>
          <w:rFonts w:ascii="Arial" w:hAnsi="Arial" w:cs="Arial"/>
          <w:b/>
          <w:bCs/>
          <w:sz w:val="22"/>
          <w:szCs w:val="22"/>
          <w:u w:val="single"/>
        </w:rPr>
        <w:t xml:space="preserve">Lifestyle Changes- Diet Exercise and Weight </w:t>
      </w:r>
    </w:p>
    <w:p w14:paraId="36F78FCE" w14:textId="77777777"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A key component of managing Type 2 diabetes is altering one's lifestyle. A nutritious diet can promote general health and help regulate blood sugar levels. It is recommended that people with diabetes consume fewer processed and sugary foods and more vegetables, whole grains, lean meats, and healthy fats. Avoiding blood sugar spikes can be achieved by selecting foods with a low glycaemic index. Regular meal timing and portion control are also crucial. Blood sugar levels can be kept stable by eating smaller, more balanced meals throughout the day (NHS, 2023e; Diabetes UK, 2023c).</w:t>
      </w:r>
    </w:p>
    <w:p w14:paraId="18264D4D" w14:textId="2A13B96B"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Another crucial component is physical activity. Frequent exercise decreases blood sugar levels and improves the body's usage of insulin. Additionally, it promotes weight loss and strengthens the heart. At least 150 minutes of moderate intensity exercise each week, such as brisk walking or cycling, is advised by the NHS. Exercises involving strength training are also advantageous. Walking short distances or using the stairs are two examples of even modest improvements in activity that might have an impact. Finding enjoyable hobbies is something I advise patients to do in my practice since it increases the likelihood that they will continue (NHS, 2023f; Diabetes UK, 2023d).</w:t>
      </w:r>
    </w:p>
    <w:p w14:paraId="1AE8D0D3" w14:textId="77777777" w:rsidR="00922877" w:rsidRPr="00617AC3" w:rsidRDefault="00922877" w:rsidP="0076208D">
      <w:pPr>
        <w:spacing w:line="360" w:lineRule="auto"/>
        <w:rPr>
          <w:rFonts w:ascii="Arial" w:hAnsi="Arial" w:cs="Arial"/>
          <w:sz w:val="22"/>
          <w:szCs w:val="22"/>
        </w:rPr>
      </w:pPr>
      <w:r w:rsidRPr="00617AC3">
        <w:rPr>
          <w:rFonts w:ascii="Arial" w:hAnsi="Arial" w:cs="Arial"/>
          <w:sz w:val="22"/>
          <w:szCs w:val="22"/>
        </w:rPr>
        <w:t>Controlling blood sugar can be greatly enhanced by maintaining a healthy weight. Weight loss, even if it is only five to ten percent of body weight, can have a significant impact. Losing weight lowers insulin resistance and, in certain cases, can cause Type 2 diabetes to go into remission. This indicates that they no longer require medicine when their blood sugar levels recover to a normal range. Healthy nutrition, consistent activity, and medical assistance are all necessary to reach and maintain a healthy weight (Lean et al., 2019; American Diabetes Association, 2022).</w:t>
      </w:r>
    </w:p>
    <w:p w14:paraId="16186B13" w14:textId="5EF8D7F0" w:rsidR="00046F97" w:rsidRPr="00617AC3" w:rsidRDefault="00046F97" w:rsidP="0076208D">
      <w:pPr>
        <w:spacing w:line="360" w:lineRule="auto"/>
        <w:rPr>
          <w:rFonts w:ascii="Arial" w:hAnsi="Arial" w:cs="Arial"/>
          <w:b/>
          <w:bCs/>
          <w:sz w:val="22"/>
          <w:szCs w:val="22"/>
          <w:u w:val="single"/>
        </w:rPr>
      </w:pPr>
      <w:r w:rsidRPr="00617AC3">
        <w:rPr>
          <w:rFonts w:ascii="Arial" w:hAnsi="Arial" w:cs="Arial"/>
          <w:b/>
          <w:bCs/>
          <w:sz w:val="22"/>
          <w:szCs w:val="22"/>
          <w:u w:val="single"/>
        </w:rPr>
        <w:t>Smoking Alcohol Stress and sleep</w:t>
      </w:r>
    </w:p>
    <w:p w14:paraId="4F9BE260" w14:textId="699E819D" w:rsidR="00046F97" w:rsidRPr="00617AC3" w:rsidRDefault="00046F97" w:rsidP="0076208D">
      <w:pPr>
        <w:spacing w:line="360" w:lineRule="auto"/>
        <w:rPr>
          <w:rFonts w:ascii="Arial" w:hAnsi="Arial" w:cs="Arial"/>
          <w:sz w:val="22"/>
          <w:szCs w:val="22"/>
        </w:rPr>
      </w:pPr>
      <w:r w:rsidRPr="00617AC3">
        <w:rPr>
          <w:rFonts w:ascii="Arial" w:hAnsi="Arial" w:cs="Arial"/>
          <w:sz w:val="22"/>
          <w:szCs w:val="22"/>
        </w:rPr>
        <w:lastRenderedPageBreak/>
        <w:t xml:space="preserve">It is well recognised that smoking raises the risk of problems for diabetics. It destroys blood vessels and makes blood sugar control more difficult. It is highly advised to stop smoking, and NHS stop smoking services </w:t>
      </w:r>
      <w:r w:rsidR="004E2E02" w:rsidRPr="00617AC3">
        <w:rPr>
          <w:rFonts w:ascii="Arial" w:hAnsi="Arial" w:cs="Arial"/>
          <w:sz w:val="22"/>
          <w:szCs w:val="22"/>
        </w:rPr>
        <w:t>help</w:t>
      </w:r>
      <w:r w:rsidRPr="00617AC3">
        <w:rPr>
          <w:rFonts w:ascii="Arial" w:hAnsi="Arial" w:cs="Arial"/>
          <w:sz w:val="22"/>
          <w:szCs w:val="22"/>
        </w:rPr>
        <w:t>. Because alcohol might alter blood sugar levels and interfere with diabetic treatments, it is also recommended to limit alcohol consumption. It is important to provide patients who smoke or drink frequently with information and assistance to help them make better decisions (Diabetes UK, 2023e; NHS, 2023g).</w:t>
      </w:r>
    </w:p>
    <w:p w14:paraId="784E565D" w14:textId="42EA397E" w:rsidR="00046F97" w:rsidRPr="00617AC3" w:rsidRDefault="00046F97" w:rsidP="0076208D">
      <w:pPr>
        <w:spacing w:line="360" w:lineRule="auto"/>
        <w:rPr>
          <w:rFonts w:ascii="Arial" w:hAnsi="Arial" w:cs="Arial"/>
          <w:sz w:val="22"/>
          <w:szCs w:val="22"/>
        </w:rPr>
      </w:pPr>
      <w:r w:rsidRPr="00617AC3">
        <w:rPr>
          <w:rFonts w:ascii="Arial" w:hAnsi="Arial" w:cs="Arial"/>
          <w:sz w:val="22"/>
          <w:szCs w:val="22"/>
        </w:rPr>
        <w:t xml:space="preserve">Blood sugar regulation can also be impacted by stress and inadequate sleep. Blood sugar levels can be raised by stress hormones like cortisol, and insulin sensitivity can be impacted by sleep deprivation. It can be beneficial to manage stress by practicing mindfulness, relaxation techniques, or consulting a counsellor. </w:t>
      </w:r>
      <w:r w:rsidR="00D7719F" w:rsidRPr="00617AC3">
        <w:rPr>
          <w:rFonts w:ascii="Arial" w:hAnsi="Arial" w:cs="Arial"/>
          <w:sz w:val="22"/>
          <w:szCs w:val="22"/>
        </w:rPr>
        <w:t xml:space="preserve">(Lingo, 2025) </w:t>
      </w:r>
      <w:r w:rsidRPr="00617AC3">
        <w:rPr>
          <w:rFonts w:ascii="Arial" w:hAnsi="Arial" w:cs="Arial"/>
          <w:sz w:val="22"/>
          <w:szCs w:val="22"/>
        </w:rPr>
        <w:t>Better diabetes management can also be supported by establishing a regular sleep schedule and aiming for seven to nine hours of sleep each night. I make it a point to bring up the effects of stress and sleep during consultations because I have found that patients frequently ignore them (Diabetes UK, 2023f; NHS, 2023h).</w:t>
      </w:r>
    </w:p>
    <w:p w14:paraId="06F8133F" w14:textId="753258F1" w:rsidR="00046F97" w:rsidRPr="00617AC3" w:rsidRDefault="00046F97" w:rsidP="0076208D">
      <w:pPr>
        <w:spacing w:line="360" w:lineRule="auto"/>
        <w:rPr>
          <w:rFonts w:ascii="Arial" w:hAnsi="Arial" w:cs="Arial"/>
          <w:sz w:val="22"/>
          <w:szCs w:val="22"/>
        </w:rPr>
      </w:pPr>
      <w:r w:rsidRPr="00617AC3">
        <w:rPr>
          <w:rFonts w:ascii="Arial" w:hAnsi="Arial" w:cs="Arial"/>
          <w:sz w:val="22"/>
          <w:szCs w:val="22"/>
        </w:rPr>
        <w:t>To assist individuals, manage their diabetes, education and support are crucial. One of my main responsibilities as a practice nurse is to enlighten patients, respond to their enquiries, and assist them in setting reasonable objectives. Sessions of group teaching, like the NHS Diabetes Prevention Programme, might also be beneficial. Patients can exchange stories and learn from one another in a supportive setting during these sessions. Apps and internet resources are examples of digital technologies that can assist patients in monitoring their progress and maintaining motivation (NHS, 2023</w:t>
      </w:r>
      <w:r w:rsidR="0076208D" w:rsidRPr="00617AC3">
        <w:rPr>
          <w:rFonts w:ascii="Arial" w:hAnsi="Arial" w:cs="Arial"/>
          <w:sz w:val="22"/>
          <w:szCs w:val="22"/>
        </w:rPr>
        <w:t>)</w:t>
      </w:r>
      <w:r w:rsidR="00C44511" w:rsidRPr="00617AC3">
        <w:rPr>
          <w:rFonts w:ascii="Arial" w:hAnsi="Arial" w:cs="Arial"/>
          <w:sz w:val="22"/>
          <w:szCs w:val="22"/>
        </w:rPr>
        <w:t xml:space="preserve"> (</w:t>
      </w:r>
      <w:r w:rsidRPr="00617AC3">
        <w:rPr>
          <w:rFonts w:ascii="Arial" w:hAnsi="Arial" w:cs="Arial"/>
          <w:sz w:val="22"/>
          <w:szCs w:val="22"/>
        </w:rPr>
        <w:t>Royal College of Nursing, 2025). This type of proactive, patient-centred approach is necessary, as the case study makes clear.</w:t>
      </w:r>
    </w:p>
    <w:p w14:paraId="49F043F0" w14:textId="77777777" w:rsidR="002331CA" w:rsidRPr="00617AC3" w:rsidRDefault="002331CA" w:rsidP="0076208D">
      <w:pPr>
        <w:spacing w:line="360" w:lineRule="auto"/>
        <w:rPr>
          <w:rFonts w:ascii="Arial" w:hAnsi="Arial" w:cs="Arial"/>
          <w:b/>
          <w:bCs/>
          <w:sz w:val="22"/>
          <w:szCs w:val="22"/>
          <w:u w:val="single"/>
        </w:rPr>
      </w:pPr>
      <w:r w:rsidRPr="00617AC3">
        <w:rPr>
          <w:rFonts w:ascii="Arial" w:hAnsi="Arial" w:cs="Arial"/>
          <w:b/>
          <w:bCs/>
          <w:sz w:val="22"/>
          <w:szCs w:val="22"/>
          <w:u w:val="single"/>
        </w:rPr>
        <w:t xml:space="preserve">Patient Education and Empowerment </w:t>
      </w:r>
    </w:p>
    <w:p w14:paraId="245D63E2" w14:textId="642A684D" w:rsidR="002331CA" w:rsidRPr="00617AC3" w:rsidRDefault="002331CA" w:rsidP="0076208D">
      <w:pPr>
        <w:spacing w:line="360" w:lineRule="auto"/>
        <w:rPr>
          <w:rFonts w:ascii="Arial" w:hAnsi="Arial" w:cs="Arial"/>
          <w:sz w:val="22"/>
          <w:szCs w:val="22"/>
        </w:rPr>
      </w:pPr>
      <w:r w:rsidRPr="00617AC3">
        <w:rPr>
          <w:rFonts w:ascii="Arial" w:hAnsi="Arial" w:cs="Arial"/>
          <w:sz w:val="22"/>
          <w:szCs w:val="22"/>
        </w:rPr>
        <w:t>Patients are empowered to participate in their care plans and lead healthier lives when practicing nurses provide them with clear and encouraging instruction. The case study serves as a reminder that education involves more than just dispensing knowledge; it also entails assisting patients in comprehending and utilising it in their everyday lives.</w:t>
      </w:r>
    </w:p>
    <w:p w14:paraId="5757A853" w14:textId="56A56D16" w:rsidR="002331CA" w:rsidRPr="00617AC3" w:rsidRDefault="002331CA" w:rsidP="0076208D">
      <w:pPr>
        <w:spacing w:line="360" w:lineRule="auto"/>
        <w:rPr>
          <w:rFonts w:ascii="Arial" w:hAnsi="Arial" w:cs="Arial"/>
          <w:b/>
          <w:bCs/>
          <w:sz w:val="22"/>
          <w:szCs w:val="22"/>
          <w:u w:val="single"/>
        </w:rPr>
      </w:pPr>
      <w:r w:rsidRPr="00617AC3">
        <w:rPr>
          <w:rFonts w:ascii="Arial" w:hAnsi="Arial" w:cs="Arial"/>
          <w:b/>
          <w:bCs/>
          <w:sz w:val="22"/>
          <w:szCs w:val="22"/>
          <w:u w:val="single"/>
        </w:rPr>
        <w:t xml:space="preserve">Reflective Practice and Holistic Care </w:t>
      </w:r>
    </w:p>
    <w:p w14:paraId="2880B3FB" w14:textId="77777777" w:rsidR="002331CA" w:rsidRPr="00617AC3" w:rsidRDefault="002331CA" w:rsidP="0076208D">
      <w:pPr>
        <w:spacing w:line="360" w:lineRule="auto"/>
        <w:rPr>
          <w:rFonts w:ascii="Arial" w:hAnsi="Arial" w:cs="Arial"/>
          <w:sz w:val="22"/>
          <w:szCs w:val="22"/>
        </w:rPr>
      </w:pPr>
      <w:r w:rsidRPr="00617AC3">
        <w:rPr>
          <w:rFonts w:ascii="Arial" w:hAnsi="Arial" w:cs="Arial"/>
          <w:sz w:val="22"/>
          <w:szCs w:val="22"/>
        </w:rPr>
        <w:t xml:space="preserve">To strengthen diabetes care in primary settings, it is essential to move beyond clinical instruction and embrace relational, person-centred approaches. The case study highlights a gap not only in patient knowledge but in emotional engagement with their condition. As a practice nurse, I recognise that education must be tailored, compassionate, and culturally sensitive. Patients are more likely to engage with their care plans when they feel heard, respected, and supported. This means adapting communication styles, using visual aids, </w:t>
      </w:r>
      <w:r w:rsidRPr="00617AC3">
        <w:rPr>
          <w:rFonts w:ascii="Arial" w:hAnsi="Arial" w:cs="Arial"/>
          <w:sz w:val="22"/>
          <w:szCs w:val="22"/>
        </w:rPr>
        <w:lastRenderedPageBreak/>
        <w:t>and co-creating goals that reflect individual values and circumstances. Theories of health promotion, such as Bandura’s self-efficacy model, suggest that confidence in one’s ability to manage illness is shaped by experience, encouragement, and perceived control (Warner and Ford, 2021). By fostering trust and autonomy, nurses can help patients build that confidence. Moreover, integrating digital tools and peer support networks can enhance accessibility and motivation. This reflection has reinforced my belief that effective diabetes management is not just about blood sugar—it is about relationships, empowerment, and dignity. In future practice, I will continue to advocate for holistic care that honours the complexity of each patient’s life and supports long-term wellbeing.</w:t>
      </w:r>
    </w:p>
    <w:p w14:paraId="2914F73B" w14:textId="0B24FBC7" w:rsidR="002331CA" w:rsidRPr="00617AC3" w:rsidRDefault="002331CA" w:rsidP="0076208D">
      <w:pPr>
        <w:spacing w:line="360" w:lineRule="auto"/>
        <w:rPr>
          <w:rFonts w:ascii="Arial" w:hAnsi="Arial" w:cs="Arial"/>
          <w:b/>
          <w:bCs/>
          <w:sz w:val="22"/>
          <w:szCs w:val="22"/>
          <w:u w:val="single"/>
        </w:rPr>
      </w:pPr>
      <w:r w:rsidRPr="00617AC3">
        <w:rPr>
          <w:rFonts w:ascii="Arial" w:hAnsi="Arial" w:cs="Arial"/>
          <w:b/>
          <w:bCs/>
          <w:sz w:val="22"/>
          <w:szCs w:val="22"/>
          <w:u w:val="single"/>
        </w:rPr>
        <w:t xml:space="preserve">Conclusion </w:t>
      </w:r>
    </w:p>
    <w:p w14:paraId="34B945BF" w14:textId="24DBA75C" w:rsidR="00046F97" w:rsidRPr="00617AC3" w:rsidRDefault="00046F97" w:rsidP="0076208D">
      <w:pPr>
        <w:spacing w:line="360" w:lineRule="auto"/>
        <w:rPr>
          <w:rFonts w:ascii="Arial" w:hAnsi="Arial" w:cs="Arial"/>
          <w:sz w:val="22"/>
          <w:szCs w:val="22"/>
        </w:rPr>
      </w:pPr>
      <w:r w:rsidRPr="00617AC3">
        <w:rPr>
          <w:rFonts w:ascii="Arial" w:hAnsi="Arial" w:cs="Arial"/>
          <w:sz w:val="22"/>
          <w:szCs w:val="22"/>
        </w:rPr>
        <w:t xml:space="preserve">To sum up, the case study highlights a prevalent issue in primary care: Type 2 diabetic patients who visit clinics but lack the skills and self-assurance to control their illness. Patients can take charge of their health by knowing how the body uses glucose and insulin and how lifestyle choices impact blood sugar levels. Regular blood sugar monitoring aids in decision-making and prevents problems. Healthy food, consistent exercise, controlling weight, and quitting smoking are examples of lifestyle modifications that can greatly enhance results. Getting enough sleep and managing stress are also crucial. </w:t>
      </w:r>
    </w:p>
    <w:p w14:paraId="493CC7FA" w14:textId="77777777" w:rsidR="00046F97" w:rsidRPr="00617AC3" w:rsidRDefault="00046F97" w:rsidP="0076208D">
      <w:pPr>
        <w:spacing w:line="360" w:lineRule="auto"/>
        <w:rPr>
          <w:rFonts w:ascii="Arial" w:hAnsi="Arial" w:cs="Arial"/>
          <w:sz w:val="22"/>
          <w:szCs w:val="22"/>
        </w:rPr>
      </w:pPr>
    </w:p>
    <w:p w14:paraId="66916C34" w14:textId="42B5885A" w:rsidR="00046F97" w:rsidRPr="00617AC3" w:rsidRDefault="00046F97" w:rsidP="0076208D">
      <w:pPr>
        <w:spacing w:line="360" w:lineRule="auto"/>
        <w:rPr>
          <w:rFonts w:ascii="Arial" w:hAnsi="Arial" w:cs="Arial"/>
          <w:b/>
          <w:bCs/>
          <w:sz w:val="22"/>
          <w:szCs w:val="22"/>
          <w:u w:val="single"/>
        </w:rPr>
      </w:pPr>
      <w:r w:rsidRPr="00617AC3">
        <w:rPr>
          <w:rFonts w:ascii="Arial" w:hAnsi="Arial" w:cs="Arial"/>
          <w:b/>
          <w:bCs/>
          <w:sz w:val="22"/>
          <w:szCs w:val="22"/>
          <w:u w:val="single"/>
        </w:rPr>
        <w:t xml:space="preserve">References </w:t>
      </w:r>
    </w:p>
    <w:p w14:paraId="787F3E52"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t xml:space="preserve">American Diabetes Association (2022) </w:t>
      </w:r>
      <w:r w:rsidRPr="00A26FED">
        <w:rPr>
          <w:rFonts w:ascii="Arial" w:hAnsi="Arial" w:cs="Arial"/>
          <w:i/>
          <w:iCs/>
          <w:sz w:val="22"/>
          <w:szCs w:val="22"/>
        </w:rPr>
        <w:t>Standards of Medical Care in Diabetes – 2022</w:t>
      </w:r>
      <w:r w:rsidRPr="00A26FED">
        <w:rPr>
          <w:rFonts w:ascii="Arial" w:hAnsi="Arial" w:cs="Arial"/>
          <w:sz w:val="22"/>
          <w:szCs w:val="22"/>
        </w:rPr>
        <w:t xml:space="preserve">. Arlington: American Diabetes Association. Available at: </w:t>
      </w:r>
      <w:hyperlink r:id="rId7" w:history="1">
        <w:r w:rsidRPr="00A26FED">
          <w:rPr>
            <w:rStyle w:val="Hyperlink"/>
            <w:rFonts w:ascii="Arial" w:hAnsi="Arial" w:cs="Arial"/>
            <w:sz w:val="22"/>
            <w:szCs w:val="22"/>
          </w:rPr>
          <w:t>https://diabetesjournals.org</w:t>
        </w:r>
      </w:hyperlink>
      <w:r w:rsidRPr="00A26FED">
        <w:rPr>
          <w:rFonts w:ascii="Arial" w:hAnsi="Arial" w:cs="Arial"/>
          <w:sz w:val="22"/>
          <w:szCs w:val="22"/>
        </w:rPr>
        <w:t xml:space="preserve"> (Accessed: 17 October 2025).</w:t>
      </w:r>
    </w:p>
    <w:p w14:paraId="4486D337"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t xml:space="preserve">Bickley, L.S. and Szilagyi, P.G. (2020) </w:t>
      </w:r>
      <w:r w:rsidRPr="00A26FED">
        <w:rPr>
          <w:rFonts w:ascii="Arial" w:hAnsi="Arial" w:cs="Arial"/>
          <w:i/>
          <w:iCs/>
          <w:sz w:val="22"/>
          <w:szCs w:val="22"/>
        </w:rPr>
        <w:t>Bates’ Guide to Physical Examination and History Taking</w:t>
      </w:r>
      <w:r w:rsidRPr="00A26FED">
        <w:rPr>
          <w:rFonts w:ascii="Arial" w:hAnsi="Arial" w:cs="Arial"/>
          <w:sz w:val="22"/>
          <w:szCs w:val="22"/>
        </w:rPr>
        <w:t>. 13th edn. Philadelphia: Wolters Kluwer.</w:t>
      </w:r>
    </w:p>
    <w:p w14:paraId="0361AF8A"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t xml:space="preserve">Diabetes UK (2023a) </w:t>
      </w:r>
      <w:r w:rsidRPr="00A26FED">
        <w:rPr>
          <w:rFonts w:ascii="Arial" w:hAnsi="Arial" w:cs="Arial"/>
          <w:i/>
          <w:iCs/>
          <w:sz w:val="22"/>
          <w:szCs w:val="22"/>
        </w:rPr>
        <w:t>Risk factors for Type 2 diabetes</w:t>
      </w:r>
      <w:r w:rsidRPr="00A26FED">
        <w:rPr>
          <w:rFonts w:ascii="Arial" w:hAnsi="Arial" w:cs="Arial"/>
          <w:sz w:val="22"/>
          <w:szCs w:val="22"/>
        </w:rPr>
        <w:t xml:space="preserve">. Available at: </w:t>
      </w:r>
      <w:hyperlink r:id="rId8" w:history="1">
        <w:r w:rsidRPr="00A26FED">
          <w:rPr>
            <w:rStyle w:val="Hyperlink"/>
            <w:rFonts w:ascii="Arial" w:hAnsi="Arial" w:cs="Arial"/>
            <w:sz w:val="22"/>
            <w:szCs w:val="22"/>
          </w:rPr>
          <w:t>https://www.diabetes.org.uk/preventing-type-2-diabetes/risk-factors</w:t>
        </w:r>
      </w:hyperlink>
      <w:r w:rsidRPr="00A26FED">
        <w:rPr>
          <w:rFonts w:ascii="Arial" w:hAnsi="Arial" w:cs="Arial"/>
          <w:sz w:val="22"/>
          <w:szCs w:val="22"/>
        </w:rPr>
        <w:t xml:space="preserve"> (Accessed: 17 October 2025).</w:t>
      </w:r>
    </w:p>
    <w:p w14:paraId="5597EA58"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t xml:space="preserve">Diabetes UK (2023b) </w:t>
      </w:r>
      <w:r w:rsidRPr="00A26FED">
        <w:rPr>
          <w:rFonts w:ascii="Arial" w:hAnsi="Arial" w:cs="Arial"/>
          <w:i/>
          <w:iCs/>
          <w:sz w:val="22"/>
          <w:szCs w:val="22"/>
        </w:rPr>
        <w:t>Symptoms of diabetes</w:t>
      </w:r>
      <w:r w:rsidRPr="00A26FED">
        <w:rPr>
          <w:rFonts w:ascii="Arial" w:hAnsi="Arial" w:cs="Arial"/>
          <w:sz w:val="22"/>
          <w:szCs w:val="22"/>
        </w:rPr>
        <w:t xml:space="preserve">. Available at: </w:t>
      </w:r>
      <w:hyperlink r:id="rId9" w:history="1">
        <w:r w:rsidRPr="00A26FED">
          <w:rPr>
            <w:rStyle w:val="Hyperlink"/>
            <w:rFonts w:ascii="Arial" w:hAnsi="Arial" w:cs="Arial"/>
            <w:sz w:val="22"/>
            <w:szCs w:val="22"/>
          </w:rPr>
          <w:t>https://www.diabetes.org.uk/diabetes-symptoms</w:t>
        </w:r>
      </w:hyperlink>
      <w:r w:rsidRPr="00A26FED">
        <w:rPr>
          <w:rFonts w:ascii="Arial" w:hAnsi="Arial" w:cs="Arial"/>
          <w:sz w:val="22"/>
          <w:szCs w:val="22"/>
        </w:rPr>
        <w:t xml:space="preserve"> (Accessed: 17 October 2025).</w:t>
      </w:r>
    </w:p>
    <w:p w14:paraId="40060810"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t xml:space="preserve">Diabetes UK (2023c) </w:t>
      </w:r>
      <w:r w:rsidRPr="00A26FED">
        <w:rPr>
          <w:rFonts w:ascii="Arial" w:hAnsi="Arial" w:cs="Arial"/>
          <w:i/>
          <w:iCs/>
          <w:sz w:val="22"/>
          <w:szCs w:val="22"/>
        </w:rPr>
        <w:t>Eating well with Type 2 diabetes</w:t>
      </w:r>
      <w:r w:rsidRPr="00A26FED">
        <w:rPr>
          <w:rFonts w:ascii="Arial" w:hAnsi="Arial" w:cs="Arial"/>
          <w:sz w:val="22"/>
          <w:szCs w:val="22"/>
        </w:rPr>
        <w:t xml:space="preserve">. Available at: </w:t>
      </w:r>
      <w:hyperlink r:id="rId10" w:history="1">
        <w:r w:rsidRPr="00A26FED">
          <w:rPr>
            <w:rStyle w:val="Hyperlink"/>
            <w:rFonts w:ascii="Arial" w:hAnsi="Arial" w:cs="Arial"/>
            <w:sz w:val="22"/>
            <w:szCs w:val="22"/>
          </w:rPr>
          <w:t>https://www.diabetes.org.uk/guide-to-diabetes/enjoy-food/eating-with-diabetes/eating-well-type-2</w:t>
        </w:r>
      </w:hyperlink>
      <w:r w:rsidRPr="00A26FED">
        <w:rPr>
          <w:rFonts w:ascii="Arial" w:hAnsi="Arial" w:cs="Arial"/>
          <w:sz w:val="22"/>
          <w:szCs w:val="22"/>
        </w:rPr>
        <w:t xml:space="preserve"> (Accessed: 17 October 2025).</w:t>
      </w:r>
    </w:p>
    <w:p w14:paraId="42701C56"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lastRenderedPageBreak/>
        <w:t xml:space="preserve">Diabetes UK (2023d) </w:t>
      </w:r>
      <w:r w:rsidRPr="00A26FED">
        <w:rPr>
          <w:rFonts w:ascii="Arial" w:hAnsi="Arial" w:cs="Arial"/>
          <w:i/>
          <w:iCs/>
          <w:sz w:val="22"/>
          <w:szCs w:val="22"/>
        </w:rPr>
        <w:t>Physical activity and diabetes</w:t>
      </w:r>
      <w:r w:rsidRPr="00A26FED">
        <w:rPr>
          <w:rFonts w:ascii="Arial" w:hAnsi="Arial" w:cs="Arial"/>
          <w:sz w:val="22"/>
          <w:szCs w:val="22"/>
        </w:rPr>
        <w:t xml:space="preserve">. Available at: </w:t>
      </w:r>
      <w:hyperlink r:id="rId11" w:history="1">
        <w:r w:rsidRPr="00A26FED">
          <w:rPr>
            <w:rStyle w:val="Hyperlink"/>
            <w:rFonts w:ascii="Arial" w:hAnsi="Arial" w:cs="Arial"/>
            <w:sz w:val="22"/>
            <w:szCs w:val="22"/>
          </w:rPr>
          <w:t>https://www.diabetes.org.uk/guide-to-diabetes/managing-your-diabetes/exercise</w:t>
        </w:r>
      </w:hyperlink>
      <w:r w:rsidRPr="00A26FED">
        <w:rPr>
          <w:rFonts w:ascii="Arial" w:hAnsi="Arial" w:cs="Arial"/>
          <w:sz w:val="22"/>
          <w:szCs w:val="22"/>
        </w:rPr>
        <w:t xml:space="preserve"> (Accessed: 17 October 2025).</w:t>
      </w:r>
    </w:p>
    <w:p w14:paraId="61FBF6DE" w14:textId="77777777" w:rsidR="00A26FED" w:rsidRPr="00A26FED" w:rsidRDefault="00A26FED" w:rsidP="0076208D">
      <w:pPr>
        <w:spacing w:line="360" w:lineRule="auto"/>
        <w:rPr>
          <w:rFonts w:ascii="Arial" w:hAnsi="Arial" w:cs="Arial"/>
          <w:sz w:val="22"/>
          <w:szCs w:val="22"/>
        </w:rPr>
      </w:pPr>
      <w:r w:rsidRPr="00A26FED">
        <w:rPr>
          <w:rFonts w:ascii="Arial" w:hAnsi="Arial" w:cs="Arial"/>
          <w:sz w:val="22"/>
          <w:szCs w:val="22"/>
        </w:rPr>
        <w:t xml:space="preserve">Diabetes UK (2023e) </w:t>
      </w:r>
      <w:r w:rsidRPr="00A26FED">
        <w:rPr>
          <w:rFonts w:ascii="Arial" w:hAnsi="Arial" w:cs="Arial"/>
          <w:i/>
          <w:iCs/>
          <w:sz w:val="22"/>
          <w:szCs w:val="22"/>
        </w:rPr>
        <w:t>Smoking and diabetes</w:t>
      </w:r>
      <w:r w:rsidRPr="00A26FED">
        <w:rPr>
          <w:rFonts w:ascii="Arial" w:hAnsi="Arial" w:cs="Arial"/>
          <w:sz w:val="22"/>
          <w:szCs w:val="22"/>
        </w:rPr>
        <w:t xml:space="preserve">. Available at: </w:t>
      </w:r>
      <w:hyperlink r:id="rId12" w:history="1">
        <w:r w:rsidRPr="00A26FED">
          <w:rPr>
            <w:rStyle w:val="Hyperlink"/>
            <w:rFonts w:ascii="Arial" w:hAnsi="Arial" w:cs="Arial"/>
            <w:sz w:val="22"/>
            <w:szCs w:val="22"/>
          </w:rPr>
          <w:t>https://www.diabetes.org.uk/guide-to-diabetes/life-with-diabetes/smoking</w:t>
        </w:r>
      </w:hyperlink>
      <w:r w:rsidRPr="00A26FED">
        <w:rPr>
          <w:rFonts w:ascii="Arial" w:hAnsi="Arial" w:cs="Arial"/>
          <w:sz w:val="22"/>
          <w:szCs w:val="22"/>
        </w:rPr>
        <w:t xml:space="preserve"> (Accessed: 17 October 2025).</w:t>
      </w:r>
    </w:p>
    <w:p w14:paraId="13F0719E" w14:textId="77777777" w:rsidR="00A26FED" w:rsidRPr="00617AC3" w:rsidRDefault="00A26FED" w:rsidP="0076208D">
      <w:pPr>
        <w:spacing w:line="360" w:lineRule="auto"/>
        <w:rPr>
          <w:rFonts w:ascii="Arial" w:hAnsi="Arial" w:cs="Arial"/>
          <w:sz w:val="22"/>
          <w:szCs w:val="22"/>
        </w:rPr>
      </w:pPr>
      <w:r w:rsidRPr="00A26FED">
        <w:rPr>
          <w:rFonts w:ascii="Arial" w:hAnsi="Arial" w:cs="Arial"/>
          <w:sz w:val="22"/>
          <w:szCs w:val="22"/>
        </w:rPr>
        <w:t xml:space="preserve">Diabetes UK (2023f) </w:t>
      </w:r>
      <w:r w:rsidRPr="00A26FED">
        <w:rPr>
          <w:rFonts w:ascii="Arial" w:hAnsi="Arial" w:cs="Arial"/>
          <w:i/>
          <w:iCs/>
          <w:sz w:val="22"/>
          <w:szCs w:val="22"/>
        </w:rPr>
        <w:t>Stress and diabetes</w:t>
      </w:r>
      <w:r w:rsidRPr="00A26FED">
        <w:rPr>
          <w:rFonts w:ascii="Arial" w:hAnsi="Arial" w:cs="Arial"/>
          <w:sz w:val="22"/>
          <w:szCs w:val="22"/>
        </w:rPr>
        <w:t xml:space="preserve">. Available at: </w:t>
      </w:r>
      <w:hyperlink r:id="rId13" w:history="1">
        <w:r w:rsidRPr="00A26FED">
          <w:rPr>
            <w:rStyle w:val="Hyperlink"/>
            <w:rFonts w:ascii="Arial" w:hAnsi="Arial" w:cs="Arial"/>
            <w:sz w:val="22"/>
            <w:szCs w:val="22"/>
          </w:rPr>
          <w:t>https://www.diabetes.org.uk/guide-to-diabetes/emotions/stress</w:t>
        </w:r>
      </w:hyperlink>
      <w:r w:rsidRPr="00A26FED">
        <w:rPr>
          <w:rFonts w:ascii="Arial" w:hAnsi="Arial" w:cs="Arial"/>
          <w:sz w:val="22"/>
          <w:szCs w:val="22"/>
        </w:rPr>
        <w:t xml:space="preserve"> (Accessed: 17 October 2025).</w:t>
      </w:r>
    </w:p>
    <w:p w14:paraId="51FA2B3E" w14:textId="62DB58F4" w:rsidR="00A26FED" w:rsidRPr="00617AC3" w:rsidRDefault="00A26FED" w:rsidP="0076208D">
      <w:pPr>
        <w:spacing w:line="360" w:lineRule="auto"/>
        <w:rPr>
          <w:rFonts w:ascii="Arial" w:hAnsi="Arial" w:cs="Arial"/>
          <w:sz w:val="22"/>
          <w:szCs w:val="22"/>
        </w:rPr>
      </w:pPr>
      <w:r w:rsidRPr="00A26FED">
        <w:rPr>
          <w:rFonts w:ascii="Arial" w:hAnsi="Arial" w:cs="Arial"/>
          <w:sz w:val="22"/>
          <w:szCs w:val="22"/>
        </w:rPr>
        <w:t xml:space="preserve">Lean, M.E.J. et al. (2019) ‘Durability of a primary care–led weight-management intervention for remission of type 2 diabetes: 2-year results of the DiRECT open-label, cluster-randomised trial’, </w:t>
      </w:r>
      <w:r w:rsidRPr="00A26FED">
        <w:rPr>
          <w:rFonts w:ascii="Arial" w:hAnsi="Arial" w:cs="Arial"/>
          <w:i/>
          <w:iCs/>
          <w:sz w:val="22"/>
          <w:szCs w:val="22"/>
        </w:rPr>
        <w:t>The Lancet Diabetes &amp; Endocrinology</w:t>
      </w:r>
      <w:r w:rsidRPr="00A26FED">
        <w:rPr>
          <w:rFonts w:ascii="Arial" w:hAnsi="Arial" w:cs="Arial"/>
          <w:sz w:val="22"/>
          <w:szCs w:val="22"/>
        </w:rPr>
        <w:t>.</w:t>
      </w:r>
    </w:p>
    <w:p w14:paraId="6CCAC717" w14:textId="499F5479" w:rsidR="00D7719F" w:rsidRPr="00D7719F" w:rsidRDefault="00D7719F" w:rsidP="0076208D">
      <w:pPr>
        <w:spacing w:line="360" w:lineRule="auto"/>
        <w:rPr>
          <w:rFonts w:ascii="Arial" w:hAnsi="Arial" w:cs="Arial"/>
          <w:sz w:val="22"/>
          <w:szCs w:val="22"/>
        </w:rPr>
      </w:pPr>
      <w:r w:rsidRPr="00D7719F">
        <w:rPr>
          <w:rFonts w:ascii="Arial" w:hAnsi="Arial" w:cs="Arial"/>
          <w:sz w:val="22"/>
          <w:szCs w:val="22"/>
        </w:rPr>
        <w:t xml:space="preserve">Lingo (2025) </w:t>
      </w:r>
      <w:r w:rsidRPr="00D7719F">
        <w:rPr>
          <w:rFonts w:ascii="Arial" w:hAnsi="Arial" w:cs="Arial"/>
          <w:i/>
          <w:iCs/>
          <w:sz w:val="22"/>
          <w:szCs w:val="22"/>
        </w:rPr>
        <w:t>Continuous glucose monitoring for metabolic health</w:t>
      </w:r>
      <w:r w:rsidRPr="00D7719F">
        <w:rPr>
          <w:rFonts w:ascii="Arial" w:hAnsi="Arial" w:cs="Arial"/>
          <w:sz w:val="22"/>
          <w:szCs w:val="22"/>
        </w:rPr>
        <w:t xml:space="preserve">. Available at: </w:t>
      </w:r>
      <w:hyperlink r:id="rId14" w:history="1">
        <w:r w:rsidRPr="00D7719F">
          <w:rPr>
            <w:rStyle w:val="Hyperlink"/>
            <w:rFonts w:ascii="Arial" w:hAnsi="Arial" w:cs="Arial"/>
            <w:sz w:val="22"/>
            <w:szCs w:val="22"/>
          </w:rPr>
          <w:t>https://www.hellolingo.com/uk</w:t>
        </w:r>
      </w:hyperlink>
      <w:r w:rsidRPr="00D7719F">
        <w:rPr>
          <w:rFonts w:ascii="Arial" w:hAnsi="Arial" w:cs="Arial"/>
          <w:sz w:val="22"/>
          <w:szCs w:val="22"/>
        </w:rPr>
        <w:t xml:space="preserve"> (Accessed: 3 November 2025)</w:t>
      </w:r>
    </w:p>
    <w:p w14:paraId="1310A14B" w14:textId="77777777" w:rsidR="00D7719F" w:rsidRPr="00A26FED" w:rsidRDefault="00D7719F" w:rsidP="0076208D">
      <w:pPr>
        <w:spacing w:line="360" w:lineRule="auto"/>
        <w:rPr>
          <w:rFonts w:ascii="Arial" w:hAnsi="Arial" w:cs="Arial"/>
          <w:sz w:val="22"/>
          <w:szCs w:val="22"/>
        </w:rPr>
      </w:pPr>
    </w:p>
    <w:p w14:paraId="2A43350F" w14:textId="77777777" w:rsidR="00046F97" w:rsidRPr="00617AC3" w:rsidRDefault="00046F97" w:rsidP="0076208D">
      <w:pPr>
        <w:spacing w:line="360" w:lineRule="auto"/>
        <w:rPr>
          <w:rFonts w:ascii="Arial" w:hAnsi="Arial" w:cs="Arial"/>
          <w:sz w:val="22"/>
          <w:szCs w:val="22"/>
        </w:rPr>
      </w:pPr>
    </w:p>
    <w:p w14:paraId="3DFC5365" w14:textId="77777777" w:rsidR="00922877" w:rsidRPr="00617AC3" w:rsidRDefault="00922877" w:rsidP="0076208D">
      <w:pPr>
        <w:spacing w:line="360" w:lineRule="auto"/>
        <w:rPr>
          <w:rFonts w:ascii="Arial" w:hAnsi="Arial" w:cs="Arial"/>
          <w:sz w:val="22"/>
          <w:szCs w:val="22"/>
        </w:rPr>
      </w:pPr>
    </w:p>
    <w:p w14:paraId="727807AD" w14:textId="77777777" w:rsidR="00922877" w:rsidRPr="00617AC3" w:rsidRDefault="00922877" w:rsidP="0076208D">
      <w:pPr>
        <w:spacing w:line="360" w:lineRule="auto"/>
        <w:rPr>
          <w:rFonts w:ascii="Arial" w:hAnsi="Arial" w:cs="Arial"/>
          <w:sz w:val="22"/>
          <w:szCs w:val="22"/>
        </w:rPr>
      </w:pPr>
    </w:p>
    <w:p w14:paraId="189E425A" w14:textId="77777777" w:rsidR="00922877" w:rsidRPr="00617AC3" w:rsidRDefault="00922877" w:rsidP="0076208D">
      <w:pPr>
        <w:spacing w:line="360" w:lineRule="auto"/>
        <w:rPr>
          <w:rFonts w:ascii="Arial" w:hAnsi="Arial" w:cs="Arial"/>
          <w:sz w:val="22"/>
          <w:szCs w:val="22"/>
        </w:rPr>
      </w:pPr>
    </w:p>
    <w:p w14:paraId="3BF41143" w14:textId="77777777" w:rsidR="00922877" w:rsidRPr="00617AC3" w:rsidRDefault="00922877" w:rsidP="0076208D">
      <w:pPr>
        <w:spacing w:line="360" w:lineRule="auto"/>
        <w:rPr>
          <w:rFonts w:ascii="Arial" w:hAnsi="Arial" w:cs="Arial"/>
          <w:sz w:val="22"/>
          <w:szCs w:val="22"/>
        </w:rPr>
      </w:pPr>
    </w:p>
    <w:sectPr w:rsidR="00922877" w:rsidRPr="00617AC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9A4DE" w14:textId="77777777" w:rsidR="00C53544" w:rsidRDefault="00C53544" w:rsidP="00631ABA">
      <w:pPr>
        <w:spacing w:after="0" w:line="240" w:lineRule="auto"/>
      </w:pPr>
      <w:r>
        <w:separator/>
      </w:r>
    </w:p>
  </w:endnote>
  <w:endnote w:type="continuationSeparator" w:id="0">
    <w:p w14:paraId="6D30D49F" w14:textId="77777777" w:rsidR="00C53544" w:rsidRDefault="00C53544" w:rsidP="00631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865336"/>
      <w:docPartObj>
        <w:docPartGallery w:val="Page Numbers (Bottom of Page)"/>
        <w:docPartUnique/>
      </w:docPartObj>
    </w:sdtPr>
    <w:sdtEndPr>
      <w:rPr>
        <w:color w:val="7F7F7F" w:themeColor="background1" w:themeShade="7F"/>
        <w:spacing w:val="60"/>
      </w:rPr>
    </w:sdtEndPr>
    <w:sdtContent>
      <w:p w14:paraId="784CF40C" w14:textId="704EED98" w:rsidR="00631ABA" w:rsidRDefault="00631AB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18635" w14:textId="77777777" w:rsidR="00631ABA" w:rsidRDefault="0063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16B95" w14:textId="77777777" w:rsidR="00C53544" w:rsidRDefault="00C53544" w:rsidP="00631ABA">
      <w:pPr>
        <w:spacing w:after="0" w:line="240" w:lineRule="auto"/>
      </w:pPr>
      <w:r>
        <w:separator/>
      </w:r>
    </w:p>
  </w:footnote>
  <w:footnote w:type="continuationSeparator" w:id="0">
    <w:p w14:paraId="72ACA56A" w14:textId="77777777" w:rsidR="00C53544" w:rsidRDefault="00C53544" w:rsidP="00631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43678"/>
      <w:docPartObj>
        <w:docPartGallery w:val="Page Numbers (Top of Page)"/>
        <w:docPartUnique/>
      </w:docPartObj>
    </w:sdtPr>
    <w:sdtEndPr>
      <w:rPr>
        <w:color w:val="7F7F7F" w:themeColor="background1" w:themeShade="7F"/>
        <w:spacing w:val="60"/>
      </w:rPr>
    </w:sdtEndPr>
    <w:sdtContent>
      <w:p w14:paraId="77B7ED00" w14:textId="75A63A4C" w:rsidR="00CC614B" w:rsidRDefault="00CC614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323A15" w14:textId="77777777" w:rsidR="00CC614B" w:rsidRDefault="00CC61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E42CE"/>
    <w:multiLevelType w:val="multilevel"/>
    <w:tmpl w:val="1E20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3673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7"/>
    <w:rsid w:val="00046F97"/>
    <w:rsid w:val="002331CA"/>
    <w:rsid w:val="004E2E02"/>
    <w:rsid w:val="00531E7B"/>
    <w:rsid w:val="00617AC3"/>
    <w:rsid w:val="00631ABA"/>
    <w:rsid w:val="0076208D"/>
    <w:rsid w:val="00855A72"/>
    <w:rsid w:val="00922877"/>
    <w:rsid w:val="00945168"/>
    <w:rsid w:val="00A26FED"/>
    <w:rsid w:val="00A61781"/>
    <w:rsid w:val="00BC134D"/>
    <w:rsid w:val="00C44511"/>
    <w:rsid w:val="00C53544"/>
    <w:rsid w:val="00CC614B"/>
    <w:rsid w:val="00D55B97"/>
    <w:rsid w:val="00D7719F"/>
    <w:rsid w:val="00DB28B3"/>
    <w:rsid w:val="00E75C0A"/>
    <w:rsid w:val="00F25BDE"/>
    <w:rsid w:val="00FF3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FFCE"/>
  <w15:chartTrackingRefBased/>
  <w15:docId w15:val="{3C4F0F67-1FD8-457D-9AFB-C39FABC5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2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2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8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8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8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8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8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28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2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8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8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8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877"/>
    <w:rPr>
      <w:rFonts w:eastAsiaTheme="majorEastAsia" w:cstheme="majorBidi"/>
      <w:color w:val="272727" w:themeColor="text1" w:themeTint="D8"/>
    </w:rPr>
  </w:style>
  <w:style w:type="paragraph" w:styleId="Title">
    <w:name w:val="Title"/>
    <w:basedOn w:val="Normal"/>
    <w:next w:val="Normal"/>
    <w:link w:val="TitleChar"/>
    <w:uiPriority w:val="10"/>
    <w:qFormat/>
    <w:rsid w:val="009228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8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8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877"/>
    <w:pPr>
      <w:spacing w:before="160"/>
      <w:jc w:val="center"/>
    </w:pPr>
    <w:rPr>
      <w:i/>
      <w:iCs/>
      <w:color w:val="404040" w:themeColor="text1" w:themeTint="BF"/>
    </w:rPr>
  </w:style>
  <w:style w:type="character" w:customStyle="1" w:styleId="QuoteChar">
    <w:name w:val="Quote Char"/>
    <w:basedOn w:val="DefaultParagraphFont"/>
    <w:link w:val="Quote"/>
    <w:uiPriority w:val="29"/>
    <w:rsid w:val="00922877"/>
    <w:rPr>
      <w:i/>
      <w:iCs/>
      <w:color w:val="404040" w:themeColor="text1" w:themeTint="BF"/>
    </w:rPr>
  </w:style>
  <w:style w:type="paragraph" w:styleId="ListParagraph">
    <w:name w:val="List Paragraph"/>
    <w:basedOn w:val="Normal"/>
    <w:uiPriority w:val="34"/>
    <w:qFormat/>
    <w:rsid w:val="00922877"/>
    <w:pPr>
      <w:ind w:left="720"/>
      <w:contextualSpacing/>
    </w:pPr>
  </w:style>
  <w:style w:type="character" w:styleId="IntenseEmphasis">
    <w:name w:val="Intense Emphasis"/>
    <w:basedOn w:val="DefaultParagraphFont"/>
    <w:uiPriority w:val="21"/>
    <w:qFormat/>
    <w:rsid w:val="00922877"/>
    <w:rPr>
      <w:i/>
      <w:iCs/>
      <w:color w:val="0F4761" w:themeColor="accent1" w:themeShade="BF"/>
    </w:rPr>
  </w:style>
  <w:style w:type="paragraph" w:styleId="IntenseQuote">
    <w:name w:val="Intense Quote"/>
    <w:basedOn w:val="Normal"/>
    <w:next w:val="Normal"/>
    <w:link w:val="IntenseQuoteChar"/>
    <w:uiPriority w:val="30"/>
    <w:qFormat/>
    <w:rsid w:val="00922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877"/>
    <w:rPr>
      <w:i/>
      <w:iCs/>
      <w:color w:val="0F4761" w:themeColor="accent1" w:themeShade="BF"/>
    </w:rPr>
  </w:style>
  <w:style w:type="character" w:styleId="IntenseReference">
    <w:name w:val="Intense Reference"/>
    <w:basedOn w:val="DefaultParagraphFont"/>
    <w:uiPriority w:val="32"/>
    <w:qFormat/>
    <w:rsid w:val="00922877"/>
    <w:rPr>
      <w:b/>
      <w:bCs/>
      <w:smallCaps/>
      <w:color w:val="0F4761" w:themeColor="accent1" w:themeShade="BF"/>
      <w:spacing w:val="5"/>
    </w:rPr>
  </w:style>
  <w:style w:type="character" w:styleId="Hyperlink">
    <w:name w:val="Hyperlink"/>
    <w:basedOn w:val="DefaultParagraphFont"/>
    <w:uiPriority w:val="99"/>
    <w:unhideWhenUsed/>
    <w:rsid w:val="00046F97"/>
    <w:rPr>
      <w:color w:val="467886" w:themeColor="hyperlink"/>
      <w:u w:val="single"/>
    </w:rPr>
  </w:style>
  <w:style w:type="character" w:styleId="UnresolvedMention">
    <w:name w:val="Unresolved Mention"/>
    <w:basedOn w:val="DefaultParagraphFont"/>
    <w:uiPriority w:val="99"/>
    <w:semiHidden/>
    <w:unhideWhenUsed/>
    <w:rsid w:val="00046F97"/>
    <w:rPr>
      <w:color w:val="605E5C"/>
      <w:shd w:val="clear" w:color="auto" w:fill="E1DFDD"/>
    </w:rPr>
  </w:style>
  <w:style w:type="paragraph" w:styleId="Header">
    <w:name w:val="header"/>
    <w:basedOn w:val="Normal"/>
    <w:link w:val="HeaderChar"/>
    <w:uiPriority w:val="99"/>
    <w:unhideWhenUsed/>
    <w:rsid w:val="00631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ABA"/>
  </w:style>
  <w:style w:type="paragraph" w:styleId="Footer">
    <w:name w:val="footer"/>
    <w:basedOn w:val="Normal"/>
    <w:link w:val="FooterChar"/>
    <w:uiPriority w:val="99"/>
    <w:unhideWhenUsed/>
    <w:rsid w:val="00631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preventing-type-2-diabetes/risk-factors" TargetMode="External"/><Relationship Id="rId13" Type="http://schemas.openxmlformats.org/officeDocument/2006/relationships/hyperlink" Target="https://www.diabetes.org.uk/guide-to-diabetes/emotions/stres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abetesjournals.org" TargetMode="External"/><Relationship Id="rId12" Type="http://schemas.openxmlformats.org/officeDocument/2006/relationships/hyperlink" Target="https://www.diabetes.org.uk/guide-to-diabetes/life-with-diabetes/smok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guide-to-diabetes/managing-your-diabetes/exercis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diabetes.org.uk/guide-to-diabetes/enjoy-food/eating-with-diabetes/eating-well-type-2" TargetMode="External"/><Relationship Id="rId4" Type="http://schemas.openxmlformats.org/officeDocument/2006/relationships/webSettings" Target="webSettings.xml"/><Relationship Id="rId9" Type="http://schemas.openxmlformats.org/officeDocument/2006/relationships/hyperlink" Target="https://www.diabetes.org.uk/diabetes-symptoms" TargetMode="External"/><Relationship Id="rId14" Type="http://schemas.openxmlformats.org/officeDocument/2006/relationships/hyperlink" Target="https://www.hellolingo.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Leticia Maison</dc:creator>
  <cp:keywords/>
  <dc:description/>
  <cp:lastModifiedBy>Leticia Maison</cp:lastModifiedBy>
  <cp:revision>15</cp:revision>
  <dcterms:created xsi:type="dcterms:W3CDTF">2025-10-17T06:40:00Z</dcterms:created>
  <dcterms:modified xsi:type="dcterms:W3CDTF">2025-11-03T19:57:00Z</dcterms:modified>
</cp:coreProperties>
</file>