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4A37827" w:rsidR="7908378C" w:rsidRDefault="7908378C" w:rsidP="33572C6E">
            <w:pPr>
              <w:ind w:right="237"/>
              <w:rPr>
                <w:b/>
                <w:bCs/>
                <w:color w:val="auto"/>
                <w:sz w:val="32"/>
                <w:szCs w:val="32"/>
              </w:rPr>
            </w:pPr>
            <w:r w:rsidRPr="33572C6E">
              <w:rPr>
                <w:b/>
                <w:bCs/>
                <w:color w:val="auto"/>
                <w:sz w:val="32"/>
                <w:szCs w:val="32"/>
              </w:rPr>
              <w:t>Learner name: ___</w:t>
            </w:r>
            <w:r w:rsidR="00264447">
              <w:rPr>
                <w:b/>
                <w:bCs/>
                <w:color w:val="auto"/>
                <w:sz w:val="32"/>
                <w:szCs w:val="32"/>
              </w:rPr>
              <w:t>Billy Deasy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74BE962" w:rsidR="7908378C" w:rsidRDefault="7908378C" w:rsidP="33572C6E">
            <w:pPr>
              <w:ind w:right="237"/>
              <w:rPr>
                <w:b/>
                <w:bCs/>
                <w:color w:val="auto"/>
                <w:sz w:val="32"/>
                <w:szCs w:val="32"/>
              </w:rPr>
            </w:pPr>
            <w:r w:rsidRPr="33572C6E">
              <w:rPr>
                <w:b/>
                <w:bCs/>
                <w:color w:val="auto"/>
                <w:sz w:val="32"/>
                <w:szCs w:val="32"/>
              </w:rPr>
              <w:t>________</w:t>
            </w:r>
            <w:r w:rsidR="00BC25EF">
              <w:rPr>
                <w:b/>
                <w:bCs/>
                <w:color w:val="auto"/>
                <w:sz w:val="32"/>
                <w:szCs w:val="32"/>
              </w:rPr>
              <w:t>2031219</w:t>
            </w:r>
            <w:r w:rsidRPr="33572C6E">
              <w:rPr>
                <w:b/>
                <w:bCs/>
                <w:color w:val="auto"/>
                <w:sz w:val="32"/>
                <w:szCs w:val="32"/>
              </w:rPr>
              <w:t>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r w:rsidR="00264447" w14:paraId="76921499" w14:textId="77777777" w:rsidTr="33572C6E">
        <w:tc>
          <w:tcPr>
            <w:tcW w:w="9015" w:type="dxa"/>
          </w:tcPr>
          <w:p w14:paraId="74A4EFD8" w14:textId="77777777" w:rsidR="00264447" w:rsidRPr="33572C6E" w:rsidRDefault="00264447" w:rsidP="33572C6E">
            <w:pPr>
              <w:ind w:right="237"/>
              <w:rPr>
                <w:b/>
                <w:bCs/>
                <w:color w:val="auto"/>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2301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42FFBF9F"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When police officers deal with crime related incidents there is always a victim to consider. The victim in these cases could be from many different groups. In some </w:t>
      </w:r>
      <w:proofErr w:type="gramStart"/>
      <w:r w:rsidRPr="00196FF0">
        <w:rPr>
          <w:rFonts w:asciiTheme="minorHAnsi" w:eastAsiaTheme="minorHAnsi" w:hAnsiTheme="minorHAnsi" w:cstheme="minorBidi"/>
          <w:color w:val="auto"/>
          <w:sz w:val="22"/>
          <w:szCs w:val="22"/>
          <w:lang w:val="en-US" w:eastAsia="en-US"/>
        </w:rPr>
        <w:t>cases</w:t>
      </w:r>
      <w:proofErr w:type="gramEnd"/>
      <w:r w:rsidRPr="00196FF0">
        <w:rPr>
          <w:rFonts w:asciiTheme="minorHAnsi" w:eastAsiaTheme="minorHAnsi" w:hAnsiTheme="minorHAnsi" w:cstheme="minorBidi"/>
          <w:color w:val="auto"/>
          <w:sz w:val="22"/>
          <w:szCs w:val="22"/>
          <w:lang w:val="en-US" w:eastAsia="en-US"/>
        </w:rPr>
        <w:t xml:space="preserve"> it may seem that there is no specific victim, such as cases of driving offences and drug offences which do not result in any damage or loss to property or injury or harassment to people. Incidents such as possession of controlled substances where there appear to be no victims still consider that the state is the victim of these crimes. In these </w:t>
      </w:r>
      <w:proofErr w:type="gramStart"/>
      <w:r w:rsidRPr="00196FF0">
        <w:rPr>
          <w:rFonts w:asciiTheme="minorHAnsi" w:eastAsiaTheme="minorHAnsi" w:hAnsiTheme="minorHAnsi" w:cstheme="minorBidi"/>
          <w:color w:val="auto"/>
          <w:sz w:val="22"/>
          <w:szCs w:val="22"/>
          <w:lang w:val="en-US" w:eastAsia="en-US"/>
        </w:rPr>
        <w:t>instances</w:t>
      </w:r>
      <w:proofErr w:type="gramEnd"/>
      <w:r w:rsidRPr="00196FF0">
        <w:rPr>
          <w:rFonts w:asciiTheme="minorHAnsi" w:eastAsiaTheme="minorHAnsi" w:hAnsiTheme="minorHAnsi" w:cstheme="minorBidi"/>
          <w:color w:val="auto"/>
          <w:sz w:val="22"/>
          <w:szCs w:val="22"/>
          <w:lang w:val="en-US" w:eastAsia="en-US"/>
        </w:rPr>
        <w:t xml:space="preserve"> we list the victim as REX and consider the crown to be the victim. </w:t>
      </w:r>
      <w:proofErr w:type="gramStart"/>
      <w:r w:rsidRPr="00196FF0">
        <w:rPr>
          <w:rFonts w:asciiTheme="minorHAnsi" w:eastAsiaTheme="minorHAnsi" w:hAnsiTheme="minorHAnsi" w:cstheme="minorBidi"/>
          <w:color w:val="auto"/>
          <w:sz w:val="22"/>
          <w:szCs w:val="22"/>
          <w:lang w:val="en-US" w:eastAsia="en-US"/>
        </w:rPr>
        <w:t>However</w:t>
      </w:r>
      <w:proofErr w:type="gramEnd"/>
      <w:r w:rsidRPr="00196FF0">
        <w:rPr>
          <w:rFonts w:asciiTheme="minorHAnsi" w:eastAsiaTheme="minorHAnsi" w:hAnsiTheme="minorHAnsi" w:cstheme="minorBidi"/>
          <w:color w:val="auto"/>
          <w:sz w:val="22"/>
          <w:szCs w:val="22"/>
          <w:lang w:val="en-US" w:eastAsia="en-US"/>
        </w:rPr>
        <w:t xml:space="preserve"> in these cases there is no requirement to offer any victim support.</w:t>
      </w:r>
    </w:p>
    <w:p w14:paraId="68670715"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387A60A"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In other </w:t>
      </w:r>
      <w:proofErr w:type="gramStart"/>
      <w:r w:rsidRPr="00196FF0">
        <w:rPr>
          <w:rFonts w:asciiTheme="minorHAnsi" w:eastAsiaTheme="minorHAnsi" w:hAnsiTheme="minorHAnsi" w:cstheme="minorBidi"/>
          <w:color w:val="auto"/>
          <w:sz w:val="22"/>
          <w:szCs w:val="22"/>
          <w:lang w:val="en-US" w:eastAsia="en-US"/>
        </w:rPr>
        <w:t>cases</w:t>
      </w:r>
      <w:proofErr w:type="gramEnd"/>
      <w:r w:rsidRPr="00196FF0">
        <w:rPr>
          <w:rFonts w:asciiTheme="minorHAnsi" w:eastAsiaTheme="minorHAnsi" w:hAnsiTheme="minorHAnsi" w:cstheme="minorBidi"/>
          <w:color w:val="auto"/>
          <w:sz w:val="22"/>
          <w:szCs w:val="22"/>
          <w:lang w:val="en-US" w:eastAsia="en-US"/>
        </w:rPr>
        <w:t xml:space="preserve"> there can be victims such as shops or large companies. These cases usually involve thefts or criminal damage. It can be difficult to consider victim support in these cases as there may be no individuals to offer support to. </w:t>
      </w:r>
      <w:proofErr w:type="gramStart"/>
      <w:r w:rsidRPr="00196FF0">
        <w:rPr>
          <w:rFonts w:asciiTheme="minorHAnsi" w:eastAsiaTheme="minorHAnsi" w:hAnsiTheme="minorHAnsi" w:cstheme="minorBidi"/>
          <w:color w:val="auto"/>
          <w:sz w:val="22"/>
          <w:szCs w:val="22"/>
          <w:lang w:val="en-US" w:eastAsia="en-US"/>
        </w:rPr>
        <w:t>However</w:t>
      </w:r>
      <w:proofErr w:type="gramEnd"/>
      <w:r w:rsidRPr="00196FF0">
        <w:rPr>
          <w:rFonts w:asciiTheme="minorHAnsi" w:eastAsiaTheme="minorHAnsi" w:hAnsiTheme="minorHAnsi" w:cstheme="minorBidi"/>
          <w:color w:val="auto"/>
          <w:sz w:val="22"/>
          <w:szCs w:val="22"/>
          <w:lang w:val="en-US" w:eastAsia="en-US"/>
        </w:rPr>
        <w:t xml:space="preserve"> in these cases we should still consider the victims code and ensure that the victims are aware of their rights as victims of crime and that the victim’s code is followed in regards to victim updates. We will speak more about the victim’s code further in this essay. It is also important to consider that in many cases where a company may be considered as the victim in crimes, there is also an individual, usually an employee who may have had an adverse experience in relation to the crime. These people will often provide statements and make complaints on behalf of the </w:t>
      </w:r>
      <w:proofErr w:type="gramStart"/>
      <w:r w:rsidRPr="00196FF0">
        <w:rPr>
          <w:rFonts w:asciiTheme="minorHAnsi" w:eastAsiaTheme="minorHAnsi" w:hAnsiTheme="minorHAnsi" w:cstheme="minorBidi"/>
          <w:color w:val="auto"/>
          <w:sz w:val="22"/>
          <w:szCs w:val="22"/>
          <w:lang w:val="en-US" w:eastAsia="en-US"/>
        </w:rPr>
        <w:t>company</w:t>
      </w:r>
      <w:proofErr w:type="gramEnd"/>
      <w:r w:rsidRPr="00196FF0">
        <w:rPr>
          <w:rFonts w:asciiTheme="minorHAnsi" w:eastAsiaTheme="minorHAnsi" w:hAnsiTheme="minorHAnsi" w:cstheme="minorBidi"/>
          <w:color w:val="auto"/>
          <w:sz w:val="22"/>
          <w:szCs w:val="22"/>
          <w:lang w:val="en-US" w:eastAsia="en-US"/>
        </w:rPr>
        <w:t xml:space="preserve"> and it should be ensured that they also receive the individual support they require and are considered as victims themselves for this purpose.</w:t>
      </w:r>
    </w:p>
    <w:p w14:paraId="15F9BFAD"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293B14DC"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lastRenderedPageBreak/>
        <w:t xml:space="preserve">The type of victim this essay will concentrate on will be the individual as a victim. These victims are members of the public who have been victims of crime and can be easily identified for support. The incident we will concentrate on involves a female victim of coercive control and common assault within an abusive relationship. This makes them a victim of domestic abuse </w:t>
      </w:r>
      <w:proofErr w:type="gramStart"/>
      <w:r w:rsidRPr="00196FF0">
        <w:rPr>
          <w:rFonts w:asciiTheme="minorHAnsi" w:eastAsiaTheme="minorHAnsi" w:hAnsiTheme="minorHAnsi" w:cstheme="minorBidi"/>
          <w:color w:val="auto"/>
          <w:sz w:val="22"/>
          <w:szCs w:val="22"/>
          <w:lang w:val="en-US" w:eastAsia="en-US"/>
        </w:rPr>
        <w:t>and also</w:t>
      </w:r>
      <w:proofErr w:type="gramEnd"/>
      <w:r w:rsidRPr="00196FF0">
        <w:rPr>
          <w:rFonts w:asciiTheme="minorHAnsi" w:eastAsiaTheme="minorHAnsi" w:hAnsiTheme="minorHAnsi" w:cstheme="minorBidi"/>
          <w:color w:val="auto"/>
          <w:sz w:val="22"/>
          <w:szCs w:val="22"/>
          <w:lang w:val="en-US" w:eastAsia="en-US"/>
        </w:rPr>
        <w:t xml:space="preserve"> requires further support in relation to this which we will touch upon, however we will mainly consider here the support that is provided to all victims and the duties of police officers when working with these victims.</w:t>
      </w:r>
    </w:p>
    <w:p w14:paraId="5A9BFA90"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2CE83A75"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In the incident we will consider, the victim contacted police stating that she had been in a controlling relationship in which her finances had been restricted, the perpetrator had moved himself in to her home without her consent and her phone was regularly monitored. The perpetrator had the victim provide his bank details for </w:t>
      </w:r>
      <w:proofErr w:type="gramStart"/>
      <w:r w:rsidRPr="00196FF0">
        <w:rPr>
          <w:rFonts w:asciiTheme="minorHAnsi" w:eastAsiaTheme="minorHAnsi" w:hAnsiTheme="minorHAnsi" w:cstheme="minorBidi"/>
          <w:color w:val="auto"/>
          <w:sz w:val="22"/>
          <w:szCs w:val="22"/>
          <w:lang w:val="en-US" w:eastAsia="en-US"/>
        </w:rPr>
        <w:t>all of</w:t>
      </w:r>
      <w:proofErr w:type="gramEnd"/>
      <w:r w:rsidRPr="00196FF0">
        <w:rPr>
          <w:rFonts w:asciiTheme="minorHAnsi" w:eastAsiaTheme="minorHAnsi" w:hAnsiTheme="minorHAnsi" w:cstheme="minorBidi"/>
          <w:color w:val="auto"/>
          <w:sz w:val="22"/>
          <w:szCs w:val="22"/>
          <w:lang w:val="en-US" w:eastAsia="en-US"/>
        </w:rPr>
        <w:t xml:space="preserve"> her benefit payments and would make her buy him alcohol regularly. The victim also disclosed that she had been assaulted multiple times over the course of the relationship and that on one occasion where she defended herself the perpetrator had her arrested for assault. Upon checking, there was an extensive history of domestic abuse between the victim and the perpetrator with both parties being reported as both victim and aggressor to the other.</w:t>
      </w:r>
    </w:p>
    <w:p w14:paraId="641773AB"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72BD46CD"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In the initial instance it is the victims right to be understood and to be able to understand the information given to them by officers. In this instance the victim was clearly able to explain her situation and understand what officers explained to her. If there had been any issues in relation to this however, it would have been necessary to provide support. This support could be in the form of a translator had the victim’s first language not been English or if the victim struggled to understand or provide information due to any disabilities or learning difficulties, an appropriate adult could be provided to help the victim. In any case where a victim is considered a child as they are under 18 years of age, an appropriate adult would be required for a case to be progressed. This allows for all victims to be able to adequately report crimes in most cases, however at times, particularly in the instance of children providing evidence this can result in some victims being reluctant to provide complete evidence in the presence of the appropriate adult, especially where this may be a parent. This should be considered when deciding upon an appropriate adult, but sometimes can be unavoidable due to the child’s age or reluctance to provide evidence without a </w:t>
      </w:r>
      <w:proofErr w:type="gramStart"/>
      <w:r w:rsidRPr="00196FF0">
        <w:rPr>
          <w:rFonts w:asciiTheme="minorHAnsi" w:eastAsiaTheme="minorHAnsi" w:hAnsiTheme="minorHAnsi" w:cstheme="minorBidi"/>
          <w:color w:val="auto"/>
          <w:sz w:val="22"/>
          <w:szCs w:val="22"/>
          <w:lang w:val="en-US" w:eastAsia="en-US"/>
        </w:rPr>
        <w:t>parents</w:t>
      </w:r>
      <w:proofErr w:type="gramEnd"/>
      <w:r w:rsidRPr="00196FF0">
        <w:rPr>
          <w:rFonts w:asciiTheme="minorHAnsi" w:eastAsiaTheme="minorHAnsi" w:hAnsiTheme="minorHAnsi" w:cstheme="minorBidi"/>
          <w:color w:val="auto"/>
          <w:sz w:val="22"/>
          <w:szCs w:val="22"/>
          <w:lang w:val="en-US" w:eastAsia="en-US"/>
        </w:rPr>
        <w:t xml:space="preserve"> presence. </w:t>
      </w:r>
    </w:p>
    <w:p w14:paraId="625224F3"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04606F7F"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Once officers have established the circumstances with the victim and a crime is evident the crime should be recorded as expediently as possible in accordance with victim’s rights under the victim’s code. In most cases this will include taking a statement from the victim documenting their experience and their intention to support a prosecution case against the victim. When taking a </w:t>
      </w:r>
      <w:proofErr w:type="gramStart"/>
      <w:r w:rsidRPr="00196FF0">
        <w:rPr>
          <w:rFonts w:asciiTheme="minorHAnsi" w:eastAsiaTheme="minorHAnsi" w:hAnsiTheme="minorHAnsi" w:cstheme="minorBidi"/>
          <w:color w:val="auto"/>
          <w:sz w:val="22"/>
          <w:szCs w:val="22"/>
          <w:lang w:val="en-US" w:eastAsia="en-US"/>
        </w:rPr>
        <w:t>statement</w:t>
      </w:r>
      <w:proofErr w:type="gramEnd"/>
      <w:r w:rsidRPr="00196FF0">
        <w:rPr>
          <w:rFonts w:asciiTheme="minorHAnsi" w:eastAsiaTheme="minorHAnsi" w:hAnsiTheme="minorHAnsi" w:cstheme="minorBidi"/>
          <w:color w:val="auto"/>
          <w:sz w:val="22"/>
          <w:szCs w:val="22"/>
          <w:lang w:val="en-US" w:eastAsia="en-US"/>
        </w:rPr>
        <w:t xml:space="preserve"> it is a requirement for officers to complete a form documenting the victims needs and requirements. These will include the victim’s willingness to attend court in relation to the incident as well as if they believe they will need any special measures to give their best evidence in court. Officers must also check the victim’s consent to provide medical information to police and their willingness for their statement to be provided to other parties in relation to court or any further civil proceedings. They will also be offered the opportunity to provide a victim personal statement at this time. The victim in our considered incident provided a statement supporting police action and was willing to attend court. She did not wish to ask for any special measures as she wanted to provide </w:t>
      </w:r>
      <w:r w:rsidRPr="00196FF0">
        <w:rPr>
          <w:rFonts w:asciiTheme="minorHAnsi" w:eastAsiaTheme="minorHAnsi" w:hAnsiTheme="minorHAnsi" w:cstheme="minorBidi"/>
          <w:color w:val="auto"/>
          <w:sz w:val="22"/>
          <w:szCs w:val="22"/>
          <w:lang w:val="en-US" w:eastAsia="en-US"/>
        </w:rPr>
        <w:lastRenderedPageBreak/>
        <w:t>evidence to the court without any restriction and wanted to do this in the presence of the perpetrator to show she was finished with the relationship and that she no longer feared him.</w:t>
      </w:r>
    </w:p>
    <w:p w14:paraId="02A2203A"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20BAF051"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The issue with the expedient report of crime in this manner usually come in the form of intoxication. It is quite common for crimes to be reported while the victim is intoxicated. This can be detrimental to the victim’s ability to report the crime accurately. This can cause conflict with the victim’s right to be understood and understand information and needs to be balanced by the </w:t>
      </w:r>
      <w:proofErr w:type="gramStart"/>
      <w:r w:rsidRPr="00196FF0">
        <w:rPr>
          <w:rFonts w:asciiTheme="minorHAnsi" w:eastAsiaTheme="minorHAnsi" w:hAnsiTheme="minorHAnsi" w:cstheme="minorBidi"/>
          <w:color w:val="auto"/>
          <w:sz w:val="22"/>
          <w:szCs w:val="22"/>
          <w:lang w:val="en-US" w:eastAsia="en-US"/>
        </w:rPr>
        <w:t>officers</w:t>
      </w:r>
      <w:proofErr w:type="gramEnd"/>
      <w:r w:rsidRPr="00196FF0">
        <w:rPr>
          <w:rFonts w:asciiTheme="minorHAnsi" w:eastAsiaTheme="minorHAnsi" w:hAnsiTheme="minorHAnsi" w:cstheme="minorBidi"/>
          <w:color w:val="auto"/>
          <w:sz w:val="22"/>
          <w:szCs w:val="22"/>
          <w:lang w:val="en-US" w:eastAsia="en-US"/>
        </w:rPr>
        <w:t xml:space="preserve"> present to consider whether a statement should be taken at the time or if an initial account and report should be taken and a full statement taken when the victim is more able to express their views and wishes and be understood by officers when explaining the circumstances.</w:t>
      </w:r>
    </w:p>
    <w:p w14:paraId="3EA22374"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6D36E351"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The victim has a right to provide a victim personal statement which can be read in court if they wish, either by themselves or by somebody else on their behalf. This right is also outlined in the victim’s code. This statement provides the victim with the opportunity to explain how the crimes committed against them have </w:t>
      </w:r>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them. This can include how their daily lives have been </w:t>
      </w:r>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as well as emotional or physical effects. The victim can say here anything they wish in relation to what effect being a victim has had on them. In the incident we are considering here the victim did not wish to provide a victim personal statement as she felt she had said all she wanted to in her victim statement. Officers informed her that she could change her mind and provide a victim personal statement later if she felt she needed to or if the incident had </w:t>
      </w:r>
      <w:proofErr w:type="spellStart"/>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her</w:t>
      </w:r>
      <w:proofErr w:type="spellEnd"/>
      <w:r w:rsidRPr="00196FF0">
        <w:rPr>
          <w:rFonts w:asciiTheme="minorHAnsi" w:eastAsiaTheme="minorHAnsi" w:hAnsiTheme="minorHAnsi" w:cstheme="minorBidi"/>
          <w:color w:val="auto"/>
          <w:sz w:val="22"/>
          <w:szCs w:val="22"/>
          <w:lang w:val="en-US" w:eastAsia="en-US"/>
        </w:rPr>
        <w:t xml:space="preserve"> in any other ways which she had not realized at the time immediately after reporting the incident.</w:t>
      </w:r>
    </w:p>
    <w:p w14:paraId="6DBB93E2"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0252FE0"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It is important that at this time officers provide victims with information in relation to what support they can receive. In all cases where a victim is identified the victim should be offered a victim support referral. This is a form officers fill in for victims which gets emailed to victim support so they can </w:t>
      </w:r>
      <w:proofErr w:type="gramStart"/>
      <w:r w:rsidRPr="00196FF0">
        <w:rPr>
          <w:rFonts w:asciiTheme="minorHAnsi" w:eastAsiaTheme="minorHAnsi" w:hAnsiTheme="minorHAnsi" w:cstheme="minorBidi"/>
          <w:color w:val="auto"/>
          <w:sz w:val="22"/>
          <w:szCs w:val="22"/>
          <w:lang w:val="en-US" w:eastAsia="en-US"/>
        </w:rPr>
        <w:t>make contact with</w:t>
      </w:r>
      <w:proofErr w:type="gramEnd"/>
      <w:r w:rsidRPr="00196FF0">
        <w:rPr>
          <w:rFonts w:asciiTheme="minorHAnsi" w:eastAsiaTheme="minorHAnsi" w:hAnsiTheme="minorHAnsi" w:cstheme="minorBidi"/>
          <w:color w:val="auto"/>
          <w:sz w:val="22"/>
          <w:szCs w:val="22"/>
          <w:lang w:val="en-US" w:eastAsia="en-US"/>
        </w:rPr>
        <w:t xml:space="preserve"> the victim to help them in offering the support they need or directing them to where support is available. Victims must consent to this form being sent, which in this case they did. Victims also have the right to be informed of measures they can take regarding compensation for any loss suffered or injury caused as a result of a crime. The victim in this case did not wish to claim any compensation and stated that she just wanted things to be over.</w:t>
      </w:r>
    </w:p>
    <w:p w14:paraId="3DAA7812"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FCD2042"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Dependent on the victim, if they are vulnerable officers should also consider providing a public protection notification. In this case, as the victim of domestic abuse this was provided. The victim should be asked for their consent in relation to the submission of this, however this can be shared against the wishes of the victim if it is deemed necessary. A public protection notification is a document which can be shared across multiple agencies, such as </w:t>
      </w:r>
      <w:r w:rsidRPr="00196FF0">
        <w:rPr>
          <w:rFonts w:asciiTheme="minorHAnsi" w:eastAsiaTheme="minorHAnsi" w:hAnsiTheme="minorHAnsi" w:cstheme="minorBidi"/>
          <w:i/>
          <w:iCs/>
          <w:color w:val="auto"/>
          <w:sz w:val="22"/>
          <w:szCs w:val="22"/>
          <w:lang w:val="en-US" w:eastAsia="en-US"/>
        </w:rPr>
        <w:t>citizens advice; social services; mental health, bereavement and relationship counsellors; and medical practitioners (Bryant and Bryant, 2021)</w:t>
      </w:r>
      <w:r w:rsidRPr="00196FF0">
        <w:rPr>
          <w:rFonts w:asciiTheme="minorHAnsi" w:eastAsiaTheme="minorHAnsi" w:hAnsiTheme="minorHAnsi" w:cstheme="minorBidi"/>
          <w:color w:val="auto"/>
          <w:sz w:val="22"/>
          <w:szCs w:val="22"/>
          <w:lang w:val="en-US" w:eastAsia="en-US"/>
        </w:rPr>
        <w:t xml:space="preserve"> to ensure a victim receives any support they require and that agencies are aware of any dangers present to give the best chance of preventing any further suffering by the victim. In this case a public protection notification was provided detailing the experiences of the victim and her responses to the 29 questions asked of domestic abuse victims to establish the severity and risk level they face in relation to the abuse suffered. In this case officers also provided the victim with a card </w:t>
      </w:r>
      <w:r w:rsidRPr="00196FF0">
        <w:rPr>
          <w:rFonts w:asciiTheme="minorHAnsi" w:eastAsiaTheme="minorHAnsi" w:hAnsiTheme="minorHAnsi" w:cstheme="minorBidi"/>
          <w:color w:val="auto"/>
          <w:sz w:val="22"/>
          <w:szCs w:val="22"/>
          <w:lang w:val="en-US" w:eastAsia="en-US"/>
        </w:rPr>
        <w:lastRenderedPageBreak/>
        <w:t xml:space="preserve">detailing contact information for Live Fear Free, an independent service providing advice to </w:t>
      </w:r>
      <w:proofErr w:type="spellStart"/>
      <w:r w:rsidRPr="00196FF0">
        <w:rPr>
          <w:rFonts w:asciiTheme="minorHAnsi" w:eastAsiaTheme="minorHAnsi" w:hAnsiTheme="minorHAnsi" w:cstheme="minorBidi"/>
          <w:color w:val="auto"/>
          <w:sz w:val="22"/>
          <w:szCs w:val="22"/>
          <w:lang w:val="en-US" w:eastAsia="en-US"/>
        </w:rPr>
        <w:t>victim’s</w:t>
      </w:r>
      <w:proofErr w:type="spellEnd"/>
      <w:r w:rsidRPr="00196FF0">
        <w:rPr>
          <w:rFonts w:asciiTheme="minorHAnsi" w:eastAsiaTheme="minorHAnsi" w:hAnsiTheme="minorHAnsi" w:cstheme="minorBidi"/>
          <w:color w:val="auto"/>
          <w:sz w:val="22"/>
          <w:szCs w:val="22"/>
          <w:lang w:val="en-US" w:eastAsia="en-US"/>
        </w:rPr>
        <w:t xml:space="preserve"> of domestic abuse, and encouraged to make contact with them.</w:t>
      </w:r>
    </w:p>
    <w:p w14:paraId="0B5B5607"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9FFFA0C"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Unfortunately officers are not always made aware of what support a victim is receiving and due to heavy workloads are often unable to check up on victims until they are informing them of developments. This could result in some victims not receiving adequate support between these developments and officers not being aware that this is the case.</w:t>
      </w:r>
    </w:p>
    <w:p w14:paraId="7C287E57"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3883C398"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As part of the </w:t>
      </w:r>
      <w:proofErr w:type="spellStart"/>
      <w:r w:rsidRPr="00196FF0">
        <w:rPr>
          <w:rFonts w:asciiTheme="minorHAnsi" w:eastAsiaTheme="minorHAnsi" w:hAnsiTheme="minorHAnsi" w:cstheme="minorBidi"/>
          <w:color w:val="auto"/>
          <w:sz w:val="22"/>
          <w:szCs w:val="22"/>
          <w:lang w:val="en-US" w:eastAsia="en-US"/>
        </w:rPr>
        <w:t>victims</w:t>
      </w:r>
      <w:proofErr w:type="spellEnd"/>
      <w:r w:rsidRPr="00196FF0">
        <w:rPr>
          <w:rFonts w:asciiTheme="minorHAnsi" w:eastAsiaTheme="minorHAnsi" w:hAnsiTheme="minorHAnsi" w:cstheme="minorBidi"/>
          <w:color w:val="auto"/>
          <w:sz w:val="22"/>
          <w:szCs w:val="22"/>
          <w:lang w:val="en-US" w:eastAsia="en-US"/>
        </w:rPr>
        <w:t xml:space="preserve"> rights they are to be informed of any developments in the investigation. This tends to be at milestone moments such as the perpetrator being arrested, bail conditions placed upon the perpetrator or if the decision is made not to take action against the perpetrator as well as other major developments. This contact also provides officers to check the ongoing welfare of the victim and to ensure they are getting the support they need. In the case we are considering officers confirmed with the victim that she had been contacted by </w:t>
      </w:r>
      <w:proofErr w:type="spellStart"/>
      <w:r w:rsidRPr="00196FF0">
        <w:rPr>
          <w:rFonts w:asciiTheme="minorHAnsi" w:eastAsiaTheme="minorHAnsi" w:hAnsiTheme="minorHAnsi" w:cstheme="minorBidi"/>
          <w:color w:val="auto"/>
          <w:sz w:val="22"/>
          <w:szCs w:val="22"/>
          <w:lang w:val="en-US" w:eastAsia="en-US"/>
        </w:rPr>
        <w:t>a</w:t>
      </w:r>
      <w:proofErr w:type="spellEnd"/>
      <w:r w:rsidRPr="00196FF0">
        <w:rPr>
          <w:rFonts w:asciiTheme="minorHAnsi" w:eastAsiaTheme="minorHAnsi" w:hAnsiTheme="minorHAnsi" w:cstheme="minorBidi"/>
          <w:color w:val="auto"/>
          <w:sz w:val="22"/>
          <w:szCs w:val="22"/>
          <w:lang w:val="en-US" w:eastAsia="en-US"/>
        </w:rPr>
        <w:t xml:space="preserve"> Independent Domestic Violence Advisor who was supporting her and had also made contact with women’s aid and contacted the live fear free phoneline. She stated that she had been offered a place in a women’s refuge however she opted not to take this and to stay at her home address.</w:t>
      </w:r>
    </w:p>
    <w:p w14:paraId="31F37EF4"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655A1D39"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This victim was also entitled to an enhanced service which means they are to be updated of developments within 1 day as opposed to the usual 5 days. The eligibility for this is because they are considered vulnerable or intimidated, they are persistently targeted or they are a victim of the most serious crime. These are:</w:t>
      </w:r>
    </w:p>
    <w:p w14:paraId="55DF2A48" w14:textId="4D5F636D" w:rsidR="00196FF0" w:rsidRDefault="00196FF0" w:rsidP="00196FF0">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r w:rsidRPr="00196FF0">
        <w:rPr>
          <w:rFonts w:asciiTheme="minorHAnsi" w:eastAsiaTheme="minorHAnsi" w:hAnsiTheme="minorHAnsi" w:cstheme="minorBidi"/>
          <w:i/>
          <w:iCs/>
          <w:color w:val="auto"/>
          <w:sz w:val="22"/>
          <w:szCs w:val="22"/>
          <w:lang w:eastAsia="en-US"/>
        </w:rPr>
        <w:t>If you are a close relative bereaved by a criminal offence, a victim of domestic abuse, hate crime, terrorism, sexual offences, human trafficking, modern slavery, attempted murder, kidnap, false imprisonment, arson with intent to endanger life and wounding or causing grievous bodily harm with intent. (Victim’s C ode, November 2020)</w:t>
      </w:r>
    </w:p>
    <w:p w14:paraId="6BDB0BC5" w14:textId="77777777" w:rsidR="00FF482F" w:rsidRPr="00196FF0" w:rsidRDefault="00FF482F" w:rsidP="00196FF0">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p>
    <w:p w14:paraId="6D65FFEB"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Victims also have the right to ask that decisions are reviewed during an investigation if they are unhappy with the decisions made. For police this is most likely to happen if a decision is made to not pursue further action against a perpetrator.</w:t>
      </w:r>
    </w:p>
    <w:p w14:paraId="7D17CC8F"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50F8343" w14:textId="77777777" w:rsidR="00196FF0" w:rsidRPr="00196FF0" w:rsidRDefault="00196FF0" w:rsidP="00196FF0">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It is also important to consider a victim when gathering evidence to support a prosecution. Where evidence can be seized from a suspect in relation to a crime, a victim must willingly provide evidence. In some </w:t>
      </w:r>
      <w:proofErr w:type="gramStart"/>
      <w:r w:rsidRPr="00196FF0">
        <w:rPr>
          <w:rFonts w:asciiTheme="minorHAnsi" w:eastAsiaTheme="minorHAnsi" w:hAnsiTheme="minorHAnsi" w:cstheme="minorBidi"/>
          <w:color w:val="auto"/>
          <w:sz w:val="22"/>
          <w:szCs w:val="22"/>
          <w:lang w:val="en-US" w:eastAsia="en-US"/>
        </w:rPr>
        <w:t>cases</w:t>
      </w:r>
      <w:proofErr w:type="gramEnd"/>
      <w:r w:rsidRPr="00196FF0">
        <w:rPr>
          <w:rFonts w:asciiTheme="minorHAnsi" w:eastAsiaTheme="minorHAnsi" w:hAnsiTheme="minorHAnsi" w:cstheme="minorBidi"/>
          <w:color w:val="auto"/>
          <w:sz w:val="22"/>
          <w:szCs w:val="22"/>
          <w:lang w:val="en-US" w:eastAsia="en-US"/>
        </w:rPr>
        <w:t xml:space="preserve"> this can cause issues. For example, in this case evidence was required in relation to coercive control which was on the victim’s phone. Had the victim provided her phone at this time she would have had no means of contacting police had the perpetrator returned to her property. The perpetrator was not at the address when officers arrived and so could not be arrested straight away which posed a risk to the victim. It was then arranged for the victim to attend at the station at a time pre-arranged for her phone to be downloaded quickly so that she could then keep it with her when she left the station and thus reduce the level of risk to the victim.</w:t>
      </w:r>
    </w:p>
    <w:p w14:paraId="681AC1AB" w14:textId="2401104A" w:rsidR="69F7424F" w:rsidRDefault="69F7424F" w:rsidP="00196FF0">
      <w:pPr>
        <w:overflowPunct/>
        <w:autoSpaceDE/>
        <w:autoSpaceDN/>
        <w:adjustRightInd/>
        <w:textAlignment w:val="auto"/>
        <w:rPr>
          <w:b/>
          <w:bCs/>
          <w:sz w:val="24"/>
          <w:szCs w:val="24"/>
        </w:rPr>
      </w:pPr>
    </w:p>
    <w:p w14:paraId="57DAA3A6" w14:textId="79C4FD0E" w:rsidR="00691C09" w:rsidRDefault="00691C09" w:rsidP="00196FF0">
      <w:pPr>
        <w:overflowPunct/>
        <w:autoSpaceDE/>
        <w:autoSpaceDN/>
        <w:adjustRightInd/>
        <w:textAlignment w:val="auto"/>
        <w:rPr>
          <w:b/>
          <w:bCs/>
          <w:sz w:val="24"/>
          <w:szCs w:val="24"/>
        </w:rPr>
      </w:pPr>
    </w:p>
    <w:p w14:paraId="152CF58E" w14:textId="00BC3E97" w:rsidR="00691C09" w:rsidRPr="00196FF0" w:rsidRDefault="00691C09" w:rsidP="00196FF0">
      <w:pPr>
        <w:overflowPunct/>
        <w:autoSpaceDE/>
        <w:autoSpaceDN/>
        <w:adjustRightInd/>
        <w:textAlignment w:val="auto"/>
        <w:rPr>
          <w:b/>
          <w:bCs/>
          <w:sz w:val="24"/>
          <w:szCs w:val="24"/>
        </w:rPr>
      </w:pPr>
      <w:r>
        <w:rPr>
          <w:b/>
          <w:bCs/>
          <w:sz w:val="24"/>
          <w:szCs w:val="24"/>
        </w:rPr>
        <w:t>2105</w:t>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9DDDEA1"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All crimes dealt with by police officer need to be considered on an individual basis and have their own challenges however domestic abuse cases require further consideration than most and often are more complex in nature. In this essay we will discuss the challenges faced by officers when dealing with an incident involving domestic abuse. </w:t>
      </w:r>
      <w:proofErr w:type="gramStart"/>
      <w:r w:rsidRPr="00E413B3">
        <w:rPr>
          <w:rFonts w:asciiTheme="minorHAnsi" w:eastAsiaTheme="minorHAnsi" w:hAnsiTheme="minorHAnsi" w:cstheme="minorBidi"/>
          <w:color w:val="auto"/>
          <w:sz w:val="22"/>
          <w:szCs w:val="22"/>
          <w:lang w:val="en-US" w:eastAsia="en-US"/>
        </w:rPr>
        <w:t>In particular we</w:t>
      </w:r>
      <w:proofErr w:type="gramEnd"/>
      <w:r w:rsidRPr="00E413B3">
        <w:rPr>
          <w:rFonts w:asciiTheme="minorHAnsi" w:eastAsiaTheme="minorHAnsi" w:hAnsiTheme="minorHAnsi" w:cstheme="minorBidi"/>
          <w:color w:val="auto"/>
          <w:sz w:val="22"/>
          <w:szCs w:val="22"/>
          <w:lang w:val="en-US" w:eastAsia="en-US"/>
        </w:rPr>
        <w:t xml:space="preserve"> will consider an incident of domestic assault which occurred between a victim and a perpetrator following a verbal argument.</w:t>
      </w:r>
    </w:p>
    <w:p w14:paraId="4FB2AE7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4DCCFBF"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In this incident the victim called police in fear after going through a verbal argument with the perpetrator, who was her partner. During this argument, the perpetrator threatened the victim and caused her to fear for her safety. As a result of this, she contacted police in the hope that this would calm the situation down and the perpetrator would leave her alone. Instead, once the phone call was ended the perpetrator grabbed the victim by the wrist and threw her to the floor. Police arrived shortly after this.</w:t>
      </w:r>
    </w:p>
    <w:p w14:paraId="761AA029"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767F3390"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One of the most common challenges which is common upon officers’ arrival to a domestic incident which is not so common elsewhere is that, despite the victim calling for police attendance, they do not wish for officers to be there when they arrive. This explains the reasoning behind the victim in this case calling for police in the hope that it would calm the situation down. It is a regular occurrence for domestic abuse victims to do this to use police to stop situations from escalating. In the incident we are considering this was not an issue as the victim was happy to see police as the situation escalated after she made the call.</w:t>
      </w:r>
    </w:p>
    <w:p w14:paraId="08EA0018"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4125809"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It is normal practice in most incidents to separate the perpetrator from the victim to take each party’s account separately to ascertain what has </w:t>
      </w:r>
      <w:proofErr w:type="gramStart"/>
      <w:r w:rsidRPr="00E413B3">
        <w:rPr>
          <w:rFonts w:asciiTheme="minorHAnsi" w:eastAsiaTheme="minorHAnsi" w:hAnsiTheme="minorHAnsi" w:cstheme="minorBidi"/>
          <w:color w:val="auto"/>
          <w:sz w:val="22"/>
          <w:szCs w:val="22"/>
          <w:lang w:val="en-US" w:eastAsia="en-US"/>
        </w:rPr>
        <w:t>actually happened</w:t>
      </w:r>
      <w:proofErr w:type="gramEnd"/>
      <w:r w:rsidRPr="00E413B3">
        <w:rPr>
          <w:rFonts w:asciiTheme="minorHAnsi" w:eastAsiaTheme="minorHAnsi" w:hAnsiTheme="minorHAnsi" w:cstheme="minorBidi"/>
          <w:color w:val="auto"/>
          <w:sz w:val="22"/>
          <w:szCs w:val="22"/>
          <w:lang w:val="en-US" w:eastAsia="en-US"/>
        </w:rPr>
        <w:t>. It is not always clear on officers’ arrival who is the victim and who is the perpetrator. In a domestic incident this is essential as not only is it important to get an idea of what each party is stating happened it is also less likely that without separation the victim will be less likely to tell the police what has happened. This is usually a result of fear of the consequences they will face from the perpetrator for reporting what has happened and feeling that they have no way of escaping the abuse.</w:t>
      </w:r>
    </w:p>
    <w:p w14:paraId="1EC81768"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7D36A4DA"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It is also police policy to always use body worn video when attending a domestic abuse call. It is quite common for victims of domestic abuse to refuse to support police action even if they are willing to tell police what they have experienced. This is often reflected in the statements they provide following an incident where they will either refuse to give a statement of complaint or state that they are not willing to attend court and will not engage with officers further. For this </w:t>
      </w:r>
      <w:proofErr w:type="gramStart"/>
      <w:r w:rsidRPr="00E413B3">
        <w:rPr>
          <w:rFonts w:asciiTheme="minorHAnsi" w:eastAsiaTheme="minorHAnsi" w:hAnsiTheme="minorHAnsi" w:cstheme="minorBidi"/>
          <w:color w:val="auto"/>
          <w:sz w:val="22"/>
          <w:szCs w:val="22"/>
          <w:lang w:val="en-US" w:eastAsia="en-US"/>
        </w:rPr>
        <w:t>reason</w:t>
      </w:r>
      <w:proofErr w:type="gramEnd"/>
      <w:r w:rsidRPr="00E413B3">
        <w:rPr>
          <w:rFonts w:asciiTheme="minorHAnsi" w:eastAsiaTheme="minorHAnsi" w:hAnsiTheme="minorHAnsi" w:cstheme="minorBidi"/>
          <w:color w:val="auto"/>
          <w:sz w:val="22"/>
          <w:szCs w:val="22"/>
          <w:lang w:val="en-US" w:eastAsia="en-US"/>
        </w:rPr>
        <w:t xml:space="preserve"> it is useful for officers to have a record of what they have initially seen upon attending the call and any disclosure that the victim may have given before refusing to help officers with their investigation. </w:t>
      </w:r>
      <w:r w:rsidRPr="00E413B3">
        <w:rPr>
          <w:rFonts w:asciiTheme="minorHAnsi" w:eastAsiaTheme="minorHAnsi" w:hAnsiTheme="minorHAnsi" w:cstheme="minorBidi"/>
          <w:color w:val="auto"/>
          <w:sz w:val="22"/>
          <w:szCs w:val="22"/>
          <w:lang w:val="en-US" w:eastAsia="en-US"/>
        </w:rPr>
        <w:lastRenderedPageBreak/>
        <w:t>Domestic abuse cases can be prosecuted without the support of victims as a result of the unique circumstances surrounding them. This is so that the victim can be protected where they may not recognize the abuse they are suffering or feel trapped in the abusive relationship and fearful. In many cases they simply do not wish for action to be taken as they state they are in love with the person and believe the abuse to be a flaw in their partner which they can move past or live with.</w:t>
      </w:r>
    </w:p>
    <w:p w14:paraId="345F489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6718DF8"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It is because of these issues with victims engaging with officers that it is essential that even in the event of nothing being reported, a public protection notification should be submitted to inform partner agencies who may be better placed to assist the victim in managing their relationship and coming to </w:t>
      </w:r>
      <w:proofErr w:type="spellStart"/>
      <w:r w:rsidRPr="00E413B3">
        <w:rPr>
          <w:rFonts w:asciiTheme="minorHAnsi" w:eastAsiaTheme="minorHAnsi" w:hAnsiTheme="minorHAnsi" w:cstheme="minorBidi"/>
          <w:color w:val="auto"/>
          <w:sz w:val="22"/>
          <w:szCs w:val="22"/>
          <w:lang w:val="en-US" w:eastAsia="en-US"/>
        </w:rPr>
        <w:t>realise</w:t>
      </w:r>
      <w:proofErr w:type="spellEnd"/>
      <w:r w:rsidRPr="00E413B3">
        <w:rPr>
          <w:rFonts w:asciiTheme="minorHAnsi" w:eastAsiaTheme="minorHAnsi" w:hAnsiTheme="minorHAnsi" w:cstheme="minorBidi"/>
          <w:color w:val="auto"/>
          <w:sz w:val="22"/>
          <w:szCs w:val="22"/>
          <w:lang w:val="en-US" w:eastAsia="en-US"/>
        </w:rPr>
        <w:t xml:space="preserve"> the issues they are facing. Often victims will report things to other agencies that they would not tell police officers. The domestic abuse and sexual harassment section of the public protection notification is an important tool used to assess the risk posed to victims to aid in determining the necessary support to provide the victim. One of the biggest issues with this is that the </w:t>
      </w:r>
      <w:proofErr w:type="gramStart"/>
      <w:r w:rsidRPr="00E413B3">
        <w:rPr>
          <w:rFonts w:asciiTheme="minorHAnsi" w:eastAsiaTheme="minorHAnsi" w:hAnsiTheme="minorHAnsi" w:cstheme="minorBidi"/>
          <w:color w:val="auto"/>
          <w:sz w:val="22"/>
          <w:szCs w:val="22"/>
          <w:lang w:val="en-US" w:eastAsia="en-US"/>
        </w:rPr>
        <w:t>twenty nine</w:t>
      </w:r>
      <w:proofErr w:type="gramEnd"/>
      <w:r w:rsidRPr="00E413B3">
        <w:rPr>
          <w:rFonts w:asciiTheme="minorHAnsi" w:eastAsiaTheme="minorHAnsi" w:hAnsiTheme="minorHAnsi" w:cstheme="minorBidi"/>
          <w:color w:val="auto"/>
          <w:sz w:val="22"/>
          <w:szCs w:val="22"/>
          <w:lang w:val="en-US" w:eastAsia="en-US"/>
        </w:rPr>
        <w:t xml:space="preserve"> questions require that the victim engages to answer them and a victim who is already unwilling to engage to report the details of an incident to officers is highly unlikely to engage in answering these questions. Regardless, the report should be submitted with as much information as the officer is able to gather.</w:t>
      </w:r>
    </w:p>
    <w:p w14:paraId="0D604242"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0DA8550"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In the incident we are considering the victim initially engaged with officers and gave them a disclosure of what had happened resulting in the arrest of the perpetrator. </w:t>
      </w:r>
      <w:proofErr w:type="gramStart"/>
      <w:r w:rsidRPr="00E413B3">
        <w:rPr>
          <w:rFonts w:asciiTheme="minorHAnsi" w:eastAsiaTheme="minorHAnsi" w:hAnsiTheme="minorHAnsi" w:cstheme="minorBidi"/>
          <w:color w:val="auto"/>
          <w:sz w:val="22"/>
          <w:szCs w:val="22"/>
          <w:lang w:val="en-US" w:eastAsia="en-US"/>
        </w:rPr>
        <w:t>However</w:t>
      </w:r>
      <w:proofErr w:type="gramEnd"/>
      <w:r w:rsidRPr="00E413B3">
        <w:rPr>
          <w:rFonts w:asciiTheme="minorHAnsi" w:eastAsiaTheme="minorHAnsi" w:hAnsiTheme="minorHAnsi" w:cstheme="minorBidi"/>
          <w:color w:val="auto"/>
          <w:sz w:val="22"/>
          <w:szCs w:val="22"/>
          <w:lang w:val="en-US" w:eastAsia="en-US"/>
        </w:rPr>
        <w:t xml:space="preserve"> when officers attempted to take a statement, the victim declared that she was in fear of what the perpetrator would do and refused to provide a full statement of complaint and stated that she was not willing to attend court. She also declined when officers asked to refer her to victim support and refused to answer the </w:t>
      </w:r>
      <w:proofErr w:type="gramStart"/>
      <w:r w:rsidRPr="00E413B3">
        <w:rPr>
          <w:rFonts w:asciiTheme="minorHAnsi" w:eastAsiaTheme="minorHAnsi" w:hAnsiTheme="minorHAnsi" w:cstheme="minorBidi"/>
          <w:color w:val="auto"/>
          <w:sz w:val="22"/>
          <w:szCs w:val="22"/>
          <w:lang w:val="en-US" w:eastAsia="en-US"/>
        </w:rPr>
        <w:t>twenty nine</w:t>
      </w:r>
      <w:proofErr w:type="gramEnd"/>
      <w:r w:rsidRPr="00E413B3">
        <w:rPr>
          <w:rFonts w:asciiTheme="minorHAnsi" w:eastAsiaTheme="minorHAnsi" w:hAnsiTheme="minorHAnsi" w:cstheme="minorBidi"/>
          <w:color w:val="auto"/>
          <w:sz w:val="22"/>
          <w:szCs w:val="22"/>
          <w:lang w:val="en-US" w:eastAsia="en-US"/>
        </w:rPr>
        <w:t xml:space="preserve"> questions for the public protection notification. Due to the earlier disclosure, officers were still able to update the public protection report with a large amount of detail which would provide a lot of information for partner agencies to agree on an appropriate program of support for the victim.</w:t>
      </w:r>
    </w:p>
    <w:p w14:paraId="1A3935C4"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FD062AB"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Another issue which becomes a problem with domestic abuse cases is that even after a perpetrator has been arrested, such as in this case, once they are released from custody the victim will take them back. Sometimes this is even in direct violation of bail conditions. This is a very big problem as bail conditions can often be a great help in protecting victims as it can make it an offence for perpetrators to contact victims. In a lot of domestic cases however, the victims will often be apologetic towards the perpetrator and make contact themselves. This will often result in further incidents and in some cases withdrawal of complaints.</w:t>
      </w:r>
    </w:p>
    <w:p w14:paraId="1865F205"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A0270A0"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A unique approach which can be used in many domestic abuse cases is a domestic abuse protection order. Initially police can impose a domestic abuse protection notice which will prohibit the offender from attending the victim’s home or contacting the victim for </w:t>
      </w:r>
      <w:proofErr w:type="gramStart"/>
      <w:r w:rsidRPr="00E413B3">
        <w:rPr>
          <w:rFonts w:asciiTheme="minorHAnsi" w:eastAsiaTheme="minorHAnsi" w:hAnsiTheme="minorHAnsi" w:cstheme="minorBidi"/>
          <w:color w:val="auto"/>
          <w:sz w:val="22"/>
          <w:szCs w:val="22"/>
          <w:lang w:val="en-US" w:eastAsia="en-US"/>
        </w:rPr>
        <w:t>forty eight</w:t>
      </w:r>
      <w:proofErr w:type="gramEnd"/>
      <w:r w:rsidRPr="00E413B3">
        <w:rPr>
          <w:rFonts w:asciiTheme="minorHAnsi" w:eastAsiaTheme="minorHAnsi" w:hAnsiTheme="minorHAnsi" w:cstheme="minorBidi"/>
          <w:color w:val="auto"/>
          <w:sz w:val="22"/>
          <w:szCs w:val="22"/>
          <w:lang w:val="en-US" w:eastAsia="en-US"/>
        </w:rPr>
        <w:t xml:space="preserve"> hours. During this </w:t>
      </w:r>
      <w:proofErr w:type="gramStart"/>
      <w:r w:rsidRPr="00E413B3">
        <w:rPr>
          <w:rFonts w:asciiTheme="minorHAnsi" w:eastAsiaTheme="minorHAnsi" w:hAnsiTheme="minorHAnsi" w:cstheme="minorBidi"/>
          <w:color w:val="auto"/>
          <w:sz w:val="22"/>
          <w:szCs w:val="22"/>
          <w:lang w:val="en-US" w:eastAsia="en-US"/>
        </w:rPr>
        <w:t>forty eight</w:t>
      </w:r>
      <w:proofErr w:type="gramEnd"/>
      <w:r w:rsidRPr="00E413B3">
        <w:rPr>
          <w:rFonts w:asciiTheme="minorHAnsi" w:eastAsiaTheme="minorHAnsi" w:hAnsiTheme="minorHAnsi" w:cstheme="minorBidi"/>
          <w:color w:val="auto"/>
          <w:sz w:val="22"/>
          <w:szCs w:val="22"/>
          <w:lang w:val="en-US" w:eastAsia="en-US"/>
        </w:rPr>
        <w:t xml:space="preserve"> hours an application will be made to the magistrates court for a domestic abuse protection order to be imposed this can prevent contact for up to 28 days. This can be important as it can allow the victim time to think about whether they may be better off without the perpetrator and to reassess their abusive relationship.</w:t>
      </w:r>
    </w:p>
    <w:p w14:paraId="6AA7768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357BE38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One of the biggest issues with dealing with domestic cases is that often police intervention can exacerbate issues in an abusive relationship. Although there are many measures officers and other agencies can </w:t>
      </w:r>
      <w:proofErr w:type="gramStart"/>
      <w:r w:rsidRPr="00E413B3">
        <w:rPr>
          <w:rFonts w:asciiTheme="minorHAnsi" w:eastAsiaTheme="minorHAnsi" w:hAnsiTheme="minorHAnsi" w:cstheme="minorBidi"/>
          <w:color w:val="auto"/>
          <w:sz w:val="22"/>
          <w:szCs w:val="22"/>
          <w:lang w:val="en-US" w:eastAsia="en-US"/>
        </w:rPr>
        <w:t>take  to</w:t>
      </w:r>
      <w:proofErr w:type="gramEnd"/>
      <w:r w:rsidRPr="00E413B3">
        <w:rPr>
          <w:rFonts w:asciiTheme="minorHAnsi" w:eastAsiaTheme="minorHAnsi" w:hAnsiTheme="minorHAnsi" w:cstheme="minorBidi"/>
          <w:color w:val="auto"/>
          <w:sz w:val="22"/>
          <w:szCs w:val="22"/>
          <w:lang w:val="en-US" w:eastAsia="en-US"/>
        </w:rPr>
        <w:t xml:space="preserve"> support victims, the common issue of victims returning to their abusers can often lead to further abuse after a report has been made. This may often lead to reports not being made when abuse occurs. This is another reason why </w:t>
      </w:r>
      <w:proofErr w:type="spellStart"/>
      <w:r w:rsidRPr="00E413B3">
        <w:rPr>
          <w:rFonts w:asciiTheme="minorHAnsi" w:eastAsiaTheme="minorHAnsi" w:hAnsiTheme="minorHAnsi" w:cstheme="minorBidi"/>
          <w:color w:val="auto"/>
          <w:sz w:val="22"/>
          <w:szCs w:val="22"/>
          <w:lang w:val="en-US" w:eastAsia="en-US"/>
        </w:rPr>
        <w:t>organisations</w:t>
      </w:r>
      <w:proofErr w:type="spellEnd"/>
      <w:r w:rsidRPr="00E413B3">
        <w:rPr>
          <w:rFonts w:asciiTheme="minorHAnsi" w:eastAsiaTheme="minorHAnsi" w:hAnsiTheme="minorHAnsi" w:cstheme="minorBidi"/>
          <w:color w:val="auto"/>
          <w:sz w:val="22"/>
          <w:szCs w:val="22"/>
          <w:lang w:val="en-US" w:eastAsia="en-US"/>
        </w:rPr>
        <w:t xml:space="preserve"> such as Live Fear Free are essential to give victims an avenue to speak to somebody </w:t>
      </w:r>
      <w:proofErr w:type="gramStart"/>
      <w:r w:rsidRPr="00E413B3">
        <w:rPr>
          <w:rFonts w:asciiTheme="minorHAnsi" w:eastAsiaTheme="minorHAnsi" w:hAnsiTheme="minorHAnsi" w:cstheme="minorBidi"/>
          <w:color w:val="auto"/>
          <w:sz w:val="22"/>
          <w:szCs w:val="22"/>
          <w:lang w:val="en-US" w:eastAsia="en-US"/>
        </w:rPr>
        <w:t>in regards to</w:t>
      </w:r>
      <w:proofErr w:type="gramEnd"/>
      <w:r w:rsidRPr="00E413B3">
        <w:rPr>
          <w:rFonts w:asciiTheme="minorHAnsi" w:eastAsiaTheme="minorHAnsi" w:hAnsiTheme="minorHAnsi" w:cstheme="minorBidi"/>
          <w:color w:val="auto"/>
          <w:sz w:val="22"/>
          <w:szCs w:val="22"/>
          <w:lang w:val="en-US" w:eastAsia="en-US"/>
        </w:rPr>
        <w:t xml:space="preserve"> the abuse they are suffering to offer as much support as possible.</w:t>
      </w:r>
    </w:p>
    <w:p w14:paraId="6CD57A60"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4C4B321"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In relation to the </w:t>
      </w:r>
      <w:proofErr w:type="gramStart"/>
      <w:r w:rsidRPr="00E413B3">
        <w:rPr>
          <w:rFonts w:asciiTheme="minorHAnsi" w:eastAsiaTheme="minorHAnsi" w:hAnsiTheme="minorHAnsi" w:cstheme="minorBidi"/>
          <w:color w:val="auto"/>
          <w:sz w:val="22"/>
          <w:szCs w:val="22"/>
          <w:lang w:val="en-US" w:eastAsia="en-US"/>
        </w:rPr>
        <w:t>incident</w:t>
      </w:r>
      <w:proofErr w:type="gramEnd"/>
      <w:r w:rsidRPr="00E413B3">
        <w:rPr>
          <w:rFonts w:asciiTheme="minorHAnsi" w:eastAsiaTheme="minorHAnsi" w:hAnsiTheme="minorHAnsi" w:cstheme="minorBidi"/>
          <w:color w:val="auto"/>
          <w:sz w:val="22"/>
          <w:szCs w:val="22"/>
          <w:lang w:val="en-US" w:eastAsia="en-US"/>
        </w:rPr>
        <w:t xml:space="preserve"> we are considering in this essay, the victim stated that she has spoken to multiple agencies and been offered support through women’s aid and victim support in the past. She had an extensive domestic abuse history both with her current partner and her </w:t>
      </w:r>
      <w:proofErr w:type="spellStart"/>
      <w:proofErr w:type="gramStart"/>
      <w:r w:rsidRPr="00E413B3">
        <w:rPr>
          <w:rFonts w:asciiTheme="minorHAnsi" w:eastAsiaTheme="minorHAnsi" w:hAnsiTheme="minorHAnsi" w:cstheme="minorBidi"/>
          <w:color w:val="auto"/>
          <w:sz w:val="22"/>
          <w:szCs w:val="22"/>
          <w:lang w:val="en-US" w:eastAsia="en-US"/>
        </w:rPr>
        <w:t>ex partner</w:t>
      </w:r>
      <w:proofErr w:type="spellEnd"/>
      <w:proofErr w:type="gramEnd"/>
      <w:r w:rsidRPr="00E413B3">
        <w:rPr>
          <w:rFonts w:asciiTheme="minorHAnsi" w:eastAsiaTheme="minorHAnsi" w:hAnsiTheme="minorHAnsi" w:cstheme="minorBidi"/>
          <w:color w:val="auto"/>
          <w:sz w:val="22"/>
          <w:szCs w:val="22"/>
          <w:lang w:val="en-US" w:eastAsia="en-US"/>
        </w:rPr>
        <w:t xml:space="preserve"> as both aggressor and victim. After each previous occurrence with her current partner the victim had continued her relationship with him and not assisted in any investigations resulting in no action due to a lack of evidence. The victim stated that she was intending to leave the perpetrator after this incident but repeated multiple times that she loved him. Officers attempted to encourage the victim to seek support, allow them to refer her to agencies and complete the public protection notification to help her ensure the abuse was stopped however she was adamant that she would not accept any help. </w:t>
      </w:r>
      <w:proofErr w:type="gramStart"/>
      <w:r w:rsidRPr="00E413B3">
        <w:rPr>
          <w:rFonts w:asciiTheme="minorHAnsi" w:eastAsiaTheme="minorHAnsi" w:hAnsiTheme="minorHAnsi" w:cstheme="minorBidi"/>
          <w:color w:val="auto"/>
          <w:sz w:val="22"/>
          <w:szCs w:val="22"/>
          <w:lang w:val="en-US" w:eastAsia="en-US"/>
        </w:rPr>
        <w:t>Unfortunately</w:t>
      </w:r>
      <w:proofErr w:type="gramEnd"/>
      <w:r w:rsidRPr="00E413B3">
        <w:rPr>
          <w:rFonts w:asciiTheme="minorHAnsi" w:eastAsiaTheme="minorHAnsi" w:hAnsiTheme="minorHAnsi" w:cstheme="minorBidi"/>
          <w:color w:val="auto"/>
          <w:sz w:val="22"/>
          <w:szCs w:val="22"/>
          <w:lang w:val="en-US" w:eastAsia="en-US"/>
        </w:rPr>
        <w:t xml:space="preserve"> it is highly likely that the victim and the perpetrator in this case will re-form their relationship and the abuse will continue. </w:t>
      </w:r>
    </w:p>
    <w:p w14:paraId="1918D561"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68BE9C4A"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Domestic abuse is a growing issue and a significant problem in England and Wales and has a significant impact on policing. Considering that it is also likely under reported it is essential that domestic abuse is dealt with appropriately and we continue to make progress on how we support victims.</w:t>
      </w:r>
    </w:p>
    <w:p w14:paraId="737EA99B"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D3DA0A2"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r w:rsidRPr="00E413B3">
        <w:rPr>
          <w:rFonts w:asciiTheme="minorHAnsi" w:eastAsiaTheme="minorHAnsi" w:hAnsiTheme="minorHAnsi" w:cstheme="minorBidi"/>
          <w:i/>
          <w:iCs/>
          <w:color w:val="auto"/>
          <w:sz w:val="22"/>
          <w:szCs w:val="22"/>
          <w:lang w:val="en-US" w:eastAsia="en-US"/>
        </w:rPr>
        <w:t>The most recent data available from the CSEW for year ending March 2020 shows 20.8 percent of adults aged 16 to 74 years reported having experienced domestic abuse since the age of 16. This equates to 8.8 million adults aged 16 to 74 who had experienced domestic abuse in their adult life. (Tackling domestic abuse plan, 2022)</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4C96E831" w:rsidR="00025650" w:rsidRDefault="00025650" w:rsidP="0FF883D4">
      <w:pPr>
        <w:ind w:right="237"/>
        <w:jc w:val="both"/>
        <w:rPr>
          <w:color w:val="000000" w:themeColor="text1"/>
          <w:sz w:val="24"/>
          <w:szCs w:val="24"/>
        </w:rPr>
      </w:pPr>
    </w:p>
    <w:p w14:paraId="54568B79" w14:textId="17317B79" w:rsidR="00E413B3" w:rsidRDefault="00E413B3" w:rsidP="0FF883D4">
      <w:pPr>
        <w:ind w:right="237"/>
        <w:jc w:val="both"/>
        <w:rPr>
          <w:color w:val="000000" w:themeColor="text1"/>
          <w:sz w:val="24"/>
          <w:szCs w:val="24"/>
        </w:rPr>
      </w:pPr>
    </w:p>
    <w:p w14:paraId="605A949E" w14:textId="0E044C11" w:rsidR="00E413B3" w:rsidRDefault="00E413B3" w:rsidP="0FF883D4">
      <w:pPr>
        <w:ind w:right="237"/>
        <w:jc w:val="both"/>
        <w:rPr>
          <w:color w:val="000000" w:themeColor="text1"/>
          <w:sz w:val="24"/>
          <w:szCs w:val="24"/>
        </w:rPr>
      </w:pPr>
    </w:p>
    <w:p w14:paraId="55E6D369" w14:textId="13493592" w:rsidR="00E413B3" w:rsidRDefault="00E413B3" w:rsidP="0FF883D4">
      <w:pPr>
        <w:ind w:right="237"/>
        <w:jc w:val="both"/>
        <w:rPr>
          <w:color w:val="000000" w:themeColor="text1"/>
          <w:sz w:val="24"/>
          <w:szCs w:val="24"/>
        </w:rPr>
      </w:pPr>
    </w:p>
    <w:p w14:paraId="7A98CE05" w14:textId="77777777" w:rsidR="00E413B3" w:rsidRPr="00E676F7" w:rsidRDefault="00E413B3"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0A8896" w:rsidR="0FF883D4" w:rsidRDefault="5CE196A1" w:rsidP="5CE196A1">
      <w:r w:rsidRPr="5CE196A1">
        <w:rPr>
          <w:rFonts w:eastAsia="Arial"/>
          <w:b/>
          <w:bCs/>
          <w:color w:val="000000" w:themeColor="text1"/>
          <w:sz w:val="24"/>
          <w:szCs w:val="24"/>
        </w:rPr>
        <w:t xml:space="preserve">Signed: </w:t>
      </w:r>
      <w:r w:rsidR="00A30867">
        <w:rPr>
          <w:rFonts w:eastAsia="Arial"/>
          <w:b/>
          <w:bCs/>
          <w:color w:val="000000" w:themeColor="text1"/>
          <w:sz w:val="24"/>
          <w:szCs w:val="24"/>
        </w:rPr>
        <w:t>Billy Deasy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AC6606F" w:rsidR="0FF883D4" w:rsidRDefault="00A30867"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06/02/2023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76E616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9BBFE1" w14:textId="621CE032" w:rsidR="00A30867" w:rsidRDefault="00A30867" w:rsidP="00EA28F1">
      <w:pPr>
        <w:keepNext/>
        <w:spacing w:before="240" w:after="60"/>
        <w:ind w:right="237"/>
        <w:jc w:val="both"/>
        <w:rPr>
          <w:sz w:val="24"/>
          <w:szCs w:val="24"/>
        </w:rPr>
      </w:pPr>
    </w:p>
    <w:p w14:paraId="08D1C69E" w14:textId="19004E00" w:rsidR="00A30867" w:rsidRDefault="00DA5531" w:rsidP="00EA28F1">
      <w:pPr>
        <w:keepNext/>
        <w:spacing w:before="240" w:after="60"/>
        <w:ind w:right="237"/>
        <w:jc w:val="both"/>
        <w:rPr>
          <w:sz w:val="24"/>
          <w:szCs w:val="24"/>
        </w:rPr>
      </w:pPr>
      <w:r>
        <w:rPr>
          <w:sz w:val="24"/>
          <w:szCs w:val="24"/>
        </w:rPr>
        <w:t>Bryant</w:t>
      </w:r>
      <w:r w:rsidR="00C633D2">
        <w:rPr>
          <w:sz w:val="24"/>
          <w:szCs w:val="24"/>
        </w:rPr>
        <w:t>, R. and Bryant, S. (2020) Blackstone</w:t>
      </w:r>
      <w:r w:rsidR="00246734">
        <w:rPr>
          <w:sz w:val="24"/>
          <w:szCs w:val="24"/>
        </w:rPr>
        <w:t>’</w:t>
      </w:r>
      <w:r w:rsidR="00C633D2">
        <w:rPr>
          <w:sz w:val="24"/>
          <w:szCs w:val="24"/>
        </w:rPr>
        <w:t>s handbook for policing students</w:t>
      </w:r>
      <w:r w:rsidR="00246734">
        <w:rPr>
          <w:sz w:val="24"/>
          <w:szCs w:val="24"/>
        </w:rPr>
        <w:t xml:space="preserve"> 2021. Oxford: Oxford University Press</w:t>
      </w:r>
    </w:p>
    <w:p w14:paraId="668102D6" w14:textId="33DF094D" w:rsidR="0056567F" w:rsidRDefault="008F43CE" w:rsidP="00EA28F1">
      <w:pPr>
        <w:keepNext/>
        <w:spacing w:before="240" w:after="60"/>
        <w:ind w:right="237"/>
        <w:jc w:val="both"/>
      </w:pPr>
      <w:hyperlink r:id="rId16" w:history="1">
        <w:r w:rsidRPr="00B20AB0">
          <w:rPr>
            <w:rStyle w:val="Hyperlink"/>
          </w:rPr>
          <w:t>https://assets.publishing.service.gov.uk/government/uploads/system/uploads/attachment_data/file/974376/victims-code-2020.pdf</w:t>
        </w:r>
      </w:hyperlink>
    </w:p>
    <w:p w14:paraId="750C8512" w14:textId="3F9BA571" w:rsidR="008F43CE" w:rsidRDefault="008770F4" w:rsidP="00EA28F1">
      <w:pPr>
        <w:keepNext/>
        <w:spacing w:before="240" w:after="60"/>
        <w:ind w:right="237"/>
        <w:jc w:val="both"/>
      </w:pPr>
      <w:r w:rsidRPr="008770F4">
        <w:t>https://www.gov.uk/government/publications/tackling-domestic-abuse-plan/tackling-domestic-abuse-plan-command-paper-639-accessible-version</w:t>
      </w:r>
    </w:p>
    <w:sectPr w:rsidR="008F43C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AC273DC"/>
    <w:lvl w:ilvl="0" w:tplc="21C87606">
      <w:start w:val="1"/>
      <w:numFmt w:val="decimal"/>
      <w:lvlText w:val="%1."/>
      <w:lvlJc w:val="left"/>
      <w:pPr>
        <w:ind w:left="720" w:hanging="360"/>
      </w:pPr>
    </w:lvl>
    <w:lvl w:ilvl="1" w:tplc="31225092">
      <w:start w:val="1"/>
      <w:numFmt w:val="lowerLetter"/>
      <w:lvlText w:val="%2."/>
      <w:lvlJc w:val="left"/>
      <w:pPr>
        <w:ind w:left="1440" w:hanging="360"/>
      </w:pPr>
    </w:lvl>
    <w:lvl w:ilvl="2" w:tplc="7062F946">
      <w:start w:val="1"/>
      <w:numFmt w:val="lowerRoman"/>
      <w:lvlText w:val="%3."/>
      <w:lvlJc w:val="right"/>
      <w:pPr>
        <w:ind w:left="2160" w:hanging="180"/>
      </w:pPr>
    </w:lvl>
    <w:lvl w:ilvl="3" w:tplc="A866D7C8">
      <w:start w:val="1"/>
      <w:numFmt w:val="decimal"/>
      <w:lvlText w:val="%4."/>
      <w:lvlJc w:val="left"/>
      <w:pPr>
        <w:ind w:left="2880" w:hanging="360"/>
      </w:pPr>
    </w:lvl>
    <w:lvl w:ilvl="4" w:tplc="CAF236EC">
      <w:start w:val="1"/>
      <w:numFmt w:val="lowerLetter"/>
      <w:lvlText w:val="%5."/>
      <w:lvlJc w:val="left"/>
      <w:pPr>
        <w:ind w:left="3600" w:hanging="360"/>
      </w:pPr>
    </w:lvl>
    <w:lvl w:ilvl="5" w:tplc="75ACC308">
      <w:start w:val="1"/>
      <w:numFmt w:val="lowerRoman"/>
      <w:lvlText w:val="%6."/>
      <w:lvlJc w:val="right"/>
      <w:pPr>
        <w:ind w:left="4320" w:hanging="180"/>
      </w:pPr>
    </w:lvl>
    <w:lvl w:ilvl="6" w:tplc="A83460F2">
      <w:start w:val="1"/>
      <w:numFmt w:val="decimal"/>
      <w:lvlText w:val="%7."/>
      <w:lvlJc w:val="left"/>
      <w:pPr>
        <w:ind w:left="5040" w:hanging="360"/>
      </w:pPr>
    </w:lvl>
    <w:lvl w:ilvl="7" w:tplc="9FCE145C">
      <w:start w:val="1"/>
      <w:numFmt w:val="lowerLetter"/>
      <w:lvlText w:val="%8."/>
      <w:lvlJc w:val="left"/>
      <w:pPr>
        <w:ind w:left="5760" w:hanging="360"/>
      </w:pPr>
    </w:lvl>
    <w:lvl w:ilvl="8" w:tplc="6EAC1C5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3947FBA"/>
    <w:lvl w:ilvl="0" w:tplc="828234AA">
      <w:start w:val="1"/>
      <w:numFmt w:val="decimal"/>
      <w:lvlText w:val="%1."/>
      <w:lvlJc w:val="left"/>
      <w:pPr>
        <w:ind w:left="720" w:hanging="360"/>
      </w:pPr>
    </w:lvl>
    <w:lvl w:ilvl="1" w:tplc="B6DEDE58">
      <w:start w:val="1"/>
      <w:numFmt w:val="decimal"/>
      <w:lvlText w:val="%2."/>
      <w:lvlJc w:val="left"/>
      <w:pPr>
        <w:ind w:left="1440" w:hanging="360"/>
      </w:pPr>
    </w:lvl>
    <w:lvl w:ilvl="2" w:tplc="7E2A77AE">
      <w:start w:val="1"/>
      <w:numFmt w:val="lowerRoman"/>
      <w:lvlText w:val="%3."/>
      <w:lvlJc w:val="right"/>
      <w:pPr>
        <w:ind w:left="2160" w:hanging="180"/>
      </w:pPr>
    </w:lvl>
    <w:lvl w:ilvl="3" w:tplc="F4B68434">
      <w:start w:val="1"/>
      <w:numFmt w:val="decimal"/>
      <w:lvlText w:val="%4."/>
      <w:lvlJc w:val="left"/>
      <w:pPr>
        <w:ind w:left="2880" w:hanging="360"/>
      </w:pPr>
    </w:lvl>
    <w:lvl w:ilvl="4" w:tplc="22904E9A">
      <w:start w:val="1"/>
      <w:numFmt w:val="lowerLetter"/>
      <w:lvlText w:val="%5."/>
      <w:lvlJc w:val="left"/>
      <w:pPr>
        <w:ind w:left="3600" w:hanging="360"/>
      </w:pPr>
    </w:lvl>
    <w:lvl w:ilvl="5" w:tplc="D472BD8C">
      <w:start w:val="1"/>
      <w:numFmt w:val="lowerRoman"/>
      <w:lvlText w:val="%6."/>
      <w:lvlJc w:val="right"/>
      <w:pPr>
        <w:ind w:left="4320" w:hanging="180"/>
      </w:pPr>
    </w:lvl>
    <w:lvl w:ilvl="6" w:tplc="445E20F0">
      <w:start w:val="1"/>
      <w:numFmt w:val="decimal"/>
      <w:lvlText w:val="%7."/>
      <w:lvlJc w:val="left"/>
      <w:pPr>
        <w:ind w:left="5040" w:hanging="360"/>
      </w:pPr>
    </w:lvl>
    <w:lvl w:ilvl="7" w:tplc="1F78C724">
      <w:start w:val="1"/>
      <w:numFmt w:val="lowerLetter"/>
      <w:lvlText w:val="%8."/>
      <w:lvlJc w:val="left"/>
      <w:pPr>
        <w:ind w:left="5760" w:hanging="360"/>
      </w:pPr>
    </w:lvl>
    <w:lvl w:ilvl="8" w:tplc="33EC6C2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4097554">
    <w:abstractNumId w:val="47"/>
  </w:num>
  <w:num w:numId="2" w16cid:durableId="276521639">
    <w:abstractNumId w:val="10"/>
  </w:num>
  <w:num w:numId="3" w16cid:durableId="23405652">
    <w:abstractNumId w:val="1"/>
    <w:lvlOverride w:ilvl="0">
      <w:lvl w:ilvl="0">
        <w:start w:val="1"/>
        <w:numFmt w:val="bullet"/>
        <w:lvlText w:val=""/>
        <w:lvlJc w:val="left"/>
        <w:pPr>
          <w:ind w:left="720" w:hanging="360"/>
        </w:pPr>
        <w:rPr>
          <w:rFonts w:ascii="Symbol" w:hAnsi="Symbol" w:hint="default"/>
        </w:rPr>
      </w:lvl>
    </w:lvlOverride>
  </w:num>
  <w:num w:numId="4" w16cid:durableId="1865246943">
    <w:abstractNumId w:val="22"/>
  </w:num>
  <w:num w:numId="5" w16cid:durableId="1872068217">
    <w:abstractNumId w:val="44"/>
  </w:num>
  <w:num w:numId="6" w16cid:durableId="1319457737">
    <w:abstractNumId w:val="46"/>
  </w:num>
  <w:num w:numId="7" w16cid:durableId="1594317203">
    <w:abstractNumId w:val="34"/>
  </w:num>
  <w:num w:numId="8" w16cid:durableId="2022732880">
    <w:abstractNumId w:val="32"/>
  </w:num>
  <w:num w:numId="9" w16cid:durableId="1453162227">
    <w:abstractNumId w:val="29"/>
  </w:num>
  <w:num w:numId="10" w16cid:durableId="2065329691">
    <w:abstractNumId w:val="30"/>
  </w:num>
  <w:num w:numId="11" w16cid:durableId="1285648034">
    <w:abstractNumId w:val="9"/>
  </w:num>
  <w:num w:numId="12" w16cid:durableId="592930553">
    <w:abstractNumId w:val="33"/>
  </w:num>
  <w:num w:numId="13" w16cid:durableId="233589877">
    <w:abstractNumId w:val="17"/>
  </w:num>
  <w:num w:numId="14" w16cid:durableId="1277249426">
    <w:abstractNumId w:val="16"/>
  </w:num>
  <w:num w:numId="15" w16cid:durableId="1111584424">
    <w:abstractNumId w:val="26"/>
  </w:num>
  <w:num w:numId="16" w16cid:durableId="1881630821">
    <w:abstractNumId w:val="7"/>
  </w:num>
  <w:num w:numId="17" w16cid:durableId="2122869063">
    <w:abstractNumId w:val="25"/>
  </w:num>
  <w:num w:numId="18" w16cid:durableId="1504735358">
    <w:abstractNumId w:val="15"/>
  </w:num>
  <w:num w:numId="19" w16cid:durableId="275841333">
    <w:abstractNumId w:val="13"/>
  </w:num>
  <w:num w:numId="20" w16cid:durableId="20754723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62321972">
    <w:abstractNumId w:val="23"/>
  </w:num>
  <w:num w:numId="22" w16cid:durableId="1556816865">
    <w:abstractNumId w:val="18"/>
  </w:num>
  <w:num w:numId="23" w16cid:durableId="155416118">
    <w:abstractNumId w:val="14"/>
  </w:num>
  <w:num w:numId="24" w16cid:durableId="1058094168">
    <w:abstractNumId w:val="11"/>
  </w:num>
  <w:num w:numId="25" w16cid:durableId="392775661">
    <w:abstractNumId w:val="27"/>
  </w:num>
  <w:num w:numId="26" w16cid:durableId="1985306141">
    <w:abstractNumId w:val="19"/>
  </w:num>
  <w:num w:numId="27" w16cid:durableId="1936203551">
    <w:abstractNumId w:val="40"/>
  </w:num>
  <w:num w:numId="28" w16cid:durableId="1930693449">
    <w:abstractNumId w:val="35"/>
  </w:num>
  <w:num w:numId="29" w16cid:durableId="1675300985">
    <w:abstractNumId w:val="39"/>
  </w:num>
  <w:num w:numId="30" w16cid:durableId="1735543672">
    <w:abstractNumId w:val="20"/>
  </w:num>
  <w:num w:numId="31" w16cid:durableId="328868519">
    <w:abstractNumId w:val="42"/>
  </w:num>
  <w:num w:numId="32" w16cid:durableId="1162508755">
    <w:abstractNumId w:val="31"/>
  </w:num>
  <w:num w:numId="33" w16cid:durableId="227542594">
    <w:abstractNumId w:val="12"/>
  </w:num>
  <w:num w:numId="34" w16cid:durableId="465200531">
    <w:abstractNumId w:val="43"/>
  </w:num>
  <w:num w:numId="35" w16cid:durableId="1573806048">
    <w:abstractNumId w:val="38"/>
  </w:num>
  <w:num w:numId="36" w16cid:durableId="832794232">
    <w:abstractNumId w:val="4"/>
  </w:num>
  <w:num w:numId="37" w16cid:durableId="259262883">
    <w:abstractNumId w:val="45"/>
  </w:num>
  <w:num w:numId="38" w16cid:durableId="806972206">
    <w:abstractNumId w:val="41"/>
  </w:num>
  <w:num w:numId="39" w16cid:durableId="865368843">
    <w:abstractNumId w:val="36"/>
  </w:num>
  <w:num w:numId="40" w16cid:durableId="1026760087">
    <w:abstractNumId w:val="37"/>
  </w:num>
  <w:num w:numId="41" w16cid:durableId="1740908100">
    <w:abstractNumId w:val="3"/>
  </w:num>
  <w:num w:numId="42" w16cid:durableId="533734162">
    <w:abstractNumId w:val="5"/>
  </w:num>
  <w:num w:numId="43" w16cid:durableId="1944410394">
    <w:abstractNumId w:val="24"/>
  </w:num>
  <w:num w:numId="44" w16cid:durableId="1580292611">
    <w:abstractNumId w:val="6"/>
  </w:num>
  <w:num w:numId="45" w16cid:durableId="1955752082">
    <w:abstractNumId w:val="2"/>
  </w:num>
  <w:num w:numId="46" w16cid:durableId="881748629">
    <w:abstractNumId w:val="0"/>
  </w:num>
  <w:num w:numId="47" w16cid:durableId="657151117">
    <w:abstractNumId w:val="21"/>
  </w:num>
  <w:num w:numId="48" w16cid:durableId="950012324">
    <w:abstractNumId w:val="28"/>
  </w:num>
  <w:num w:numId="49" w16cid:durableId="175947704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96FF0"/>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734"/>
    <w:rsid w:val="00255D8E"/>
    <w:rsid w:val="00264447"/>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567F"/>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1C09"/>
    <w:rsid w:val="00694C00"/>
    <w:rsid w:val="00696F65"/>
    <w:rsid w:val="006A7A6D"/>
    <w:rsid w:val="006B5E67"/>
    <w:rsid w:val="006C2EB5"/>
    <w:rsid w:val="006C70A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C6C"/>
    <w:rsid w:val="00843D58"/>
    <w:rsid w:val="00843EBA"/>
    <w:rsid w:val="00844D98"/>
    <w:rsid w:val="00846D84"/>
    <w:rsid w:val="0085230E"/>
    <w:rsid w:val="0085355E"/>
    <w:rsid w:val="008550A1"/>
    <w:rsid w:val="00861035"/>
    <w:rsid w:val="00861038"/>
    <w:rsid w:val="00865008"/>
    <w:rsid w:val="00866B50"/>
    <w:rsid w:val="008708F1"/>
    <w:rsid w:val="008770F4"/>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43CE"/>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A71BE"/>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0867"/>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193"/>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5EF"/>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3D2"/>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340D"/>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531"/>
    <w:rsid w:val="00DA5860"/>
    <w:rsid w:val="00DB2767"/>
    <w:rsid w:val="00DC4729"/>
    <w:rsid w:val="00DE556F"/>
    <w:rsid w:val="00E03B6D"/>
    <w:rsid w:val="00E0649E"/>
    <w:rsid w:val="00E17160"/>
    <w:rsid w:val="00E35BEC"/>
    <w:rsid w:val="00E413B3"/>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7D67"/>
    <w:rsid w:val="00ED1B30"/>
    <w:rsid w:val="00ED250E"/>
    <w:rsid w:val="00ED6535"/>
    <w:rsid w:val="00EE1AC1"/>
    <w:rsid w:val="00EE39D6"/>
    <w:rsid w:val="00EE413C"/>
    <w:rsid w:val="00EE52AD"/>
    <w:rsid w:val="00F01F92"/>
    <w:rsid w:val="00F052CF"/>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482F"/>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8F4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974376/victims-code-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5342</Words>
  <Characters>28447</Characters>
  <Application>Microsoft Office Word</Application>
  <DocSecurity>0</DocSecurity>
  <Lines>237</Lines>
  <Paragraphs>67</Paragraphs>
  <ScaleCrop>false</ScaleCrop>
  <Company>Powys County Council</Company>
  <LinksUpToDate>false</LinksUpToDate>
  <CharactersWithSpaces>33722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Billy Deasy (2031219)</cp:lastModifiedBy>
  <cp:revision>2</cp:revision>
  <cp:lastPrinted>2014-08-26T08:55:00Z</cp:lastPrinted>
  <dcterms:created xsi:type="dcterms:W3CDTF">2023-02-06T22:12:00Z</dcterms:created>
  <dcterms:modified xsi:type="dcterms:W3CDTF">2023-02-06T22:12:00Z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