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26F3F3" w14:textId="5CEFE92A" w:rsidR="00785541" w:rsidRDefault="00785541" w:rsidP="00785541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>salia perveen</w:t>
      </w:r>
      <w:r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 xml:space="preserve"> 2407699 Component 1 Presentation</w:t>
      </w:r>
    </w:p>
    <w:p w14:paraId="12D1BA8F" w14:textId="1D711B09" w:rsidR="00785541" w:rsidRPr="00785541" w:rsidRDefault="00785541" w:rsidP="00785541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 xml:space="preserve">Reference List </w:t>
      </w:r>
    </w:p>
    <w:p w14:paraId="12EEC4BD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 xml:space="preserve">Anda, R. F., Fleisher, V. I., </w:t>
      </w:r>
      <w:proofErr w:type="spellStart"/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>Felitti</w:t>
      </w:r>
      <w:proofErr w:type="spellEnd"/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>, V. J., Edwards, V. J., Whitfield, C. L., Dube, S. R., and Williamson, D. F. (2004) ‘Childhood Abuse, Household Dysfunction, and Indicators of Impaired Adult Worker Performance’, </w:t>
      </w:r>
      <w:r w:rsidRPr="00785541">
        <w:rPr>
          <w:rFonts w:ascii="Arial" w:eastAsia="Calibri" w:hAnsi="Arial" w:cs="Arial"/>
          <w:i/>
          <w:iCs/>
          <w:color w:val="1B1B1B"/>
          <w:kern w:val="0"/>
          <w:sz w:val="24"/>
          <w:szCs w:val="24"/>
          <w:shd w:val="clear" w:color="auto" w:fill="FFFFFF"/>
          <w14:ligatures w14:val="none"/>
        </w:rPr>
        <w:t>The Permanente journal</w:t>
      </w:r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>, </w:t>
      </w:r>
      <w:r w:rsidRPr="00785541">
        <w:rPr>
          <w:rFonts w:ascii="Arial" w:eastAsia="Calibri" w:hAnsi="Arial" w:cs="Arial"/>
          <w:i/>
          <w:iCs/>
          <w:color w:val="1B1B1B"/>
          <w:kern w:val="0"/>
          <w:sz w:val="24"/>
          <w:szCs w:val="24"/>
          <w:shd w:val="clear" w:color="auto" w:fill="FFFFFF"/>
          <w14:ligatures w14:val="none"/>
        </w:rPr>
        <w:t>8</w:t>
      </w:r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>(1), 30–38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CFE3065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Ashton, K., Bellis, M., and Hughes, K. (2016) ‘Adverse childhood experiences and their association with health-harming behaviours and mental wellbeing in the Welsh adult population: a national cross-sectional survey’, </w:t>
      </w:r>
      <w:r w:rsidRPr="00785541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>The Lancet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388. S21.</w:t>
      </w:r>
    </w:p>
    <w:p w14:paraId="6E937332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Bath, H. (2016) </w:t>
      </w:r>
      <w:r w:rsidRPr="00785541">
        <w:rPr>
          <w:rFonts w:ascii="Arial" w:eastAsia="Calibri" w:hAnsi="Arial" w:cs="Arial"/>
          <w:i/>
          <w:kern w:val="0"/>
          <w:sz w:val="24"/>
          <w:szCs w:val="24"/>
          <w14:ligatures w14:val="none"/>
        </w:rPr>
        <w:t xml:space="preserve">The Three Pillars of Transforming care: Healing in the ‘other 23 </w:t>
      </w:r>
      <w:proofErr w:type="gramStart"/>
      <w:r w:rsidRPr="00785541">
        <w:rPr>
          <w:rFonts w:ascii="Arial" w:eastAsia="Calibri" w:hAnsi="Arial" w:cs="Arial"/>
          <w:i/>
          <w:kern w:val="0"/>
          <w:sz w:val="24"/>
          <w:szCs w:val="24"/>
          <w14:ligatures w14:val="none"/>
        </w:rPr>
        <w:t>hours’</w:t>
      </w:r>
      <w:proofErr w:type="gramEnd"/>
      <w:r w:rsidRPr="00785541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 xml:space="preserve">. 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5" w:history="1">
        <w:r w:rsidRPr="00785541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https://www.tacttraining.org.au/uploads/files/Three-Pillars-HealingInTheOther23Hours.pdf</w:t>
        </w:r>
      </w:hyperlink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10 Jun 2026).</w:t>
      </w:r>
    </w:p>
    <w:p w14:paraId="29B74392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>Cooke, A. N., and Halberstadt, A. G. (2021) ‘Adultification, anger bias, and adults' different perceptions of Black and White children’, </w:t>
      </w:r>
      <w:r w:rsidRPr="00785541">
        <w:rPr>
          <w:rFonts w:ascii="Arial" w:eastAsia="Calibri" w:hAnsi="Arial" w:cs="Arial"/>
          <w:i/>
          <w:iCs/>
          <w:color w:val="1B1B1B"/>
          <w:kern w:val="0"/>
          <w:sz w:val="24"/>
          <w:szCs w:val="24"/>
          <w:shd w:val="clear" w:color="auto" w:fill="FFFFFF"/>
          <w14:ligatures w14:val="none"/>
        </w:rPr>
        <w:t>Cognition &amp; emotion</w:t>
      </w:r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>, </w:t>
      </w:r>
      <w:r w:rsidRPr="00785541">
        <w:rPr>
          <w:rFonts w:ascii="Arial" w:eastAsia="Calibri" w:hAnsi="Arial" w:cs="Arial"/>
          <w:i/>
          <w:iCs/>
          <w:color w:val="1B1B1B"/>
          <w:kern w:val="0"/>
          <w:sz w:val="24"/>
          <w:szCs w:val="24"/>
          <w:shd w:val="clear" w:color="auto" w:fill="FFFFFF"/>
          <w14:ligatures w14:val="none"/>
        </w:rPr>
        <w:t>35</w:t>
      </w:r>
      <w:r w:rsidRPr="00785541">
        <w:rPr>
          <w:rFonts w:ascii="Arial" w:eastAsia="Calibri" w:hAnsi="Arial" w:cs="Arial"/>
          <w:color w:val="1B1B1B"/>
          <w:kern w:val="0"/>
          <w:sz w:val="24"/>
          <w:szCs w:val="24"/>
          <w:shd w:val="clear" w:color="auto" w:fill="FFFFFF"/>
          <w14:ligatures w14:val="none"/>
        </w:rPr>
        <w:t>(7), 1416–1422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6A7FBFF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Department for Education (2026) </w:t>
      </w:r>
      <w:r w:rsidRPr="00785541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>Working Together to Safeguard Children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London: HMSO. Available at: </w:t>
      </w:r>
      <w:hyperlink r:id="rId6" w:history="1">
        <w:r w:rsidRPr="00785541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https://www.gov.uk/government/publications/working-together-to-safeguard-children--2</w:t>
        </w:r>
      </w:hyperlink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10 Jun 2026).</w:t>
      </w:r>
    </w:p>
    <w:p w14:paraId="257B5C2D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>Children Act 1989, C.41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London: HMSO. Available at: </w:t>
      </w:r>
      <w:hyperlink r:id="rId7" w:history="1">
        <w:r w:rsidRPr="00785541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https://www.legislation.gov.uk/ukpga/1989/41/contents</w:t>
        </w:r>
      </w:hyperlink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09 Jun 2026).</w:t>
      </w:r>
    </w:p>
    <w:p w14:paraId="088BEB9D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>Children Act 2004, C.31.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London: HMSO. Available at: </w:t>
      </w:r>
      <w:hyperlink r:id="rId8" w:history="1">
        <w:r w:rsidRPr="00785541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https://www.legislation.gov.uk/ukpga/2004/31/contents</w:t>
        </w:r>
      </w:hyperlink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09 Jun 2026).</w:t>
      </w:r>
    </w:p>
    <w:p w14:paraId="7ADAA186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Calibri" w:hAnsi="Arial" w:cs="Arial"/>
          <w:color w:val="212121"/>
          <w:kern w:val="0"/>
          <w:sz w:val="24"/>
          <w:szCs w:val="24"/>
          <w:shd w:val="clear" w:color="auto" w:fill="FFFFFF"/>
          <w14:ligatures w14:val="none"/>
        </w:rPr>
        <w:t xml:space="preserve">Hughes, K., Bellis, M. A., Hardcastle, K. A., Sethi, D., Butchart, A., </w:t>
      </w:r>
      <w:proofErr w:type="spellStart"/>
      <w:r w:rsidRPr="00785541">
        <w:rPr>
          <w:rFonts w:ascii="Arial" w:eastAsia="Calibri" w:hAnsi="Arial" w:cs="Arial"/>
          <w:color w:val="212121"/>
          <w:kern w:val="0"/>
          <w:sz w:val="24"/>
          <w:szCs w:val="24"/>
          <w:shd w:val="clear" w:color="auto" w:fill="FFFFFF"/>
          <w14:ligatures w14:val="none"/>
        </w:rPr>
        <w:t>Mikton</w:t>
      </w:r>
      <w:proofErr w:type="spellEnd"/>
      <w:r w:rsidRPr="00785541">
        <w:rPr>
          <w:rFonts w:ascii="Arial" w:eastAsia="Calibri" w:hAnsi="Arial" w:cs="Arial"/>
          <w:color w:val="212121"/>
          <w:kern w:val="0"/>
          <w:sz w:val="24"/>
          <w:szCs w:val="24"/>
          <w:shd w:val="clear" w:color="auto" w:fill="FFFFFF"/>
          <w14:ligatures w14:val="none"/>
        </w:rPr>
        <w:t>, C., Jones, L., and Dunne, M. P. (2017) ‘The effect of multiple adverse childhood experiences on health: a systematic review and meta-analysis’, </w:t>
      </w:r>
      <w:r w:rsidRPr="00785541">
        <w:rPr>
          <w:rFonts w:ascii="Arial" w:eastAsia="Calibri" w:hAnsi="Arial" w:cs="Arial"/>
          <w:i/>
          <w:iCs/>
          <w:color w:val="212121"/>
          <w:kern w:val="0"/>
          <w:sz w:val="24"/>
          <w:szCs w:val="24"/>
          <w:shd w:val="clear" w:color="auto" w:fill="FFFFFF"/>
          <w14:ligatures w14:val="none"/>
        </w:rPr>
        <w:t>The Lancet. Public health</w:t>
      </w:r>
      <w:r w:rsidRPr="00785541">
        <w:rPr>
          <w:rFonts w:ascii="Arial" w:eastAsia="Calibri" w:hAnsi="Arial" w:cs="Arial"/>
          <w:color w:val="212121"/>
          <w:kern w:val="0"/>
          <w:sz w:val="24"/>
          <w:szCs w:val="24"/>
          <w:shd w:val="clear" w:color="auto" w:fill="FFFFFF"/>
          <w14:ligatures w14:val="none"/>
        </w:rPr>
        <w:t>, </w:t>
      </w:r>
      <w:r w:rsidRPr="00785541">
        <w:rPr>
          <w:rFonts w:ascii="Arial" w:eastAsia="Calibri" w:hAnsi="Arial" w:cs="Arial"/>
          <w:i/>
          <w:iCs/>
          <w:color w:val="212121"/>
          <w:kern w:val="0"/>
          <w:sz w:val="24"/>
          <w:szCs w:val="24"/>
          <w:shd w:val="clear" w:color="auto" w:fill="FFFFFF"/>
          <w14:ligatures w14:val="none"/>
        </w:rPr>
        <w:t>2</w:t>
      </w:r>
      <w:r w:rsidRPr="00785541">
        <w:rPr>
          <w:rFonts w:ascii="Arial" w:eastAsia="Calibri" w:hAnsi="Arial" w:cs="Arial"/>
          <w:color w:val="212121"/>
          <w:kern w:val="0"/>
          <w:sz w:val="24"/>
          <w:szCs w:val="24"/>
          <w:shd w:val="clear" w:color="auto" w:fill="FFFFFF"/>
          <w14:ligatures w14:val="none"/>
        </w:rPr>
        <w:t>(8), e356–e366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0739A6D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National Child Safeguarding Practice Review Panel (2021) ‘The Myth of Invisible Men: Safeguarding Children Under One from Non-Accidental Injury Caused by Male Carers’, London: Department for Education. Available at: </w:t>
      </w:r>
      <w:hyperlink r:id="rId9" w:history="1">
        <w:r w:rsidRPr="00785541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https://assets.publishing.service.gov.uk/media/6141e34f8fa8f503bc665895/The_myth_of_invisible_men_safeguarding_children_under_1_from_non-accidental_injury_caused_by_male_carers.pdf</w:t>
        </w:r>
      </w:hyperlink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0 Jun 2026).</w:t>
      </w:r>
    </w:p>
    <w:p w14:paraId="5DF80E1B" w14:textId="77777777" w:rsidR="00785541" w:rsidRPr="00785541" w:rsidRDefault="00785541" w:rsidP="00785541">
      <w:pPr>
        <w:numPr>
          <w:ilvl w:val="0"/>
          <w:numId w:val="1"/>
        </w:numPr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Nicolas, J. (2023) </w:t>
      </w:r>
      <w:r w:rsidRPr="00785541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 xml:space="preserve">Child Safeguarding Practice Review into the Death of Adult A (BSCP 2020/21-02). </w:t>
      </w:r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Birmingham Safeguarding Children Partnership. Available at: </w:t>
      </w:r>
      <w:hyperlink r:id="rId10" w:history="1">
        <w:r w:rsidRPr="00785541">
          <w:rPr>
            <w:rFonts w:ascii="Arial" w:eastAsia="Times New Roman" w:hAnsi="Arial" w:cs="Arial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https://lscpbirmingham.org.uk/wp-content/uploads/2023/10/BSCP-2020-21-02-Child-A-CSPR.pdf</w:t>
        </w:r>
      </w:hyperlink>
      <w:r w:rsidRPr="007855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10 Jun 2026).</w:t>
      </w:r>
    </w:p>
    <w:p w14:paraId="71EBBAC3" w14:textId="77777777" w:rsidR="00866A81" w:rsidRDefault="00866A81"/>
    <w:sectPr w:rsidR="00866A81" w:rsidSect="0078554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B327FD"/>
    <w:multiLevelType w:val="hybridMultilevel"/>
    <w:tmpl w:val="9C6C56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78292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541"/>
    <w:rsid w:val="00204F27"/>
    <w:rsid w:val="00205795"/>
    <w:rsid w:val="003C57B7"/>
    <w:rsid w:val="00785541"/>
    <w:rsid w:val="00866A81"/>
    <w:rsid w:val="009813F3"/>
    <w:rsid w:val="00ED1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FD3C4"/>
  <w15:chartTrackingRefBased/>
  <w15:docId w15:val="{96D95F5D-F54B-48C0-9AB6-7F3A70B12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55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55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554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55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554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55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55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55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55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554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55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554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554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554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55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55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55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55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55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55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55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55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55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55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55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554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554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554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554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working-together-to-safeguard-children--2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tacttraining.org.au/uploads/files/Three-Pillars-HealingInTheOther23Hours.pdf" TargetMode="External"/><Relationship Id="rId10" Type="http://schemas.openxmlformats.org/officeDocument/2006/relationships/hyperlink" Target="https://lscpbirmingham.org.uk/wp-content/uploads/2023/10/BSCP-2020-21-02-Child-A-CSPR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media/6141e34f8fa8f503bc665895/The_myth_of_invisible_men_safeguarding_children_under_1_from_non-accidental_injury_caused_by_male_car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452</Words>
  <Characters>2578</Characters>
  <Application>Microsoft Office Word</Application>
  <DocSecurity>0</DocSecurity>
  <Lines>21</Lines>
  <Paragraphs>6</Paragraphs>
  <ScaleCrop>false</ScaleCrop>
  <Company/>
  <LinksUpToDate>false</LinksUpToDate>
  <CharactersWithSpaces>3024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Salia Perveen</dc:creator>
  <cp:keywords/>
  <dc:description/>
  <cp:lastModifiedBy>Salia Perveen</cp:lastModifiedBy>
  <cp:revision>1</cp:revision>
  <dcterms:created xsi:type="dcterms:W3CDTF">2026-06-22T11:14:00Z</dcterms:created>
  <dcterms:modified xsi:type="dcterms:W3CDTF">2026-06-22T11:16:00Z</dcterms:modified>
</cp:coreProperties>
</file>