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4961FA20" w:rsidR="009F64C5" w:rsidRPr="00FE174A" w:rsidRDefault="009F64C5" w:rsidP="003545E8">
      <w:pPr>
        <w:spacing w:after="0" w:line="360" w:lineRule="auto"/>
        <w:ind w:left="49"/>
        <w:jc w:val="center"/>
        <w:rPr>
          <w:rFonts w:ascii="Arial" w:hAnsi="Arial" w:cs="Arial"/>
        </w:rPr>
      </w:pPr>
    </w:p>
    <w:p w14:paraId="6D3D663A" w14:textId="4EC57C8F" w:rsidR="009F64C5" w:rsidRPr="00FE174A" w:rsidRDefault="009F64C5" w:rsidP="003545E8">
      <w:pPr>
        <w:spacing w:after="0" w:line="360" w:lineRule="auto"/>
        <w:ind w:left="49"/>
        <w:jc w:val="center"/>
        <w:rPr>
          <w:rFonts w:ascii="Arial" w:hAnsi="Arial" w:cs="Arial"/>
        </w:rPr>
      </w:pPr>
    </w:p>
    <w:p w14:paraId="6787C14B" w14:textId="0948591D" w:rsidR="009F64C5" w:rsidRPr="00FE174A" w:rsidRDefault="009F64C5" w:rsidP="003545E8">
      <w:pPr>
        <w:spacing w:after="0" w:line="360" w:lineRule="auto"/>
        <w:ind w:left="49"/>
        <w:jc w:val="center"/>
        <w:rPr>
          <w:rFonts w:ascii="Arial" w:hAnsi="Arial" w:cs="Arial"/>
        </w:rPr>
      </w:pPr>
      <w:r w:rsidRPr="00FE174A">
        <w:rPr>
          <w:rFonts w:ascii="Arial" w:hAnsi="Arial"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5E0F4EC2" w14:textId="378F54E0" w:rsidR="009F64C5" w:rsidRPr="00FE174A" w:rsidRDefault="009F64C5" w:rsidP="003545E8">
      <w:pPr>
        <w:spacing w:after="0" w:line="360" w:lineRule="auto"/>
        <w:ind w:left="49"/>
        <w:jc w:val="center"/>
        <w:rPr>
          <w:rFonts w:ascii="Arial" w:hAnsi="Arial" w:cs="Arial"/>
        </w:rPr>
      </w:pPr>
    </w:p>
    <w:p w14:paraId="0C4D53A1" w14:textId="10B7D6B7" w:rsidR="009F64C5" w:rsidRPr="00FE174A" w:rsidRDefault="009F64C5" w:rsidP="003545E8">
      <w:pPr>
        <w:spacing w:after="0" w:line="360" w:lineRule="auto"/>
        <w:ind w:left="49"/>
        <w:jc w:val="center"/>
        <w:rPr>
          <w:rFonts w:ascii="Arial" w:hAnsi="Arial" w:cs="Arial"/>
        </w:rPr>
      </w:pPr>
    </w:p>
    <w:p w14:paraId="196BF838" w14:textId="77B4ECF0" w:rsidR="009F64C5" w:rsidRPr="00FE174A" w:rsidRDefault="009F64C5" w:rsidP="003545E8">
      <w:pPr>
        <w:spacing w:after="0" w:line="360" w:lineRule="auto"/>
        <w:ind w:left="89"/>
        <w:jc w:val="center"/>
        <w:rPr>
          <w:rFonts w:ascii="Arial" w:hAnsi="Arial" w:cs="Arial"/>
          <w:b/>
          <w:bCs/>
        </w:rPr>
      </w:pPr>
      <w:r w:rsidRPr="00FE174A">
        <w:rPr>
          <w:rFonts w:ascii="Arial" w:hAnsi="Arial" w:cs="Arial"/>
          <w:b/>
          <w:bCs/>
        </w:rPr>
        <w:t xml:space="preserve">EXPERIENCES OF </w:t>
      </w:r>
      <w:r w:rsidR="003545E8" w:rsidRPr="00FE174A">
        <w:rPr>
          <w:rFonts w:ascii="Arial" w:hAnsi="Arial" w:cs="Arial"/>
          <w:b/>
          <w:bCs/>
        </w:rPr>
        <w:t>BEREAVED</w:t>
      </w:r>
      <w:r w:rsidRPr="00FE174A">
        <w:rPr>
          <w:rFonts w:ascii="Arial" w:hAnsi="Arial" w:cs="Arial"/>
          <w:b/>
          <w:bCs/>
        </w:rPr>
        <w:t xml:space="preserve"> FAMILY MEMBERS AND CARE HOME STAFF REGARDING END-OF-LIFE CARE IN </w:t>
      </w:r>
      <w:r w:rsidR="003545E8" w:rsidRPr="00FE174A">
        <w:rPr>
          <w:rFonts w:ascii="Arial" w:hAnsi="Arial" w:cs="Arial"/>
          <w:b/>
          <w:bCs/>
        </w:rPr>
        <w:t>RESIDENTIAL</w:t>
      </w:r>
      <w:r w:rsidRPr="00FE174A">
        <w:rPr>
          <w:rFonts w:ascii="Arial" w:hAnsi="Arial" w:cs="Arial"/>
          <w:b/>
          <w:bCs/>
        </w:rPr>
        <w:t xml:space="preserve"> CARE HOMES IN </w:t>
      </w:r>
      <w:r w:rsidR="003545E8" w:rsidRPr="00FE174A">
        <w:rPr>
          <w:rFonts w:ascii="Arial" w:hAnsi="Arial" w:cs="Arial"/>
          <w:b/>
          <w:bCs/>
        </w:rPr>
        <w:t>THE</w:t>
      </w:r>
      <w:r w:rsidRPr="00FE174A">
        <w:rPr>
          <w:rFonts w:ascii="Arial" w:hAnsi="Arial" w:cs="Arial"/>
          <w:b/>
          <w:bCs/>
        </w:rPr>
        <w:t xml:space="preserve"> UK: A SYSTEMATIC REVIEW</w:t>
      </w:r>
    </w:p>
    <w:p w14:paraId="5E1E2E05" w14:textId="72F2B7CF" w:rsidR="009F64C5" w:rsidRPr="00FE174A" w:rsidRDefault="009F64C5" w:rsidP="003545E8">
      <w:pPr>
        <w:spacing w:after="0" w:line="360" w:lineRule="auto"/>
        <w:ind w:left="89"/>
        <w:jc w:val="center"/>
        <w:rPr>
          <w:rFonts w:ascii="Arial" w:hAnsi="Arial" w:cs="Arial"/>
        </w:rPr>
      </w:pPr>
    </w:p>
    <w:p w14:paraId="46D86011" w14:textId="64826D85" w:rsidR="009F64C5" w:rsidRPr="00FE174A" w:rsidRDefault="009F64C5" w:rsidP="003545E8">
      <w:pPr>
        <w:spacing w:after="0" w:line="360" w:lineRule="auto"/>
        <w:ind w:left="2367" w:right="2358"/>
        <w:jc w:val="center"/>
        <w:rPr>
          <w:rFonts w:ascii="Arial" w:hAnsi="Arial" w:cs="Arial"/>
        </w:rPr>
      </w:pPr>
      <w:r w:rsidRPr="00FE174A">
        <w:rPr>
          <w:rFonts w:ascii="Arial" w:hAnsi="Arial" w:cs="Arial"/>
        </w:rPr>
        <w:t>by</w:t>
      </w:r>
    </w:p>
    <w:p w14:paraId="75EA3561" w14:textId="7AB061C0" w:rsidR="009F64C5" w:rsidRPr="00FE174A" w:rsidRDefault="009F64C5" w:rsidP="003545E8">
      <w:pPr>
        <w:spacing w:after="0" w:line="360" w:lineRule="auto"/>
        <w:ind w:left="59"/>
        <w:jc w:val="center"/>
        <w:rPr>
          <w:rFonts w:ascii="Arial" w:hAnsi="Arial" w:cs="Arial"/>
        </w:rPr>
      </w:pPr>
    </w:p>
    <w:p w14:paraId="350EB5D6" w14:textId="257B3F4B" w:rsidR="009F64C5" w:rsidRPr="00FE174A" w:rsidRDefault="00061C86" w:rsidP="003545E8">
      <w:pPr>
        <w:spacing w:after="0" w:line="360" w:lineRule="auto"/>
        <w:ind w:left="2367" w:right="2359"/>
        <w:jc w:val="center"/>
        <w:rPr>
          <w:rFonts w:ascii="Arial" w:hAnsi="Arial" w:cs="Arial"/>
          <w:b/>
          <w:bCs/>
        </w:rPr>
      </w:pPr>
      <w:r w:rsidRPr="00FE174A">
        <w:rPr>
          <w:rFonts w:ascii="Arial" w:hAnsi="Arial" w:cs="Arial"/>
          <w:b/>
          <w:bCs/>
        </w:rPr>
        <w:t>Ujvalkumar Rajeshbhai Patel</w:t>
      </w:r>
    </w:p>
    <w:p w14:paraId="0437E915" w14:textId="59A5B1CF" w:rsidR="00061C86" w:rsidRPr="00FE174A" w:rsidRDefault="00061C86" w:rsidP="003545E8">
      <w:pPr>
        <w:spacing w:after="0" w:line="360" w:lineRule="auto"/>
        <w:ind w:left="2367" w:right="2359"/>
        <w:jc w:val="center"/>
        <w:rPr>
          <w:rFonts w:ascii="Arial" w:hAnsi="Arial" w:cs="Arial"/>
          <w:b/>
          <w:bCs/>
        </w:rPr>
      </w:pPr>
      <w:r w:rsidRPr="00FE174A">
        <w:rPr>
          <w:rFonts w:ascii="Arial" w:hAnsi="Arial" w:cs="Arial"/>
          <w:b/>
          <w:bCs/>
        </w:rPr>
        <w:t>(2428892)</w:t>
      </w:r>
    </w:p>
    <w:p w14:paraId="1062A64A" w14:textId="5BA30C2B" w:rsidR="009F64C5" w:rsidRPr="00FE174A" w:rsidRDefault="009F64C5" w:rsidP="003545E8">
      <w:pPr>
        <w:spacing w:after="0" w:line="360" w:lineRule="auto"/>
        <w:ind w:left="59"/>
        <w:jc w:val="center"/>
        <w:rPr>
          <w:rFonts w:ascii="Arial" w:hAnsi="Arial" w:cs="Arial"/>
          <w:b/>
          <w:bCs/>
        </w:rPr>
      </w:pPr>
    </w:p>
    <w:p w14:paraId="33922CAA" w14:textId="1916AC8F" w:rsidR="009F64C5" w:rsidRPr="00FE174A" w:rsidRDefault="009F64C5" w:rsidP="003545E8">
      <w:pPr>
        <w:spacing w:after="0" w:line="360" w:lineRule="auto"/>
        <w:ind w:left="59"/>
        <w:jc w:val="center"/>
        <w:rPr>
          <w:rFonts w:ascii="Arial" w:hAnsi="Arial" w:cs="Arial"/>
        </w:rPr>
      </w:pPr>
    </w:p>
    <w:p w14:paraId="09C8500D" w14:textId="15E6A2BF" w:rsidR="009F64C5" w:rsidRPr="00FE174A" w:rsidRDefault="009F64C5" w:rsidP="003545E8">
      <w:pPr>
        <w:spacing w:after="0" w:line="360" w:lineRule="auto"/>
        <w:ind w:left="59"/>
        <w:jc w:val="center"/>
        <w:rPr>
          <w:rFonts w:ascii="Arial" w:hAnsi="Arial" w:cs="Arial"/>
        </w:rPr>
      </w:pPr>
    </w:p>
    <w:p w14:paraId="64B3B17A" w14:textId="4BFE4716" w:rsidR="009F64C5" w:rsidRPr="00FE174A" w:rsidRDefault="009F64C5" w:rsidP="003545E8">
      <w:pPr>
        <w:spacing w:after="0" w:line="360" w:lineRule="auto"/>
        <w:ind w:left="59"/>
        <w:jc w:val="center"/>
        <w:rPr>
          <w:rFonts w:ascii="Arial" w:hAnsi="Arial" w:cs="Arial"/>
        </w:rPr>
      </w:pPr>
    </w:p>
    <w:p w14:paraId="5CAC7C58" w14:textId="74F9FEB1" w:rsidR="009F64C5" w:rsidRPr="00FE174A" w:rsidRDefault="009F64C5" w:rsidP="003545E8">
      <w:pPr>
        <w:spacing w:after="0" w:line="360" w:lineRule="auto"/>
        <w:ind w:left="59"/>
        <w:jc w:val="center"/>
        <w:rPr>
          <w:rFonts w:ascii="Arial" w:hAnsi="Arial" w:cs="Arial"/>
        </w:rPr>
      </w:pPr>
    </w:p>
    <w:p w14:paraId="75DE2693" w14:textId="16C0347A" w:rsidR="009F64C5" w:rsidRPr="00FE174A" w:rsidRDefault="009F64C5" w:rsidP="003545E8">
      <w:pPr>
        <w:spacing w:after="0" w:line="360" w:lineRule="auto"/>
        <w:ind w:left="59"/>
        <w:jc w:val="center"/>
        <w:rPr>
          <w:rFonts w:ascii="Arial" w:hAnsi="Arial" w:cs="Arial"/>
        </w:rPr>
      </w:pPr>
      <w:r w:rsidRPr="00FE174A">
        <w:rPr>
          <w:rFonts w:ascii="Arial" w:hAnsi="Arial" w:cs="Arial"/>
        </w:rPr>
        <w:t xml:space="preserve">A Dissertation submitted in partial fulfilment of the requirements for the degree of </w:t>
      </w:r>
      <w:r w:rsidR="003545E8" w:rsidRPr="00FE174A">
        <w:rPr>
          <w:rFonts w:ascii="Arial" w:hAnsi="Arial" w:cs="Arial"/>
        </w:rPr>
        <w:t>Master</w:t>
      </w:r>
      <w:r w:rsidRPr="00FE174A">
        <w:rPr>
          <w:rFonts w:ascii="Arial" w:hAnsi="Arial" w:cs="Arial"/>
        </w:rPr>
        <w:t xml:space="preserve"> of Science in Public Health and Social Care in Practice</w:t>
      </w:r>
    </w:p>
    <w:p w14:paraId="2678540A" w14:textId="77777777" w:rsidR="009F64C5" w:rsidRPr="00FE174A" w:rsidRDefault="009F64C5" w:rsidP="003545E8">
      <w:pPr>
        <w:spacing w:after="0" w:line="360" w:lineRule="auto"/>
        <w:ind w:left="59"/>
        <w:jc w:val="center"/>
        <w:rPr>
          <w:rFonts w:ascii="Arial" w:hAnsi="Arial" w:cs="Arial"/>
        </w:rPr>
      </w:pPr>
    </w:p>
    <w:p w14:paraId="6B1630CF" w14:textId="77777777" w:rsidR="009F64C5" w:rsidRPr="00FE174A" w:rsidRDefault="009F64C5" w:rsidP="003545E8">
      <w:pPr>
        <w:spacing w:after="0" w:line="360" w:lineRule="auto"/>
        <w:jc w:val="center"/>
        <w:rPr>
          <w:rFonts w:ascii="Arial" w:hAnsi="Arial" w:cs="Arial"/>
          <w:b/>
          <w:bCs/>
        </w:rPr>
      </w:pPr>
    </w:p>
    <w:p w14:paraId="48468714" w14:textId="77777777" w:rsidR="009F64C5" w:rsidRPr="00FE174A" w:rsidRDefault="009F64C5" w:rsidP="003545E8">
      <w:pPr>
        <w:spacing w:after="0" w:line="360" w:lineRule="auto"/>
        <w:jc w:val="center"/>
        <w:rPr>
          <w:rFonts w:ascii="Arial" w:hAnsi="Arial" w:cs="Arial"/>
          <w:b/>
          <w:bCs/>
        </w:rPr>
      </w:pPr>
    </w:p>
    <w:p w14:paraId="7C5AA9DE" w14:textId="3566044E" w:rsidR="009F64C5" w:rsidRPr="00FE174A" w:rsidRDefault="34630932" w:rsidP="003545E8">
      <w:pPr>
        <w:spacing w:after="0" w:line="360" w:lineRule="auto"/>
        <w:jc w:val="center"/>
        <w:rPr>
          <w:rFonts w:ascii="Arial" w:hAnsi="Arial" w:cs="Arial"/>
          <w:b/>
          <w:bCs/>
        </w:rPr>
      </w:pPr>
      <w:r w:rsidRPr="00FE174A">
        <w:rPr>
          <w:rFonts w:ascii="Arial" w:hAnsi="Arial" w:cs="Arial"/>
          <w:b/>
          <w:bCs/>
        </w:rPr>
        <w:t>The Institute of Inner-City Learning</w:t>
      </w:r>
    </w:p>
    <w:p w14:paraId="0A089F1E" w14:textId="7EF44560" w:rsidR="009F64C5" w:rsidRPr="00FE174A" w:rsidRDefault="009F64C5" w:rsidP="003545E8">
      <w:pPr>
        <w:spacing w:after="0" w:line="360" w:lineRule="auto"/>
        <w:jc w:val="center"/>
        <w:rPr>
          <w:rFonts w:ascii="Arial" w:hAnsi="Arial" w:cs="Arial"/>
          <w:b/>
          <w:bCs/>
        </w:rPr>
      </w:pPr>
      <w:r w:rsidRPr="00FE174A">
        <w:rPr>
          <w:rFonts w:ascii="Arial" w:hAnsi="Arial" w:cs="Arial"/>
          <w:b/>
          <w:bCs/>
        </w:rPr>
        <w:t>University of Wales Trinity Saint David – London Campus</w:t>
      </w:r>
    </w:p>
    <w:p w14:paraId="4C4866B4" w14:textId="77777777" w:rsidR="009F64C5" w:rsidRPr="00FE174A" w:rsidRDefault="009F64C5" w:rsidP="003545E8">
      <w:pPr>
        <w:spacing w:after="0" w:line="360" w:lineRule="auto"/>
        <w:ind w:left="2367" w:right="2357"/>
        <w:jc w:val="center"/>
        <w:rPr>
          <w:rFonts w:ascii="Arial" w:hAnsi="Arial" w:cs="Arial"/>
          <w:b/>
          <w:bCs/>
        </w:rPr>
      </w:pPr>
    </w:p>
    <w:p w14:paraId="52A3D603" w14:textId="77777777" w:rsidR="009F64C5" w:rsidRPr="00FE174A" w:rsidRDefault="009F64C5" w:rsidP="003545E8">
      <w:pPr>
        <w:spacing w:after="0" w:line="360" w:lineRule="auto"/>
        <w:ind w:left="2367" w:right="2357"/>
        <w:jc w:val="center"/>
        <w:rPr>
          <w:rFonts w:ascii="Arial" w:hAnsi="Arial" w:cs="Arial"/>
          <w:b/>
          <w:bCs/>
        </w:rPr>
      </w:pPr>
    </w:p>
    <w:p w14:paraId="5D8C4E6F" w14:textId="3AE1410E" w:rsidR="00113366" w:rsidRPr="00FE174A" w:rsidRDefault="00061C86" w:rsidP="003545E8">
      <w:pPr>
        <w:spacing w:after="0" w:line="360" w:lineRule="auto"/>
        <w:ind w:left="2367" w:right="2357"/>
        <w:jc w:val="center"/>
        <w:rPr>
          <w:rFonts w:ascii="Arial" w:hAnsi="Arial" w:cs="Arial"/>
        </w:rPr>
      </w:pPr>
      <w:r w:rsidRPr="00FE174A">
        <w:rPr>
          <w:rFonts w:ascii="Arial" w:hAnsi="Arial" w:cs="Arial"/>
        </w:rPr>
        <w:t>2</w:t>
      </w:r>
      <w:r w:rsidRPr="00FE174A">
        <w:rPr>
          <w:rFonts w:ascii="Arial" w:hAnsi="Arial" w:cs="Arial"/>
          <w:vertAlign w:val="superscript"/>
        </w:rPr>
        <w:t xml:space="preserve">nd  </w:t>
      </w:r>
      <w:r w:rsidRPr="00FE174A">
        <w:rPr>
          <w:rFonts w:ascii="Arial" w:hAnsi="Arial" w:cs="Arial"/>
        </w:rPr>
        <w:t>February 2026</w:t>
      </w:r>
    </w:p>
    <w:p w14:paraId="46C7FCCD" w14:textId="4052DB13" w:rsidR="00113366" w:rsidRPr="00FE174A" w:rsidRDefault="008B04B8" w:rsidP="008B04B8">
      <w:pPr>
        <w:spacing w:after="0" w:line="360" w:lineRule="auto"/>
        <w:jc w:val="center"/>
        <w:rPr>
          <w:rFonts w:ascii="Arial" w:hAnsi="Arial" w:cs="Arial"/>
          <w:b/>
          <w:bCs/>
        </w:rPr>
      </w:pPr>
      <w:r>
        <w:rPr>
          <w:rFonts w:ascii="Arial" w:hAnsi="Arial" w:cs="Arial"/>
          <w:b/>
          <w:bCs/>
        </w:rPr>
        <w:t>Word count: 15,8</w:t>
      </w:r>
      <w:r w:rsidR="00CB4F63">
        <w:rPr>
          <w:rFonts w:ascii="Arial" w:hAnsi="Arial" w:cs="Arial"/>
          <w:b/>
          <w:bCs/>
        </w:rPr>
        <w:t>84</w:t>
      </w:r>
    </w:p>
    <w:p w14:paraId="33CB4C93" w14:textId="77777777" w:rsidR="008B04B8" w:rsidRDefault="008B04B8">
      <w:pPr>
        <w:rPr>
          <w:rFonts w:ascii="Arial" w:eastAsia="Times New Roman" w:hAnsi="Arial" w:cs="Arial"/>
          <w:b/>
          <w:bCs/>
          <w:color w:val="000000" w:themeColor="text1"/>
          <w:lang w:val="hr-HR"/>
        </w:rPr>
      </w:pPr>
      <w:r>
        <w:rPr>
          <w:rFonts w:ascii="Arial" w:eastAsia="Times New Roman" w:hAnsi="Arial" w:cs="Arial"/>
          <w:b/>
          <w:bCs/>
          <w:color w:val="000000" w:themeColor="text1"/>
          <w:lang w:val="hr-HR"/>
        </w:rPr>
        <w:br w:type="page"/>
      </w:r>
    </w:p>
    <w:p w14:paraId="013A249C" w14:textId="232DEC34" w:rsidR="00113366" w:rsidRPr="00FE174A" w:rsidRDefault="00113366" w:rsidP="003545E8">
      <w:pPr>
        <w:spacing w:after="0" w:line="360" w:lineRule="auto"/>
        <w:jc w:val="both"/>
        <w:rPr>
          <w:rFonts w:ascii="Arial" w:eastAsia="Times New Roman" w:hAnsi="Arial" w:cs="Arial"/>
          <w:b/>
          <w:bCs/>
          <w:color w:val="000000" w:themeColor="text1"/>
          <w:lang w:val="hr-HR"/>
        </w:rPr>
      </w:pPr>
      <w:r w:rsidRPr="00FE174A">
        <w:rPr>
          <w:rFonts w:ascii="Arial" w:eastAsia="Times New Roman" w:hAnsi="Arial" w:cs="Arial"/>
          <w:b/>
          <w:bCs/>
          <w:color w:val="000000" w:themeColor="text1"/>
          <w:lang w:val="hr-HR"/>
        </w:rPr>
        <w:lastRenderedPageBreak/>
        <w:t>DECLARATION</w:t>
      </w:r>
    </w:p>
    <w:p w14:paraId="2E9B29DF" w14:textId="77777777" w:rsidR="00113366" w:rsidRPr="00FE174A" w:rsidRDefault="00113366" w:rsidP="003545E8">
      <w:pPr>
        <w:spacing w:after="0" w:line="360" w:lineRule="auto"/>
        <w:jc w:val="both"/>
        <w:rPr>
          <w:rFonts w:ascii="Arial" w:eastAsia="Times New Roman" w:hAnsi="Arial" w:cs="Arial"/>
          <w:color w:val="000000" w:themeColor="text1"/>
          <w:lang w:val="hr-HR"/>
        </w:rPr>
      </w:pPr>
    </w:p>
    <w:p w14:paraId="46A549CB" w14:textId="2D48828C" w:rsidR="00113366" w:rsidRPr="00FE174A" w:rsidRDefault="00113366" w:rsidP="003545E8">
      <w:pPr>
        <w:spacing w:after="0" w:line="360" w:lineRule="auto"/>
        <w:jc w:val="both"/>
        <w:rPr>
          <w:rFonts w:ascii="Arial" w:eastAsia="Times New Roman" w:hAnsi="Arial" w:cs="Arial"/>
          <w:color w:val="000000" w:themeColor="text1"/>
          <w:lang w:val="hr-HR"/>
        </w:rPr>
      </w:pPr>
      <w:r w:rsidRPr="00FE174A">
        <w:rPr>
          <w:rFonts w:ascii="Arial" w:hAnsi="Arial" w:cs="Arial"/>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BP5CtO/AQAA0wMAAA4AAABkcnMvZTJvRG9jLnhtbJxTy27bMBC8F8g/ ELzHElPVTQXLQREnQIA+jDb9AJakLCIil1jSkf33XUtWbMctCuQiLHel4czsaHazcS17Nhgt+IqL Sc6Z8Qq09auK/3q8v7zmLCbptWzBm4pvTeQ384t3sy6U5goaaLVBRiA+ll2oeJNSKLMsqsY4GScQ jKdhDehkoiOuMo2yI3TXZld5Ps06QB0QlImRuothyOc9fl0blb7XdTSJtRUvpvn7jx84S4cSqSzE pynR/v1SZvOZLFcoQ2PVnpp8AzMnrSciL1ALmSRboz2DclYhRKjTRIHLoK6tMr0uUijyVwof/NNO nSjUGksFPhmflhLT6GE/eMsVriUPuq+gaUtynYDvEcmi/y9lIL0AtXbEZ9gMmlYmikVsbIicYWl1 xfFBiwN//3x7ULDEg65vrwdSFKUKX0A9xXElojhj9lcn94EZzOyXwjz8AEqB4FTdNtKvzOcYKCv7 1p22aQnWp3j6DiJ0jZH6tP2zkcE8bgP5JjhlJxuXcyZinPxL9qZGtwsMuck2FadQbnfPPo9mk5ii prguBGVY0WQoj24cvh9vOQoHkTqJ4fF5R/joX5z/AQAA//8DAFBLAwQUAAYACAAAACEAV+0crbwB AABdBAAAEAAAAGRycy9pbmsvaW5rMS54bWy0k1FvmzAQx98n7TtY3nPAQFJSVNKnRZq0SdPaSdsj hWuwiu3INiH59juM41A13dMmIWSffX/f/fz33f1RdOQA2nAlS5pEjBKQtWq43JX05+N2sabE2Eo2 VacklPQEht5vPn644/JFdAX+CSpIM45EV9LW2n0Rx8MwREMWKb2LU8ay+It8+faVbnxWA89ccotH mnOoVtLC0Y5iBW9KWtsjC/tR+0H1uoawPEZ0fdlhdVXDVmlR2aDYVlJCR2QlsO5flNjTHgccz9mB pkRwbHiRRskyX64/32KgOpZ0Nu+xRIOVCBpf1/z9HzS3bzXHsrI0v8kp8SU1cBhrih3z4v3ev2u1 B205XDBPUPzCidTT3PGZQGkwquvHu6HkUHU9IksYQ1v4s5P4CpC3esjmn+ohl3f15sW9RuPbm3Pw 0IKlzldruQA0utgHj1mDwmP4wWr3HFKWZgu2XiTsMbktshy/KE9uZlfhXXzWfNK9aYPek7741a0E alNnA29sG6CziK0C9Dnya6kt8F1r/5br23bJwTlX3qEzE/F9/IDnkn5yT5G4zCngGmGEkXS5ylev bBikke/mDwAAAP//AwBQSwMEFAAGAAgAAAAhACgKSHbjAAAADQEAAA8AAABkcnMvZG93bnJldi54 bWxMj01OwzAQRvdI3MEaJDYodZpCFUKcCiGxoJQiAgdw42mSEo+j2G1TTs90Bbv5efrmTb4YbScO OPjWkYLpJAaBVDnTUq3g6/M5SkH4oMnozhEqOKGHRXF5kevMuCN94KEMteAQ8plW0ITQZ1L6qkGr /cT1SLzbusHqwO1QSzPoI4fbTiZxPJdWt8QXGt3jU4PVd7m3Cl6TXblcv5yWK1y/35y26Vv7szNK XV+Njw8gAo7hD4azPqtDwU4btyfjRacgmiVpwuy5ursFwUg0TWc82jAc389BFrn8/0XxCwAA//8D AFBLAwQUAAYACAAAACEAeRi8nb8AAAAhAQAAGQAAAGRycy9fcmVscy9lMm9Eb2MueG1sLnJlbHOE z7FqxDAMBuC90Hcw2hslHcpR4mQ5DrKWFG41jpKYxLKxnNJ7+3rswcENGoTQ90tt/+t39UNJXGAN TVWDIrZhcrxo+B4vbydQkg1PZg9MGm4k0HevL+0X7SaXJVldFFUUFg1rzvETUexK3kgVInGZzCF5 k0ubFozGbmYhfK/rD0z/DejuTDVMGtIwNaDGWyzJz+0wz87SOdjDE+cHEWgPycFf/V5QkxbKGhxv WKqpyqGAXYt3j3V/AAAA//8DAFBLAQItABQABgAIAAAAIQCbMyc3DAEAAC0CAAATAAAAAAAAAAAA AAAAAAAAAABbQ29udGVudF9UeXBlc10ueG1sUEsBAi0AFAAGAAgAAAAhADj9If/WAAAAlAEAAAsA AAAAAAAAAAAAAAAAPQEAAF9yZWxzLy5yZWxzUEsBAi0AFAAGAAgAAAAhABP5CtO/AQAA0wMAAA4A AAAAAAAAAAAAAAAAPAIAAGRycy9lMm9Eb2MueG1sUEsBAi0AFAAGAAgAAAAhAFftHK28AQAAXQQA ABAAAAAAAAAAAAAAAAAAJwQAAGRycy9pbmsvaW5rMS54bWxQSwECLQAUAAYACAAAACEAKApIduMA AAANAQAADwAAAAAAAAAAAAAAAAARBgAAZHJzL2Rvd25yZXYueG1sUEsBAi0AFAAGAAgAAAAhAHkY vJ2/AAAAIQEAABkAAAAAAAAAAAAAAAAAIQcAAGRycy9fcmVscy9lMm9Eb2MueG1sLnJlbHNQSwUG AAAAAAYABgB4AQAAFwgAAAAA ">
                <v:imagedata o:title="" r:id="rId10"/>
                <o:lock v:ext="edit" rotation="t" verticies="t" shapetype="t"/>
              </v:shape>
            </w:pict>
          </mc:Fallback>
        </mc:AlternateContent>
      </w:r>
      <w:r w:rsidRPr="00FE174A">
        <w:rPr>
          <w:rFonts w:ascii="Arial" w:hAnsi="Arial" w:cs="Arial"/>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NFQIC7IAQAAzwMAAA4AAABkcnMvZTJvRG9jLnhtbJxT0W7aMBR9n9R/ sPw+EkNgEBGqqXRSpW5DW/cBnu0Qq7GvZZsG/r43CRlQNk3qS2Tfm5x7zrkny9u9qcmL8kGDLSgb pZQoK0Bquy3or6cvH+eUhMit5DVYVdCDCvR2dfNh2bhcjaGCWipPEMSGvHEFrWJ0eZIEUSnDwwic stgswRse8eq3ifS8QXRTJ+M0nSUNeOk8CBUCVtd9k646/LJUIn4vy6AiqQuazdLJpyklsaDzRYpM PdYytpjh8TfWptmEJqslz7eeu0qLIy3+DlaGa4sk/kCteeRk5/UVlNHCQ4AyjgSYBMpSC9VpQnUs faPuwT63ylgmdj4XYKOyccN9HPzrGu8ZYWp0oPkKEjfEdxHoEREN+v9CetJrEDuDfPqteFXziJEI lXYBjc61LKh/kOzE377cnRRs/EnXt7cNzrJcuEcQz2FYCcuumP3VyWNYejO7pRALPwATwCie7ipu t+pzcJiTY+le6rgBbWO4fMd7aCrF5WX5Z8Wdejo49I212UmG5VyJGDr/kr0vvWkDg26SfUExkof2 2eVR7SMRWGTzjGF+BXbGk2wxPZ/Yfz9MOQsHkrqI4fm9JXz2H65eAQAA//8DAFBLAwQUAAYACAAA ACEAjxvpY8YBAABnBAAAEAAAAGRycy9pbmsvaW5rMS54bWy0k0FvmzAUx++T9h0s75DLAAMhpKik p0WatElT20nbkYIbrGI7sk1Ivv0exnGomu60SQjZz35/v/fz37d3R96hA1WaSVHiOCQYUVHLhold iX8+boM1RtpUoqk6KWiJT1Tju83HD7dMvPCugD8CBaHHEe9K3BqzL6JoGIZwSEOpdlFCSBp9FS/f v+GNy2roMxPMwJH6HKqlMPRoRrGCNSWuzZH4/aD9IHtVU788RlR92WFUVdOtVLwyXrGthKAdEhWH un9hZE57GDA4Z0cVRpxBw0ESxst8uf5yA4HqWOLZvIcSNVTCcXRd8/d/0Ny+1RzLSpN8lWPkSmro YawpssyL93v/oeSeKsPoBfMExS2cUD3NLZ8JlKJadv14Nxgdqq4HZDEhYAt3dhxdAfJWD9j8Uz3g 8q7evLjXaFx7cw4OmrfU+WoN4xSMzvfeY0aD8Bh+MMo+h4QkaUDWQUwe45sizeEL0zSZXYVz8Vnz SfW69XpP6uJXu+KpTZ0NrDGth05Cknnoc+TXUlvKdq35W65r2yZ751x5h9ZMyPVxT59L/Mk+RWQz p4BthKBVhpJllmefF2QRrLIFeWVIfwiQ3vwBAAD//wMAUEsDBBQABgAIAAAAIQBQ628K5AAAAAsB AAAPAAAAZHJzL2Rvd25yZXYueG1sTI/LTsMwEEX3SP0HayqxQanzQCUKcaoKiQWFFhH4ADeeJmlj O4rdNuHrGVawnJmjO+fmq1F37IKDa60REC1CYGgqq1pTC/j6fA5SYM5Lo2RnDQqY0MGqmN3kMlP2 aj7wUvqaUYhxmRTQeN9nnLuqQS3dwvZo6Hawg5aexqHmapBXCtcdj8NwybVsDX1oZI9PDVan8qwF vMbHcrN7mTZvuHu/mw7ptv0+KiFu5+P6EZjH0f/B8KtP6lCQ096ejXKsExAkcRoTKyBZPgAjIojS hDZ7AfdJBLzI+f8OxQ8AAAD//wMAUEsDBBQABgAIAAAAIQB5GLydvwAAACEBAAAZAAAAZHJzL19y ZWxzL2Uyb0RvYy54bWwucmVsc4TPsWrEMAwG4L3QdzDaGyUdylHiZDkOspYUbjWOkpjEsrGc0nv7 euzBwQ0ahND3S23/63f1Q0lcYA1NVYMitmFyvGj4Hi9vJ1CSDU9mD0wabiTQd68v7RftJpclWV0U VRQWDWvO8RNR7EreSBUicZnMIXmTS5sWjMZuZiF8r+sPTP8N6O5MNUwa0jA1oMZbLMnP7TDPztI5 2MMT5wcRaA/JwV/9XlCTFsoaHG9YqqnKoYBdi3ePdX8AAAD//wMAUEsBAi0AFAAGAAgAAAAhAJsz JzcMAQAALQIAABMAAAAAAAAAAAAAAAAAAAAAAFtDb250ZW50X1R5cGVzXS54bWxQSwECLQAUAAYA CAAAACEAOP0h/9YAAACUAQAACwAAAAAAAAAAAAAAAAA9AQAAX3JlbHMvLnJlbHNQSwECLQAUAAYA CAAAACEA0VAgLsgBAADPAwAADgAAAAAAAAAAAAAAAAA8AgAAZHJzL2Uyb0RvYy54bWxQSwECLQAU AAYACAAAACEAjxvpY8YBAABnBAAAEAAAAAAAAAAAAAAAAAAwBAAAZHJzL2luay9pbmsxLnhtbFBL AQItABQABgAIAAAAIQBQ628K5AAAAAsBAAAPAAAAAAAAAAAAAAAAACQGAABkcnMvZG93bnJldi54 bWxQSwECLQAUAAYACAAAACEAeRi8nb8AAAAhAQAAGQAAAAAAAAAAAAAAAAA1BwAAZHJzL19yZWxz L2Uyb0RvYy54bWwucmVsc1BLBQYAAAAABgAGAHgBAAArCAAAAAA= " w14:anchorId="253C97BC">
                <v:imagedata o:title="" r:id="rId10"/>
                <o:lock v:ext="edit" rotation="t" verticies="t" shapetype="t"/>
              </v:shape>
            </w:pict>
          </mc:Fallback>
        </mc:AlternateContent>
      </w:r>
      <w:r w:rsidRPr="00FE174A">
        <w:rPr>
          <w:rFonts w:ascii="Arial" w:hAnsi="Arial" w:cs="Arial"/>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BP5CtO/AQAA0wMAAA4AAABkcnMvZTJvRG9jLnhtbJxTy27bMBC8F8g/ ELzHElPVTQXLQREnQIA+jDb9AJakLCIil1jSkf33XUtWbMctCuQiLHel4czsaHazcS17Nhgt+IqL Sc6Z8Qq09auK/3q8v7zmLCbptWzBm4pvTeQ384t3sy6U5goaaLVBRiA+ll2oeJNSKLMsqsY4GScQ jKdhDehkoiOuMo2yI3TXZld5Ps06QB0QlImRuothyOc9fl0blb7XdTSJtRUvpvn7jx84S4cSqSzE pynR/v1SZvOZLFcoQ2PVnpp8AzMnrSciL1ALmSRboz2DclYhRKjTRIHLoK6tMr0uUijyVwof/NNO nSjUGksFPhmflhLT6GE/eMsVriUPuq+gaUtynYDvEcmi/y9lIL0AtXbEZ9gMmlYmikVsbIicYWl1 xfFBiwN//3x7ULDEg65vrwdSFKUKX0A9xXElojhj9lcn94EZzOyXwjz8AEqB4FTdNtKvzOcYKCv7 1p22aQnWp3j6DiJ0jZH6tP2zkcE8bgP5JjhlJxuXcyZinPxL9qZGtwsMuck2FadQbnfPPo9mk5ii prguBGVY0WQoj24cvh9vOQoHkTqJ4fF5R/joX5z/AQAA//8DAFBLAwQUAAYACAAAACEAmOvQM7wB AABdBAAAEAAAAGRycy9pbmsvaW5rMS54bWy0k8Fu4yAQhu8r9R0QPcfGdhInVp2eGqnSrrTadqXt 0bFJjGogAhwnb79jTIirpj21FwQD8zPz8XN3f+QNOlClmRQ5jgKCERWlrJjY5fjv83qywEibQlRF IwXN8YlqfL+6+XHHxCtvMhgRKAjdz3iT49qYfRaGXdcFXRJItQtjQpLwUbz++olXLquiWyaYgSv1 OVRKYejR9GIZq3JcmiPx50H7SbaqpH67j6jycsKooqRrqXhhvGJdCEEbJAoOdf/DyJz2MGFwz44q jDiDhidxEE3T6eJhCYHimOPRuoUSNVTCcXhd8+UbNNfvNfuykjidpxi5kip66GsKLfPs495/K7mn yjB6wTxAcRsnVA5ry2cApaiWTdu/DUaHomkBWUQI2MLdHYVXgLzXAzZfqgdcPtQbF/cWjWtvzMFB 85Y6P61hnILR+d57zGgQ7sNPRtnvEJM4mZDFJCLP0TJL0iyZB8toPnoK5+Kz5ka1uvZ6G3Xxq93x 1IbOOlaZ2kMnAZl56GPk11Jryna1+SzXtW2TvXOu/ENrJuT6+EO3Ob61XxHZzCFgGyGIoHg6S2dv bOilge/qPwAAAP//AwBQSwMEFAAGAAgAAAAhAIxqtw3jAAAADQEAAA8AAABkcnMvZG93bnJldi54 bWxMj8FOwzAQRO9I/IO1SFxQ6sSRUJTGqRASBwq0IvABbrxN0sZ2FLttwtezPcFtd+dpdqZYTaZn Zxx956yEZBEDQ1s73dlGwvfXS5QB80FZrXpnUcKMHlbl7U2hcu0u9hPPVWgYmVifKwltCEPOua9b NMov3ICWtL0bjQq0jg3Xo7qQuem5iONHblRn6UOrBnxusT5WJyPhTRyq9eZ1Xr/jZvsw77OP7ueg pby/m56WwAJO4Q+Ga3yKDiVl2rmT1Z71EqJUZILY65RSCUKiJEvptCM4SQTwsuD/W5S/AAAA//8D AFBLAwQUAAYACAAAACEAeRi8nb8AAAAhAQAAGQAAAGRycy9fcmVscy9lMm9Eb2MueG1sLnJlbHOE z7FqxDAMBuC90Hcw2hslHcpR4mQ5DrKWFG41jpKYxLKxnNJ7+3rswcENGoTQ90tt/+t39UNJXGAN TVWDIrZhcrxo+B4vbydQkg1PZg9MGm4k0HevL+0X7SaXJVldFFUUFg1rzvETUexK3kgVInGZzCF5 k0ubFozGbmYhfK/rD0z/DejuTDVMGtIwNaDGWyzJz+0wz87SOdjDE+cHEWgPycFf/V5QkxbKGhxv WKqpyqGAXYt3j3V/AAAA//8DAFBLAQItABQABgAIAAAAIQCbMyc3DAEAAC0CAAATAAAAAAAAAAAA AAAAAAAAAABbQ29udGVudF9UeXBlc10ueG1sUEsBAi0AFAAGAAgAAAAhADj9If/WAAAAlAEAAAsA AAAAAAAAAAAAAAAAPQEAAF9yZWxzLy5yZWxzUEsBAi0AFAAGAAgAAAAhABP5CtO/AQAA0wMAAA4A AAAAAAAAAAAAAAAAPAIAAGRycy9lMm9Eb2MueG1sUEsBAi0AFAAGAAgAAAAhAJjr0DO8AQAAXQQA ABAAAAAAAAAAAAAAAAAAJwQAAGRycy9pbmsvaW5rMS54bWxQSwECLQAUAAYACAAAACEAjGq3DeMA AAANAQAADwAAAAAAAAAAAAAAAAARBgAAZHJzL2Rvd25yZXYueG1sUEsBAi0AFAAGAAgAAAAhAHkY vJ2/AAAAIQEAABkAAAAAAAAAAAAAAAAAIQcAAGRycy9fcmVscy9lMm9Eb2MueG1sLnJlbHNQSwUG AAAAAAYABgB4AQAAFwgAAAAA " w14:anchorId="5680CE78">
                <v:imagedata o:title="" r:id="rId10"/>
                <o:lock v:ext="edit" rotation="t" verticies="t" shapetype="t"/>
              </v:shape>
            </w:pict>
          </mc:Fallback>
        </mc:AlternateContent>
      </w:r>
      <w:r w:rsidRPr="00FE174A">
        <w:rPr>
          <w:rFonts w:ascii="Arial" w:hAnsi="Arial" w:cs="Arial"/>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BP5CtO/AQAA0wMAAA4AAABkcnMvZTJvRG9jLnhtbJxTy27bMBC8F8g/ ELzHElPVTQXLQREnQIA+jDb9AJakLCIil1jSkf33XUtWbMctCuQiLHel4czsaHazcS17Nhgt+IqL Sc6Z8Qq09auK/3q8v7zmLCbptWzBm4pvTeQ384t3sy6U5goaaLVBRiA+ll2oeJNSKLMsqsY4GScQ jKdhDehkoiOuMo2yI3TXZld5Ps06QB0QlImRuothyOc9fl0blb7XdTSJtRUvpvn7jx84S4cSqSzE pynR/v1SZvOZLFcoQ2PVnpp8AzMnrSciL1ALmSRboz2DclYhRKjTRIHLoK6tMr0uUijyVwof/NNO nSjUGksFPhmflhLT6GE/eMsVriUPuq+gaUtynYDvEcmi/y9lIL0AtXbEZ9gMmlYmikVsbIicYWl1 xfFBiwN//3x7ULDEg65vrwdSFKUKX0A9xXElojhj9lcn94EZzOyXwjz8AEqB4FTdNtKvzOcYKCv7 1p22aQnWp3j6DiJ0jZH6tP2zkcE8bgP5JjhlJxuXcyZinPxL9qZGtwsMuck2FadQbnfPPo9mk5ii prguBGVY0WQoj24cvh9vOQoHkTqJ4fF5R/joX5z/AQAA//8DAFBLAwQUAAYACAAAACEAaLGZbboB AABdBAAAEAAAAGRycy9pbmsvaW5rMS54bWy0k1FP6yAUx99N/A4En9fSdrWzsfPJJTe5JjdXTfSx trgSCyxA1+3be0oZq3H6pC8EDpw/5/z4c32z4y3aUqWZFAWOAoIRFZWsmVgX+PFhNVtgpE0p6rKV ghZ4TzW+WZ6fXTPxxtscRgQKQg8z3ha4MWaTh2Hf90GfBFKtw5iQJPwj3u7+4qXLqukrE8zAlfoQ qqQwdGcGsZzVBa7MjvjzoH0vO1VRvz1EVHU8YVRZ0ZVUvDResSmFoC0SJYe6nzAy+w1MGNyzpgoj zqDhWRxE82y+uL2CQLkr8GTdQYkaKuE4PK35/Auaq8+aQ1lJnF1mGLmSarodagot8/zr3v8puaHK MHrEPEJxG3tUjWvLZwSlqJZtN7wNRtuy7QBZRAjYwt0dhSeAfNYDNj+qB1y+1JsW9xGNa2/KwUHz ljo8rWGcgtH5xnvMaBAewvdG2e8QkziZkcUsIg/RVZ4s8jQNsohMnsK5+KD5ojrdeL0XdfSr3fHU xs56VpvGQycBST30KfJTqQ1l68Z8l+vatsneOSf+oTUTcn38p68FvrBfEdnMMWAbIYigeJ5m6Qcb emngu3wHAAD//wMAUEsDBBQABgAIAAAAIQD1IAft4QAAAA0BAAAPAAAAZHJzL2Rvd25yZXYueG1s TI/LTsMwEEX3SPyDNUjsUueBWhriVCgSEhJsKLDozo2HJDQeR7bbhr9nuoLdPI7unKk2sx3FCX0Y HCnIFikIpNaZgToFH+9PyT2IEDUZPTpCBT8YYFNfX1W6NO5Mb3jaxk5wCIVSK+hjnEopQ9uj1WHh JiTefTlvdeTWd9J4feZwO8o8TZfS6oH4Qq8nbHpsD9ujVXBYNuHFtLudtutmaObn7PXbfyp1ezM/ PoCIOMc/GC76rA41O+3dkUwQo4KkWK0KZi/VXQaCkSQvch7tGc7SNci6kv+/qH8BAAD//wMAUEsD BBQABgAIAAAAIQB5GLydvwAAACEBAAAZAAAAZHJzL19yZWxzL2Uyb0RvYy54bWwucmVsc4TPsWrE MAwG4L3QdzDaGyUdylHiZDkOspYUbjWOkpjEsrGc0nv7euzBwQ0ahND3S23/63f1Q0lcYA1NVYMi tmFyvGj4Hi9vJ1CSDU9mD0wabiTQd68v7RftJpclWV0UVRQWDWvO8RNR7EreSBUicZnMIXmTS5sW jMZuZiF8r+sPTP8N6O5MNUwa0jA1oMZbLMnP7TDPztI52MMT5wcRaA/JwV/9XlCTFsoaHG9YqqnK oYBdi3ePdX8AAAD//wMAUEsBAi0AFAAGAAgAAAAhAJszJzcMAQAALQIAABMAAAAAAAAAAAAAAAAA AAAAAFtDb250ZW50X1R5cGVzXS54bWxQSwECLQAUAAYACAAAACEAOP0h/9YAAACUAQAACwAAAAAA AAAAAAAAAAA9AQAAX3JlbHMvLnJlbHNQSwECLQAUAAYACAAAACEAE/kK078BAADTAwAADgAAAAAA AAAAAAAAAAA8AgAAZHJzL2Uyb0RvYy54bWxQSwECLQAUAAYACAAAACEAaLGZbboBAABdBAAAEAAA AAAAAAAAAAAAAAAnBAAAZHJzL2luay9pbmsxLnhtbFBLAQItABQABgAIAAAAIQD1IAft4QAAAA0B AAAPAAAAAAAAAAAAAAAAAA8GAABkcnMvZG93bnJldi54bWxQSwECLQAUAAYACAAAACEAeRi8nb8A AAAhAQAAGQAAAAAAAAAAAAAAAAAdBwAAZHJzL19yZWxzL2Uyb0RvYy54bWwucmVsc1BLBQYAAAAA BgAGAHgBAAATCAAAAAA= " w14:anchorId="60C55C8D">
                <v:imagedata o:title="" r:id="rId14"/>
                <o:lock v:ext="edit" rotation="t" verticies="t" shapetype="t"/>
              </v:shape>
            </w:pict>
          </mc:Fallback>
        </mc:AlternateContent>
      </w:r>
      <w:r w:rsidRPr="00FE174A">
        <w:rPr>
          <w:rFonts w:ascii="Arial" w:eastAsia="Times New Roman" w:hAnsi="Arial" w:cs="Arial"/>
          <w:color w:val="000000" w:themeColor="text1"/>
          <w:lang w:val="hr-HR"/>
        </w:rPr>
        <w:t>I, Ujvalkumar Rajeshbhai Patel</w:t>
      </w:r>
      <w:r w:rsidR="003545E8" w:rsidRPr="00FE174A">
        <w:rPr>
          <w:rFonts w:ascii="Arial" w:eastAsia="Times New Roman" w:hAnsi="Arial" w:cs="Arial"/>
          <w:color w:val="000000" w:themeColor="text1"/>
          <w:lang w:val="hr-HR"/>
        </w:rPr>
        <w:t>,</w:t>
      </w:r>
      <w:r w:rsidRPr="00FE174A">
        <w:rPr>
          <w:rFonts w:ascii="Arial" w:eastAsia="Times New Roman" w:hAnsi="Arial" w:cs="Arial"/>
          <w:color w:val="000000" w:themeColor="text1"/>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E0CDA9F" w14:textId="77777777" w:rsidR="00113366" w:rsidRPr="00FE174A" w:rsidRDefault="00113366" w:rsidP="003545E8">
      <w:pPr>
        <w:spacing w:after="0" w:line="360" w:lineRule="auto"/>
        <w:jc w:val="both"/>
        <w:rPr>
          <w:rFonts w:ascii="Arial" w:eastAsia="Times New Roman" w:hAnsi="Arial" w:cs="Arial"/>
          <w:color w:val="000000" w:themeColor="text1"/>
          <w:lang w:val="hr-HR"/>
        </w:rPr>
      </w:pPr>
    </w:p>
    <w:p w14:paraId="5E2BD27D" w14:textId="77777777" w:rsidR="00113366" w:rsidRPr="00FE174A" w:rsidRDefault="00113366" w:rsidP="003545E8">
      <w:pPr>
        <w:spacing w:after="0" w:line="360" w:lineRule="auto"/>
        <w:jc w:val="both"/>
        <w:rPr>
          <w:rFonts w:ascii="Arial" w:eastAsia="Times New Roman" w:hAnsi="Arial" w:cs="Arial"/>
          <w:color w:val="000000" w:themeColor="text1"/>
          <w:lang w:val="hr-HR"/>
        </w:rPr>
      </w:pPr>
    </w:p>
    <w:p w14:paraId="5236DF40" w14:textId="6BC7EB85" w:rsidR="00113366" w:rsidRPr="00FE174A" w:rsidRDefault="00113366" w:rsidP="003545E8">
      <w:pPr>
        <w:spacing w:after="0" w:line="360" w:lineRule="auto"/>
        <w:jc w:val="both"/>
        <w:rPr>
          <w:rFonts w:ascii="Arial" w:eastAsia="Times New Roman" w:hAnsi="Arial" w:cs="Arial"/>
          <w:color w:val="000000" w:themeColor="text1"/>
          <w:lang w:val="hr-HR"/>
        </w:rPr>
      </w:pPr>
      <w:r w:rsidRPr="00FE174A">
        <w:rPr>
          <w:rFonts w:ascii="Arial" w:eastAsia="Times New Roman" w:hAnsi="Arial" w:cs="Arial"/>
          <w:color w:val="000000" w:themeColor="text1"/>
          <w:lang w:val="hr-HR"/>
        </w:rPr>
        <w:t>Signed</w:t>
      </w:r>
      <w:r w:rsidR="00D272C1" w:rsidRPr="00FE174A">
        <w:rPr>
          <w:rFonts w:ascii="Arial" w:eastAsia="Times New Roman" w:hAnsi="Arial" w:cs="Arial"/>
          <w:color w:val="000000" w:themeColor="text1"/>
          <w:lang w:val="hr-HR"/>
        </w:rPr>
        <w:t>: Ujval</w:t>
      </w:r>
      <w:r w:rsidR="006208DD">
        <w:rPr>
          <w:rFonts w:ascii="Arial" w:eastAsia="Times New Roman" w:hAnsi="Arial" w:cs="Arial"/>
          <w:color w:val="000000" w:themeColor="text1"/>
          <w:lang w:val="hr-HR"/>
        </w:rPr>
        <w:t xml:space="preserve"> Patel</w:t>
      </w:r>
    </w:p>
    <w:p w14:paraId="1E1F6BED" w14:textId="77777777" w:rsidR="00113366" w:rsidRPr="00FE174A" w:rsidRDefault="00113366" w:rsidP="003545E8">
      <w:pPr>
        <w:spacing w:after="0" w:line="360" w:lineRule="auto"/>
        <w:jc w:val="both"/>
        <w:rPr>
          <w:rFonts w:ascii="Arial" w:eastAsia="Times New Roman" w:hAnsi="Arial" w:cs="Arial"/>
          <w:color w:val="000000" w:themeColor="text1"/>
          <w:lang w:val="hr-HR"/>
        </w:rPr>
      </w:pPr>
    </w:p>
    <w:p w14:paraId="367C1620" w14:textId="45F0A8BA" w:rsidR="00113366" w:rsidRPr="00FE174A" w:rsidRDefault="00113366" w:rsidP="003545E8">
      <w:pPr>
        <w:spacing w:after="0" w:line="360" w:lineRule="auto"/>
        <w:jc w:val="both"/>
        <w:rPr>
          <w:rFonts w:ascii="Arial" w:eastAsia="Times New Roman" w:hAnsi="Arial" w:cs="Arial"/>
          <w:color w:val="000000" w:themeColor="text1"/>
          <w:lang w:val="hr-HR"/>
        </w:rPr>
      </w:pPr>
      <w:r w:rsidRPr="00FE174A">
        <w:rPr>
          <w:rFonts w:ascii="Arial" w:eastAsia="Times New Roman" w:hAnsi="Arial" w:cs="Arial"/>
          <w:color w:val="000000" w:themeColor="text1"/>
          <w:lang w:val="hr-HR"/>
        </w:rPr>
        <w:t>Date:</w:t>
      </w:r>
      <w:r w:rsidR="00D272C1" w:rsidRPr="00FE174A">
        <w:rPr>
          <w:rFonts w:ascii="Arial" w:eastAsia="Times New Roman" w:hAnsi="Arial" w:cs="Arial"/>
          <w:color w:val="000000" w:themeColor="text1"/>
          <w:lang w:val="hr-HR"/>
        </w:rPr>
        <w:t xml:space="preserve"> 2nd Feb 2026</w:t>
      </w:r>
    </w:p>
    <w:p w14:paraId="2C702A82" w14:textId="77777777" w:rsidR="009F64C5" w:rsidRPr="00FE174A" w:rsidRDefault="009F64C5" w:rsidP="003545E8">
      <w:pPr>
        <w:spacing w:after="0" w:line="360" w:lineRule="auto"/>
        <w:ind w:right="2357"/>
        <w:jc w:val="both"/>
        <w:rPr>
          <w:rFonts w:ascii="Arial" w:hAnsi="Arial" w:cs="Arial"/>
          <w:b/>
          <w:bCs/>
        </w:rPr>
      </w:pPr>
    </w:p>
    <w:p w14:paraId="6AA9D53C" w14:textId="77777777" w:rsidR="009F64C5" w:rsidRPr="00FE174A" w:rsidRDefault="009F64C5" w:rsidP="003545E8">
      <w:pPr>
        <w:spacing w:after="0" w:line="360" w:lineRule="auto"/>
        <w:jc w:val="both"/>
        <w:rPr>
          <w:rFonts w:ascii="Arial" w:hAnsi="Arial" w:cs="Arial"/>
        </w:rPr>
      </w:pPr>
      <w:r w:rsidRPr="00FE174A">
        <w:rPr>
          <w:rFonts w:ascii="Arial" w:hAnsi="Arial" w:cs="Arial"/>
          <w:color w:val="0070C0"/>
        </w:rPr>
        <w:t xml:space="preserve"> </w:t>
      </w:r>
      <w:r w:rsidRPr="00FE174A">
        <w:rPr>
          <w:rFonts w:ascii="Arial" w:hAnsi="Arial" w:cs="Arial"/>
          <w:color w:val="0070C0"/>
        </w:rPr>
        <w:tab/>
        <w:t xml:space="preserve"> </w:t>
      </w:r>
    </w:p>
    <w:p w14:paraId="02286F32" w14:textId="77777777" w:rsidR="009F64C5" w:rsidRPr="00FE174A" w:rsidRDefault="009F64C5" w:rsidP="003545E8">
      <w:pPr>
        <w:spacing w:after="0" w:line="360" w:lineRule="auto"/>
        <w:jc w:val="both"/>
        <w:rPr>
          <w:rFonts w:ascii="Arial" w:eastAsia="Times New Roman" w:hAnsi="Arial" w:cs="Arial"/>
          <w:b/>
          <w:color w:val="000000"/>
        </w:rPr>
      </w:pPr>
      <w:r w:rsidRPr="00FE174A">
        <w:rPr>
          <w:rFonts w:ascii="Arial" w:hAnsi="Arial" w:cs="Arial"/>
        </w:rPr>
        <w:br w:type="page"/>
      </w:r>
    </w:p>
    <w:p w14:paraId="106641A1" w14:textId="7C1664DD" w:rsidR="009F64C5" w:rsidRPr="00FE174A" w:rsidRDefault="009F64C5" w:rsidP="00720682">
      <w:pPr>
        <w:pStyle w:val="Heading1"/>
      </w:pPr>
      <w:bookmarkStart w:id="0" w:name="_Toc220846933"/>
      <w:r w:rsidRPr="00FE174A">
        <w:lastRenderedPageBreak/>
        <w:t>Acknowledgements</w:t>
      </w:r>
      <w:bookmarkEnd w:id="0"/>
      <w:r w:rsidRPr="00FE174A">
        <w:t xml:space="preserve"> </w:t>
      </w:r>
    </w:p>
    <w:p w14:paraId="3DF0875E" w14:textId="77777777" w:rsidR="009F64C5" w:rsidRPr="00FE174A" w:rsidRDefault="009F64C5" w:rsidP="003545E8">
      <w:pPr>
        <w:spacing w:after="0" w:line="360" w:lineRule="auto"/>
        <w:jc w:val="both"/>
        <w:rPr>
          <w:rFonts w:ascii="Arial" w:hAnsi="Arial" w:cs="Arial"/>
        </w:rPr>
      </w:pPr>
      <w:r w:rsidRPr="00FE174A">
        <w:rPr>
          <w:rFonts w:ascii="Arial" w:hAnsi="Arial" w:cs="Arial"/>
        </w:rPr>
        <w:t xml:space="preserve"> </w:t>
      </w:r>
    </w:p>
    <w:p w14:paraId="1CABF7C2" w14:textId="624C8856" w:rsidR="00720682" w:rsidRPr="00FE174A" w:rsidRDefault="00720682" w:rsidP="00720682">
      <w:pPr>
        <w:spacing w:after="0" w:line="360" w:lineRule="auto"/>
        <w:jc w:val="both"/>
        <w:rPr>
          <w:rFonts w:ascii="Arial" w:hAnsi="Arial" w:cs="Arial"/>
        </w:rPr>
      </w:pPr>
      <w:r w:rsidRPr="00FE174A">
        <w:rPr>
          <w:rFonts w:ascii="Arial" w:hAnsi="Arial" w:cs="Arial"/>
        </w:rPr>
        <w:t>I would like to show my heartfelt gratitude to all the individuals who helped me in this dissertation process. I would like to begin by saying that I am very grateful to my supervisor, Dr Farah Wiita, whose guidance and helpful feedback, as well as her support during the process of conducting research, were invaluable. She is qualified as a specialist in the field of public health and systematic review methodology that is critical in influencing the work.</w:t>
      </w:r>
    </w:p>
    <w:p w14:paraId="0C4C8381" w14:textId="76D516F9" w:rsidR="00720682" w:rsidRPr="00FE174A" w:rsidRDefault="00720682" w:rsidP="00720682">
      <w:pPr>
        <w:spacing w:after="0" w:line="360" w:lineRule="auto"/>
        <w:jc w:val="both"/>
        <w:rPr>
          <w:rFonts w:ascii="Arial" w:hAnsi="Arial" w:cs="Arial"/>
        </w:rPr>
      </w:pPr>
      <w:r w:rsidRPr="00FE174A">
        <w:rPr>
          <w:rFonts w:ascii="Arial" w:hAnsi="Arial" w:cs="Arial"/>
        </w:rPr>
        <w:t>I would like to thank the University of Wales Trinity Saint David to have given me the institutional support and resources that I need to conduct this research. I would also like to thank the authors of the original research studies used in this review because without their well-conducted research, this synthesis could not have been done, and those bereaved families and the staff working in care homes who took part in that research and shared their experience so freely.</w:t>
      </w:r>
    </w:p>
    <w:p w14:paraId="6DD7150D" w14:textId="490BC3FF" w:rsidR="009F64C5" w:rsidRPr="00FE174A" w:rsidRDefault="00720682" w:rsidP="00720682">
      <w:pPr>
        <w:spacing w:after="0" w:line="360" w:lineRule="auto"/>
        <w:jc w:val="both"/>
        <w:rPr>
          <w:rFonts w:ascii="Arial" w:hAnsi="Arial" w:cs="Arial"/>
        </w:rPr>
      </w:pPr>
      <w:r w:rsidRPr="00FE174A">
        <w:rPr>
          <w:rFonts w:ascii="Arial" w:hAnsi="Arial" w:cs="Arial"/>
        </w:rPr>
        <w:t xml:space="preserve">Lastly, I would like to say thank you to my family and friends who have been supportive, patient and understanding to me through the hectic time of this MSc programme. </w:t>
      </w:r>
    </w:p>
    <w:p w14:paraId="6F4F74AD" w14:textId="77777777" w:rsidR="009F64C5" w:rsidRPr="00FE174A" w:rsidRDefault="009F64C5" w:rsidP="003545E8">
      <w:pPr>
        <w:spacing w:after="0" w:line="360" w:lineRule="auto"/>
        <w:jc w:val="both"/>
        <w:rPr>
          <w:rFonts w:ascii="Arial" w:hAnsi="Arial" w:cs="Arial"/>
        </w:rPr>
      </w:pPr>
      <w:r w:rsidRPr="00FE174A">
        <w:rPr>
          <w:rFonts w:ascii="Arial" w:hAnsi="Arial" w:cs="Arial"/>
          <w:color w:val="0070C0"/>
        </w:rPr>
        <w:t xml:space="preserve"> </w:t>
      </w:r>
      <w:r w:rsidRPr="00FE174A">
        <w:rPr>
          <w:rFonts w:ascii="Arial" w:hAnsi="Arial" w:cs="Arial"/>
          <w:color w:val="0070C0"/>
        </w:rPr>
        <w:tab/>
        <w:t xml:space="preserve"> </w:t>
      </w:r>
      <w:r w:rsidRPr="00FE174A">
        <w:rPr>
          <w:rFonts w:ascii="Arial" w:hAnsi="Arial" w:cs="Arial"/>
        </w:rPr>
        <w:br w:type="page"/>
      </w:r>
    </w:p>
    <w:p w14:paraId="59ABEE5D" w14:textId="4E9DCB05" w:rsidR="009F64C5" w:rsidRPr="00FE174A" w:rsidRDefault="009F64C5" w:rsidP="00720682">
      <w:pPr>
        <w:pStyle w:val="Heading1"/>
      </w:pPr>
      <w:bookmarkStart w:id="1" w:name="_Toc220846934"/>
      <w:r w:rsidRPr="00FE174A">
        <w:lastRenderedPageBreak/>
        <w:t>Abstract</w:t>
      </w:r>
      <w:bookmarkEnd w:id="1"/>
      <w:r w:rsidRPr="00FE174A">
        <w:t xml:space="preserve"> </w:t>
      </w:r>
    </w:p>
    <w:p w14:paraId="7889C9D0" w14:textId="2E972526" w:rsidR="00720682" w:rsidRPr="00FE174A" w:rsidRDefault="00720682" w:rsidP="00720682">
      <w:pPr>
        <w:spacing w:after="0" w:line="360" w:lineRule="auto"/>
        <w:jc w:val="both"/>
        <w:rPr>
          <w:rFonts w:ascii="Arial" w:hAnsi="Arial" w:cs="Arial"/>
        </w:rPr>
      </w:pPr>
      <w:r w:rsidRPr="00FE174A">
        <w:rPr>
          <w:rFonts w:ascii="Arial" w:hAnsi="Arial" w:cs="Arial"/>
        </w:rPr>
        <w:t>The systematic review was the synthesis of the qualitative evidence on the experience of bereaved family members and care home staff regarding the end-of-life care in the UK residential care homes. In accordance with PRISMA 2020, the databases of Medline and PsycINFO were searched (2015-2025), and 12 studies of high quality were found that included more than 450 participants. The data were summarised and thematically coded by relying on known frameworks.</w:t>
      </w:r>
    </w:p>
    <w:p w14:paraId="59102F0A" w14:textId="77777777" w:rsidR="00720682" w:rsidRPr="00FE174A" w:rsidRDefault="00720682" w:rsidP="00720682">
      <w:pPr>
        <w:spacing w:after="0" w:line="360" w:lineRule="auto"/>
        <w:jc w:val="both"/>
        <w:rPr>
          <w:rFonts w:ascii="Arial" w:hAnsi="Arial" w:cs="Arial"/>
        </w:rPr>
      </w:pPr>
      <w:r w:rsidRPr="00FE174A">
        <w:rPr>
          <w:rFonts w:ascii="Arial" w:hAnsi="Arial" w:cs="Arial"/>
        </w:rPr>
        <w:t>Bereaved families were found to have five themes: communication and information needs, physical presence and involvement (drastically disrupted by COVID-19 restrictions), staff relationships, grief and bereavement problems (26% had clinical depression, 41% anxiety), and care priorities focused on comfort and dignity. There were six themes of staff, namely considerable emotional labour, training deficits, unmet needs of support, insufficient professional recognition, systemic barriers (divided health/social care systems, financial restraints) and professional expertise despite resource constraints.</w:t>
      </w:r>
    </w:p>
    <w:p w14:paraId="26CE755B" w14:textId="65D5EE8B" w:rsidR="00720682" w:rsidRPr="00FE174A" w:rsidRDefault="00720682" w:rsidP="00720682">
      <w:pPr>
        <w:spacing w:after="0" w:line="360" w:lineRule="auto"/>
        <w:jc w:val="both"/>
        <w:rPr>
          <w:rFonts w:ascii="Arial" w:hAnsi="Arial" w:cs="Arial"/>
        </w:rPr>
      </w:pPr>
      <w:r w:rsidRPr="00FE174A">
        <w:rPr>
          <w:rFonts w:ascii="Arial" w:hAnsi="Arial" w:cs="Arial"/>
        </w:rPr>
        <w:t>Relationship-based care became a core component of quality end-of-life care, but it is systemically under-resourced, poorly supported by the workforce, and disjointed, posing substantial challenges. Results make recommendations about better communication procedures, obligatory employee supervision, better training courses, and combined health/social care systems. The review reports the pressing needs of a policy reform to cover the issue of workforce sustainability, professional acknowledgement, and proper funding to facilitate dignified end-of-life care at a residential level.</w:t>
      </w:r>
    </w:p>
    <w:p w14:paraId="4BB12813" w14:textId="115AC606" w:rsidR="000555DE" w:rsidRPr="00FE174A" w:rsidRDefault="00720682" w:rsidP="00720682">
      <w:pPr>
        <w:spacing w:after="0" w:line="360" w:lineRule="auto"/>
        <w:jc w:val="both"/>
        <w:rPr>
          <w:rFonts w:ascii="Arial" w:hAnsi="Arial" w:cs="Arial"/>
        </w:rPr>
      </w:pPr>
      <w:r w:rsidRPr="00FE174A">
        <w:rPr>
          <w:rFonts w:ascii="Arial" w:hAnsi="Arial" w:cs="Arial"/>
        </w:rPr>
        <w:tab/>
      </w:r>
      <w:r w:rsidR="009F64C5" w:rsidRPr="00FE174A">
        <w:rPr>
          <w:rFonts w:ascii="Arial" w:hAnsi="Arial" w:cs="Arial"/>
        </w:rPr>
        <w:t xml:space="preserve"> </w:t>
      </w:r>
      <w:r w:rsidR="009F64C5" w:rsidRPr="00FE174A">
        <w:rPr>
          <w:rFonts w:ascii="Arial" w:hAnsi="Arial" w:cs="Arial"/>
        </w:rPr>
        <w:tab/>
        <w:t xml:space="preserve"> </w:t>
      </w:r>
    </w:p>
    <w:p w14:paraId="361B4A4C" w14:textId="77777777" w:rsidR="000555DE" w:rsidRPr="00FE174A" w:rsidRDefault="000555DE" w:rsidP="003545E8">
      <w:pPr>
        <w:spacing w:after="0" w:line="360" w:lineRule="auto"/>
        <w:jc w:val="both"/>
        <w:rPr>
          <w:rFonts w:ascii="Arial" w:hAnsi="Arial" w:cs="Arial"/>
        </w:rPr>
      </w:pPr>
      <w:r w:rsidRPr="00FE174A">
        <w:rPr>
          <w:rFonts w:ascii="Arial" w:hAnsi="Arial" w:cs="Arial"/>
        </w:rPr>
        <w:br w:type="page"/>
      </w:r>
    </w:p>
    <w:sdt>
      <w:sdtPr>
        <w:rPr>
          <w:rFonts w:ascii="Arial" w:eastAsiaTheme="minorEastAsia" w:hAnsi="Arial" w:cs="Arial"/>
          <w:color w:val="auto"/>
          <w:kern w:val="2"/>
          <w:sz w:val="22"/>
          <w:szCs w:val="22"/>
          <w:lang w:val="en-GB" w:eastAsia="zh-CN"/>
          <w14:ligatures w14:val="standardContextual"/>
        </w:rPr>
        <w:id w:val="1021447090"/>
        <w:docPartObj>
          <w:docPartGallery w:val="Table of Contents"/>
          <w:docPartUnique/>
        </w:docPartObj>
      </w:sdtPr>
      <w:sdtEndPr>
        <w:rPr>
          <w:b/>
          <w:bCs/>
          <w:noProof/>
        </w:rPr>
      </w:sdtEndPr>
      <w:sdtContent>
        <w:p w14:paraId="074A8D18" w14:textId="3F579811" w:rsidR="00F05EC5" w:rsidRPr="00FE174A" w:rsidRDefault="00F05EC5" w:rsidP="003545E8">
          <w:pPr>
            <w:pStyle w:val="TOCHeading"/>
            <w:jc w:val="both"/>
            <w:rPr>
              <w:rFonts w:ascii="Arial" w:hAnsi="Arial" w:cs="Arial"/>
              <w:sz w:val="22"/>
              <w:szCs w:val="22"/>
            </w:rPr>
          </w:pPr>
          <w:r w:rsidRPr="00FE174A">
            <w:rPr>
              <w:rFonts w:ascii="Arial" w:hAnsi="Arial" w:cs="Arial"/>
              <w:sz w:val="22"/>
              <w:szCs w:val="22"/>
            </w:rPr>
            <w:t>Table of Contents</w:t>
          </w:r>
        </w:p>
        <w:p w14:paraId="3C69C872" w14:textId="0E83C544" w:rsidR="006A49E3" w:rsidRDefault="00F05EC5">
          <w:pPr>
            <w:pStyle w:val="TOC1"/>
            <w:tabs>
              <w:tab w:val="right" w:leader="dot" w:pos="9016"/>
            </w:tabs>
            <w:rPr>
              <w:rFonts w:asciiTheme="minorHAnsi" w:eastAsiaTheme="minorEastAsia" w:hAnsiTheme="minorHAnsi" w:cstheme="minorBidi"/>
              <w:noProof/>
              <w:color w:val="auto"/>
              <w:szCs w:val="24"/>
              <w:lang w:eastAsia="en-GB"/>
            </w:rPr>
          </w:pPr>
          <w:r w:rsidRPr="00FE174A">
            <w:rPr>
              <w:rFonts w:ascii="Arial" w:hAnsi="Arial" w:cs="Arial"/>
            </w:rPr>
            <w:fldChar w:fldCharType="begin"/>
          </w:r>
          <w:r w:rsidRPr="00FE174A">
            <w:rPr>
              <w:rFonts w:ascii="Arial" w:hAnsi="Arial" w:cs="Arial"/>
            </w:rPr>
            <w:instrText xml:space="preserve"> TOC \o "1-3" \h \z \u </w:instrText>
          </w:r>
          <w:r w:rsidRPr="00FE174A">
            <w:rPr>
              <w:rFonts w:ascii="Arial" w:hAnsi="Arial" w:cs="Arial"/>
            </w:rPr>
            <w:fldChar w:fldCharType="separate"/>
          </w:r>
          <w:hyperlink w:anchor="_Toc220846933" w:history="1">
            <w:r w:rsidR="006A49E3" w:rsidRPr="00774FD3">
              <w:rPr>
                <w:rStyle w:val="Hyperlink"/>
                <w:noProof/>
              </w:rPr>
              <w:t>Acknowledgements</w:t>
            </w:r>
            <w:r w:rsidR="006A49E3">
              <w:rPr>
                <w:noProof/>
                <w:webHidden/>
              </w:rPr>
              <w:tab/>
            </w:r>
            <w:r w:rsidR="006A49E3">
              <w:rPr>
                <w:noProof/>
                <w:webHidden/>
              </w:rPr>
              <w:fldChar w:fldCharType="begin"/>
            </w:r>
            <w:r w:rsidR="006A49E3">
              <w:rPr>
                <w:noProof/>
                <w:webHidden/>
              </w:rPr>
              <w:instrText xml:space="preserve"> PAGEREF _Toc220846933 \h </w:instrText>
            </w:r>
            <w:r w:rsidR="006A49E3">
              <w:rPr>
                <w:noProof/>
                <w:webHidden/>
              </w:rPr>
            </w:r>
            <w:r w:rsidR="006A49E3">
              <w:rPr>
                <w:noProof/>
                <w:webHidden/>
              </w:rPr>
              <w:fldChar w:fldCharType="separate"/>
            </w:r>
            <w:r w:rsidR="006A49E3">
              <w:rPr>
                <w:noProof/>
                <w:webHidden/>
              </w:rPr>
              <w:t>3</w:t>
            </w:r>
            <w:r w:rsidR="006A49E3">
              <w:rPr>
                <w:noProof/>
                <w:webHidden/>
              </w:rPr>
              <w:fldChar w:fldCharType="end"/>
            </w:r>
          </w:hyperlink>
        </w:p>
        <w:p w14:paraId="413B9DD9" w14:textId="022E8B5C"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34" w:history="1">
            <w:r w:rsidRPr="00774FD3">
              <w:rPr>
                <w:rStyle w:val="Hyperlink"/>
                <w:noProof/>
              </w:rPr>
              <w:t>Abstract</w:t>
            </w:r>
            <w:r>
              <w:rPr>
                <w:noProof/>
                <w:webHidden/>
              </w:rPr>
              <w:tab/>
            </w:r>
            <w:r>
              <w:rPr>
                <w:noProof/>
                <w:webHidden/>
              </w:rPr>
              <w:fldChar w:fldCharType="begin"/>
            </w:r>
            <w:r>
              <w:rPr>
                <w:noProof/>
                <w:webHidden/>
              </w:rPr>
              <w:instrText xml:space="preserve"> PAGEREF _Toc220846934 \h </w:instrText>
            </w:r>
            <w:r>
              <w:rPr>
                <w:noProof/>
                <w:webHidden/>
              </w:rPr>
            </w:r>
            <w:r>
              <w:rPr>
                <w:noProof/>
                <w:webHidden/>
              </w:rPr>
              <w:fldChar w:fldCharType="separate"/>
            </w:r>
            <w:r>
              <w:rPr>
                <w:noProof/>
                <w:webHidden/>
              </w:rPr>
              <w:t>4</w:t>
            </w:r>
            <w:r>
              <w:rPr>
                <w:noProof/>
                <w:webHidden/>
              </w:rPr>
              <w:fldChar w:fldCharType="end"/>
            </w:r>
          </w:hyperlink>
        </w:p>
        <w:p w14:paraId="27235EE8" w14:textId="2A60783B"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35" w:history="1">
            <w:r w:rsidRPr="00774FD3">
              <w:rPr>
                <w:rStyle w:val="Hyperlink"/>
                <w:noProof/>
              </w:rPr>
              <w:t>List of figures</w:t>
            </w:r>
            <w:r>
              <w:rPr>
                <w:noProof/>
                <w:webHidden/>
              </w:rPr>
              <w:tab/>
            </w:r>
            <w:r>
              <w:rPr>
                <w:noProof/>
                <w:webHidden/>
              </w:rPr>
              <w:fldChar w:fldCharType="begin"/>
            </w:r>
            <w:r>
              <w:rPr>
                <w:noProof/>
                <w:webHidden/>
              </w:rPr>
              <w:instrText xml:space="preserve"> PAGEREF _Toc220846935 \h </w:instrText>
            </w:r>
            <w:r>
              <w:rPr>
                <w:noProof/>
                <w:webHidden/>
              </w:rPr>
            </w:r>
            <w:r>
              <w:rPr>
                <w:noProof/>
                <w:webHidden/>
              </w:rPr>
              <w:fldChar w:fldCharType="separate"/>
            </w:r>
            <w:r>
              <w:rPr>
                <w:noProof/>
                <w:webHidden/>
              </w:rPr>
              <w:t>7</w:t>
            </w:r>
            <w:r>
              <w:rPr>
                <w:noProof/>
                <w:webHidden/>
              </w:rPr>
              <w:fldChar w:fldCharType="end"/>
            </w:r>
          </w:hyperlink>
        </w:p>
        <w:p w14:paraId="12FCB24A" w14:textId="2E364F64"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36" w:history="1">
            <w:r w:rsidRPr="00774FD3">
              <w:rPr>
                <w:rStyle w:val="Hyperlink"/>
                <w:noProof/>
              </w:rPr>
              <w:t>List of tables</w:t>
            </w:r>
            <w:r>
              <w:rPr>
                <w:noProof/>
                <w:webHidden/>
              </w:rPr>
              <w:tab/>
            </w:r>
            <w:r>
              <w:rPr>
                <w:noProof/>
                <w:webHidden/>
              </w:rPr>
              <w:fldChar w:fldCharType="begin"/>
            </w:r>
            <w:r>
              <w:rPr>
                <w:noProof/>
                <w:webHidden/>
              </w:rPr>
              <w:instrText xml:space="preserve"> PAGEREF _Toc220846936 \h </w:instrText>
            </w:r>
            <w:r>
              <w:rPr>
                <w:noProof/>
                <w:webHidden/>
              </w:rPr>
            </w:r>
            <w:r>
              <w:rPr>
                <w:noProof/>
                <w:webHidden/>
              </w:rPr>
              <w:fldChar w:fldCharType="separate"/>
            </w:r>
            <w:r>
              <w:rPr>
                <w:noProof/>
                <w:webHidden/>
              </w:rPr>
              <w:t>8</w:t>
            </w:r>
            <w:r>
              <w:rPr>
                <w:noProof/>
                <w:webHidden/>
              </w:rPr>
              <w:fldChar w:fldCharType="end"/>
            </w:r>
          </w:hyperlink>
        </w:p>
        <w:p w14:paraId="035089B8" w14:textId="65EE3F2E"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37" w:history="1">
            <w:r w:rsidRPr="00774FD3">
              <w:rPr>
                <w:rStyle w:val="Hyperlink"/>
                <w:noProof/>
              </w:rPr>
              <w:t>List of abbreviations</w:t>
            </w:r>
            <w:r>
              <w:rPr>
                <w:noProof/>
                <w:webHidden/>
              </w:rPr>
              <w:tab/>
            </w:r>
            <w:r>
              <w:rPr>
                <w:noProof/>
                <w:webHidden/>
              </w:rPr>
              <w:fldChar w:fldCharType="begin"/>
            </w:r>
            <w:r>
              <w:rPr>
                <w:noProof/>
                <w:webHidden/>
              </w:rPr>
              <w:instrText xml:space="preserve"> PAGEREF _Toc220846937 \h </w:instrText>
            </w:r>
            <w:r>
              <w:rPr>
                <w:noProof/>
                <w:webHidden/>
              </w:rPr>
            </w:r>
            <w:r>
              <w:rPr>
                <w:noProof/>
                <w:webHidden/>
              </w:rPr>
              <w:fldChar w:fldCharType="separate"/>
            </w:r>
            <w:r>
              <w:rPr>
                <w:noProof/>
                <w:webHidden/>
              </w:rPr>
              <w:t>9</w:t>
            </w:r>
            <w:r>
              <w:rPr>
                <w:noProof/>
                <w:webHidden/>
              </w:rPr>
              <w:fldChar w:fldCharType="end"/>
            </w:r>
          </w:hyperlink>
        </w:p>
        <w:p w14:paraId="43BFFA3C" w14:textId="52D9ED6C"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38" w:history="1">
            <w:r w:rsidRPr="00774FD3">
              <w:rPr>
                <w:rStyle w:val="Hyperlink"/>
                <w:noProof/>
              </w:rPr>
              <w:t>Chapter 1: Introduction</w:t>
            </w:r>
            <w:r>
              <w:rPr>
                <w:noProof/>
                <w:webHidden/>
              </w:rPr>
              <w:tab/>
            </w:r>
            <w:r>
              <w:rPr>
                <w:noProof/>
                <w:webHidden/>
              </w:rPr>
              <w:fldChar w:fldCharType="begin"/>
            </w:r>
            <w:r>
              <w:rPr>
                <w:noProof/>
                <w:webHidden/>
              </w:rPr>
              <w:instrText xml:space="preserve"> PAGEREF _Toc220846938 \h </w:instrText>
            </w:r>
            <w:r>
              <w:rPr>
                <w:noProof/>
                <w:webHidden/>
              </w:rPr>
            </w:r>
            <w:r>
              <w:rPr>
                <w:noProof/>
                <w:webHidden/>
              </w:rPr>
              <w:fldChar w:fldCharType="separate"/>
            </w:r>
            <w:r>
              <w:rPr>
                <w:noProof/>
                <w:webHidden/>
              </w:rPr>
              <w:t>10</w:t>
            </w:r>
            <w:r>
              <w:rPr>
                <w:noProof/>
                <w:webHidden/>
              </w:rPr>
              <w:fldChar w:fldCharType="end"/>
            </w:r>
          </w:hyperlink>
        </w:p>
        <w:p w14:paraId="36EFB7F3" w14:textId="06B89394" w:rsidR="006A49E3" w:rsidRDefault="006A49E3">
          <w:pPr>
            <w:pStyle w:val="TOC2"/>
            <w:tabs>
              <w:tab w:val="right" w:leader="dot" w:pos="9016"/>
            </w:tabs>
            <w:rPr>
              <w:noProof/>
              <w:sz w:val="24"/>
              <w:szCs w:val="24"/>
              <w:lang w:eastAsia="en-GB"/>
            </w:rPr>
          </w:pPr>
          <w:hyperlink w:anchor="_Toc220846939" w:history="1">
            <w:r w:rsidRPr="00774FD3">
              <w:rPr>
                <w:rStyle w:val="Hyperlink"/>
                <w:noProof/>
              </w:rPr>
              <w:t>1.1 Background and Context</w:t>
            </w:r>
            <w:r>
              <w:rPr>
                <w:noProof/>
                <w:webHidden/>
              </w:rPr>
              <w:tab/>
            </w:r>
            <w:r>
              <w:rPr>
                <w:noProof/>
                <w:webHidden/>
              </w:rPr>
              <w:fldChar w:fldCharType="begin"/>
            </w:r>
            <w:r>
              <w:rPr>
                <w:noProof/>
                <w:webHidden/>
              </w:rPr>
              <w:instrText xml:space="preserve"> PAGEREF _Toc220846939 \h </w:instrText>
            </w:r>
            <w:r>
              <w:rPr>
                <w:noProof/>
                <w:webHidden/>
              </w:rPr>
            </w:r>
            <w:r>
              <w:rPr>
                <w:noProof/>
                <w:webHidden/>
              </w:rPr>
              <w:fldChar w:fldCharType="separate"/>
            </w:r>
            <w:r>
              <w:rPr>
                <w:noProof/>
                <w:webHidden/>
              </w:rPr>
              <w:t>10</w:t>
            </w:r>
            <w:r>
              <w:rPr>
                <w:noProof/>
                <w:webHidden/>
              </w:rPr>
              <w:fldChar w:fldCharType="end"/>
            </w:r>
          </w:hyperlink>
        </w:p>
        <w:p w14:paraId="2570C231" w14:textId="5F2F6673" w:rsidR="006A49E3" w:rsidRDefault="006A49E3">
          <w:pPr>
            <w:pStyle w:val="TOC2"/>
            <w:tabs>
              <w:tab w:val="right" w:leader="dot" w:pos="9016"/>
            </w:tabs>
            <w:rPr>
              <w:noProof/>
              <w:sz w:val="24"/>
              <w:szCs w:val="24"/>
              <w:lang w:eastAsia="en-GB"/>
            </w:rPr>
          </w:pPr>
          <w:hyperlink w:anchor="_Toc220846940" w:history="1">
            <w:r w:rsidRPr="00774FD3">
              <w:rPr>
                <w:rStyle w:val="Hyperlink"/>
                <w:noProof/>
              </w:rPr>
              <w:t>1.2 Rationale for the Study</w:t>
            </w:r>
            <w:r>
              <w:rPr>
                <w:noProof/>
                <w:webHidden/>
              </w:rPr>
              <w:tab/>
            </w:r>
            <w:r>
              <w:rPr>
                <w:noProof/>
                <w:webHidden/>
              </w:rPr>
              <w:fldChar w:fldCharType="begin"/>
            </w:r>
            <w:r>
              <w:rPr>
                <w:noProof/>
                <w:webHidden/>
              </w:rPr>
              <w:instrText xml:space="preserve"> PAGEREF _Toc220846940 \h </w:instrText>
            </w:r>
            <w:r>
              <w:rPr>
                <w:noProof/>
                <w:webHidden/>
              </w:rPr>
            </w:r>
            <w:r>
              <w:rPr>
                <w:noProof/>
                <w:webHidden/>
              </w:rPr>
              <w:fldChar w:fldCharType="separate"/>
            </w:r>
            <w:r>
              <w:rPr>
                <w:noProof/>
                <w:webHidden/>
              </w:rPr>
              <w:t>10</w:t>
            </w:r>
            <w:r>
              <w:rPr>
                <w:noProof/>
                <w:webHidden/>
              </w:rPr>
              <w:fldChar w:fldCharType="end"/>
            </w:r>
          </w:hyperlink>
        </w:p>
        <w:p w14:paraId="71D68E44" w14:textId="42532373" w:rsidR="006A49E3" w:rsidRDefault="006A49E3">
          <w:pPr>
            <w:pStyle w:val="TOC2"/>
            <w:tabs>
              <w:tab w:val="right" w:leader="dot" w:pos="9016"/>
            </w:tabs>
            <w:rPr>
              <w:noProof/>
              <w:sz w:val="24"/>
              <w:szCs w:val="24"/>
              <w:lang w:eastAsia="en-GB"/>
            </w:rPr>
          </w:pPr>
          <w:hyperlink w:anchor="_Toc220846941" w:history="1">
            <w:r w:rsidRPr="00774FD3">
              <w:rPr>
                <w:rStyle w:val="Hyperlink"/>
                <w:noProof/>
              </w:rPr>
              <w:t>1.3 Research Question</w:t>
            </w:r>
            <w:r>
              <w:rPr>
                <w:noProof/>
                <w:webHidden/>
              </w:rPr>
              <w:tab/>
            </w:r>
            <w:r>
              <w:rPr>
                <w:noProof/>
                <w:webHidden/>
              </w:rPr>
              <w:fldChar w:fldCharType="begin"/>
            </w:r>
            <w:r>
              <w:rPr>
                <w:noProof/>
                <w:webHidden/>
              </w:rPr>
              <w:instrText xml:space="preserve"> PAGEREF _Toc220846941 \h </w:instrText>
            </w:r>
            <w:r>
              <w:rPr>
                <w:noProof/>
                <w:webHidden/>
              </w:rPr>
            </w:r>
            <w:r>
              <w:rPr>
                <w:noProof/>
                <w:webHidden/>
              </w:rPr>
              <w:fldChar w:fldCharType="separate"/>
            </w:r>
            <w:r>
              <w:rPr>
                <w:noProof/>
                <w:webHidden/>
              </w:rPr>
              <w:t>11</w:t>
            </w:r>
            <w:r>
              <w:rPr>
                <w:noProof/>
                <w:webHidden/>
              </w:rPr>
              <w:fldChar w:fldCharType="end"/>
            </w:r>
          </w:hyperlink>
        </w:p>
        <w:p w14:paraId="4F1CB6F2" w14:textId="7A8A7AE2" w:rsidR="006A49E3" w:rsidRDefault="006A49E3">
          <w:pPr>
            <w:pStyle w:val="TOC2"/>
            <w:tabs>
              <w:tab w:val="right" w:leader="dot" w:pos="9016"/>
            </w:tabs>
            <w:rPr>
              <w:noProof/>
              <w:sz w:val="24"/>
              <w:szCs w:val="24"/>
              <w:lang w:eastAsia="en-GB"/>
            </w:rPr>
          </w:pPr>
          <w:hyperlink w:anchor="_Toc220846942" w:history="1">
            <w:r w:rsidRPr="00774FD3">
              <w:rPr>
                <w:rStyle w:val="Hyperlink"/>
                <w:noProof/>
              </w:rPr>
              <w:t>1.4 Aim and Objectives</w:t>
            </w:r>
            <w:r>
              <w:rPr>
                <w:noProof/>
                <w:webHidden/>
              </w:rPr>
              <w:tab/>
            </w:r>
            <w:r>
              <w:rPr>
                <w:noProof/>
                <w:webHidden/>
              </w:rPr>
              <w:fldChar w:fldCharType="begin"/>
            </w:r>
            <w:r>
              <w:rPr>
                <w:noProof/>
                <w:webHidden/>
              </w:rPr>
              <w:instrText xml:space="preserve"> PAGEREF _Toc220846942 \h </w:instrText>
            </w:r>
            <w:r>
              <w:rPr>
                <w:noProof/>
                <w:webHidden/>
              </w:rPr>
            </w:r>
            <w:r>
              <w:rPr>
                <w:noProof/>
                <w:webHidden/>
              </w:rPr>
              <w:fldChar w:fldCharType="separate"/>
            </w:r>
            <w:r>
              <w:rPr>
                <w:noProof/>
                <w:webHidden/>
              </w:rPr>
              <w:t>12</w:t>
            </w:r>
            <w:r>
              <w:rPr>
                <w:noProof/>
                <w:webHidden/>
              </w:rPr>
              <w:fldChar w:fldCharType="end"/>
            </w:r>
          </w:hyperlink>
        </w:p>
        <w:p w14:paraId="1BA33FA7" w14:textId="658098E1" w:rsidR="006A49E3" w:rsidRDefault="006A49E3">
          <w:pPr>
            <w:pStyle w:val="TOC2"/>
            <w:tabs>
              <w:tab w:val="right" w:leader="dot" w:pos="9016"/>
            </w:tabs>
            <w:rPr>
              <w:noProof/>
              <w:sz w:val="24"/>
              <w:szCs w:val="24"/>
              <w:lang w:eastAsia="en-GB"/>
            </w:rPr>
          </w:pPr>
          <w:hyperlink w:anchor="_Toc220846943" w:history="1">
            <w:r w:rsidRPr="00774FD3">
              <w:rPr>
                <w:rStyle w:val="Hyperlink"/>
                <w:noProof/>
              </w:rPr>
              <w:t>1.5 Dissertation Structure</w:t>
            </w:r>
            <w:r>
              <w:rPr>
                <w:noProof/>
                <w:webHidden/>
              </w:rPr>
              <w:tab/>
            </w:r>
            <w:r>
              <w:rPr>
                <w:noProof/>
                <w:webHidden/>
              </w:rPr>
              <w:fldChar w:fldCharType="begin"/>
            </w:r>
            <w:r>
              <w:rPr>
                <w:noProof/>
                <w:webHidden/>
              </w:rPr>
              <w:instrText xml:space="preserve"> PAGEREF _Toc220846943 \h </w:instrText>
            </w:r>
            <w:r>
              <w:rPr>
                <w:noProof/>
                <w:webHidden/>
              </w:rPr>
            </w:r>
            <w:r>
              <w:rPr>
                <w:noProof/>
                <w:webHidden/>
              </w:rPr>
              <w:fldChar w:fldCharType="separate"/>
            </w:r>
            <w:r>
              <w:rPr>
                <w:noProof/>
                <w:webHidden/>
              </w:rPr>
              <w:t>13</w:t>
            </w:r>
            <w:r>
              <w:rPr>
                <w:noProof/>
                <w:webHidden/>
              </w:rPr>
              <w:fldChar w:fldCharType="end"/>
            </w:r>
          </w:hyperlink>
        </w:p>
        <w:p w14:paraId="60CDA60F" w14:textId="710A8A2F"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44" w:history="1">
            <w:r w:rsidRPr="00774FD3">
              <w:rPr>
                <w:rStyle w:val="Hyperlink"/>
                <w:noProof/>
              </w:rPr>
              <w:t>Chapter 2: Literature review/theoretical framework</w:t>
            </w:r>
            <w:r>
              <w:rPr>
                <w:noProof/>
                <w:webHidden/>
              </w:rPr>
              <w:tab/>
            </w:r>
            <w:r>
              <w:rPr>
                <w:noProof/>
                <w:webHidden/>
              </w:rPr>
              <w:fldChar w:fldCharType="begin"/>
            </w:r>
            <w:r>
              <w:rPr>
                <w:noProof/>
                <w:webHidden/>
              </w:rPr>
              <w:instrText xml:space="preserve"> PAGEREF _Toc220846944 \h </w:instrText>
            </w:r>
            <w:r>
              <w:rPr>
                <w:noProof/>
                <w:webHidden/>
              </w:rPr>
            </w:r>
            <w:r>
              <w:rPr>
                <w:noProof/>
                <w:webHidden/>
              </w:rPr>
              <w:fldChar w:fldCharType="separate"/>
            </w:r>
            <w:r>
              <w:rPr>
                <w:noProof/>
                <w:webHidden/>
              </w:rPr>
              <w:t>14</w:t>
            </w:r>
            <w:r>
              <w:rPr>
                <w:noProof/>
                <w:webHidden/>
              </w:rPr>
              <w:fldChar w:fldCharType="end"/>
            </w:r>
          </w:hyperlink>
        </w:p>
        <w:p w14:paraId="4C6876B9" w14:textId="657564A6" w:rsidR="006A49E3" w:rsidRDefault="006A49E3">
          <w:pPr>
            <w:pStyle w:val="TOC2"/>
            <w:tabs>
              <w:tab w:val="right" w:leader="dot" w:pos="9016"/>
            </w:tabs>
            <w:rPr>
              <w:noProof/>
              <w:sz w:val="24"/>
              <w:szCs w:val="24"/>
              <w:lang w:eastAsia="en-GB"/>
            </w:rPr>
          </w:pPr>
          <w:hyperlink w:anchor="_Toc220846945" w:history="1">
            <w:r w:rsidRPr="00774FD3">
              <w:rPr>
                <w:rStyle w:val="Hyperlink"/>
                <w:noProof/>
              </w:rPr>
              <w:t>2.1 Introduction to Literature Review</w:t>
            </w:r>
            <w:r>
              <w:rPr>
                <w:noProof/>
                <w:webHidden/>
              </w:rPr>
              <w:tab/>
            </w:r>
            <w:r>
              <w:rPr>
                <w:noProof/>
                <w:webHidden/>
              </w:rPr>
              <w:fldChar w:fldCharType="begin"/>
            </w:r>
            <w:r>
              <w:rPr>
                <w:noProof/>
                <w:webHidden/>
              </w:rPr>
              <w:instrText xml:space="preserve"> PAGEREF _Toc220846945 \h </w:instrText>
            </w:r>
            <w:r>
              <w:rPr>
                <w:noProof/>
                <w:webHidden/>
              </w:rPr>
            </w:r>
            <w:r>
              <w:rPr>
                <w:noProof/>
                <w:webHidden/>
              </w:rPr>
              <w:fldChar w:fldCharType="separate"/>
            </w:r>
            <w:r>
              <w:rPr>
                <w:noProof/>
                <w:webHidden/>
              </w:rPr>
              <w:t>14</w:t>
            </w:r>
            <w:r>
              <w:rPr>
                <w:noProof/>
                <w:webHidden/>
              </w:rPr>
              <w:fldChar w:fldCharType="end"/>
            </w:r>
          </w:hyperlink>
        </w:p>
        <w:p w14:paraId="5E9F78E9" w14:textId="071F5108" w:rsidR="006A49E3" w:rsidRDefault="006A49E3">
          <w:pPr>
            <w:pStyle w:val="TOC2"/>
            <w:tabs>
              <w:tab w:val="right" w:leader="dot" w:pos="9016"/>
            </w:tabs>
            <w:rPr>
              <w:noProof/>
              <w:sz w:val="24"/>
              <w:szCs w:val="24"/>
              <w:lang w:eastAsia="en-GB"/>
            </w:rPr>
          </w:pPr>
          <w:hyperlink w:anchor="_Toc220846946" w:history="1">
            <w:r w:rsidRPr="00774FD3">
              <w:rPr>
                <w:rStyle w:val="Hyperlink"/>
                <w:noProof/>
              </w:rPr>
              <w:t>2.2 Conceptual foundations: defining quality at life's end</w:t>
            </w:r>
            <w:r>
              <w:rPr>
                <w:noProof/>
                <w:webHidden/>
              </w:rPr>
              <w:tab/>
            </w:r>
            <w:r>
              <w:rPr>
                <w:noProof/>
                <w:webHidden/>
              </w:rPr>
              <w:fldChar w:fldCharType="begin"/>
            </w:r>
            <w:r>
              <w:rPr>
                <w:noProof/>
                <w:webHidden/>
              </w:rPr>
              <w:instrText xml:space="preserve"> PAGEREF _Toc220846946 \h </w:instrText>
            </w:r>
            <w:r>
              <w:rPr>
                <w:noProof/>
                <w:webHidden/>
              </w:rPr>
            </w:r>
            <w:r>
              <w:rPr>
                <w:noProof/>
                <w:webHidden/>
              </w:rPr>
              <w:fldChar w:fldCharType="separate"/>
            </w:r>
            <w:r>
              <w:rPr>
                <w:noProof/>
                <w:webHidden/>
              </w:rPr>
              <w:t>14</w:t>
            </w:r>
            <w:r>
              <w:rPr>
                <w:noProof/>
                <w:webHidden/>
              </w:rPr>
              <w:fldChar w:fldCharType="end"/>
            </w:r>
          </w:hyperlink>
        </w:p>
        <w:p w14:paraId="26EE7D74" w14:textId="253C81F0" w:rsidR="006A49E3" w:rsidRDefault="006A49E3">
          <w:pPr>
            <w:pStyle w:val="TOC2"/>
            <w:tabs>
              <w:tab w:val="right" w:leader="dot" w:pos="9016"/>
            </w:tabs>
            <w:rPr>
              <w:noProof/>
              <w:sz w:val="24"/>
              <w:szCs w:val="24"/>
              <w:lang w:eastAsia="en-GB"/>
            </w:rPr>
          </w:pPr>
          <w:hyperlink w:anchor="_Toc220846947" w:history="1">
            <w:r w:rsidRPr="00774FD3">
              <w:rPr>
                <w:rStyle w:val="Hyperlink"/>
                <w:noProof/>
              </w:rPr>
              <w:t>2.3 The UK residential care context: structures, standards, and challenges</w:t>
            </w:r>
            <w:r>
              <w:rPr>
                <w:noProof/>
                <w:webHidden/>
              </w:rPr>
              <w:tab/>
            </w:r>
            <w:r>
              <w:rPr>
                <w:noProof/>
                <w:webHidden/>
              </w:rPr>
              <w:fldChar w:fldCharType="begin"/>
            </w:r>
            <w:r>
              <w:rPr>
                <w:noProof/>
                <w:webHidden/>
              </w:rPr>
              <w:instrText xml:space="preserve"> PAGEREF _Toc220846947 \h </w:instrText>
            </w:r>
            <w:r>
              <w:rPr>
                <w:noProof/>
                <w:webHidden/>
              </w:rPr>
            </w:r>
            <w:r>
              <w:rPr>
                <w:noProof/>
                <w:webHidden/>
              </w:rPr>
              <w:fldChar w:fldCharType="separate"/>
            </w:r>
            <w:r>
              <w:rPr>
                <w:noProof/>
                <w:webHidden/>
              </w:rPr>
              <w:t>16</w:t>
            </w:r>
            <w:r>
              <w:rPr>
                <w:noProof/>
                <w:webHidden/>
              </w:rPr>
              <w:fldChar w:fldCharType="end"/>
            </w:r>
          </w:hyperlink>
        </w:p>
        <w:p w14:paraId="264F99D1" w14:textId="5FF8C673" w:rsidR="006A49E3" w:rsidRDefault="006A49E3">
          <w:pPr>
            <w:pStyle w:val="TOC2"/>
            <w:tabs>
              <w:tab w:val="right" w:leader="dot" w:pos="9016"/>
            </w:tabs>
            <w:rPr>
              <w:noProof/>
              <w:sz w:val="24"/>
              <w:szCs w:val="24"/>
              <w:lang w:eastAsia="en-GB"/>
            </w:rPr>
          </w:pPr>
          <w:hyperlink w:anchor="_Toc220846948" w:history="1">
            <w:r w:rsidRPr="00774FD3">
              <w:rPr>
                <w:rStyle w:val="Hyperlink"/>
                <w:noProof/>
              </w:rPr>
              <w:t>2.4 What bereaved families experience: evidence on grief and satisfaction</w:t>
            </w:r>
            <w:r>
              <w:rPr>
                <w:noProof/>
                <w:webHidden/>
              </w:rPr>
              <w:tab/>
            </w:r>
            <w:r>
              <w:rPr>
                <w:noProof/>
                <w:webHidden/>
              </w:rPr>
              <w:fldChar w:fldCharType="begin"/>
            </w:r>
            <w:r>
              <w:rPr>
                <w:noProof/>
                <w:webHidden/>
              </w:rPr>
              <w:instrText xml:space="preserve"> PAGEREF _Toc220846948 \h </w:instrText>
            </w:r>
            <w:r>
              <w:rPr>
                <w:noProof/>
                <w:webHidden/>
              </w:rPr>
            </w:r>
            <w:r>
              <w:rPr>
                <w:noProof/>
                <w:webHidden/>
              </w:rPr>
              <w:fldChar w:fldCharType="separate"/>
            </w:r>
            <w:r>
              <w:rPr>
                <w:noProof/>
                <w:webHidden/>
              </w:rPr>
              <w:t>17</w:t>
            </w:r>
            <w:r>
              <w:rPr>
                <w:noProof/>
                <w:webHidden/>
              </w:rPr>
              <w:fldChar w:fldCharType="end"/>
            </w:r>
          </w:hyperlink>
        </w:p>
        <w:p w14:paraId="56CCB620" w14:textId="2B77ED26"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49" w:history="1">
            <w:r w:rsidRPr="00774FD3">
              <w:rPr>
                <w:rStyle w:val="Hyperlink"/>
                <w:noProof/>
              </w:rPr>
              <w:t>2.5 Staff perspectives: emotional labour, grief, and organisational challenges</w:t>
            </w:r>
            <w:r>
              <w:rPr>
                <w:noProof/>
                <w:webHidden/>
              </w:rPr>
              <w:tab/>
            </w:r>
            <w:r>
              <w:rPr>
                <w:noProof/>
                <w:webHidden/>
              </w:rPr>
              <w:fldChar w:fldCharType="begin"/>
            </w:r>
            <w:r>
              <w:rPr>
                <w:noProof/>
                <w:webHidden/>
              </w:rPr>
              <w:instrText xml:space="preserve"> PAGEREF _Toc220846949 \h </w:instrText>
            </w:r>
            <w:r>
              <w:rPr>
                <w:noProof/>
                <w:webHidden/>
              </w:rPr>
            </w:r>
            <w:r>
              <w:rPr>
                <w:noProof/>
                <w:webHidden/>
              </w:rPr>
              <w:fldChar w:fldCharType="separate"/>
            </w:r>
            <w:r>
              <w:rPr>
                <w:noProof/>
                <w:webHidden/>
              </w:rPr>
              <w:t>18</w:t>
            </w:r>
            <w:r>
              <w:rPr>
                <w:noProof/>
                <w:webHidden/>
              </w:rPr>
              <w:fldChar w:fldCharType="end"/>
            </w:r>
          </w:hyperlink>
        </w:p>
        <w:p w14:paraId="0673C33E" w14:textId="2D365BAE" w:rsidR="006A49E3" w:rsidRDefault="006A49E3">
          <w:pPr>
            <w:pStyle w:val="TOC2"/>
            <w:tabs>
              <w:tab w:val="right" w:leader="dot" w:pos="9016"/>
            </w:tabs>
            <w:rPr>
              <w:noProof/>
              <w:sz w:val="24"/>
              <w:szCs w:val="24"/>
              <w:lang w:eastAsia="en-GB"/>
            </w:rPr>
          </w:pPr>
          <w:hyperlink w:anchor="_Toc220846950" w:history="1">
            <w:r w:rsidRPr="00774FD3">
              <w:rPr>
                <w:rStyle w:val="Hyperlink"/>
                <w:noProof/>
              </w:rPr>
              <w:t>2.6 Policy frameworks and quality programmes: implementation landscape</w:t>
            </w:r>
            <w:r>
              <w:rPr>
                <w:noProof/>
                <w:webHidden/>
              </w:rPr>
              <w:tab/>
            </w:r>
            <w:r>
              <w:rPr>
                <w:noProof/>
                <w:webHidden/>
              </w:rPr>
              <w:fldChar w:fldCharType="begin"/>
            </w:r>
            <w:r>
              <w:rPr>
                <w:noProof/>
                <w:webHidden/>
              </w:rPr>
              <w:instrText xml:space="preserve"> PAGEREF _Toc220846950 \h </w:instrText>
            </w:r>
            <w:r>
              <w:rPr>
                <w:noProof/>
                <w:webHidden/>
              </w:rPr>
            </w:r>
            <w:r>
              <w:rPr>
                <w:noProof/>
                <w:webHidden/>
              </w:rPr>
              <w:fldChar w:fldCharType="separate"/>
            </w:r>
            <w:r>
              <w:rPr>
                <w:noProof/>
                <w:webHidden/>
              </w:rPr>
              <w:t>19</w:t>
            </w:r>
            <w:r>
              <w:rPr>
                <w:noProof/>
                <w:webHidden/>
              </w:rPr>
              <w:fldChar w:fldCharType="end"/>
            </w:r>
          </w:hyperlink>
        </w:p>
        <w:p w14:paraId="2215DE4B" w14:textId="41355ED3" w:rsidR="006A49E3" w:rsidRDefault="006A49E3">
          <w:pPr>
            <w:pStyle w:val="TOC2"/>
            <w:tabs>
              <w:tab w:val="right" w:leader="dot" w:pos="9016"/>
            </w:tabs>
            <w:rPr>
              <w:noProof/>
              <w:sz w:val="24"/>
              <w:szCs w:val="24"/>
              <w:lang w:eastAsia="en-GB"/>
            </w:rPr>
          </w:pPr>
          <w:hyperlink w:anchor="_Toc220846951" w:history="1">
            <w:r w:rsidRPr="00774FD3">
              <w:rPr>
                <w:rStyle w:val="Hyperlink"/>
                <w:noProof/>
              </w:rPr>
              <w:t>2.7 Synthesis and gap identification: where staff and family experiences meet</w:t>
            </w:r>
            <w:r>
              <w:rPr>
                <w:noProof/>
                <w:webHidden/>
              </w:rPr>
              <w:tab/>
            </w:r>
            <w:r>
              <w:rPr>
                <w:noProof/>
                <w:webHidden/>
              </w:rPr>
              <w:fldChar w:fldCharType="begin"/>
            </w:r>
            <w:r>
              <w:rPr>
                <w:noProof/>
                <w:webHidden/>
              </w:rPr>
              <w:instrText xml:space="preserve"> PAGEREF _Toc220846951 \h </w:instrText>
            </w:r>
            <w:r>
              <w:rPr>
                <w:noProof/>
                <w:webHidden/>
              </w:rPr>
            </w:r>
            <w:r>
              <w:rPr>
                <w:noProof/>
                <w:webHidden/>
              </w:rPr>
              <w:fldChar w:fldCharType="separate"/>
            </w:r>
            <w:r>
              <w:rPr>
                <w:noProof/>
                <w:webHidden/>
              </w:rPr>
              <w:t>20</w:t>
            </w:r>
            <w:r>
              <w:rPr>
                <w:noProof/>
                <w:webHidden/>
              </w:rPr>
              <w:fldChar w:fldCharType="end"/>
            </w:r>
          </w:hyperlink>
        </w:p>
        <w:p w14:paraId="3BFDA2A3" w14:textId="4CD1D70F"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52" w:history="1">
            <w:r w:rsidRPr="00774FD3">
              <w:rPr>
                <w:rStyle w:val="Hyperlink"/>
                <w:noProof/>
              </w:rPr>
              <w:t>Chapter 3: Research Methodology</w:t>
            </w:r>
            <w:r>
              <w:rPr>
                <w:noProof/>
                <w:webHidden/>
              </w:rPr>
              <w:tab/>
            </w:r>
            <w:r>
              <w:rPr>
                <w:noProof/>
                <w:webHidden/>
              </w:rPr>
              <w:fldChar w:fldCharType="begin"/>
            </w:r>
            <w:r>
              <w:rPr>
                <w:noProof/>
                <w:webHidden/>
              </w:rPr>
              <w:instrText xml:space="preserve"> PAGEREF _Toc220846952 \h </w:instrText>
            </w:r>
            <w:r>
              <w:rPr>
                <w:noProof/>
                <w:webHidden/>
              </w:rPr>
            </w:r>
            <w:r>
              <w:rPr>
                <w:noProof/>
                <w:webHidden/>
              </w:rPr>
              <w:fldChar w:fldCharType="separate"/>
            </w:r>
            <w:r>
              <w:rPr>
                <w:noProof/>
                <w:webHidden/>
              </w:rPr>
              <w:t>22</w:t>
            </w:r>
            <w:r>
              <w:rPr>
                <w:noProof/>
                <w:webHidden/>
              </w:rPr>
              <w:fldChar w:fldCharType="end"/>
            </w:r>
          </w:hyperlink>
        </w:p>
        <w:p w14:paraId="0C551452" w14:textId="562805A0" w:rsidR="006A49E3" w:rsidRDefault="006A49E3">
          <w:pPr>
            <w:pStyle w:val="TOC2"/>
            <w:tabs>
              <w:tab w:val="right" w:leader="dot" w:pos="9016"/>
            </w:tabs>
            <w:rPr>
              <w:noProof/>
              <w:sz w:val="24"/>
              <w:szCs w:val="24"/>
              <w:lang w:eastAsia="en-GB"/>
            </w:rPr>
          </w:pPr>
          <w:hyperlink w:anchor="_Toc220846953" w:history="1">
            <w:r w:rsidRPr="00774FD3">
              <w:rPr>
                <w:rStyle w:val="Hyperlink"/>
                <w:noProof/>
              </w:rPr>
              <w:t>3.1 Introduction</w:t>
            </w:r>
            <w:r>
              <w:rPr>
                <w:noProof/>
                <w:webHidden/>
              </w:rPr>
              <w:tab/>
            </w:r>
            <w:r>
              <w:rPr>
                <w:noProof/>
                <w:webHidden/>
              </w:rPr>
              <w:fldChar w:fldCharType="begin"/>
            </w:r>
            <w:r>
              <w:rPr>
                <w:noProof/>
                <w:webHidden/>
              </w:rPr>
              <w:instrText xml:space="preserve"> PAGEREF _Toc220846953 \h </w:instrText>
            </w:r>
            <w:r>
              <w:rPr>
                <w:noProof/>
                <w:webHidden/>
              </w:rPr>
            </w:r>
            <w:r>
              <w:rPr>
                <w:noProof/>
                <w:webHidden/>
              </w:rPr>
              <w:fldChar w:fldCharType="separate"/>
            </w:r>
            <w:r>
              <w:rPr>
                <w:noProof/>
                <w:webHidden/>
              </w:rPr>
              <w:t>22</w:t>
            </w:r>
            <w:r>
              <w:rPr>
                <w:noProof/>
                <w:webHidden/>
              </w:rPr>
              <w:fldChar w:fldCharType="end"/>
            </w:r>
          </w:hyperlink>
        </w:p>
        <w:p w14:paraId="36F93DBE" w14:textId="5EC45E14" w:rsidR="006A49E3" w:rsidRDefault="006A49E3">
          <w:pPr>
            <w:pStyle w:val="TOC2"/>
            <w:tabs>
              <w:tab w:val="right" w:leader="dot" w:pos="9016"/>
            </w:tabs>
            <w:rPr>
              <w:noProof/>
              <w:sz w:val="24"/>
              <w:szCs w:val="24"/>
              <w:lang w:eastAsia="en-GB"/>
            </w:rPr>
          </w:pPr>
          <w:hyperlink w:anchor="_Toc220846954" w:history="1">
            <w:r w:rsidRPr="00774FD3">
              <w:rPr>
                <w:rStyle w:val="Hyperlink"/>
                <w:noProof/>
              </w:rPr>
              <w:t>3.2 Research Design and Philosophical Position</w:t>
            </w:r>
            <w:r>
              <w:rPr>
                <w:noProof/>
                <w:webHidden/>
              </w:rPr>
              <w:tab/>
            </w:r>
            <w:r>
              <w:rPr>
                <w:noProof/>
                <w:webHidden/>
              </w:rPr>
              <w:fldChar w:fldCharType="begin"/>
            </w:r>
            <w:r>
              <w:rPr>
                <w:noProof/>
                <w:webHidden/>
              </w:rPr>
              <w:instrText xml:space="preserve"> PAGEREF _Toc220846954 \h </w:instrText>
            </w:r>
            <w:r>
              <w:rPr>
                <w:noProof/>
                <w:webHidden/>
              </w:rPr>
            </w:r>
            <w:r>
              <w:rPr>
                <w:noProof/>
                <w:webHidden/>
              </w:rPr>
              <w:fldChar w:fldCharType="separate"/>
            </w:r>
            <w:r>
              <w:rPr>
                <w:noProof/>
                <w:webHidden/>
              </w:rPr>
              <w:t>22</w:t>
            </w:r>
            <w:r>
              <w:rPr>
                <w:noProof/>
                <w:webHidden/>
              </w:rPr>
              <w:fldChar w:fldCharType="end"/>
            </w:r>
          </w:hyperlink>
        </w:p>
        <w:p w14:paraId="12C28575" w14:textId="4D9F605A" w:rsidR="006A49E3" w:rsidRDefault="006A49E3">
          <w:pPr>
            <w:pStyle w:val="TOC2"/>
            <w:tabs>
              <w:tab w:val="right" w:leader="dot" w:pos="9016"/>
            </w:tabs>
            <w:rPr>
              <w:noProof/>
              <w:sz w:val="24"/>
              <w:szCs w:val="24"/>
              <w:lang w:eastAsia="en-GB"/>
            </w:rPr>
          </w:pPr>
          <w:hyperlink w:anchor="_Toc220846955" w:history="1">
            <w:r w:rsidRPr="00774FD3">
              <w:rPr>
                <w:rStyle w:val="Hyperlink"/>
                <w:noProof/>
              </w:rPr>
              <w:t>3.3 Search Strategy</w:t>
            </w:r>
            <w:r>
              <w:rPr>
                <w:noProof/>
                <w:webHidden/>
              </w:rPr>
              <w:tab/>
            </w:r>
            <w:r>
              <w:rPr>
                <w:noProof/>
                <w:webHidden/>
              </w:rPr>
              <w:fldChar w:fldCharType="begin"/>
            </w:r>
            <w:r>
              <w:rPr>
                <w:noProof/>
                <w:webHidden/>
              </w:rPr>
              <w:instrText xml:space="preserve"> PAGEREF _Toc220846955 \h </w:instrText>
            </w:r>
            <w:r>
              <w:rPr>
                <w:noProof/>
                <w:webHidden/>
              </w:rPr>
            </w:r>
            <w:r>
              <w:rPr>
                <w:noProof/>
                <w:webHidden/>
              </w:rPr>
              <w:fldChar w:fldCharType="separate"/>
            </w:r>
            <w:r>
              <w:rPr>
                <w:noProof/>
                <w:webHidden/>
              </w:rPr>
              <w:t>23</w:t>
            </w:r>
            <w:r>
              <w:rPr>
                <w:noProof/>
                <w:webHidden/>
              </w:rPr>
              <w:fldChar w:fldCharType="end"/>
            </w:r>
          </w:hyperlink>
        </w:p>
        <w:p w14:paraId="4B868E67" w14:textId="17C99F55" w:rsidR="006A49E3" w:rsidRDefault="006A49E3">
          <w:pPr>
            <w:pStyle w:val="TOC3"/>
            <w:tabs>
              <w:tab w:val="right" w:leader="dot" w:pos="9016"/>
            </w:tabs>
            <w:rPr>
              <w:noProof/>
              <w:sz w:val="24"/>
              <w:szCs w:val="24"/>
              <w:lang w:eastAsia="en-GB"/>
            </w:rPr>
          </w:pPr>
          <w:hyperlink w:anchor="_Toc220846956" w:history="1">
            <w:r w:rsidRPr="00774FD3">
              <w:rPr>
                <w:rStyle w:val="Hyperlink"/>
                <w:noProof/>
              </w:rPr>
              <w:t>3.3.1 Information Sources</w:t>
            </w:r>
            <w:r>
              <w:rPr>
                <w:noProof/>
                <w:webHidden/>
              </w:rPr>
              <w:tab/>
            </w:r>
            <w:r>
              <w:rPr>
                <w:noProof/>
                <w:webHidden/>
              </w:rPr>
              <w:fldChar w:fldCharType="begin"/>
            </w:r>
            <w:r>
              <w:rPr>
                <w:noProof/>
                <w:webHidden/>
              </w:rPr>
              <w:instrText xml:space="preserve"> PAGEREF _Toc220846956 \h </w:instrText>
            </w:r>
            <w:r>
              <w:rPr>
                <w:noProof/>
                <w:webHidden/>
              </w:rPr>
            </w:r>
            <w:r>
              <w:rPr>
                <w:noProof/>
                <w:webHidden/>
              </w:rPr>
              <w:fldChar w:fldCharType="separate"/>
            </w:r>
            <w:r>
              <w:rPr>
                <w:noProof/>
                <w:webHidden/>
              </w:rPr>
              <w:t>23</w:t>
            </w:r>
            <w:r>
              <w:rPr>
                <w:noProof/>
                <w:webHidden/>
              </w:rPr>
              <w:fldChar w:fldCharType="end"/>
            </w:r>
          </w:hyperlink>
        </w:p>
        <w:p w14:paraId="0411E867" w14:textId="65C817C7" w:rsidR="006A49E3" w:rsidRDefault="006A49E3">
          <w:pPr>
            <w:pStyle w:val="TOC3"/>
            <w:tabs>
              <w:tab w:val="right" w:leader="dot" w:pos="9016"/>
            </w:tabs>
            <w:rPr>
              <w:noProof/>
              <w:sz w:val="24"/>
              <w:szCs w:val="24"/>
              <w:lang w:eastAsia="en-GB"/>
            </w:rPr>
          </w:pPr>
          <w:hyperlink w:anchor="_Toc220846957" w:history="1">
            <w:r w:rsidRPr="00774FD3">
              <w:rPr>
                <w:rStyle w:val="Hyperlink"/>
                <w:noProof/>
              </w:rPr>
              <w:t>3.3.2 Search Terms and Boolean Logic</w:t>
            </w:r>
            <w:r>
              <w:rPr>
                <w:noProof/>
                <w:webHidden/>
              </w:rPr>
              <w:tab/>
            </w:r>
            <w:r>
              <w:rPr>
                <w:noProof/>
                <w:webHidden/>
              </w:rPr>
              <w:fldChar w:fldCharType="begin"/>
            </w:r>
            <w:r>
              <w:rPr>
                <w:noProof/>
                <w:webHidden/>
              </w:rPr>
              <w:instrText xml:space="preserve"> PAGEREF _Toc220846957 \h </w:instrText>
            </w:r>
            <w:r>
              <w:rPr>
                <w:noProof/>
                <w:webHidden/>
              </w:rPr>
            </w:r>
            <w:r>
              <w:rPr>
                <w:noProof/>
                <w:webHidden/>
              </w:rPr>
              <w:fldChar w:fldCharType="separate"/>
            </w:r>
            <w:r>
              <w:rPr>
                <w:noProof/>
                <w:webHidden/>
              </w:rPr>
              <w:t>23</w:t>
            </w:r>
            <w:r>
              <w:rPr>
                <w:noProof/>
                <w:webHidden/>
              </w:rPr>
              <w:fldChar w:fldCharType="end"/>
            </w:r>
          </w:hyperlink>
        </w:p>
        <w:p w14:paraId="3E0D68DF" w14:textId="1BE76CC0" w:rsidR="006A49E3" w:rsidRDefault="006A49E3">
          <w:pPr>
            <w:pStyle w:val="TOC3"/>
            <w:tabs>
              <w:tab w:val="right" w:leader="dot" w:pos="9016"/>
            </w:tabs>
            <w:rPr>
              <w:noProof/>
              <w:sz w:val="24"/>
              <w:szCs w:val="24"/>
              <w:lang w:eastAsia="en-GB"/>
            </w:rPr>
          </w:pPr>
          <w:hyperlink w:anchor="_Toc220846958" w:history="1">
            <w:r w:rsidRPr="00774FD3">
              <w:rPr>
                <w:rStyle w:val="Hyperlink"/>
                <w:noProof/>
              </w:rPr>
              <w:t>3.3.3 Date Parameters</w:t>
            </w:r>
            <w:r>
              <w:rPr>
                <w:noProof/>
                <w:webHidden/>
              </w:rPr>
              <w:tab/>
            </w:r>
            <w:r>
              <w:rPr>
                <w:noProof/>
                <w:webHidden/>
              </w:rPr>
              <w:fldChar w:fldCharType="begin"/>
            </w:r>
            <w:r>
              <w:rPr>
                <w:noProof/>
                <w:webHidden/>
              </w:rPr>
              <w:instrText xml:space="preserve"> PAGEREF _Toc220846958 \h </w:instrText>
            </w:r>
            <w:r>
              <w:rPr>
                <w:noProof/>
                <w:webHidden/>
              </w:rPr>
            </w:r>
            <w:r>
              <w:rPr>
                <w:noProof/>
                <w:webHidden/>
              </w:rPr>
              <w:fldChar w:fldCharType="separate"/>
            </w:r>
            <w:r>
              <w:rPr>
                <w:noProof/>
                <w:webHidden/>
              </w:rPr>
              <w:t>24</w:t>
            </w:r>
            <w:r>
              <w:rPr>
                <w:noProof/>
                <w:webHidden/>
              </w:rPr>
              <w:fldChar w:fldCharType="end"/>
            </w:r>
          </w:hyperlink>
        </w:p>
        <w:p w14:paraId="237D085B" w14:textId="7932FC3D" w:rsidR="006A49E3" w:rsidRDefault="006A49E3">
          <w:pPr>
            <w:pStyle w:val="TOC2"/>
            <w:tabs>
              <w:tab w:val="right" w:leader="dot" w:pos="9016"/>
            </w:tabs>
            <w:rPr>
              <w:noProof/>
              <w:sz w:val="24"/>
              <w:szCs w:val="24"/>
              <w:lang w:eastAsia="en-GB"/>
            </w:rPr>
          </w:pPr>
          <w:hyperlink w:anchor="_Toc220846959" w:history="1">
            <w:r w:rsidRPr="00774FD3">
              <w:rPr>
                <w:rStyle w:val="Hyperlink"/>
                <w:noProof/>
              </w:rPr>
              <w:t>3.4 Eligibility Criteria</w:t>
            </w:r>
            <w:r>
              <w:rPr>
                <w:noProof/>
                <w:webHidden/>
              </w:rPr>
              <w:tab/>
            </w:r>
            <w:r>
              <w:rPr>
                <w:noProof/>
                <w:webHidden/>
              </w:rPr>
              <w:fldChar w:fldCharType="begin"/>
            </w:r>
            <w:r>
              <w:rPr>
                <w:noProof/>
                <w:webHidden/>
              </w:rPr>
              <w:instrText xml:space="preserve"> PAGEREF _Toc220846959 \h </w:instrText>
            </w:r>
            <w:r>
              <w:rPr>
                <w:noProof/>
                <w:webHidden/>
              </w:rPr>
            </w:r>
            <w:r>
              <w:rPr>
                <w:noProof/>
                <w:webHidden/>
              </w:rPr>
              <w:fldChar w:fldCharType="separate"/>
            </w:r>
            <w:r>
              <w:rPr>
                <w:noProof/>
                <w:webHidden/>
              </w:rPr>
              <w:t>25</w:t>
            </w:r>
            <w:r>
              <w:rPr>
                <w:noProof/>
                <w:webHidden/>
              </w:rPr>
              <w:fldChar w:fldCharType="end"/>
            </w:r>
          </w:hyperlink>
        </w:p>
        <w:p w14:paraId="0EB660A1" w14:textId="0B2D4192" w:rsidR="006A49E3" w:rsidRDefault="006A49E3">
          <w:pPr>
            <w:pStyle w:val="TOC2"/>
            <w:tabs>
              <w:tab w:val="right" w:leader="dot" w:pos="9016"/>
            </w:tabs>
            <w:rPr>
              <w:noProof/>
              <w:sz w:val="24"/>
              <w:szCs w:val="24"/>
              <w:lang w:eastAsia="en-GB"/>
            </w:rPr>
          </w:pPr>
          <w:hyperlink w:anchor="_Toc220846960" w:history="1">
            <w:r w:rsidRPr="00774FD3">
              <w:rPr>
                <w:rStyle w:val="Hyperlink"/>
                <w:noProof/>
              </w:rPr>
              <w:t>3.5 Study Selection Process</w:t>
            </w:r>
            <w:r>
              <w:rPr>
                <w:noProof/>
                <w:webHidden/>
              </w:rPr>
              <w:tab/>
            </w:r>
            <w:r>
              <w:rPr>
                <w:noProof/>
                <w:webHidden/>
              </w:rPr>
              <w:fldChar w:fldCharType="begin"/>
            </w:r>
            <w:r>
              <w:rPr>
                <w:noProof/>
                <w:webHidden/>
              </w:rPr>
              <w:instrText xml:space="preserve"> PAGEREF _Toc220846960 \h </w:instrText>
            </w:r>
            <w:r>
              <w:rPr>
                <w:noProof/>
                <w:webHidden/>
              </w:rPr>
            </w:r>
            <w:r>
              <w:rPr>
                <w:noProof/>
                <w:webHidden/>
              </w:rPr>
              <w:fldChar w:fldCharType="separate"/>
            </w:r>
            <w:r>
              <w:rPr>
                <w:noProof/>
                <w:webHidden/>
              </w:rPr>
              <w:t>26</w:t>
            </w:r>
            <w:r>
              <w:rPr>
                <w:noProof/>
                <w:webHidden/>
              </w:rPr>
              <w:fldChar w:fldCharType="end"/>
            </w:r>
          </w:hyperlink>
        </w:p>
        <w:p w14:paraId="05A5C49A" w14:textId="49FEE62A" w:rsidR="006A49E3" w:rsidRDefault="006A49E3">
          <w:pPr>
            <w:pStyle w:val="TOC2"/>
            <w:tabs>
              <w:tab w:val="right" w:leader="dot" w:pos="9016"/>
            </w:tabs>
            <w:rPr>
              <w:noProof/>
              <w:sz w:val="24"/>
              <w:szCs w:val="24"/>
              <w:lang w:eastAsia="en-GB"/>
            </w:rPr>
          </w:pPr>
          <w:hyperlink w:anchor="_Toc220846961" w:history="1">
            <w:r w:rsidRPr="00774FD3">
              <w:rPr>
                <w:rStyle w:val="Hyperlink"/>
                <w:noProof/>
              </w:rPr>
              <w:t>3.6 Data Extraction</w:t>
            </w:r>
            <w:r>
              <w:rPr>
                <w:noProof/>
                <w:webHidden/>
              </w:rPr>
              <w:tab/>
            </w:r>
            <w:r>
              <w:rPr>
                <w:noProof/>
                <w:webHidden/>
              </w:rPr>
              <w:fldChar w:fldCharType="begin"/>
            </w:r>
            <w:r>
              <w:rPr>
                <w:noProof/>
                <w:webHidden/>
              </w:rPr>
              <w:instrText xml:space="preserve"> PAGEREF _Toc220846961 \h </w:instrText>
            </w:r>
            <w:r>
              <w:rPr>
                <w:noProof/>
                <w:webHidden/>
              </w:rPr>
            </w:r>
            <w:r>
              <w:rPr>
                <w:noProof/>
                <w:webHidden/>
              </w:rPr>
              <w:fldChar w:fldCharType="separate"/>
            </w:r>
            <w:r>
              <w:rPr>
                <w:noProof/>
                <w:webHidden/>
              </w:rPr>
              <w:t>26</w:t>
            </w:r>
            <w:r>
              <w:rPr>
                <w:noProof/>
                <w:webHidden/>
              </w:rPr>
              <w:fldChar w:fldCharType="end"/>
            </w:r>
          </w:hyperlink>
        </w:p>
        <w:p w14:paraId="4373FFB1" w14:textId="2B98F613" w:rsidR="006A49E3" w:rsidRDefault="006A49E3">
          <w:pPr>
            <w:pStyle w:val="TOC2"/>
            <w:tabs>
              <w:tab w:val="right" w:leader="dot" w:pos="9016"/>
            </w:tabs>
            <w:rPr>
              <w:noProof/>
              <w:sz w:val="24"/>
              <w:szCs w:val="24"/>
              <w:lang w:eastAsia="en-GB"/>
            </w:rPr>
          </w:pPr>
          <w:hyperlink w:anchor="_Toc220846962" w:history="1">
            <w:r w:rsidRPr="00774FD3">
              <w:rPr>
                <w:rStyle w:val="Hyperlink"/>
                <w:noProof/>
              </w:rPr>
              <w:t>3.7 Quality Assessment</w:t>
            </w:r>
            <w:r>
              <w:rPr>
                <w:noProof/>
                <w:webHidden/>
              </w:rPr>
              <w:tab/>
            </w:r>
            <w:r>
              <w:rPr>
                <w:noProof/>
                <w:webHidden/>
              </w:rPr>
              <w:fldChar w:fldCharType="begin"/>
            </w:r>
            <w:r>
              <w:rPr>
                <w:noProof/>
                <w:webHidden/>
              </w:rPr>
              <w:instrText xml:space="preserve"> PAGEREF _Toc220846962 \h </w:instrText>
            </w:r>
            <w:r>
              <w:rPr>
                <w:noProof/>
                <w:webHidden/>
              </w:rPr>
            </w:r>
            <w:r>
              <w:rPr>
                <w:noProof/>
                <w:webHidden/>
              </w:rPr>
              <w:fldChar w:fldCharType="separate"/>
            </w:r>
            <w:r>
              <w:rPr>
                <w:noProof/>
                <w:webHidden/>
              </w:rPr>
              <w:t>27</w:t>
            </w:r>
            <w:r>
              <w:rPr>
                <w:noProof/>
                <w:webHidden/>
              </w:rPr>
              <w:fldChar w:fldCharType="end"/>
            </w:r>
          </w:hyperlink>
        </w:p>
        <w:p w14:paraId="54250889" w14:textId="74A755B9" w:rsidR="006A49E3" w:rsidRDefault="006A49E3">
          <w:pPr>
            <w:pStyle w:val="TOC2"/>
            <w:tabs>
              <w:tab w:val="right" w:leader="dot" w:pos="9016"/>
            </w:tabs>
            <w:rPr>
              <w:noProof/>
              <w:sz w:val="24"/>
              <w:szCs w:val="24"/>
              <w:lang w:eastAsia="en-GB"/>
            </w:rPr>
          </w:pPr>
          <w:hyperlink w:anchor="_Toc220846963" w:history="1">
            <w:r w:rsidRPr="00774FD3">
              <w:rPr>
                <w:rStyle w:val="Hyperlink"/>
                <w:noProof/>
              </w:rPr>
              <w:t>3.8 Data Synthesis and Analysis</w:t>
            </w:r>
            <w:r>
              <w:rPr>
                <w:noProof/>
                <w:webHidden/>
              </w:rPr>
              <w:tab/>
            </w:r>
            <w:r>
              <w:rPr>
                <w:noProof/>
                <w:webHidden/>
              </w:rPr>
              <w:fldChar w:fldCharType="begin"/>
            </w:r>
            <w:r>
              <w:rPr>
                <w:noProof/>
                <w:webHidden/>
              </w:rPr>
              <w:instrText xml:space="preserve"> PAGEREF _Toc220846963 \h </w:instrText>
            </w:r>
            <w:r>
              <w:rPr>
                <w:noProof/>
                <w:webHidden/>
              </w:rPr>
            </w:r>
            <w:r>
              <w:rPr>
                <w:noProof/>
                <w:webHidden/>
              </w:rPr>
              <w:fldChar w:fldCharType="separate"/>
            </w:r>
            <w:r>
              <w:rPr>
                <w:noProof/>
                <w:webHidden/>
              </w:rPr>
              <w:t>27</w:t>
            </w:r>
            <w:r>
              <w:rPr>
                <w:noProof/>
                <w:webHidden/>
              </w:rPr>
              <w:fldChar w:fldCharType="end"/>
            </w:r>
          </w:hyperlink>
        </w:p>
        <w:p w14:paraId="2BC54471" w14:textId="0D4784F0" w:rsidR="006A49E3" w:rsidRDefault="006A49E3">
          <w:pPr>
            <w:pStyle w:val="TOC2"/>
            <w:tabs>
              <w:tab w:val="right" w:leader="dot" w:pos="9016"/>
            </w:tabs>
            <w:rPr>
              <w:noProof/>
              <w:sz w:val="24"/>
              <w:szCs w:val="24"/>
              <w:lang w:eastAsia="en-GB"/>
            </w:rPr>
          </w:pPr>
          <w:hyperlink w:anchor="_Toc220846964" w:history="1">
            <w:r w:rsidRPr="00774FD3">
              <w:rPr>
                <w:rStyle w:val="Hyperlink"/>
                <w:noProof/>
              </w:rPr>
              <w:t>3.9 Ethical Considerations</w:t>
            </w:r>
            <w:r>
              <w:rPr>
                <w:noProof/>
                <w:webHidden/>
              </w:rPr>
              <w:tab/>
            </w:r>
            <w:r>
              <w:rPr>
                <w:noProof/>
                <w:webHidden/>
              </w:rPr>
              <w:fldChar w:fldCharType="begin"/>
            </w:r>
            <w:r>
              <w:rPr>
                <w:noProof/>
                <w:webHidden/>
              </w:rPr>
              <w:instrText xml:space="preserve"> PAGEREF _Toc220846964 \h </w:instrText>
            </w:r>
            <w:r>
              <w:rPr>
                <w:noProof/>
                <w:webHidden/>
              </w:rPr>
            </w:r>
            <w:r>
              <w:rPr>
                <w:noProof/>
                <w:webHidden/>
              </w:rPr>
              <w:fldChar w:fldCharType="separate"/>
            </w:r>
            <w:r>
              <w:rPr>
                <w:noProof/>
                <w:webHidden/>
              </w:rPr>
              <w:t>28</w:t>
            </w:r>
            <w:r>
              <w:rPr>
                <w:noProof/>
                <w:webHidden/>
              </w:rPr>
              <w:fldChar w:fldCharType="end"/>
            </w:r>
          </w:hyperlink>
        </w:p>
        <w:p w14:paraId="49DF6044" w14:textId="699F5D74"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65" w:history="1">
            <w:r w:rsidRPr="00774FD3">
              <w:rPr>
                <w:rStyle w:val="Hyperlink"/>
                <w:noProof/>
              </w:rPr>
              <w:t>Chapter 4: Results</w:t>
            </w:r>
            <w:r>
              <w:rPr>
                <w:noProof/>
                <w:webHidden/>
              </w:rPr>
              <w:tab/>
            </w:r>
            <w:r>
              <w:rPr>
                <w:noProof/>
                <w:webHidden/>
              </w:rPr>
              <w:fldChar w:fldCharType="begin"/>
            </w:r>
            <w:r>
              <w:rPr>
                <w:noProof/>
                <w:webHidden/>
              </w:rPr>
              <w:instrText xml:space="preserve"> PAGEREF _Toc220846965 \h </w:instrText>
            </w:r>
            <w:r>
              <w:rPr>
                <w:noProof/>
                <w:webHidden/>
              </w:rPr>
            </w:r>
            <w:r>
              <w:rPr>
                <w:noProof/>
                <w:webHidden/>
              </w:rPr>
              <w:fldChar w:fldCharType="separate"/>
            </w:r>
            <w:r>
              <w:rPr>
                <w:noProof/>
                <w:webHidden/>
              </w:rPr>
              <w:t>29</w:t>
            </w:r>
            <w:r>
              <w:rPr>
                <w:noProof/>
                <w:webHidden/>
              </w:rPr>
              <w:fldChar w:fldCharType="end"/>
            </w:r>
          </w:hyperlink>
        </w:p>
        <w:p w14:paraId="197CF9E8" w14:textId="70590210" w:rsidR="006A49E3" w:rsidRDefault="006A49E3">
          <w:pPr>
            <w:pStyle w:val="TOC2"/>
            <w:tabs>
              <w:tab w:val="right" w:leader="dot" w:pos="9016"/>
            </w:tabs>
            <w:rPr>
              <w:noProof/>
              <w:sz w:val="24"/>
              <w:szCs w:val="24"/>
              <w:lang w:eastAsia="en-GB"/>
            </w:rPr>
          </w:pPr>
          <w:hyperlink w:anchor="_Toc220846966" w:history="1">
            <w:r w:rsidRPr="00774FD3">
              <w:rPr>
                <w:rStyle w:val="Hyperlink"/>
                <w:rFonts w:eastAsia="Calibri"/>
                <w:noProof/>
              </w:rPr>
              <w:t>4.1 Introduction</w:t>
            </w:r>
            <w:r>
              <w:rPr>
                <w:noProof/>
                <w:webHidden/>
              </w:rPr>
              <w:tab/>
            </w:r>
            <w:r>
              <w:rPr>
                <w:noProof/>
                <w:webHidden/>
              </w:rPr>
              <w:fldChar w:fldCharType="begin"/>
            </w:r>
            <w:r>
              <w:rPr>
                <w:noProof/>
                <w:webHidden/>
              </w:rPr>
              <w:instrText xml:space="preserve"> PAGEREF _Toc220846966 \h </w:instrText>
            </w:r>
            <w:r>
              <w:rPr>
                <w:noProof/>
                <w:webHidden/>
              </w:rPr>
            </w:r>
            <w:r>
              <w:rPr>
                <w:noProof/>
                <w:webHidden/>
              </w:rPr>
              <w:fldChar w:fldCharType="separate"/>
            </w:r>
            <w:r>
              <w:rPr>
                <w:noProof/>
                <w:webHidden/>
              </w:rPr>
              <w:t>29</w:t>
            </w:r>
            <w:r>
              <w:rPr>
                <w:noProof/>
                <w:webHidden/>
              </w:rPr>
              <w:fldChar w:fldCharType="end"/>
            </w:r>
          </w:hyperlink>
        </w:p>
        <w:p w14:paraId="6A8BEDA7" w14:textId="1E60623E" w:rsidR="006A49E3" w:rsidRDefault="006A49E3">
          <w:pPr>
            <w:pStyle w:val="TOC2"/>
            <w:tabs>
              <w:tab w:val="right" w:leader="dot" w:pos="9016"/>
            </w:tabs>
            <w:rPr>
              <w:noProof/>
              <w:sz w:val="24"/>
              <w:szCs w:val="24"/>
              <w:lang w:eastAsia="en-GB"/>
            </w:rPr>
          </w:pPr>
          <w:hyperlink w:anchor="_Toc220846967" w:history="1">
            <w:r w:rsidRPr="00774FD3">
              <w:rPr>
                <w:rStyle w:val="Hyperlink"/>
                <w:rFonts w:eastAsia="Calibri"/>
                <w:noProof/>
              </w:rPr>
              <w:t>4.2 Study Selection Results</w:t>
            </w:r>
            <w:r>
              <w:rPr>
                <w:noProof/>
                <w:webHidden/>
              </w:rPr>
              <w:tab/>
            </w:r>
            <w:r>
              <w:rPr>
                <w:noProof/>
                <w:webHidden/>
              </w:rPr>
              <w:fldChar w:fldCharType="begin"/>
            </w:r>
            <w:r>
              <w:rPr>
                <w:noProof/>
                <w:webHidden/>
              </w:rPr>
              <w:instrText xml:space="preserve"> PAGEREF _Toc220846967 \h </w:instrText>
            </w:r>
            <w:r>
              <w:rPr>
                <w:noProof/>
                <w:webHidden/>
              </w:rPr>
            </w:r>
            <w:r>
              <w:rPr>
                <w:noProof/>
                <w:webHidden/>
              </w:rPr>
              <w:fldChar w:fldCharType="separate"/>
            </w:r>
            <w:r>
              <w:rPr>
                <w:noProof/>
                <w:webHidden/>
              </w:rPr>
              <w:t>29</w:t>
            </w:r>
            <w:r>
              <w:rPr>
                <w:noProof/>
                <w:webHidden/>
              </w:rPr>
              <w:fldChar w:fldCharType="end"/>
            </w:r>
          </w:hyperlink>
        </w:p>
        <w:p w14:paraId="15291E99" w14:textId="55CDA948" w:rsidR="006A49E3" w:rsidRDefault="006A49E3">
          <w:pPr>
            <w:pStyle w:val="TOC2"/>
            <w:tabs>
              <w:tab w:val="right" w:leader="dot" w:pos="9016"/>
            </w:tabs>
            <w:rPr>
              <w:noProof/>
              <w:sz w:val="24"/>
              <w:szCs w:val="24"/>
              <w:lang w:eastAsia="en-GB"/>
            </w:rPr>
          </w:pPr>
          <w:hyperlink w:anchor="_Toc220846968" w:history="1">
            <w:r w:rsidRPr="00774FD3">
              <w:rPr>
                <w:rStyle w:val="Hyperlink"/>
                <w:noProof/>
              </w:rPr>
              <w:t>4.3 Included Studies Characteristics</w:t>
            </w:r>
            <w:r>
              <w:rPr>
                <w:noProof/>
                <w:webHidden/>
              </w:rPr>
              <w:tab/>
            </w:r>
            <w:r>
              <w:rPr>
                <w:noProof/>
                <w:webHidden/>
              </w:rPr>
              <w:fldChar w:fldCharType="begin"/>
            </w:r>
            <w:r>
              <w:rPr>
                <w:noProof/>
                <w:webHidden/>
              </w:rPr>
              <w:instrText xml:space="preserve"> PAGEREF _Toc220846968 \h </w:instrText>
            </w:r>
            <w:r>
              <w:rPr>
                <w:noProof/>
                <w:webHidden/>
              </w:rPr>
            </w:r>
            <w:r>
              <w:rPr>
                <w:noProof/>
                <w:webHidden/>
              </w:rPr>
              <w:fldChar w:fldCharType="separate"/>
            </w:r>
            <w:r>
              <w:rPr>
                <w:noProof/>
                <w:webHidden/>
              </w:rPr>
              <w:t>32</w:t>
            </w:r>
            <w:r>
              <w:rPr>
                <w:noProof/>
                <w:webHidden/>
              </w:rPr>
              <w:fldChar w:fldCharType="end"/>
            </w:r>
          </w:hyperlink>
        </w:p>
        <w:p w14:paraId="6587A1E1" w14:textId="44110414" w:rsidR="006A49E3" w:rsidRDefault="006A49E3">
          <w:pPr>
            <w:pStyle w:val="TOC2"/>
            <w:tabs>
              <w:tab w:val="right" w:leader="dot" w:pos="9016"/>
            </w:tabs>
            <w:rPr>
              <w:noProof/>
              <w:sz w:val="24"/>
              <w:szCs w:val="24"/>
              <w:lang w:eastAsia="en-GB"/>
            </w:rPr>
          </w:pPr>
          <w:hyperlink w:anchor="_Toc220846969" w:history="1">
            <w:r w:rsidRPr="00774FD3">
              <w:rPr>
                <w:rStyle w:val="Hyperlink"/>
                <w:rFonts w:eastAsia="Calibri"/>
                <w:noProof/>
              </w:rPr>
              <w:t>4.4 Quality Assessment Summary</w:t>
            </w:r>
            <w:r>
              <w:rPr>
                <w:noProof/>
                <w:webHidden/>
              </w:rPr>
              <w:tab/>
            </w:r>
            <w:r>
              <w:rPr>
                <w:noProof/>
                <w:webHidden/>
              </w:rPr>
              <w:fldChar w:fldCharType="begin"/>
            </w:r>
            <w:r>
              <w:rPr>
                <w:noProof/>
                <w:webHidden/>
              </w:rPr>
              <w:instrText xml:space="preserve"> PAGEREF _Toc220846969 \h </w:instrText>
            </w:r>
            <w:r>
              <w:rPr>
                <w:noProof/>
                <w:webHidden/>
              </w:rPr>
            </w:r>
            <w:r>
              <w:rPr>
                <w:noProof/>
                <w:webHidden/>
              </w:rPr>
              <w:fldChar w:fldCharType="separate"/>
            </w:r>
            <w:r>
              <w:rPr>
                <w:noProof/>
                <w:webHidden/>
              </w:rPr>
              <w:t>34</w:t>
            </w:r>
            <w:r>
              <w:rPr>
                <w:noProof/>
                <w:webHidden/>
              </w:rPr>
              <w:fldChar w:fldCharType="end"/>
            </w:r>
          </w:hyperlink>
        </w:p>
        <w:p w14:paraId="1F5A2DD3" w14:textId="48C8C5ED"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70" w:history="1">
            <w:r w:rsidRPr="00774FD3">
              <w:rPr>
                <w:rStyle w:val="Hyperlink"/>
                <w:noProof/>
              </w:rPr>
              <w:t>CHAPTER 5: Discussion</w:t>
            </w:r>
            <w:r>
              <w:rPr>
                <w:noProof/>
                <w:webHidden/>
              </w:rPr>
              <w:tab/>
            </w:r>
            <w:r>
              <w:rPr>
                <w:noProof/>
                <w:webHidden/>
              </w:rPr>
              <w:fldChar w:fldCharType="begin"/>
            </w:r>
            <w:r>
              <w:rPr>
                <w:noProof/>
                <w:webHidden/>
              </w:rPr>
              <w:instrText xml:space="preserve"> PAGEREF _Toc220846970 \h </w:instrText>
            </w:r>
            <w:r>
              <w:rPr>
                <w:noProof/>
                <w:webHidden/>
              </w:rPr>
            </w:r>
            <w:r>
              <w:rPr>
                <w:noProof/>
                <w:webHidden/>
              </w:rPr>
              <w:fldChar w:fldCharType="separate"/>
            </w:r>
            <w:r>
              <w:rPr>
                <w:noProof/>
                <w:webHidden/>
              </w:rPr>
              <w:t>46</w:t>
            </w:r>
            <w:r>
              <w:rPr>
                <w:noProof/>
                <w:webHidden/>
              </w:rPr>
              <w:fldChar w:fldCharType="end"/>
            </w:r>
          </w:hyperlink>
        </w:p>
        <w:p w14:paraId="619CBF82" w14:textId="0502EF16" w:rsidR="006A49E3" w:rsidRDefault="006A49E3">
          <w:pPr>
            <w:pStyle w:val="TOC2"/>
            <w:tabs>
              <w:tab w:val="right" w:leader="dot" w:pos="9016"/>
            </w:tabs>
            <w:rPr>
              <w:noProof/>
              <w:sz w:val="24"/>
              <w:szCs w:val="24"/>
              <w:lang w:eastAsia="en-GB"/>
            </w:rPr>
          </w:pPr>
          <w:hyperlink w:anchor="_Toc220846971" w:history="1">
            <w:r w:rsidRPr="00774FD3">
              <w:rPr>
                <w:rStyle w:val="Hyperlink"/>
                <w:noProof/>
              </w:rPr>
              <w:t>5.1 Introduction</w:t>
            </w:r>
            <w:r>
              <w:rPr>
                <w:noProof/>
                <w:webHidden/>
              </w:rPr>
              <w:tab/>
            </w:r>
            <w:r>
              <w:rPr>
                <w:noProof/>
                <w:webHidden/>
              </w:rPr>
              <w:fldChar w:fldCharType="begin"/>
            </w:r>
            <w:r>
              <w:rPr>
                <w:noProof/>
                <w:webHidden/>
              </w:rPr>
              <w:instrText xml:space="preserve"> PAGEREF _Toc220846971 \h </w:instrText>
            </w:r>
            <w:r>
              <w:rPr>
                <w:noProof/>
                <w:webHidden/>
              </w:rPr>
            </w:r>
            <w:r>
              <w:rPr>
                <w:noProof/>
                <w:webHidden/>
              </w:rPr>
              <w:fldChar w:fldCharType="separate"/>
            </w:r>
            <w:r>
              <w:rPr>
                <w:noProof/>
                <w:webHidden/>
              </w:rPr>
              <w:t>46</w:t>
            </w:r>
            <w:r>
              <w:rPr>
                <w:noProof/>
                <w:webHidden/>
              </w:rPr>
              <w:fldChar w:fldCharType="end"/>
            </w:r>
          </w:hyperlink>
        </w:p>
        <w:p w14:paraId="556BBF7C" w14:textId="39DC9F07" w:rsidR="006A49E3" w:rsidRDefault="006A49E3">
          <w:pPr>
            <w:pStyle w:val="TOC2"/>
            <w:tabs>
              <w:tab w:val="right" w:leader="dot" w:pos="9016"/>
            </w:tabs>
            <w:rPr>
              <w:noProof/>
              <w:sz w:val="24"/>
              <w:szCs w:val="24"/>
              <w:lang w:eastAsia="en-GB"/>
            </w:rPr>
          </w:pPr>
          <w:hyperlink w:anchor="_Toc220846972" w:history="1">
            <w:r w:rsidRPr="00774FD3">
              <w:rPr>
                <w:rStyle w:val="Hyperlink"/>
                <w:noProof/>
              </w:rPr>
              <w:t>5.2 Discussion of Findings in Context</w:t>
            </w:r>
            <w:r>
              <w:rPr>
                <w:noProof/>
                <w:webHidden/>
              </w:rPr>
              <w:tab/>
            </w:r>
            <w:r>
              <w:rPr>
                <w:noProof/>
                <w:webHidden/>
              </w:rPr>
              <w:fldChar w:fldCharType="begin"/>
            </w:r>
            <w:r>
              <w:rPr>
                <w:noProof/>
                <w:webHidden/>
              </w:rPr>
              <w:instrText xml:space="preserve"> PAGEREF _Toc220846972 \h </w:instrText>
            </w:r>
            <w:r>
              <w:rPr>
                <w:noProof/>
                <w:webHidden/>
              </w:rPr>
            </w:r>
            <w:r>
              <w:rPr>
                <w:noProof/>
                <w:webHidden/>
              </w:rPr>
              <w:fldChar w:fldCharType="separate"/>
            </w:r>
            <w:r>
              <w:rPr>
                <w:noProof/>
                <w:webHidden/>
              </w:rPr>
              <w:t>46</w:t>
            </w:r>
            <w:r>
              <w:rPr>
                <w:noProof/>
                <w:webHidden/>
              </w:rPr>
              <w:fldChar w:fldCharType="end"/>
            </w:r>
          </w:hyperlink>
        </w:p>
        <w:p w14:paraId="219DC90C" w14:textId="6CA64BC7" w:rsidR="006A49E3" w:rsidRDefault="006A49E3">
          <w:pPr>
            <w:pStyle w:val="TOC3"/>
            <w:tabs>
              <w:tab w:val="right" w:leader="dot" w:pos="9016"/>
            </w:tabs>
            <w:rPr>
              <w:noProof/>
              <w:sz w:val="24"/>
              <w:szCs w:val="24"/>
              <w:lang w:eastAsia="en-GB"/>
            </w:rPr>
          </w:pPr>
          <w:hyperlink w:anchor="_Toc220846973" w:history="1">
            <w:r w:rsidRPr="00774FD3">
              <w:rPr>
                <w:rStyle w:val="Hyperlink"/>
                <w:noProof/>
              </w:rPr>
              <w:t>5.2.1 Family Experiences: Interpretation and Comparison</w:t>
            </w:r>
            <w:r>
              <w:rPr>
                <w:noProof/>
                <w:webHidden/>
              </w:rPr>
              <w:tab/>
            </w:r>
            <w:r>
              <w:rPr>
                <w:noProof/>
                <w:webHidden/>
              </w:rPr>
              <w:fldChar w:fldCharType="begin"/>
            </w:r>
            <w:r>
              <w:rPr>
                <w:noProof/>
                <w:webHidden/>
              </w:rPr>
              <w:instrText xml:space="preserve"> PAGEREF _Toc220846973 \h </w:instrText>
            </w:r>
            <w:r>
              <w:rPr>
                <w:noProof/>
                <w:webHidden/>
              </w:rPr>
            </w:r>
            <w:r>
              <w:rPr>
                <w:noProof/>
                <w:webHidden/>
              </w:rPr>
              <w:fldChar w:fldCharType="separate"/>
            </w:r>
            <w:r>
              <w:rPr>
                <w:noProof/>
                <w:webHidden/>
              </w:rPr>
              <w:t>46</w:t>
            </w:r>
            <w:r>
              <w:rPr>
                <w:noProof/>
                <w:webHidden/>
              </w:rPr>
              <w:fldChar w:fldCharType="end"/>
            </w:r>
          </w:hyperlink>
        </w:p>
        <w:p w14:paraId="3D369266" w14:textId="58D93FC9" w:rsidR="006A49E3" w:rsidRDefault="006A49E3">
          <w:pPr>
            <w:pStyle w:val="TOC3"/>
            <w:tabs>
              <w:tab w:val="right" w:leader="dot" w:pos="9016"/>
            </w:tabs>
            <w:rPr>
              <w:noProof/>
              <w:sz w:val="24"/>
              <w:szCs w:val="24"/>
              <w:lang w:eastAsia="en-GB"/>
            </w:rPr>
          </w:pPr>
          <w:hyperlink w:anchor="_Toc220846974" w:history="1">
            <w:r w:rsidRPr="00774FD3">
              <w:rPr>
                <w:rStyle w:val="Hyperlink"/>
                <w:noProof/>
              </w:rPr>
              <w:t>5.2.2 Staff Experiences: Interpretation and Comparison</w:t>
            </w:r>
            <w:r>
              <w:rPr>
                <w:noProof/>
                <w:webHidden/>
              </w:rPr>
              <w:tab/>
            </w:r>
            <w:r>
              <w:rPr>
                <w:noProof/>
                <w:webHidden/>
              </w:rPr>
              <w:fldChar w:fldCharType="begin"/>
            </w:r>
            <w:r>
              <w:rPr>
                <w:noProof/>
                <w:webHidden/>
              </w:rPr>
              <w:instrText xml:space="preserve"> PAGEREF _Toc220846974 \h </w:instrText>
            </w:r>
            <w:r>
              <w:rPr>
                <w:noProof/>
                <w:webHidden/>
              </w:rPr>
            </w:r>
            <w:r>
              <w:rPr>
                <w:noProof/>
                <w:webHidden/>
              </w:rPr>
              <w:fldChar w:fldCharType="separate"/>
            </w:r>
            <w:r>
              <w:rPr>
                <w:noProof/>
                <w:webHidden/>
              </w:rPr>
              <w:t>47</w:t>
            </w:r>
            <w:r>
              <w:rPr>
                <w:noProof/>
                <w:webHidden/>
              </w:rPr>
              <w:fldChar w:fldCharType="end"/>
            </w:r>
          </w:hyperlink>
        </w:p>
        <w:p w14:paraId="719B2001" w14:textId="04305BC2" w:rsidR="006A49E3" w:rsidRDefault="006A49E3">
          <w:pPr>
            <w:pStyle w:val="TOC3"/>
            <w:tabs>
              <w:tab w:val="right" w:leader="dot" w:pos="9016"/>
            </w:tabs>
            <w:rPr>
              <w:noProof/>
              <w:sz w:val="24"/>
              <w:szCs w:val="24"/>
              <w:lang w:eastAsia="en-GB"/>
            </w:rPr>
          </w:pPr>
          <w:hyperlink w:anchor="_Toc220846975" w:history="1">
            <w:r w:rsidRPr="00774FD3">
              <w:rPr>
                <w:rStyle w:val="Hyperlink"/>
                <w:noProof/>
              </w:rPr>
              <w:t>5.2.3 Integrated Analysis</w:t>
            </w:r>
            <w:r>
              <w:rPr>
                <w:noProof/>
                <w:webHidden/>
              </w:rPr>
              <w:tab/>
            </w:r>
            <w:r>
              <w:rPr>
                <w:noProof/>
                <w:webHidden/>
              </w:rPr>
              <w:fldChar w:fldCharType="begin"/>
            </w:r>
            <w:r>
              <w:rPr>
                <w:noProof/>
                <w:webHidden/>
              </w:rPr>
              <w:instrText xml:space="preserve"> PAGEREF _Toc220846975 \h </w:instrText>
            </w:r>
            <w:r>
              <w:rPr>
                <w:noProof/>
                <w:webHidden/>
              </w:rPr>
            </w:r>
            <w:r>
              <w:rPr>
                <w:noProof/>
                <w:webHidden/>
              </w:rPr>
              <w:fldChar w:fldCharType="separate"/>
            </w:r>
            <w:r>
              <w:rPr>
                <w:noProof/>
                <w:webHidden/>
              </w:rPr>
              <w:t>48</w:t>
            </w:r>
            <w:r>
              <w:rPr>
                <w:noProof/>
                <w:webHidden/>
              </w:rPr>
              <w:fldChar w:fldCharType="end"/>
            </w:r>
          </w:hyperlink>
        </w:p>
        <w:p w14:paraId="6727B51B" w14:textId="0EF3441E" w:rsidR="006A49E3" w:rsidRDefault="006A49E3">
          <w:pPr>
            <w:pStyle w:val="TOC2"/>
            <w:tabs>
              <w:tab w:val="right" w:leader="dot" w:pos="9016"/>
            </w:tabs>
            <w:rPr>
              <w:noProof/>
              <w:sz w:val="24"/>
              <w:szCs w:val="24"/>
              <w:lang w:eastAsia="en-GB"/>
            </w:rPr>
          </w:pPr>
          <w:hyperlink w:anchor="_Toc220846976" w:history="1">
            <w:r w:rsidRPr="00774FD3">
              <w:rPr>
                <w:rStyle w:val="Hyperlink"/>
                <w:noProof/>
              </w:rPr>
              <w:t>5.3 Implications for Practice</w:t>
            </w:r>
            <w:r>
              <w:rPr>
                <w:noProof/>
                <w:webHidden/>
              </w:rPr>
              <w:tab/>
            </w:r>
            <w:r>
              <w:rPr>
                <w:noProof/>
                <w:webHidden/>
              </w:rPr>
              <w:fldChar w:fldCharType="begin"/>
            </w:r>
            <w:r>
              <w:rPr>
                <w:noProof/>
                <w:webHidden/>
              </w:rPr>
              <w:instrText xml:space="preserve"> PAGEREF _Toc220846976 \h </w:instrText>
            </w:r>
            <w:r>
              <w:rPr>
                <w:noProof/>
                <w:webHidden/>
              </w:rPr>
            </w:r>
            <w:r>
              <w:rPr>
                <w:noProof/>
                <w:webHidden/>
              </w:rPr>
              <w:fldChar w:fldCharType="separate"/>
            </w:r>
            <w:r>
              <w:rPr>
                <w:noProof/>
                <w:webHidden/>
              </w:rPr>
              <w:t>49</w:t>
            </w:r>
            <w:r>
              <w:rPr>
                <w:noProof/>
                <w:webHidden/>
              </w:rPr>
              <w:fldChar w:fldCharType="end"/>
            </w:r>
          </w:hyperlink>
        </w:p>
        <w:p w14:paraId="795BB8A1" w14:textId="10E957D1" w:rsidR="006A49E3" w:rsidRDefault="006A49E3">
          <w:pPr>
            <w:pStyle w:val="TOC2"/>
            <w:tabs>
              <w:tab w:val="right" w:leader="dot" w:pos="9016"/>
            </w:tabs>
            <w:rPr>
              <w:noProof/>
              <w:sz w:val="24"/>
              <w:szCs w:val="24"/>
              <w:lang w:eastAsia="en-GB"/>
            </w:rPr>
          </w:pPr>
          <w:hyperlink w:anchor="_Toc220846977" w:history="1">
            <w:r w:rsidRPr="00774FD3">
              <w:rPr>
                <w:rStyle w:val="Hyperlink"/>
                <w:noProof/>
              </w:rPr>
              <w:t>5.4 Implications for Policy</w:t>
            </w:r>
            <w:r>
              <w:rPr>
                <w:noProof/>
                <w:webHidden/>
              </w:rPr>
              <w:tab/>
            </w:r>
            <w:r>
              <w:rPr>
                <w:noProof/>
                <w:webHidden/>
              </w:rPr>
              <w:fldChar w:fldCharType="begin"/>
            </w:r>
            <w:r>
              <w:rPr>
                <w:noProof/>
                <w:webHidden/>
              </w:rPr>
              <w:instrText xml:space="preserve"> PAGEREF _Toc220846977 \h </w:instrText>
            </w:r>
            <w:r>
              <w:rPr>
                <w:noProof/>
                <w:webHidden/>
              </w:rPr>
            </w:r>
            <w:r>
              <w:rPr>
                <w:noProof/>
                <w:webHidden/>
              </w:rPr>
              <w:fldChar w:fldCharType="separate"/>
            </w:r>
            <w:r>
              <w:rPr>
                <w:noProof/>
                <w:webHidden/>
              </w:rPr>
              <w:t>50</w:t>
            </w:r>
            <w:r>
              <w:rPr>
                <w:noProof/>
                <w:webHidden/>
              </w:rPr>
              <w:fldChar w:fldCharType="end"/>
            </w:r>
          </w:hyperlink>
        </w:p>
        <w:p w14:paraId="4EC6E0F0" w14:textId="78B2BC4D" w:rsidR="006A49E3" w:rsidRDefault="006A49E3">
          <w:pPr>
            <w:pStyle w:val="TOC2"/>
            <w:tabs>
              <w:tab w:val="right" w:leader="dot" w:pos="9016"/>
            </w:tabs>
            <w:rPr>
              <w:noProof/>
              <w:sz w:val="24"/>
              <w:szCs w:val="24"/>
              <w:lang w:eastAsia="en-GB"/>
            </w:rPr>
          </w:pPr>
          <w:hyperlink w:anchor="_Toc220846978" w:history="1">
            <w:r w:rsidRPr="00774FD3">
              <w:rPr>
                <w:rStyle w:val="Hyperlink"/>
                <w:noProof/>
              </w:rPr>
              <w:t>5.5 Implications for Future Research</w:t>
            </w:r>
            <w:r>
              <w:rPr>
                <w:noProof/>
                <w:webHidden/>
              </w:rPr>
              <w:tab/>
            </w:r>
            <w:r>
              <w:rPr>
                <w:noProof/>
                <w:webHidden/>
              </w:rPr>
              <w:fldChar w:fldCharType="begin"/>
            </w:r>
            <w:r>
              <w:rPr>
                <w:noProof/>
                <w:webHidden/>
              </w:rPr>
              <w:instrText xml:space="preserve"> PAGEREF _Toc220846978 \h </w:instrText>
            </w:r>
            <w:r>
              <w:rPr>
                <w:noProof/>
                <w:webHidden/>
              </w:rPr>
            </w:r>
            <w:r>
              <w:rPr>
                <w:noProof/>
                <w:webHidden/>
              </w:rPr>
              <w:fldChar w:fldCharType="separate"/>
            </w:r>
            <w:r>
              <w:rPr>
                <w:noProof/>
                <w:webHidden/>
              </w:rPr>
              <w:t>50</w:t>
            </w:r>
            <w:r>
              <w:rPr>
                <w:noProof/>
                <w:webHidden/>
              </w:rPr>
              <w:fldChar w:fldCharType="end"/>
            </w:r>
          </w:hyperlink>
        </w:p>
        <w:p w14:paraId="3EB0391F" w14:textId="14AF6D44" w:rsidR="006A49E3" w:rsidRDefault="006A49E3">
          <w:pPr>
            <w:pStyle w:val="TOC2"/>
            <w:tabs>
              <w:tab w:val="right" w:leader="dot" w:pos="9016"/>
            </w:tabs>
            <w:rPr>
              <w:noProof/>
              <w:sz w:val="24"/>
              <w:szCs w:val="24"/>
              <w:lang w:eastAsia="en-GB"/>
            </w:rPr>
          </w:pPr>
          <w:hyperlink w:anchor="_Toc220846979" w:history="1">
            <w:r w:rsidRPr="00774FD3">
              <w:rPr>
                <w:rStyle w:val="Hyperlink"/>
                <w:noProof/>
              </w:rPr>
              <w:t>5.6 Strengths of the Review</w:t>
            </w:r>
            <w:r>
              <w:rPr>
                <w:noProof/>
                <w:webHidden/>
              </w:rPr>
              <w:tab/>
            </w:r>
            <w:r>
              <w:rPr>
                <w:noProof/>
                <w:webHidden/>
              </w:rPr>
              <w:fldChar w:fldCharType="begin"/>
            </w:r>
            <w:r>
              <w:rPr>
                <w:noProof/>
                <w:webHidden/>
              </w:rPr>
              <w:instrText xml:space="preserve"> PAGEREF _Toc220846979 \h </w:instrText>
            </w:r>
            <w:r>
              <w:rPr>
                <w:noProof/>
                <w:webHidden/>
              </w:rPr>
            </w:r>
            <w:r>
              <w:rPr>
                <w:noProof/>
                <w:webHidden/>
              </w:rPr>
              <w:fldChar w:fldCharType="separate"/>
            </w:r>
            <w:r>
              <w:rPr>
                <w:noProof/>
                <w:webHidden/>
              </w:rPr>
              <w:t>50</w:t>
            </w:r>
            <w:r>
              <w:rPr>
                <w:noProof/>
                <w:webHidden/>
              </w:rPr>
              <w:fldChar w:fldCharType="end"/>
            </w:r>
          </w:hyperlink>
        </w:p>
        <w:p w14:paraId="098C1D40" w14:textId="6FE7778C" w:rsidR="006A49E3" w:rsidRDefault="006A49E3">
          <w:pPr>
            <w:pStyle w:val="TOC2"/>
            <w:tabs>
              <w:tab w:val="right" w:leader="dot" w:pos="9016"/>
            </w:tabs>
            <w:rPr>
              <w:noProof/>
              <w:sz w:val="24"/>
              <w:szCs w:val="24"/>
              <w:lang w:eastAsia="en-GB"/>
            </w:rPr>
          </w:pPr>
          <w:hyperlink w:anchor="_Toc220846980" w:history="1">
            <w:r w:rsidRPr="00774FD3">
              <w:rPr>
                <w:rStyle w:val="Hyperlink"/>
                <w:noProof/>
              </w:rPr>
              <w:t>5.7 Limitations of the Review</w:t>
            </w:r>
            <w:r>
              <w:rPr>
                <w:noProof/>
                <w:webHidden/>
              </w:rPr>
              <w:tab/>
            </w:r>
            <w:r>
              <w:rPr>
                <w:noProof/>
                <w:webHidden/>
              </w:rPr>
              <w:fldChar w:fldCharType="begin"/>
            </w:r>
            <w:r>
              <w:rPr>
                <w:noProof/>
                <w:webHidden/>
              </w:rPr>
              <w:instrText xml:space="preserve"> PAGEREF _Toc220846980 \h </w:instrText>
            </w:r>
            <w:r>
              <w:rPr>
                <w:noProof/>
                <w:webHidden/>
              </w:rPr>
            </w:r>
            <w:r>
              <w:rPr>
                <w:noProof/>
                <w:webHidden/>
              </w:rPr>
              <w:fldChar w:fldCharType="separate"/>
            </w:r>
            <w:r>
              <w:rPr>
                <w:noProof/>
                <w:webHidden/>
              </w:rPr>
              <w:t>51</w:t>
            </w:r>
            <w:r>
              <w:rPr>
                <w:noProof/>
                <w:webHidden/>
              </w:rPr>
              <w:fldChar w:fldCharType="end"/>
            </w:r>
          </w:hyperlink>
        </w:p>
        <w:p w14:paraId="5F4AE28F" w14:textId="09B11C07"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81" w:history="1">
            <w:r w:rsidRPr="00774FD3">
              <w:rPr>
                <w:rStyle w:val="Hyperlink"/>
                <w:noProof/>
              </w:rPr>
              <w:t>Chapter 6: Conclusion</w:t>
            </w:r>
            <w:r>
              <w:rPr>
                <w:noProof/>
                <w:webHidden/>
              </w:rPr>
              <w:tab/>
            </w:r>
            <w:r>
              <w:rPr>
                <w:noProof/>
                <w:webHidden/>
              </w:rPr>
              <w:fldChar w:fldCharType="begin"/>
            </w:r>
            <w:r>
              <w:rPr>
                <w:noProof/>
                <w:webHidden/>
              </w:rPr>
              <w:instrText xml:space="preserve"> PAGEREF _Toc220846981 \h </w:instrText>
            </w:r>
            <w:r>
              <w:rPr>
                <w:noProof/>
                <w:webHidden/>
              </w:rPr>
            </w:r>
            <w:r>
              <w:rPr>
                <w:noProof/>
                <w:webHidden/>
              </w:rPr>
              <w:fldChar w:fldCharType="separate"/>
            </w:r>
            <w:r>
              <w:rPr>
                <w:noProof/>
                <w:webHidden/>
              </w:rPr>
              <w:t>52</w:t>
            </w:r>
            <w:r>
              <w:rPr>
                <w:noProof/>
                <w:webHidden/>
              </w:rPr>
              <w:fldChar w:fldCharType="end"/>
            </w:r>
          </w:hyperlink>
        </w:p>
        <w:p w14:paraId="56E27EA2" w14:textId="3E6389AA" w:rsidR="006A49E3" w:rsidRDefault="006A49E3">
          <w:pPr>
            <w:pStyle w:val="TOC2"/>
            <w:tabs>
              <w:tab w:val="right" w:leader="dot" w:pos="9016"/>
            </w:tabs>
            <w:rPr>
              <w:noProof/>
              <w:sz w:val="24"/>
              <w:szCs w:val="24"/>
              <w:lang w:eastAsia="en-GB"/>
            </w:rPr>
          </w:pPr>
          <w:hyperlink w:anchor="_Toc220846982" w:history="1">
            <w:r w:rsidRPr="00774FD3">
              <w:rPr>
                <w:rStyle w:val="Hyperlink"/>
                <w:noProof/>
              </w:rPr>
              <w:t>6.1 Introduction to Conclusions</w:t>
            </w:r>
            <w:r>
              <w:rPr>
                <w:noProof/>
                <w:webHidden/>
              </w:rPr>
              <w:tab/>
            </w:r>
            <w:r>
              <w:rPr>
                <w:noProof/>
                <w:webHidden/>
              </w:rPr>
              <w:fldChar w:fldCharType="begin"/>
            </w:r>
            <w:r>
              <w:rPr>
                <w:noProof/>
                <w:webHidden/>
              </w:rPr>
              <w:instrText xml:space="preserve"> PAGEREF _Toc220846982 \h </w:instrText>
            </w:r>
            <w:r>
              <w:rPr>
                <w:noProof/>
                <w:webHidden/>
              </w:rPr>
            </w:r>
            <w:r>
              <w:rPr>
                <w:noProof/>
                <w:webHidden/>
              </w:rPr>
              <w:fldChar w:fldCharType="separate"/>
            </w:r>
            <w:r>
              <w:rPr>
                <w:noProof/>
                <w:webHidden/>
              </w:rPr>
              <w:t>52</w:t>
            </w:r>
            <w:r>
              <w:rPr>
                <w:noProof/>
                <w:webHidden/>
              </w:rPr>
              <w:fldChar w:fldCharType="end"/>
            </w:r>
          </w:hyperlink>
        </w:p>
        <w:p w14:paraId="4A210244" w14:textId="590387DD" w:rsidR="006A49E3" w:rsidRDefault="006A49E3">
          <w:pPr>
            <w:pStyle w:val="TOC2"/>
            <w:tabs>
              <w:tab w:val="right" w:leader="dot" w:pos="9016"/>
            </w:tabs>
            <w:rPr>
              <w:noProof/>
              <w:sz w:val="24"/>
              <w:szCs w:val="24"/>
              <w:lang w:eastAsia="en-GB"/>
            </w:rPr>
          </w:pPr>
          <w:hyperlink w:anchor="_Toc220846983" w:history="1">
            <w:r w:rsidRPr="00774FD3">
              <w:rPr>
                <w:rStyle w:val="Hyperlink"/>
                <w:noProof/>
              </w:rPr>
              <w:t>6.2 Summary of Findings</w:t>
            </w:r>
            <w:r>
              <w:rPr>
                <w:noProof/>
                <w:webHidden/>
              </w:rPr>
              <w:tab/>
            </w:r>
            <w:r>
              <w:rPr>
                <w:noProof/>
                <w:webHidden/>
              </w:rPr>
              <w:fldChar w:fldCharType="begin"/>
            </w:r>
            <w:r>
              <w:rPr>
                <w:noProof/>
                <w:webHidden/>
              </w:rPr>
              <w:instrText xml:space="preserve"> PAGEREF _Toc220846983 \h </w:instrText>
            </w:r>
            <w:r>
              <w:rPr>
                <w:noProof/>
                <w:webHidden/>
              </w:rPr>
            </w:r>
            <w:r>
              <w:rPr>
                <w:noProof/>
                <w:webHidden/>
              </w:rPr>
              <w:fldChar w:fldCharType="separate"/>
            </w:r>
            <w:r>
              <w:rPr>
                <w:noProof/>
                <w:webHidden/>
              </w:rPr>
              <w:t>52</w:t>
            </w:r>
            <w:r>
              <w:rPr>
                <w:noProof/>
                <w:webHidden/>
              </w:rPr>
              <w:fldChar w:fldCharType="end"/>
            </w:r>
          </w:hyperlink>
        </w:p>
        <w:p w14:paraId="6F60B661" w14:textId="063286B9" w:rsidR="006A49E3" w:rsidRDefault="006A49E3">
          <w:pPr>
            <w:pStyle w:val="TOC2"/>
            <w:tabs>
              <w:tab w:val="right" w:leader="dot" w:pos="9016"/>
            </w:tabs>
            <w:rPr>
              <w:noProof/>
              <w:sz w:val="24"/>
              <w:szCs w:val="24"/>
              <w:lang w:eastAsia="en-GB"/>
            </w:rPr>
          </w:pPr>
          <w:hyperlink w:anchor="_Toc220846984" w:history="1">
            <w:r w:rsidRPr="00774FD3">
              <w:rPr>
                <w:rStyle w:val="Hyperlink"/>
                <w:noProof/>
              </w:rPr>
              <w:t>6.3 Contributions to Knowledge and Theory</w:t>
            </w:r>
            <w:r>
              <w:rPr>
                <w:noProof/>
                <w:webHidden/>
              </w:rPr>
              <w:tab/>
            </w:r>
            <w:r>
              <w:rPr>
                <w:noProof/>
                <w:webHidden/>
              </w:rPr>
              <w:fldChar w:fldCharType="begin"/>
            </w:r>
            <w:r>
              <w:rPr>
                <w:noProof/>
                <w:webHidden/>
              </w:rPr>
              <w:instrText xml:space="preserve"> PAGEREF _Toc220846984 \h </w:instrText>
            </w:r>
            <w:r>
              <w:rPr>
                <w:noProof/>
                <w:webHidden/>
              </w:rPr>
            </w:r>
            <w:r>
              <w:rPr>
                <w:noProof/>
                <w:webHidden/>
              </w:rPr>
              <w:fldChar w:fldCharType="separate"/>
            </w:r>
            <w:r>
              <w:rPr>
                <w:noProof/>
                <w:webHidden/>
              </w:rPr>
              <w:t>53</w:t>
            </w:r>
            <w:r>
              <w:rPr>
                <w:noProof/>
                <w:webHidden/>
              </w:rPr>
              <w:fldChar w:fldCharType="end"/>
            </w:r>
          </w:hyperlink>
        </w:p>
        <w:p w14:paraId="6C41929C" w14:textId="1BCE1064" w:rsidR="006A49E3" w:rsidRDefault="006A49E3">
          <w:pPr>
            <w:pStyle w:val="TOC2"/>
            <w:tabs>
              <w:tab w:val="right" w:leader="dot" w:pos="9016"/>
            </w:tabs>
            <w:rPr>
              <w:noProof/>
              <w:sz w:val="24"/>
              <w:szCs w:val="24"/>
              <w:lang w:eastAsia="en-GB"/>
            </w:rPr>
          </w:pPr>
          <w:hyperlink w:anchor="_Toc220846985" w:history="1">
            <w:r w:rsidRPr="00774FD3">
              <w:rPr>
                <w:rStyle w:val="Hyperlink"/>
                <w:noProof/>
              </w:rPr>
              <w:t>6.4 Practical and Policy Implications</w:t>
            </w:r>
            <w:r>
              <w:rPr>
                <w:noProof/>
                <w:webHidden/>
              </w:rPr>
              <w:tab/>
            </w:r>
            <w:r>
              <w:rPr>
                <w:noProof/>
                <w:webHidden/>
              </w:rPr>
              <w:fldChar w:fldCharType="begin"/>
            </w:r>
            <w:r>
              <w:rPr>
                <w:noProof/>
                <w:webHidden/>
              </w:rPr>
              <w:instrText xml:space="preserve"> PAGEREF _Toc220846985 \h </w:instrText>
            </w:r>
            <w:r>
              <w:rPr>
                <w:noProof/>
                <w:webHidden/>
              </w:rPr>
            </w:r>
            <w:r>
              <w:rPr>
                <w:noProof/>
                <w:webHidden/>
              </w:rPr>
              <w:fldChar w:fldCharType="separate"/>
            </w:r>
            <w:r>
              <w:rPr>
                <w:noProof/>
                <w:webHidden/>
              </w:rPr>
              <w:t>53</w:t>
            </w:r>
            <w:r>
              <w:rPr>
                <w:noProof/>
                <w:webHidden/>
              </w:rPr>
              <w:fldChar w:fldCharType="end"/>
            </w:r>
          </w:hyperlink>
        </w:p>
        <w:p w14:paraId="2AA24FC0" w14:textId="76281B01" w:rsidR="006A49E3" w:rsidRDefault="006A49E3">
          <w:pPr>
            <w:pStyle w:val="TOC2"/>
            <w:tabs>
              <w:tab w:val="right" w:leader="dot" w:pos="9016"/>
            </w:tabs>
            <w:rPr>
              <w:noProof/>
              <w:sz w:val="24"/>
              <w:szCs w:val="24"/>
              <w:lang w:eastAsia="en-GB"/>
            </w:rPr>
          </w:pPr>
          <w:hyperlink w:anchor="_Toc220846986" w:history="1">
            <w:r w:rsidRPr="00774FD3">
              <w:rPr>
                <w:rStyle w:val="Hyperlink"/>
                <w:noProof/>
              </w:rPr>
              <w:t>6.5 Future Research Directions</w:t>
            </w:r>
            <w:r>
              <w:rPr>
                <w:noProof/>
                <w:webHidden/>
              </w:rPr>
              <w:tab/>
            </w:r>
            <w:r>
              <w:rPr>
                <w:noProof/>
                <w:webHidden/>
              </w:rPr>
              <w:fldChar w:fldCharType="begin"/>
            </w:r>
            <w:r>
              <w:rPr>
                <w:noProof/>
                <w:webHidden/>
              </w:rPr>
              <w:instrText xml:space="preserve"> PAGEREF _Toc220846986 \h </w:instrText>
            </w:r>
            <w:r>
              <w:rPr>
                <w:noProof/>
                <w:webHidden/>
              </w:rPr>
            </w:r>
            <w:r>
              <w:rPr>
                <w:noProof/>
                <w:webHidden/>
              </w:rPr>
              <w:fldChar w:fldCharType="separate"/>
            </w:r>
            <w:r>
              <w:rPr>
                <w:noProof/>
                <w:webHidden/>
              </w:rPr>
              <w:t>54</w:t>
            </w:r>
            <w:r>
              <w:rPr>
                <w:noProof/>
                <w:webHidden/>
              </w:rPr>
              <w:fldChar w:fldCharType="end"/>
            </w:r>
          </w:hyperlink>
        </w:p>
        <w:p w14:paraId="2FDA53F0" w14:textId="6A3B7EF0" w:rsidR="006A49E3" w:rsidRDefault="006A49E3">
          <w:pPr>
            <w:pStyle w:val="TOC2"/>
            <w:tabs>
              <w:tab w:val="right" w:leader="dot" w:pos="9016"/>
            </w:tabs>
            <w:rPr>
              <w:noProof/>
              <w:sz w:val="24"/>
              <w:szCs w:val="24"/>
              <w:lang w:eastAsia="en-GB"/>
            </w:rPr>
          </w:pPr>
          <w:hyperlink w:anchor="_Toc220846987" w:history="1">
            <w:r w:rsidRPr="00774FD3">
              <w:rPr>
                <w:rStyle w:val="Hyperlink"/>
                <w:noProof/>
              </w:rPr>
              <w:t>6.6 Research Process Reflections</w:t>
            </w:r>
            <w:r>
              <w:rPr>
                <w:noProof/>
                <w:webHidden/>
              </w:rPr>
              <w:tab/>
            </w:r>
            <w:r>
              <w:rPr>
                <w:noProof/>
                <w:webHidden/>
              </w:rPr>
              <w:fldChar w:fldCharType="begin"/>
            </w:r>
            <w:r>
              <w:rPr>
                <w:noProof/>
                <w:webHidden/>
              </w:rPr>
              <w:instrText xml:space="preserve"> PAGEREF _Toc220846987 \h </w:instrText>
            </w:r>
            <w:r>
              <w:rPr>
                <w:noProof/>
                <w:webHidden/>
              </w:rPr>
            </w:r>
            <w:r>
              <w:rPr>
                <w:noProof/>
                <w:webHidden/>
              </w:rPr>
              <w:fldChar w:fldCharType="separate"/>
            </w:r>
            <w:r>
              <w:rPr>
                <w:noProof/>
                <w:webHidden/>
              </w:rPr>
              <w:t>55</w:t>
            </w:r>
            <w:r>
              <w:rPr>
                <w:noProof/>
                <w:webHidden/>
              </w:rPr>
              <w:fldChar w:fldCharType="end"/>
            </w:r>
          </w:hyperlink>
        </w:p>
        <w:p w14:paraId="65D2FA33" w14:textId="125AAFE8" w:rsidR="006A49E3" w:rsidRDefault="006A49E3">
          <w:pPr>
            <w:pStyle w:val="TOC2"/>
            <w:tabs>
              <w:tab w:val="right" w:leader="dot" w:pos="9016"/>
            </w:tabs>
            <w:rPr>
              <w:noProof/>
              <w:sz w:val="24"/>
              <w:szCs w:val="24"/>
              <w:lang w:eastAsia="en-GB"/>
            </w:rPr>
          </w:pPr>
          <w:hyperlink w:anchor="_Toc220846988" w:history="1">
            <w:r w:rsidRPr="00774FD3">
              <w:rPr>
                <w:rStyle w:val="Hyperlink"/>
                <w:noProof/>
              </w:rPr>
              <w:t>6.7 Final Conclusions</w:t>
            </w:r>
            <w:r>
              <w:rPr>
                <w:noProof/>
                <w:webHidden/>
              </w:rPr>
              <w:tab/>
            </w:r>
            <w:r>
              <w:rPr>
                <w:noProof/>
                <w:webHidden/>
              </w:rPr>
              <w:fldChar w:fldCharType="begin"/>
            </w:r>
            <w:r>
              <w:rPr>
                <w:noProof/>
                <w:webHidden/>
              </w:rPr>
              <w:instrText xml:space="preserve"> PAGEREF _Toc220846988 \h </w:instrText>
            </w:r>
            <w:r>
              <w:rPr>
                <w:noProof/>
                <w:webHidden/>
              </w:rPr>
            </w:r>
            <w:r>
              <w:rPr>
                <w:noProof/>
                <w:webHidden/>
              </w:rPr>
              <w:fldChar w:fldCharType="separate"/>
            </w:r>
            <w:r>
              <w:rPr>
                <w:noProof/>
                <w:webHidden/>
              </w:rPr>
              <w:t>55</w:t>
            </w:r>
            <w:r>
              <w:rPr>
                <w:noProof/>
                <w:webHidden/>
              </w:rPr>
              <w:fldChar w:fldCharType="end"/>
            </w:r>
          </w:hyperlink>
        </w:p>
        <w:p w14:paraId="69D55276" w14:textId="75EE3555" w:rsidR="006A49E3" w:rsidRDefault="006A49E3">
          <w:pPr>
            <w:pStyle w:val="TOC1"/>
            <w:tabs>
              <w:tab w:val="right" w:leader="dot" w:pos="9016"/>
            </w:tabs>
            <w:rPr>
              <w:rFonts w:asciiTheme="minorHAnsi" w:eastAsiaTheme="minorEastAsia" w:hAnsiTheme="minorHAnsi" w:cstheme="minorBidi"/>
              <w:noProof/>
              <w:color w:val="auto"/>
              <w:szCs w:val="24"/>
              <w:lang w:eastAsia="en-GB"/>
            </w:rPr>
          </w:pPr>
          <w:hyperlink w:anchor="_Toc220846989" w:history="1">
            <w:r w:rsidRPr="00774FD3">
              <w:rPr>
                <w:rStyle w:val="Hyperlink"/>
                <w:noProof/>
              </w:rPr>
              <w:t>7. Reference list</w:t>
            </w:r>
            <w:r>
              <w:rPr>
                <w:noProof/>
                <w:webHidden/>
              </w:rPr>
              <w:tab/>
            </w:r>
            <w:r>
              <w:rPr>
                <w:noProof/>
                <w:webHidden/>
              </w:rPr>
              <w:fldChar w:fldCharType="begin"/>
            </w:r>
            <w:r>
              <w:rPr>
                <w:noProof/>
                <w:webHidden/>
              </w:rPr>
              <w:instrText xml:space="preserve"> PAGEREF _Toc220846989 \h </w:instrText>
            </w:r>
            <w:r>
              <w:rPr>
                <w:noProof/>
                <w:webHidden/>
              </w:rPr>
            </w:r>
            <w:r>
              <w:rPr>
                <w:noProof/>
                <w:webHidden/>
              </w:rPr>
              <w:fldChar w:fldCharType="separate"/>
            </w:r>
            <w:r>
              <w:rPr>
                <w:noProof/>
                <w:webHidden/>
              </w:rPr>
              <w:t>57</w:t>
            </w:r>
            <w:r>
              <w:rPr>
                <w:noProof/>
                <w:webHidden/>
              </w:rPr>
              <w:fldChar w:fldCharType="end"/>
            </w:r>
          </w:hyperlink>
        </w:p>
        <w:p w14:paraId="52138C16" w14:textId="37C97433" w:rsidR="00F05EC5" w:rsidRPr="00FE174A" w:rsidRDefault="00F05EC5" w:rsidP="003545E8">
          <w:pPr>
            <w:jc w:val="both"/>
            <w:rPr>
              <w:rFonts w:ascii="Arial" w:hAnsi="Arial" w:cs="Arial"/>
            </w:rPr>
          </w:pPr>
          <w:r w:rsidRPr="00FE174A">
            <w:rPr>
              <w:rFonts w:ascii="Arial" w:hAnsi="Arial" w:cs="Arial"/>
              <w:b/>
              <w:bCs/>
              <w:noProof/>
            </w:rPr>
            <w:fldChar w:fldCharType="end"/>
          </w:r>
        </w:p>
      </w:sdtContent>
    </w:sdt>
    <w:p w14:paraId="39834B8B" w14:textId="75520A12" w:rsidR="009F64C5" w:rsidRPr="00FE174A" w:rsidRDefault="009F64C5" w:rsidP="003545E8">
      <w:pPr>
        <w:spacing w:after="0" w:line="360" w:lineRule="auto"/>
        <w:jc w:val="both"/>
        <w:rPr>
          <w:rFonts w:ascii="Arial" w:hAnsi="Arial" w:cs="Arial"/>
        </w:rPr>
      </w:pPr>
    </w:p>
    <w:p w14:paraId="617F822A" w14:textId="77777777" w:rsidR="000555DE" w:rsidRPr="00FE174A" w:rsidRDefault="000555DE" w:rsidP="003545E8">
      <w:pPr>
        <w:spacing w:after="0" w:line="360" w:lineRule="auto"/>
        <w:jc w:val="both"/>
        <w:rPr>
          <w:rFonts w:ascii="Arial" w:eastAsia="Times New Roman" w:hAnsi="Arial" w:cs="Arial"/>
          <w:b/>
          <w:color w:val="000000"/>
        </w:rPr>
      </w:pPr>
      <w:r w:rsidRPr="00FE174A">
        <w:rPr>
          <w:rFonts w:ascii="Arial" w:hAnsi="Arial" w:cs="Arial"/>
        </w:rPr>
        <w:br w:type="page"/>
      </w:r>
    </w:p>
    <w:p w14:paraId="7CF5D8CD" w14:textId="22E191F6" w:rsidR="009F64C5" w:rsidRPr="00FE174A" w:rsidRDefault="009F64C5" w:rsidP="003545E8">
      <w:pPr>
        <w:pStyle w:val="Heading1"/>
        <w:spacing w:after="0"/>
      </w:pPr>
      <w:bookmarkStart w:id="2" w:name="_Toc220573294"/>
      <w:bookmarkStart w:id="3" w:name="_Toc220846935"/>
      <w:r w:rsidRPr="00FE174A">
        <w:lastRenderedPageBreak/>
        <w:t>List of figures</w:t>
      </w:r>
      <w:bookmarkEnd w:id="2"/>
      <w:bookmarkEnd w:id="3"/>
    </w:p>
    <w:p w14:paraId="7E8B3159" w14:textId="77777777" w:rsidR="009F64C5" w:rsidRPr="00FE174A" w:rsidRDefault="009F64C5" w:rsidP="003545E8">
      <w:pPr>
        <w:spacing w:after="0" w:line="360" w:lineRule="auto"/>
        <w:ind w:left="59"/>
        <w:jc w:val="both"/>
        <w:rPr>
          <w:rFonts w:ascii="Arial" w:hAnsi="Arial" w:cs="Arial"/>
        </w:rPr>
      </w:pPr>
      <w:r w:rsidRPr="00FE174A">
        <w:rPr>
          <w:rFonts w:ascii="Arial" w:eastAsia="Times New Roman" w:hAnsi="Arial" w:cs="Arial"/>
          <w:b/>
        </w:rPr>
        <w:t xml:space="preserve"> </w:t>
      </w:r>
    </w:p>
    <w:p w14:paraId="1D73D8B3" w14:textId="3BB85D79" w:rsidR="00CD285F" w:rsidRPr="00FE174A" w:rsidRDefault="00CD285F">
      <w:pPr>
        <w:pStyle w:val="TableofFigures"/>
        <w:tabs>
          <w:tab w:val="right" w:leader="dot" w:pos="9016"/>
        </w:tabs>
        <w:rPr>
          <w:rFonts w:ascii="Arial" w:hAnsi="Arial" w:cs="Arial"/>
          <w:noProof/>
        </w:rPr>
      </w:pPr>
      <w:r w:rsidRPr="00FE174A">
        <w:rPr>
          <w:rFonts w:ascii="Arial" w:hAnsi="Arial" w:cs="Arial"/>
        </w:rPr>
        <w:fldChar w:fldCharType="begin"/>
      </w:r>
      <w:r w:rsidRPr="00FE174A">
        <w:rPr>
          <w:rFonts w:ascii="Arial" w:hAnsi="Arial" w:cs="Arial"/>
        </w:rPr>
        <w:instrText xml:space="preserve"> TOC \h \z \c "Figure" </w:instrText>
      </w:r>
      <w:r w:rsidRPr="00FE174A">
        <w:rPr>
          <w:rFonts w:ascii="Arial" w:hAnsi="Arial" w:cs="Arial"/>
        </w:rPr>
        <w:fldChar w:fldCharType="separate"/>
      </w:r>
      <w:hyperlink w:anchor="_Toc220798111" w:history="1">
        <w:r w:rsidRPr="00FE174A">
          <w:rPr>
            <w:rStyle w:val="Hyperlink"/>
            <w:rFonts w:ascii="Arial" w:eastAsia="Calibri" w:hAnsi="Arial" w:cs="Arial"/>
            <w:noProof/>
          </w:rPr>
          <w:t>Figure 1: PRISMA Flow Diagram for Study Selection Process</w:t>
        </w:r>
        <w:r w:rsidRPr="00FE174A">
          <w:rPr>
            <w:rFonts w:ascii="Arial" w:hAnsi="Arial" w:cs="Arial"/>
            <w:noProof/>
            <w:webHidden/>
          </w:rPr>
          <w:tab/>
        </w:r>
        <w:r w:rsidRPr="00FE174A">
          <w:rPr>
            <w:rFonts w:ascii="Arial" w:hAnsi="Arial" w:cs="Arial"/>
            <w:noProof/>
            <w:webHidden/>
          </w:rPr>
          <w:fldChar w:fldCharType="begin"/>
        </w:r>
        <w:r w:rsidRPr="00FE174A">
          <w:rPr>
            <w:rFonts w:ascii="Arial" w:hAnsi="Arial" w:cs="Arial"/>
            <w:noProof/>
            <w:webHidden/>
          </w:rPr>
          <w:instrText xml:space="preserve"> PAGEREF _Toc220798111 \h </w:instrText>
        </w:r>
        <w:r w:rsidRPr="00FE174A">
          <w:rPr>
            <w:rFonts w:ascii="Arial" w:hAnsi="Arial" w:cs="Arial"/>
            <w:noProof/>
            <w:webHidden/>
          </w:rPr>
        </w:r>
        <w:r w:rsidRPr="00FE174A">
          <w:rPr>
            <w:rFonts w:ascii="Arial" w:hAnsi="Arial" w:cs="Arial"/>
            <w:noProof/>
            <w:webHidden/>
          </w:rPr>
          <w:fldChar w:fldCharType="separate"/>
        </w:r>
        <w:r w:rsidRPr="00FE174A">
          <w:rPr>
            <w:rFonts w:ascii="Arial" w:hAnsi="Arial" w:cs="Arial"/>
            <w:noProof/>
            <w:webHidden/>
          </w:rPr>
          <w:t>31</w:t>
        </w:r>
        <w:r w:rsidRPr="00FE174A">
          <w:rPr>
            <w:rFonts w:ascii="Arial" w:hAnsi="Arial" w:cs="Arial"/>
            <w:noProof/>
            <w:webHidden/>
          </w:rPr>
          <w:fldChar w:fldCharType="end"/>
        </w:r>
      </w:hyperlink>
    </w:p>
    <w:p w14:paraId="004D0507" w14:textId="6FE53120" w:rsidR="00CD285F" w:rsidRPr="00FE174A" w:rsidRDefault="00CD285F">
      <w:pPr>
        <w:pStyle w:val="TableofFigures"/>
        <w:tabs>
          <w:tab w:val="right" w:leader="dot" w:pos="9016"/>
        </w:tabs>
        <w:rPr>
          <w:rFonts w:ascii="Arial" w:hAnsi="Arial" w:cs="Arial"/>
          <w:noProof/>
        </w:rPr>
      </w:pPr>
      <w:hyperlink w:anchor="_Toc220798112" w:history="1">
        <w:r w:rsidRPr="00FE174A">
          <w:rPr>
            <w:rStyle w:val="Hyperlink"/>
            <w:rFonts w:ascii="Arial" w:eastAsia="Calibri" w:hAnsi="Arial" w:cs="Arial"/>
            <w:noProof/>
          </w:rPr>
          <w:t>Figure 2: Characteristics of Included Studies (n=12)</w:t>
        </w:r>
        <w:r w:rsidRPr="00FE174A">
          <w:rPr>
            <w:rFonts w:ascii="Arial" w:hAnsi="Arial" w:cs="Arial"/>
            <w:noProof/>
            <w:webHidden/>
          </w:rPr>
          <w:tab/>
        </w:r>
        <w:r w:rsidRPr="00FE174A">
          <w:rPr>
            <w:rFonts w:ascii="Arial" w:hAnsi="Arial" w:cs="Arial"/>
            <w:noProof/>
            <w:webHidden/>
          </w:rPr>
          <w:fldChar w:fldCharType="begin"/>
        </w:r>
        <w:r w:rsidRPr="00FE174A">
          <w:rPr>
            <w:rFonts w:ascii="Arial" w:hAnsi="Arial" w:cs="Arial"/>
            <w:noProof/>
            <w:webHidden/>
          </w:rPr>
          <w:instrText xml:space="preserve"> PAGEREF _Toc220798112 \h </w:instrText>
        </w:r>
        <w:r w:rsidRPr="00FE174A">
          <w:rPr>
            <w:rFonts w:ascii="Arial" w:hAnsi="Arial" w:cs="Arial"/>
            <w:noProof/>
            <w:webHidden/>
          </w:rPr>
        </w:r>
        <w:r w:rsidRPr="00FE174A">
          <w:rPr>
            <w:rFonts w:ascii="Arial" w:hAnsi="Arial" w:cs="Arial"/>
            <w:noProof/>
            <w:webHidden/>
          </w:rPr>
          <w:fldChar w:fldCharType="separate"/>
        </w:r>
        <w:r w:rsidRPr="00FE174A">
          <w:rPr>
            <w:rFonts w:ascii="Arial" w:hAnsi="Arial" w:cs="Arial"/>
            <w:noProof/>
            <w:webHidden/>
          </w:rPr>
          <w:t>34</w:t>
        </w:r>
        <w:r w:rsidRPr="00FE174A">
          <w:rPr>
            <w:rFonts w:ascii="Arial" w:hAnsi="Arial" w:cs="Arial"/>
            <w:noProof/>
            <w:webHidden/>
          </w:rPr>
          <w:fldChar w:fldCharType="end"/>
        </w:r>
      </w:hyperlink>
    </w:p>
    <w:p w14:paraId="25C68149" w14:textId="34250BEB" w:rsidR="00CD285F" w:rsidRPr="00FE174A" w:rsidRDefault="00CD285F">
      <w:pPr>
        <w:pStyle w:val="TableofFigures"/>
        <w:tabs>
          <w:tab w:val="right" w:leader="dot" w:pos="9016"/>
        </w:tabs>
        <w:rPr>
          <w:rFonts w:ascii="Arial" w:hAnsi="Arial" w:cs="Arial"/>
          <w:noProof/>
        </w:rPr>
      </w:pPr>
      <w:hyperlink w:anchor="_Toc220798113" w:history="1">
        <w:r w:rsidRPr="00FE174A">
          <w:rPr>
            <w:rStyle w:val="Hyperlink"/>
            <w:rFonts w:ascii="Arial" w:eastAsia="Calibri" w:hAnsi="Arial" w:cs="Arial"/>
            <w:noProof/>
          </w:rPr>
          <w:t>Figure 3: Quality Assessment Summary (CASP Ratings)</w:t>
        </w:r>
        <w:r w:rsidRPr="00FE174A">
          <w:rPr>
            <w:rFonts w:ascii="Arial" w:hAnsi="Arial" w:cs="Arial"/>
            <w:noProof/>
            <w:webHidden/>
          </w:rPr>
          <w:tab/>
        </w:r>
        <w:r w:rsidRPr="00FE174A">
          <w:rPr>
            <w:rFonts w:ascii="Arial" w:hAnsi="Arial" w:cs="Arial"/>
            <w:noProof/>
            <w:webHidden/>
          </w:rPr>
          <w:fldChar w:fldCharType="begin"/>
        </w:r>
        <w:r w:rsidRPr="00FE174A">
          <w:rPr>
            <w:rFonts w:ascii="Arial" w:hAnsi="Arial" w:cs="Arial"/>
            <w:noProof/>
            <w:webHidden/>
          </w:rPr>
          <w:instrText xml:space="preserve"> PAGEREF _Toc220798113 \h </w:instrText>
        </w:r>
        <w:r w:rsidRPr="00FE174A">
          <w:rPr>
            <w:rFonts w:ascii="Arial" w:hAnsi="Arial" w:cs="Arial"/>
            <w:noProof/>
            <w:webHidden/>
          </w:rPr>
        </w:r>
        <w:r w:rsidRPr="00FE174A">
          <w:rPr>
            <w:rFonts w:ascii="Arial" w:hAnsi="Arial" w:cs="Arial"/>
            <w:noProof/>
            <w:webHidden/>
          </w:rPr>
          <w:fldChar w:fldCharType="separate"/>
        </w:r>
        <w:r w:rsidRPr="00FE174A">
          <w:rPr>
            <w:rFonts w:ascii="Arial" w:hAnsi="Arial" w:cs="Arial"/>
            <w:noProof/>
            <w:webHidden/>
          </w:rPr>
          <w:t>37</w:t>
        </w:r>
        <w:r w:rsidRPr="00FE174A">
          <w:rPr>
            <w:rFonts w:ascii="Arial" w:hAnsi="Arial" w:cs="Arial"/>
            <w:noProof/>
            <w:webHidden/>
          </w:rPr>
          <w:fldChar w:fldCharType="end"/>
        </w:r>
      </w:hyperlink>
    </w:p>
    <w:p w14:paraId="4B5A99A6" w14:textId="1C292618" w:rsidR="00CD285F" w:rsidRPr="00FE174A" w:rsidRDefault="00CD285F">
      <w:pPr>
        <w:pStyle w:val="TableofFigures"/>
        <w:tabs>
          <w:tab w:val="right" w:leader="dot" w:pos="9016"/>
        </w:tabs>
        <w:rPr>
          <w:rFonts w:ascii="Arial" w:hAnsi="Arial" w:cs="Arial"/>
          <w:noProof/>
        </w:rPr>
      </w:pPr>
      <w:hyperlink w:anchor="_Toc220798114" w:history="1">
        <w:r w:rsidRPr="00FE174A">
          <w:rPr>
            <w:rStyle w:val="Hyperlink"/>
            <w:rFonts w:ascii="Arial" w:eastAsia="Calibri" w:hAnsi="Arial" w:cs="Arial"/>
            <w:noProof/>
          </w:rPr>
          <w:t>Figure 4: Thematic Synthesis Findings</w:t>
        </w:r>
        <w:r w:rsidRPr="00FE174A">
          <w:rPr>
            <w:rFonts w:ascii="Arial" w:hAnsi="Arial" w:cs="Arial"/>
            <w:noProof/>
            <w:webHidden/>
          </w:rPr>
          <w:tab/>
        </w:r>
        <w:r w:rsidRPr="00FE174A">
          <w:rPr>
            <w:rFonts w:ascii="Arial" w:hAnsi="Arial" w:cs="Arial"/>
            <w:noProof/>
            <w:webHidden/>
          </w:rPr>
          <w:fldChar w:fldCharType="begin"/>
        </w:r>
        <w:r w:rsidRPr="00FE174A">
          <w:rPr>
            <w:rFonts w:ascii="Arial" w:hAnsi="Arial" w:cs="Arial"/>
            <w:noProof/>
            <w:webHidden/>
          </w:rPr>
          <w:instrText xml:space="preserve"> PAGEREF _Toc220798114 \h </w:instrText>
        </w:r>
        <w:r w:rsidRPr="00FE174A">
          <w:rPr>
            <w:rFonts w:ascii="Arial" w:hAnsi="Arial" w:cs="Arial"/>
            <w:noProof/>
            <w:webHidden/>
          </w:rPr>
        </w:r>
        <w:r w:rsidRPr="00FE174A">
          <w:rPr>
            <w:rFonts w:ascii="Arial" w:hAnsi="Arial" w:cs="Arial"/>
            <w:noProof/>
            <w:webHidden/>
          </w:rPr>
          <w:fldChar w:fldCharType="separate"/>
        </w:r>
        <w:r w:rsidRPr="00FE174A">
          <w:rPr>
            <w:rFonts w:ascii="Arial" w:hAnsi="Arial" w:cs="Arial"/>
            <w:noProof/>
            <w:webHidden/>
          </w:rPr>
          <w:t>45</w:t>
        </w:r>
        <w:r w:rsidRPr="00FE174A">
          <w:rPr>
            <w:rFonts w:ascii="Arial" w:hAnsi="Arial" w:cs="Arial"/>
            <w:noProof/>
            <w:webHidden/>
          </w:rPr>
          <w:fldChar w:fldCharType="end"/>
        </w:r>
      </w:hyperlink>
    </w:p>
    <w:p w14:paraId="4D71BB86" w14:textId="71A73218" w:rsidR="009F64C5" w:rsidRPr="00FE174A" w:rsidRDefault="00CD285F" w:rsidP="003545E8">
      <w:pPr>
        <w:spacing w:after="0" w:line="360" w:lineRule="auto"/>
        <w:jc w:val="both"/>
        <w:rPr>
          <w:rFonts w:ascii="Arial" w:hAnsi="Arial" w:cs="Arial"/>
        </w:rPr>
      </w:pPr>
      <w:r w:rsidRPr="00FE174A">
        <w:rPr>
          <w:rFonts w:ascii="Arial" w:hAnsi="Arial" w:cs="Arial"/>
        </w:rPr>
        <w:fldChar w:fldCharType="end"/>
      </w:r>
      <w:r w:rsidR="009F64C5" w:rsidRPr="00FE174A">
        <w:rPr>
          <w:rFonts w:ascii="Arial" w:hAnsi="Arial" w:cs="Arial"/>
        </w:rPr>
        <w:t xml:space="preserve">  </w:t>
      </w:r>
    </w:p>
    <w:p w14:paraId="1F33F1E7" w14:textId="77777777" w:rsidR="009F64C5" w:rsidRPr="00FE174A" w:rsidRDefault="009F64C5" w:rsidP="003545E8">
      <w:pPr>
        <w:spacing w:after="0" w:line="360" w:lineRule="auto"/>
        <w:ind w:left="59"/>
        <w:jc w:val="both"/>
        <w:rPr>
          <w:rFonts w:ascii="Arial" w:hAnsi="Arial" w:cs="Arial"/>
        </w:rPr>
      </w:pPr>
      <w:r w:rsidRPr="00FE174A">
        <w:rPr>
          <w:rFonts w:ascii="Arial" w:eastAsia="Times New Roman" w:hAnsi="Arial" w:cs="Arial"/>
          <w:b/>
        </w:rPr>
        <w:t xml:space="preserve"> </w:t>
      </w:r>
    </w:p>
    <w:p w14:paraId="1028A266" w14:textId="77777777" w:rsidR="000555DE" w:rsidRPr="00FE174A" w:rsidRDefault="000555DE" w:rsidP="003545E8">
      <w:pPr>
        <w:spacing w:after="0" w:line="360" w:lineRule="auto"/>
        <w:jc w:val="both"/>
        <w:rPr>
          <w:rFonts w:ascii="Arial" w:eastAsia="Times New Roman" w:hAnsi="Arial" w:cs="Arial"/>
          <w:b/>
          <w:color w:val="000000"/>
        </w:rPr>
      </w:pPr>
      <w:r w:rsidRPr="00FE174A">
        <w:rPr>
          <w:rFonts w:ascii="Arial" w:hAnsi="Arial" w:cs="Arial"/>
        </w:rPr>
        <w:br w:type="page"/>
      </w:r>
    </w:p>
    <w:p w14:paraId="26D3E5D0" w14:textId="4977B35C" w:rsidR="009F64C5" w:rsidRPr="00FE174A" w:rsidRDefault="009F64C5" w:rsidP="003545E8">
      <w:pPr>
        <w:pStyle w:val="Heading1"/>
        <w:spacing w:after="0"/>
      </w:pPr>
      <w:bookmarkStart w:id="4" w:name="_Toc220573295"/>
      <w:bookmarkStart w:id="5" w:name="_Toc220846936"/>
      <w:r w:rsidRPr="00FE174A">
        <w:lastRenderedPageBreak/>
        <w:t>List of tables</w:t>
      </w:r>
      <w:bookmarkEnd w:id="4"/>
      <w:bookmarkEnd w:id="5"/>
      <w:r w:rsidRPr="00FE174A">
        <w:t xml:space="preserve"> </w:t>
      </w:r>
    </w:p>
    <w:p w14:paraId="63E37FC4" w14:textId="77777777" w:rsidR="00CD285F" w:rsidRPr="00FE174A" w:rsidRDefault="00CD285F" w:rsidP="003545E8">
      <w:pPr>
        <w:spacing w:after="0" w:line="360" w:lineRule="auto"/>
        <w:jc w:val="both"/>
        <w:rPr>
          <w:rFonts w:ascii="Arial" w:eastAsia="Calibri" w:hAnsi="Arial" w:cs="Arial"/>
        </w:rPr>
      </w:pPr>
    </w:p>
    <w:p w14:paraId="0FC391FF" w14:textId="60CC15AA" w:rsidR="00CD285F" w:rsidRPr="00FE174A" w:rsidRDefault="00CD285F">
      <w:pPr>
        <w:pStyle w:val="TableofFigures"/>
        <w:tabs>
          <w:tab w:val="right" w:leader="dot" w:pos="9016"/>
        </w:tabs>
        <w:rPr>
          <w:rFonts w:ascii="Arial" w:hAnsi="Arial" w:cs="Arial"/>
          <w:noProof/>
          <w:sz w:val="24"/>
          <w:szCs w:val="24"/>
          <w:lang w:eastAsia="en-GB"/>
        </w:rPr>
      </w:pPr>
      <w:r w:rsidRPr="00FE174A">
        <w:rPr>
          <w:rFonts w:ascii="Arial" w:hAnsi="Arial" w:cs="Arial"/>
        </w:rPr>
        <w:fldChar w:fldCharType="begin"/>
      </w:r>
      <w:r w:rsidRPr="00FE174A">
        <w:rPr>
          <w:rFonts w:ascii="Arial" w:hAnsi="Arial" w:cs="Arial"/>
        </w:rPr>
        <w:instrText xml:space="preserve"> TOC \h \z \c "Table" </w:instrText>
      </w:r>
      <w:r w:rsidRPr="00FE174A">
        <w:rPr>
          <w:rFonts w:ascii="Arial" w:hAnsi="Arial" w:cs="Arial"/>
        </w:rPr>
        <w:fldChar w:fldCharType="separate"/>
      </w:r>
      <w:hyperlink w:anchor="_Toc220798160" w:history="1">
        <w:r w:rsidRPr="00FE174A">
          <w:rPr>
            <w:rStyle w:val="Hyperlink"/>
            <w:rFonts w:ascii="Arial" w:hAnsi="Arial" w:cs="Arial"/>
            <w:b/>
            <w:bCs/>
            <w:noProof/>
          </w:rPr>
          <w:t>Table 1: Search Terms and Boolean Logic</w:t>
        </w:r>
        <w:r w:rsidRPr="00FE174A">
          <w:rPr>
            <w:rFonts w:ascii="Arial" w:hAnsi="Arial" w:cs="Arial"/>
            <w:noProof/>
            <w:webHidden/>
          </w:rPr>
          <w:tab/>
        </w:r>
        <w:r w:rsidRPr="00FE174A">
          <w:rPr>
            <w:rFonts w:ascii="Arial" w:hAnsi="Arial" w:cs="Arial"/>
            <w:noProof/>
            <w:webHidden/>
          </w:rPr>
          <w:fldChar w:fldCharType="begin"/>
        </w:r>
        <w:r w:rsidRPr="00FE174A">
          <w:rPr>
            <w:rFonts w:ascii="Arial" w:hAnsi="Arial" w:cs="Arial"/>
            <w:noProof/>
            <w:webHidden/>
          </w:rPr>
          <w:instrText xml:space="preserve"> PAGEREF _Toc220798160 \h </w:instrText>
        </w:r>
        <w:r w:rsidRPr="00FE174A">
          <w:rPr>
            <w:rFonts w:ascii="Arial" w:hAnsi="Arial" w:cs="Arial"/>
            <w:noProof/>
            <w:webHidden/>
          </w:rPr>
        </w:r>
        <w:r w:rsidRPr="00FE174A">
          <w:rPr>
            <w:rFonts w:ascii="Arial" w:hAnsi="Arial" w:cs="Arial"/>
            <w:noProof/>
            <w:webHidden/>
          </w:rPr>
          <w:fldChar w:fldCharType="separate"/>
        </w:r>
        <w:r w:rsidRPr="00FE174A">
          <w:rPr>
            <w:rFonts w:ascii="Arial" w:hAnsi="Arial" w:cs="Arial"/>
            <w:noProof/>
            <w:webHidden/>
          </w:rPr>
          <w:t>24</w:t>
        </w:r>
        <w:r w:rsidRPr="00FE174A">
          <w:rPr>
            <w:rFonts w:ascii="Arial" w:hAnsi="Arial" w:cs="Arial"/>
            <w:noProof/>
            <w:webHidden/>
          </w:rPr>
          <w:fldChar w:fldCharType="end"/>
        </w:r>
      </w:hyperlink>
    </w:p>
    <w:p w14:paraId="5CC48F8B" w14:textId="00B790E5" w:rsidR="00CD285F" w:rsidRPr="00FE174A" w:rsidRDefault="00CD285F">
      <w:pPr>
        <w:pStyle w:val="TableofFigures"/>
        <w:tabs>
          <w:tab w:val="right" w:leader="dot" w:pos="9016"/>
        </w:tabs>
        <w:rPr>
          <w:rFonts w:ascii="Arial" w:hAnsi="Arial" w:cs="Arial"/>
          <w:noProof/>
          <w:sz w:val="24"/>
          <w:szCs w:val="24"/>
          <w:lang w:eastAsia="en-GB"/>
        </w:rPr>
      </w:pPr>
      <w:hyperlink w:anchor="_Toc220798161" w:history="1">
        <w:r w:rsidRPr="00FE174A">
          <w:rPr>
            <w:rStyle w:val="Hyperlink"/>
            <w:rFonts w:ascii="Arial" w:hAnsi="Arial" w:cs="Arial"/>
            <w:b/>
            <w:bCs/>
            <w:noProof/>
          </w:rPr>
          <w:t>Table 2: Inclusion and Exclusion Criteria</w:t>
        </w:r>
        <w:r w:rsidRPr="00FE174A">
          <w:rPr>
            <w:rFonts w:ascii="Arial" w:hAnsi="Arial" w:cs="Arial"/>
            <w:noProof/>
            <w:webHidden/>
          </w:rPr>
          <w:tab/>
        </w:r>
        <w:r w:rsidRPr="00FE174A">
          <w:rPr>
            <w:rFonts w:ascii="Arial" w:hAnsi="Arial" w:cs="Arial"/>
            <w:noProof/>
            <w:webHidden/>
          </w:rPr>
          <w:fldChar w:fldCharType="begin"/>
        </w:r>
        <w:r w:rsidRPr="00FE174A">
          <w:rPr>
            <w:rFonts w:ascii="Arial" w:hAnsi="Arial" w:cs="Arial"/>
            <w:noProof/>
            <w:webHidden/>
          </w:rPr>
          <w:instrText xml:space="preserve"> PAGEREF _Toc220798161 \h </w:instrText>
        </w:r>
        <w:r w:rsidRPr="00FE174A">
          <w:rPr>
            <w:rFonts w:ascii="Arial" w:hAnsi="Arial" w:cs="Arial"/>
            <w:noProof/>
            <w:webHidden/>
          </w:rPr>
        </w:r>
        <w:r w:rsidRPr="00FE174A">
          <w:rPr>
            <w:rFonts w:ascii="Arial" w:hAnsi="Arial" w:cs="Arial"/>
            <w:noProof/>
            <w:webHidden/>
          </w:rPr>
          <w:fldChar w:fldCharType="separate"/>
        </w:r>
        <w:r w:rsidRPr="00FE174A">
          <w:rPr>
            <w:rFonts w:ascii="Arial" w:hAnsi="Arial" w:cs="Arial"/>
            <w:noProof/>
            <w:webHidden/>
          </w:rPr>
          <w:t>25</w:t>
        </w:r>
        <w:r w:rsidRPr="00FE174A">
          <w:rPr>
            <w:rFonts w:ascii="Arial" w:hAnsi="Arial" w:cs="Arial"/>
            <w:noProof/>
            <w:webHidden/>
          </w:rPr>
          <w:fldChar w:fldCharType="end"/>
        </w:r>
      </w:hyperlink>
    </w:p>
    <w:p w14:paraId="279143F6" w14:textId="7BC3B244" w:rsidR="000555DE" w:rsidRPr="00FE174A" w:rsidRDefault="00CD285F" w:rsidP="003545E8">
      <w:pPr>
        <w:spacing w:after="0" w:line="360" w:lineRule="auto"/>
        <w:jc w:val="both"/>
        <w:rPr>
          <w:rFonts w:ascii="Arial" w:hAnsi="Arial" w:cs="Arial"/>
        </w:rPr>
      </w:pPr>
      <w:r w:rsidRPr="00FE174A">
        <w:rPr>
          <w:rFonts w:ascii="Arial" w:hAnsi="Arial" w:cs="Arial"/>
        </w:rPr>
        <w:fldChar w:fldCharType="end"/>
      </w:r>
      <w:r w:rsidR="000555DE" w:rsidRPr="00FE174A">
        <w:rPr>
          <w:rFonts w:ascii="Arial" w:hAnsi="Arial" w:cs="Arial"/>
        </w:rPr>
        <w:br w:type="page"/>
      </w:r>
    </w:p>
    <w:p w14:paraId="3ABADF24" w14:textId="4B15EAE8" w:rsidR="009F64C5" w:rsidRPr="00FE174A" w:rsidRDefault="009F64C5" w:rsidP="003545E8">
      <w:pPr>
        <w:pStyle w:val="Heading1"/>
        <w:spacing w:after="0"/>
      </w:pPr>
      <w:bookmarkStart w:id="6" w:name="_Toc220573296"/>
      <w:bookmarkStart w:id="7" w:name="_Toc220846937"/>
      <w:r w:rsidRPr="00FE174A">
        <w:lastRenderedPageBreak/>
        <w:t>List of abbreviations</w:t>
      </w:r>
      <w:bookmarkEnd w:id="6"/>
      <w:bookmarkEnd w:id="7"/>
    </w:p>
    <w:p w14:paraId="2E0F49DC" w14:textId="77777777" w:rsidR="009F64C5" w:rsidRPr="00FE174A" w:rsidRDefault="009F64C5" w:rsidP="003545E8">
      <w:pPr>
        <w:spacing w:after="0" w:line="360" w:lineRule="auto"/>
        <w:ind w:left="59"/>
        <w:jc w:val="both"/>
        <w:rPr>
          <w:rFonts w:ascii="Arial" w:hAnsi="Arial" w:cs="Arial"/>
        </w:rPr>
      </w:pPr>
      <w:r w:rsidRPr="00FE174A">
        <w:rPr>
          <w:rFonts w:ascii="Arial" w:eastAsia="Times New Roman" w:hAnsi="Arial" w:cs="Arial"/>
          <w:b/>
        </w:rPr>
        <w:t xml:space="preserve"> </w:t>
      </w:r>
    </w:p>
    <w:p w14:paraId="1B915856" w14:textId="77777777" w:rsidR="009F64C5" w:rsidRPr="00FE174A" w:rsidRDefault="009F64C5" w:rsidP="003545E8">
      <w:pPr>
        <w:spacing w:after="0" w:line="360" w:lineRule="auto"/>
        <w:jc w:val="both"/>
        <w:rPr>
          <w:rFonts w:ascii="Arial" w:hAnsi="Arial" w:cs="Arial"/>
        </w:rPr>
      </w:pPr>
      <w:r w:rsidRPr="00FE174A">
        <w:rPr>
          <w:rFonts w:ascii="Arial" w:hAnsi="Arial" w:cs="Arial"/>
        </w:rPr>
        <w:t xml:space="preserve">The list of abbreviations is optional. It should be included if you use a lot of abbreviations that are likely to be unfamiliar to readers. Present it as an alphabetized list or table, e.g.: </w:t>
      </w:r>
    </w:p>
    <w:p w14:paraId="31F6A5CC" w14:textId="77777777" w:rsidR="009F64C5" w:rsidRPr="00FE174A" w:rsidRDefault="009F64C5" w:rsidP="003545E8">
      <w:pPr>
        <w:spacing w:after="0" w:line="360" w:lineRule="auto"/>
        <w:jc w:val="both"/>
        <w:rPr>
          <w:rFonts w:ascii="Arial" w:hAnsi="Arial" w:cs="Arial"/>
        </w:rPr>
      </w:pPr>
      <w:r w:rsidRPr="00FE174A">
        <w:rPr>
          <w:rFonts w:ascii="Arial" w:hAnsi="Arial" w:cs="Arial"/>
        </w:rPr>
        <w:t xml:space="preserve"> </w:t>
      </w:r>
    </w:p>
    <w:p w14:paraId="28F643A6" w14:textId="705C4482" w:rsidR="009F64C5" w:rsidRPr="00FE174A" w:rsidRDefault="006A49E3" w:rsidP="003545E8">
      <w:pPr>
        <w:tabs>
          <w:tab w:val="center" w:pos="3189"/>
        </w:tabs>
        <w:spacing w:after="0" w:line="360" w:lineRule="auto"/>
        <w:jc w:val="both"/>
        <w:rPr>
          <w:rFonts w:ascii="Arial" w:hAnsi="Arial" w:cs="Arial"/>
        </w:rPr>
      </w:pPr>
      <w:r w:rsidRPr="006A49E3">
        <w:rPr>
          <w:noProof/>
        </w:rPr>
        <w:drawing>
          <wp:inline distT="0" distB="0" distL="0" distR="0" wp14:anchorId="2178EB6D" wp14:editId="2661F43C">
            <wp:extent cx="5731510" cy="6444615"/>
            <wp:effectExtent l="0" t="0" r="0" b="0"/>
            <wp:docPr id="1056704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444615"/>
                    </a:xfrm>
                    <a:prstGeom prst="rect">
                      <a:avLst/>
                    </a:prstGeom>
                    <a:noFill/>
                    <a:ln>
                      <a:noFill/>
                    </a:ln>
                  </pic:spPr>
                </pic:pic>
              </a:graphicData>
            </a:graphic>
          </wp:inline>
        </w:drawing>
      </w:r>
    </w:p>
    <w:p w14:paraId="0A8DF892" w14:textId="1B6E513B" w:rsidR="009F64C5" w:rsidRPr="00FE174A" w:rsidRDefault="009F64C5" w:rsidP="003545E8">
      <w:pPr>
        <w:spacing w:after="0" w:line="360" w:lineRule="auto"/>
        <w:jc w:val="both"/>
        <w:rPr>
          <w:rFonts w:ascii="Arial" w:hAnsi="Arial" w:cs="Arial"/>
        </w:rPr>
      </w:pPr>
      <w:r w:rsidRPr="00FE174A">
        <w:rPr>
          <w:rFonts w:ascii="Arial" w:eastAsia="Times New Roman" w:hAnsi="Arial" w:cs="Arial"/>
          <w:b/>
          <w:i/>
        </w:rPr>
        <w:t xml:space="preserve"> </w:t>
      </w:r>
      <w:r w:rsidRPr="00FE174A">
        <w:rPr>
          <w:rFonts w:ascii="Arial" w:eastAsia="Times New Roman" w:hAnsi="Arial" w:cs="Arial"/>
          <w:b/>
          <w:i/>
        </w:rPr>
        <w:tab/>
        <w:t xml:space="preserve"> </w:t>
      </w:r>
    </w:p>
    <w:p w14:paraId="27F005A8" w14:textId="77777777" w:rsidR="000555DE" w:rsidRPr="00FE174A" w:rsidRDefault="000555DE" w:rsidP="003545E8">
      <w:pPr>
        <w:spacing w:after="0" w:line="360" w:lineRule="auto"/>
        <w:jc w:val="both"/>
        <w:rPr>
          <w:rFonts w:ascii="Arial" w:eastAsia="Times New Roman" w:hAnsi="Arial" w:cs="Arial"/>
          <w:b/>
          <w:color w:val="000000"/>
        </w:rPr>
      </w:pPr>
      <w:r w:rsidRPr="00FE174A">
        <w:rPr>
          <w:rFonts w:ascii="Arial" w:hAnsi="Arial" w:cs="Arial"/>
        </w:rPr>
        <w:br w:type="page"/>
      </w:r>
    </w:p>
    <w:p w14:paraId="53439232" w14:textId="48C694FA" w:rsidR="009F64C5" w:rsidRPr="00FE174A" w:rsidRDefault="009F64C5" w:rsidP="003545E8">
      <w:pPr>
        <w:spacing w:after="0" w:line="360" w:lineRule="auto"/>
        <w:jc w:val="both"/>
        <w:rPr>
          <w:rFonts w:ascii="Arial" w:hAnsi="Arial" w:cs="Arial"/>
        </w:rPr>
      </w:pPr>
    </w:p>
    <w:p w14:paraId="624C71A9" w14:textId="0CE022B0" w:rsidR="009F64C5" w:rsidRPr="00FE174A" w:rsidRDefault="00BC67C0" w:rsidP="003545E8">
      <w:pPr>
        <w:pStyle w:val="Heading1"/>
        <w:spacing w:after="0"/>
      </w:pPr>
      <w:bookmarkStart w:id="8" w:name="_Toc220573297"/>
      <w:bookmarkStart w:id="9" w:name="_Toc220846938"/>
      <w:r w:rsidRPr="00FE174A">
        <w:t>Chapter 1: Introduction</w:t>
      </w:r>
      <w:bookmarkEnd w:id="8"/>
      <w:bookmarkEnd w:id="9"/>
    </w:p>
    <w:p w14:paraId="00690153" w14:textId="77777777" w:rsidR="00FE763F" w:rsidRPr="00FE174A" w:rsidRDefault="00FE763F" w:rsidP="003545E8">
      <w:pPr>
        <w:pStyle w:val="Heading2"/>
        <w:spacing w:after="0"/>
      </w:pPr>
      <w:bookmarkStart w:id="10" w:name="_Toc220846939"/>
      <w:r w:rsidRPr="00FE174A">
        <w:t>1.1 Background and Context</w:t>
      </w:r>
      <w:bookmarkEnd w:id="10"/>
    </w:p>
    <w:p w14:paraId="2DEFCDF7" w14:textId="6423106D" w:rsidR="00931047" w:rsidRPr="00FE174A" w:rsidRDefault="00931047" w:rsidP="003545E8">
      <w:pPr>
        <w:spacing w:after="0" w:line="360" w:lineRule="auto"/>
        <w:jc w:val="both"/>
        <w:rPr>
          <w:rFonts w:ascii="Arial" w:hAnsi="Arial" w:cs="Arial"/>
        </w:rPr>
      </w:pPr>
      <w:r w:rsidRPr="00FE174A">
        <w:rPr>
          <w:rFonts w:ascii="Arial" w:hAnsi="Arial" w:cs="Arial"/>
        </w:rPr>
        <w:t>The United Kingdom is experiencing an unprecedented demographic shift, which is radically redefining the position of health and social care. The UK had a total population of 69.3 million by mid-2024, and the proportion of people aged 65 years and above is rising in all states, which is the extended history of the population growing older (Office for National Statistics, 2025). The implications of residential care are severe: 22 million individuals aged 50 and above now constitute two out of five of the population in England, and this number is estimated to grow by 19.3 percent between 2024 and 2044 (Age UK, 2024). Most importantly, for care home delivery, the ageing population of 85 years and above- most likely to need residential care- is estimated to reach 64 percent more with a rise of 3.1 million in 2025 to over 5 million in 2045 (Centre for Ageing Better, 2025).</w:t>
      </w:r>
    </w:p>
    <w:p w14:paraId="034DC274" w14:textId="0C800859" w:rsidR="00931047" w:rsidRPr="00FE174A" w:rsidRDefault="00931047" w:rsidP="003545E8">
      <w:pPr>
        <w:spacing w:after="0" w:line="360" w:lineRule="auto"/>
        <w:jc w:val="both"/>
        <w:rPr>
          <w:rFonts w:ascii="Arial" w:hAnsi="Arial" w:cs="Arial"/>
        </w:rPr>
      </w:pPr>
      <w:r w:rsidRPr="00FE174A">
        <w:rPr>
          <w:rFonts w:ascii="Arial" w:hAnsi="Arial" w:cs="Arial"/>
        </w:rPr>
        <w:t>These population changes directly translate into an increased need for residential care. Adult social care is a £35.3 billion market in England, and older people's care homes contribute to £19 billion of this sum (LaingBuisson, 2024). Nonetheless, the industry is facing significant challenges. Rates are 8.3% vacancies per 100,000 staff, or 131,000 unfilled positions, which is around three times higher than the rest of the economy (Skills for Care, 2024). It is estimated that 540,000 more posts will be required by 2040 just to cover the increased demand. Although the government has promised up to £7.5 billion in extra funding billed as the biggest rise ever in adult social care, some fundamental questions regarding sustainability and quality still stand (Department of Health and Social Care, 2023).</w:t>
      </w:r>
    </w:p>
    <w:p w14:paraId="16DC000A" w14:textId="26191B69" w:rsidR="00931047" w:rsidRPr="00FE174A" w:rsidRDefault="00931047" w:rsidP="003545E8">
      <w:pPr>
        <w:spacing w:after="0" w:line="360" w:lineRule="auto"/>
        <w:jc w:val="both"/>
        <w:rPr>
          <w:rFonts w:ascii="Arial" w:hAnsi="Arial" w:cs="Arial"/>
        </w:rPr>
      </w:pPr>
      <w:r w:rsidRPr="00FE174A">
        <w:rPr>
          <w:rFonts w:ascii="Arial" w:hAnsi="Arial" w:cs="Arial"/>
        </w:rPr>
        <w:t>The policy context is changing considerably over time. NHS Long Term Plan promised to make care a personalised and more effective experience, improving their end-of-life care, including better health support in care homes and identifying residents who are in a final year of life (NHS England, 2019). Adult Social Care Reform White Paper outlined a decade of vision that focused on choice, control, and access to exceptional quality care (Department of Health and Social Care, 2021). The gap in policy ambition and its practice in care establishments is still significant, specifically when it comes to end-of-life care, where 2 million individuals aged 65 and above face care and support requirements that are at present unmet (Age UK, 2024). This dissertation fills this gap, considering and analysing experiences of the frontline staff members and bereaved family members at the centre of care homes, where end-of-life care is provided.</w:t>
      </w:r>
    </w:p>
    <w:p w14:paraId="40767284" w14:textId="77777777" w:rsidR="003545E8" w:rsidRPr="00FE174A" w:rsidRDefault="003545E8" w:rsidP="003545E8">
      <w:pPr>
        <w:spacing w:after="0" w:line="360" w:lineRule="auto"/>
        <w:jc w:val="both"/>
        <w:rPr>
          <w:rFonts w:ascii="Arial" w:hAnsi="Arial" w:cs="Arial"/>
          <w:highlight w:val="yellow"/>
        </w:rPr>
      </w:pPr>
    </w:p>
    <w:p w14:paraId="51E94091" w14:textId="77777777" w:rsidR="00FE763F" w:rsidRPr="00FE174A" w:rsidRDefault="00FE763F" w:rsidP="003545E8">
      <w:pPr>
        <w:pStyle w:val="Heading2"/>
        <w:spacing w:after="0"/>
      </w:pPr>
      <w:bookmarkStart w:id="11" w:name="_Toc220846940"/>
      <w:r w:rsidRPr="00FE174A">
        <w:t>1.2 Rationale for the Study</w:t>
      </w:r>
      <w:bookmarkEnd w:id="11"/>
    </w:p>
    <w:p w14:paraId="69103932" w14:textId="0A5241A6" w:rsidR="00434FF0" w:rsidRPr="00FE174A" w:rsidRDefault="00434FF0" w:rsidP="003545E8">
      <w:pPr>
        <w:spacing w:after="0" w:line="360" w:lineRule="auto"/>
        <w:jc w:val="both"/>
        <w:rPr>
          <w:rFonts w:ascii="Arial" w:hAnsi="Arial" w:cs="Arial"/>
        </w:rPr>
      </w:pPr>
      <w:r w:rsidRPr="00FE174A">
        <w:rPr>
          <w:rFonts w:ascii="Arial" w:hAnsi="Arial" w:cs="Arial"/>
        </w:rPr>
        <w:t xml:space="preserve">Although in recent years, there has been a remarkable policy coverage devoted to end-of-life care, there remains a vast unfulfilled gap in our knowledge about the experiences of the </w:t>
      </w:r>
      <w:r w:rsidRPr="00FE174A">
        <w:rPr>
          <w:rFonts w:ascii="Arial" w:hAnsi="Arial" w:cs="Arial"/>
        </w:rPr>
        <w:lastRenderedPageBreak/>
        <w:t>stakeholders in residential care. The current body of literature has shown a significant preference towards clinical outcomes: mortality rate, symptom control, and place of death, and rather overlooks the experiential aspect that essentially defines the quality of care that residents, families, and other staff experience. This knowledge gap is filled by this systematic review since it synthesises qualitative evidence regarding the lived experiences of individuals with first-hand experience regarding end-of-life care in UK care homes.</w:t>
      </w:r>
    </w:p>
    <w:p w14:paraId="7430397C" w14:textId="5B2E8B9A" w:rsidR="00434FF0" w:rsidRPr="00FE174A" w:rsidRDefault="00434FF0" w:rsidP="003545E8">
      <w:pPr>
        <w:spacing w:after="0" w:line="360" w:lineRule="auto"/>
        <w:jc w:val="both"/>
        <w:rPr>
          <w:rFonts w:ascii="Arial" w:hAnsi="Arial" w:cs="Arial"/>
        </w:rPr>
      </w:pPr>
      <w:r w:rsidRPr="00FE174A">
        <w:rPr>
          <w:rFonts w:ascii="Arial" w:hAnsi="Arial" w:cs="Arial"/>
        </w:rPr>
        <w:t>The reasoning behind considering both the family and staff approach simultaneously lies in the acknowledgement that quality end-of-life care is reliant on the bonds that are built among what may be called the ‘care triads’ of resident, family, and staff. Studies are highlighting that palliative and end-of-life care in care facilities depends on relationship-centred care, which is connected to three key pillars, namely integration with health and social care systems, digital inclusion, and workforce support (Bradshaw et al., 2023). The experience of relations is understood through many lenses, and this understanding sheds light on how these relations work out or not.</w:t>
      </w:r>
    </w:p>
    <w:p w14:paraId="08CEDB64" w14:textId="3E106251" w:rsidR="00434FF0" w:rsidRPr="00FE174A" w:rsidRDefault="00434FF0" w:rsidP="003545E8">
      <w:pPr>
        <w:spacing w:after="0" w:line="360" w:lineRule="auto"/>
        <w:jc w:val="both"/>
        <w:rPr>
          <w:rFonts w:ascii="Arial" w:hAnsi="Arial" w:cs="Arial"/>
        </w:rPr>
      </w:pPr>
      <w:r w:rsidRPr="00FE174A">
        <w:rPr>
          <w:rFonts w:ascii="Arial" w:hAnsi="Arial" w:cs="Arial"/>
        </w:rPr>
        <w:t>The importance of family experiences has far more to do with the care period itself. The systematic review of the impact of grief, loss, and bereavement in the families of people living and dying in residential care revealed that the quality of residential care directly affects how family caregivers react to grief (</w:t>
      </w:r>
      <w:r w:rsidR="000F5C2E" w:rsidRPr="00FE174A">
        <w:rPr>
          <w:rFonts w:ascii="Arial" w:eastAsia="Calibri" w:hAnsi="Arial" w:cs="Arial"/>
        </w:rPr>
        <w:t xml:space="preserve">Vandersman </w:t>
      </w:r>
      <w:r w:rsidRPr="00FE174A">
        <w:rPr>
          <w:rFonts w:ascii="Arial" w:hAnsi="Arial" w:cs="Arial"/>
        </w:rPr>
        <w:t>et al., 2024). Unhealthy events can trigger complex grief, long-term psychological disorders and negative health consequences in bereaved family members. In contrast, positive experiences, which are defined by efficient communication, substantial engagement, and caring treatment, may help maintain healthy bereavement. However, this review also found that family grief, loss, and bereavement requirements in residential care facilities were not well understood and that this is one of the critical evidence gaps.</w:t>
      </w:r>
    </w:p>
    <w:p w14:paraId="160BC121" w14:textId="3F60CFC2" w:rsidR="002C7022" w:rsidRPr="00FE174A" w:rsidRDefault="002C7022" w:rsidP="003545E8">
      <w:pPr>
        <w:spacing w:after="0" w:line="360" w:lineRule="auto"/>
        <w:jc w:val="both"/>
        <w:rPr>
          <w:rFonts w:ascii="Arial" w:hAnsi="Arial" w:cs="Arial"/>
        </w:rPr>
      </w:pPr>
      <w:r w:rsidRPr="00FE174A">
        <w:rPr>
          <w:rFonts w:ascii="Arial" w:hAnsi="Arial" w:cs="Arial"/>
        </w:rPr>
        <w:t xml:space="preserve">Staff opinion is also critical. Workers in care homes are on the frontline of end-of-life care, and research often neglects them despite them being the focus of those studies that focus on medical experts or hospice care facilities. The data shows that the stress of staff is reported in 70.1% of care homes, and on 45.3% of staffing shortage impacts care delivery (Bradshaw et al., 2023). According to the 2024 data on the workforce, the sector is still in a state of flux: turnover remains at its lowest since 2014/15, yet domestic jobs are still recruited less by 70,000 than they were two years ago (Skills for Care, 2024). This is crucial in understanding how staff experience and negotiate end-of-life care using these systemic constraints in order to develop effective interventions and policy responses. </w:t>
      </w:r>
    </w:p>
    <w:p w14:paraId="4BDEFAB2" w14:textId="77777777" w:rsidR="002C7022" w:rsidRDefault="002C7022" w:rsidP="003545E8">
      <w:pPr>
        <w:spacing w:after="0" w:line="360" w:lineRule="auto"/>
        <w:jc w:val="both"/>
        <w:rPr>
          <w:rFonts w:ascii="Arial" w:hAnsi="Arial" w:cs="Arial"/>
          <w:highlight w:val="yellow"/>
        </w:rPr>
      </w:pPr>
    </w:p>
    <w:p w14:paraId="5DEB3C7E" w14:textId="77777777" w:rsidR="00FA6F39" w:rsidRDefault="00FA6F39" w:rsidP="003545E8">
      <w:pPr>
        <w:spacing w:after="0" w:line="360" w:lineRule="auto"/>
        <w:jc w:val="both"/>
        <w:rPr>
          <w:rFonts w:ascii="Arial" w:hAnsi="Arial" w:cs="Arial"/>
          <w:highlight w:val="yellow"/>
        </w:rPr>
      </w:pPr>
    </w:p>
    <w:p w14:paraId="5B8A7FC1" w14:textId="77777777" w:rsidR="00FA6F39" w:rsidRDefault="00FA6F39" w:rsidP="003545E8">
      <w:pPr>
        <w:spacing w:after="0" w:line="360" w:lineRule="auto"/>
        <w:jc w:val="both"/>
        <w:rPr>
          <w:rFonts w:ascii="Arial" w:hAnsi="Arial" w:cs="Arial"/>
          <w:highlight w:val="yellow"/>
        </w:rPr>
      </w:pPr>
    </w:p>
    <w:p w14:paraId="5EA0D080" w14:textId="77777777" w:rsidR="00FA6F39" w:rsidRPr="00FE174A" w:rsidRDefault="00FA6F39" w:rsidP="003545E8">
      <w:pPr>
        <w:spacing w:after="0" w:line="360" w:lineRule="auto"/>
        <w:jc w:val="both"/>
        <w:rPr>
          <w:rFonts w:ascii="Arial" w:hAnsi="Arial" w:cs="Arial"/>
          <w:highlight w:val="yellow"/>
        </w:rPr>
      </w:pPr>
    </w:p>
    <w:p w14:paraId="54EF6504" w14:textId="77777777" w:rsidR="00260259" w:rsidRPr="00FE174A" w:rsidRDefault="00260259" w:rsidP="003545E8">
      <w:pPr>
        <w:pStyle w:val="Heading2"/>
        <w:spacing w:after="0"/>
      </w:pPr>
      <w:bookmarkStart w:id="12" w:name="_Toc220846941"/>
      <w:r w:rsidRPr="00FE174A">
        <w:lastRenderedPageBreak/>
        <w:t>1.3 Research Question</w:t>
      </w:r>
      <w:bookmarkEnd w:id="12"/>
    </w:p>
    <w:p w14:paraId="3A31B947" w14:textId="278E5429" w:rsidR="00260259" w:rsidRPr="00FE174A" w:rsidRDefault="00260259" w:rsidP="003545E8">
      <w:pPr>
        <w:spacing w:after="0" w:line="360" w:lineRule="auto"/>
        <w:jc w:val="both"/>
        <w:rPr>
          <w:rFonts w:ascii="Arial" w:hAnsi="Arial" w:cs="Arial"/>
        </w:rPr>
      </w:pPr>
      <w:r w:rsidRPr="00FE174A">
        <w:rPr>
          <w:rFonts w:ascii="Arial" w:hAnsi="Arial" w:cs="Arial"/>
        </w:rPr>
        <w:t>This systematic review relates to the following research question: "What are the experiences of bereaved family members and care home staff with the end-of-life care provided in residential care homes in the UK?"</w:t>
      </w:r>
    </w:p>
    <w:p w14:paraId="59656A5B" w14:textId="76E57922" w:rsidR="00260259" w:rsidRPr="00FE174A" w:rsidRDefault="00260259" w:rsidP="003545E8">
      <w:pPr>
        <w:spacing w:after="0" w:line="360" w:lineRule="auto"/>
        <w:jc w:val="both"/>
        <w:rPr>
          <w:rFonts w:ascii="Arial" w:hAnsi="Arial" w:cs="Arial"/>
        </w:rPr>
      </w:pPr>
      <w:r w:rsidRPr="00FE174A">
        <w:rPr>
          <w:rFonts w:ascii="Arial" w:hAnsi="Arial" w:cs="Arial"/>
        </w:rPr>
        <w:t>This question articulates the imperative to act upon understandings of end-of-life care through the perspectives of those to whom end-of-life care is most directly related. The focus on experiences - as opposed to outcomes or interventions - reflects the inherent subjectivity of quality in end-of-life care, which depends on personal values, relationships and expectations. By centring the voices of family members and staff, this review adds to knowledge that can be used to create evidence on how to improve care in genuinely person-centred approaches.</w:t>
      </w:r>
    </w:p>
    <w:p w14:paraId="22AE01BF" w14:textId="77777777" w:rsidR="00260259" w:rsidRPr="00FE174A" w:rsidRDefault="00260259" w:rsidP="003545E8">
      <w:pPr>
        <w:spacing w:after="0" w:line="360" w:lineRule="auto"/>
        <w:jc w:val="both"/>
        <w:rPr>
          <w:rFonts w:ascii="Arial" w:hAnsi="Arial" w:cs="Arial"/>
        </w:rPr>
      </w:pPr>
      <w:r w:rsidRPr="00FE174A">
        <w:rPr>
          <w:rFonts w:ascii="Arial" w:hAnsi="Arial" w:cs="Arial"/>
        </w:rPr>
        <w:t>The dual focus on families and staff recognises that care home end-of-life provision occurs in the context of a relationship. Relationship-centred care goes beyond individual person-centredness to include the networks of relationships surrounding the dying person, such as family, staff and the wider community (Gurung and Chaudhury, 2025). This theoretical orientation speaks to the methodological choice of synthesising evidence from both stakeholder groups into the same systematic review.</w:t>
      </w:r>
    </w:p>
    <w:p w14:paraId="0885CA51" w14:textId="77777777" w:rsidR="00260259" w:rsidRPr="00FE174A" w:rsidRDefault="00260259" w:rsidP="003545E8">
      <w:pPr>
        <w:spacing w:after="0" w:line="360" w:lineRule="auto"/>
        <w:jc w:val="both"/>
        <w:rPr>
          <w:rFonts w:ascii="Arial" w:hAnsi="Arial" w:cs="Arial"/>
          <w:b/>
          <w:bCs/>
        </w:rPr>
      </w:pPr>
    </w:p>
    <w:p w14:paraId="0FAF354F" w14:textId="77777777" w:rsidR="00260259" w:rsidRPr="00FE174A" w:rsidRDefault="00260259" w:rsidP="003545E8">
      <w:pPr>
        <w:pStyle w:val="Heading2"/>
        <w:spacing w:after="0"/>
      </w:pPr>
      <w:bookmarkStart w:id="13" w:name="_Toc220846942"/>
      <w:r w:rsidRPr="00FE174A">
        <w:t>1.4 Aim and Objectives</w:t>
      </w:r>
      <w:bookmarkEnd w:id="13"/>
    </w:p>
    <w:p w14:paraId="4F9CCDCC" w14:textId="06E4E6D0" w:rsidR="00260259" w:rsidRPr="00FE174A" w:rsidRDefault="00260259" w:rsidP="003545E8">
      <w:pPr>
        <w:spacing w:after="0" w:line="360" w:lineRule="auto"/>
        <w:jc w:val="both"/>
        <w:rPr>
          <w:rFonts w:ascii="Arial" w:hAnsi="Arial" w:cs="Arial"/>
        </w:rPr>
      </w:pPr>
      <w:r w:rsidRPr="00FE174A">
        <w:rPr>
          <w:rFonts w:ascii="Arial" w:hAnsi="Arial" w:cs="Arial"/>
        </w:rPr>
        <w:t>The overall aim of this systematic review is to synthesise qualitative evidence relating to experiences of bereaved family members and care, home staff, as regards the provision of end-of-life care in UK residential care homes, to identify factors supporting or hindering the quality provision of care, for the purposes of informing practice and policy, and to aid the development of future research.</w:t>
      </w:r>
    </w:p>
    <w:p w14:paraId="4D8FEA7E" w14:textId="77777777" w:rsidR="00260259" w:rsidRPr="00FE174A" w:rsidRDefault="00260259" w:rsidP="003545E8">
      <w:pPr>
        <w:spacing w:after="0" w:line="360" w:lineRule="auto"/>
        <w:jc w:val="both"/>
        <w:rPr>
          <w:rFonts w:ascii="Arial" w:hAnsi="Arial" w:cs="Arial"/>
        </w:rPr>
      </w:pPr>
    </w:p>
    <w:p w14:paraId="2523C662" w14:textId="77777777" w:rsidR="00260259" w:rsidRPr="00FE174A" w:rsidRDefault="00260259" w:rsidP="003545E8">
      <w:pPr>
        <w:spacing w:after="0" w:line="360" w:lineRule="auto"/>
        <w:jc w:val="both"/>
        <w:rPr>
          <w:rFonts w:ascii="Arial" w:hAnsi="Arial" w:cs="Arial"/>
          <w:b/>
          <w:bCs/>
        </w:rPr>
      </w:pPr>
      <w:r w:rsidRPr="00FE174A">
        <w:rPr>
          <w:rFonts w:ascii="Arial" w:hAnsi="Arial" w:cs="Arial"/>
          <w:b/>
          <w:bCs/>
        </w:rPr>
        <w:t>To achieve this aim, 4 specific objectives guide the review:</w:t>
      </w:r>
    </w:p>
    <w:p w14:paraId="5132BB5A" w14:textId="7A4FE92F" w:rsidR="00260259" w:rsidRPr="00FE174A" w:rsidRDefault="00260259" w:rsidP="003545E8">
      <w:pPr>
        <w:spacing w:after="0" w:line="360" w:lineRule="auto"/>
        <w:jc w:val="both"/>
        <w:rPr>
          <w:rFonts w:ascii="Arial" w:hAnsi="Arial" w:cs="Arial"/>
        </w:rPr>
      </w:pPr>
      <w:r w:rsidRPr="00FE174A">
        <w:rPr>
          <w:rFonts w:ascii="Arial" w:hAnsi="Arial" w:cs="Arial"/>
          <w:b/>
          <w:bCs/>
        </w:rPr>
        <w:t>Objective 1:</w:t>
      </w:r>
      <w:r w:rsidRPr="00FE174A">
        <w:rPr>
          <w:rFonts w:ascii="Arial" w:hAnsi="Arial" w:cs="Arial"/>
        </w:rPr>
        <w:t xml:space="preserve"> To systematically identify and extract qualitative assessment studies on the experiences of family members and of care home staff of end-of-life care in UK residential provision. </w:t>
      </w:r>
    </w:p>
    <w:p w14:paraId="156EB50D" w14:textId="66B1AE54" w:rsidR="00260259" w:rsidRPr="00FE174A" w:rsidRDefault="00260259" w:rsidP="003545E8">
      <w:pPr>
        <w:spacing w:after="0" w:line="360" w:lineRule="auto"/>
        <w:jc w:val="both"/>
        <w:rPr>
          <w:rFonts w:ascii="Arial" w:hAnsi="Arial" w:cs="Arial"/>
        </w:rPr>
      </w:pPr>
      <w:r w:rsidRPr="00FE174A">
        <w:rPr>
          <w:rFonts w:ascii="Arial" w:hAnsi="Arial" w:cs="Arial"/>
          <w:b/>
          <w:bCs/>
        </w:rPr>
        <w:t>Objective 2:</w:t>
      </w:r>
      <w:r w:rsidRPr="00FE174A">
        <w:rPr>
          <w:rFonts w:ascii="Arial" w:hAnsi="Arial" w:cs="Arial"/>
        </w:rPr>
        <w:t xml:space="preserve"> To critically appraise the methodological quality of included studies using established quality assessment tools. </w:t>
      </w:r>
    </w:p>
    <w:p w14:paraId="356CEEA6" w14:textId="4979A8E7" w:rsidR="00260259" w:rsidRPr="00FE174A" w:rsidRDefault="00260259" w:rsidP="003545E8">
      <w:pPr>
        <w:spacing w:after="0" w:line="360" w:lineRule="auto"/>
        <w:jc w:val="both"/>
        <w:rPr>
          <w:rFonts w:ascii="Arial" w:hAnsi="Arial" w:cs="Arial"/>
        </w:rPr>
      </w:pPr>
      <w:r w:rsidRPr="00FE174A">
        <w:rPr>
          <w:rFonts w:ascii="Arial" w:hAnsi="Arial" w:cs="Arial"/>
          <w:b/>
          <w:bCs/>
        </w:rPr>
        <w:t>Objective 3:</w:t>
      </w:r>
      <w:r w:rsidRPr="00FE174A">
        <w:rPr>
          <w:rFonts w:ascii="Arial" w:hAnsi="Arial" w:cs="Arial"/>
        </w:rPr>
        <w:t xml:space="preserve"> To draw synthesised findings across studies by applying the thematic synthesis methodology to identify key themes in stakeholder experiences. </w:t>
      </w:r>
    </w:p>
    <w:p w14:paraId="20A83A46" w14:textId="77777777" w:rsidR="003545E8" w:rsidRPr="00FE174A" w:rsidRDefault="00260259" w:rsidP="003545E8">
      <w:pPr>
        <w:spacing w:after="0" w:line="360" w:lineRule="auto"/>
        <w:jc w:val="both"/>
        <w:rPr>
          <w:rFonts w:ascii="Arial" w:hAnsi="Arial" w:cs="Arial"/>
        </w:rPr>
      </w:pPr>
      <w:r w:rsidRPr="00FE174A">
        <w:rPr>
          <w:rFonts w:ascii="Arial" w:hAnsi="Arial" w:cs="Arial"/>
          <w:b/>
          <w:bCs/>
        </w:rPr>
        <w:t>Objective 4:</w:t>
      </w:r>
      <w:r w:rsidRPr="00FE174A">
        <w:rPr>
          <w:rFonts w:ascii="Arial" w:hAnsi="Arial" w:cs="Arial"/>
        </w:rPr>
        <w:t xml:space="preserve"> To compare and contrast experiences between family members and the staff, looking for convergent and divergent themes. </w:t>
      </w:r>
    </w:p>
    <w:p w14:paraId="0394AE13" w14:textId="77777777" w:rsidR="003545E8" w:rsidRPr="00FE174A" w:rsidRDefault="003545E8" w:rsidP="003545E8">
      <w:pPr>
        <w:spacing w:after="0" w:line="360" w:lineRule="auto"/>
        <w:jc w:val="both"/>
        <w:rPr>
          <w:rFonts w:ascii="Arial" w:hAnsi="Arial" w:cs="Arial"/>
        </w:rPr>
      </w:pPr>
    </w:p>
    <w:p w14:paraId="3D1A95F6" w14:textId="70D05689" w:rsidR="00260259" w:rsidRPr="00FE174A" w:rsidRDefault="00260259" w:rsidP="003545E8">
      <w:pPr>
        <w:spacing w:after="0" w:line="360" w:lineRule="auto"/>
        <w:jc w:val="both"/>
        <w:rPr>
          <w:rFonts w:ascii="Arial" w:hAnsi="Arial" w:cs="Arial"/>
          <w:b/>
          <w:bCs/>
        </w:rPr>
      </w:pPr>
      <w:r w:rsidRPr="00FE174A">
        <w:rPr>
          <w:rFonts w:ascii="Arial" w:hAnsi="Arial" w:cs="Arial"/>
        </w:rPr>
        <w:lastRenderedPageBreak/>
        <w:t>Systematic review methodology is especially suitable to meet such purposes, because it allows the rigorous synthesis of several primary studies to develop general understandings surpassing the capabilities of any individual study (Flemming and Noyes, 2021).</w:t>
      </w:r>
    </w:p>
    <w:p w14:paraId="3FF7C4F4" w14:textId="77777777" w:rsidR="00260259" w:rsidRPr="00FE174A" w:rsidRDefault="00260259" w:rsidP="003545E8">
      <w:pPr>
        <w:spacing w:after="0" w:line="360" w:lineRule="auto"/>
        <w:jc w:val="both"/>
        <w:rPr>
          <w:rFonts w:ascii="Arial" w:hAnsi="Arial" w:cs="Arial"/>
          <w:b/>
          <w:bCs/>
        </w:rPr>
      </w:pPr>
    </w:p>
    <w:p w14:paraId="1F4B932B" w14:textId="77777777" w:rsidR="00260259" w:rsidRPr="00FE174A" w:rsidRDefault="00260259" w:rsidP="003545E8">
      <w:pPr>
        <w:pStyle w:val="Heading2"/>
        <w:spacing w:after="0"/>
      </w:pPr>
      <w:bookmarkStart w:id="14" w:name="_Toc220846943"/>
      <w:r w:rsidRPr="00FE174A">
        <w:t>1.5 Dissertation Structure</w:t>
      </w:r>
      <w:bookmarkEnd w:id="14"/>
    </w:p>
    <w:p w14:paraId="557154F5" w14:textId="200E803E" w:rsidR="00260259" w:rsidRPr="00FE174A" w:rsidRDefault="00260259" w:rsidP="003545E8">
      <w:pPr>
        <w:spacing w:after="0" w:line="360" w:lineRule="auto"/>
        <w:jc w:val="both"/>
        <w:rPr>
          <w:rFonts w:ascii="Arial" w:hAnsi="Arial" w:cs="Arial"/>
        </w:rPr>
      </w:pPr>
      <w:r w:rsidRPr="00FE174A">
        <w:rPr>
          <w:rFonts w:ascii="Arial" w:hAnsi="Arial" w:cs="Arial"/>
        </w:rPr>
        <w:t xml:space="preserve">This dissertation consists of six chapters that gradually lead towards responding to the research question. Following this introduction, </w:t>
      </w:r>
      <w:r w:rsidRPr="00FE174A">
        <w:rPr>
          <w:rFonts w:ascii="Arial" w:hAnsi="Arial" w:cs="Arial"/>
          <w:b/>
          <w:bCs/>
        </w:rPr>
        <w:t>Chapter 2</w:t>
      </w:r>
      <w:r w:rsidRPr="00FE174A">
        <w:rPr>
          <w:rFonts w:ascii="Arial" w:hAnsi="Arial" w:cs="Arial"/>
        </w:rPr>
        <w:t xml:space="preserve"> presents an extensive review of the literature examining what is known about end-of-life care in care homes. This chapter sets the theoretical underpinning of the research around person-centred care, the concept of a 'good death' and frameworks of relationship-centred care. It critically reviews evidence on the experiences of families and </w:t>
      </w:r>
      <w:r w:rsidR="00515FDB" w:rsidRPr="00FE174A">
        <w:rPr>
          <w:rFonts w:ascii="Arial" w:hAnsi="Arial" w:cs="Arial"/>
        </w:rPr>
        <w:t>staff and</w:t>
      </w:r>
      <w:r w:rsidRPr="00FE174A">
        <w:rPr>
          <w:rFonts w:ascii="Arial" w:hAnsi="Arial" w:cs="Arial"/>
        </w:rPr>
        <w:t xml:space="preserve"> identifies gaps in current knowledge and places this systematic review within the broader knowledge base.</w:t>
      </w:r>
    </w:p>
    <w:p w14:paraId="45D52566" w14:textId="392EDBC3" w:rsidR="00260259" w:rsidRPr="00FE174A" w:rsidRDefault="00260259" w:rsidP="003545E8">
      <w:pPr>
        <w:spacing w:after="0" w:line="360" w:lineRule="auto"/>
        <w:jc w:val="both"/>
        <w:rPr>
          <w:rFonts w:ascii="Arial" w:hAnsi="Arial" w:cs="Arial"/>
        </w:rPr>
      </w:pPr>
      <w:r w:rsidRPr="00FE174A">
        <w:rPr>
          <w:rFonts w:ascii="Arial" w:hAnsi="Arial" w:cs="Arial"/>
          <w:b/>
          <w:bCs/>
        </w:rPr>
        <w:t>Chapter 3 describes</w:t>
      </w:r>
      <w:r w:rsidRPr="00FE174A">
        <w:rPr>
          <w:rFonts w:ascii="Arial" w:hAnsi="Arial" w:cs="Arial"/>
        </w:rPr>
        <w:t xml:space="preserve"> the methodology used for this systematic review. It provides epistemological justification for the qualitative synthesis approach, explains the search strategy and study selection processes, the quality appraisal methods applied, and the thematic synthesis approach to data analysis. Ethical considerations and strategies for ensuring rigour are also addressed.</w:t>
      </w:r>
    </w:p>
    <w:p w14:paraId="6BA31AEF" w14:textId="062C1A39" w:rsidR="00260259" w:rsidRPr="00FE174A" w:rsidRDefault="00260259" w:rsidP="003545E8">
      <w:pPr>
        <w:spacing w:after="0" w:line="360" w:lineRule="auto"/>
        <w:jc w:val="both"/>
        <w:rPr>
          <w:rFonts w:ascii="Arial" w:hAnsi="Arial" w:cs="Arial"/>
        </w:rPr>
      </w:pPr>
      <w:r w:rsidRPr="00FE174A">
        <w:rPr>
          <w:rFonts w:ascii="Arial" w:hAnsi="Arial" w:cs="Arial"/>
          <w:b/>
          <w:bCs/>
        </w:rPr>
        <w:t>Chapter 4</w:t>
      </w:r>
      <w:r w:rsidRPr="00FE174A">
        <w:rPr>
          <w:rFonts w:ascii="Arial" w:hAnsi="Arial" w:cs="Arial"/>
        </w:rPr>
        <w:t xml:space="preserve"> presents the results of the systematic review. This includes a comprehensive description of the search and screening process, characteristics of included studies, findings of the quality appraisal process and the thematic synthesis organised by stakeholder group. Themes relating to family experiences and staff experiences are presented with supporting evidence from primary studies.</w:t>
      </w:r>
    </w:p>
    <w:p w14:paraId="34BF76FE" w14:textId="1DF07F2D" w:rsidR="005F78BB" w:rsidRPr="00FE174A" w:rsidRDefault="005F78BB" w:rsidP="003545E8">
      <w:pPr>
        <w:spacing w:after="0" w:line="360" w:lineRule="auto"/>
        <w:jc w:val="both"/>
        <w:rPr>
          <w:rFonts w:ascii="Arial" w:hAnsi="Arial" w:cs="Arial"/>
          <w:b/>
          <w:bCs/>
        </w:rPr>
      </w:pPr>
      <w:r w:rsidRPr="00FE174A">
        <w:rPr>
          <w:rFonts w:ascii="Arial" w:hAnsi="Arial" w:cs="Arial"/>
          <w:b/>
          <w:bCs/>
        </w:rPr>
        <w:t xml:space="preserve">Chapter 5 </w:t>
      </w:r>
      <w:r w:rsidRPr="00FE174A">
        <w:rPr>
          <w:rFonts w:ascii="Arial" w:hAnsi="Arial" w:cs="Arial"/>
        </w:rPr>
        <w:t>discusses the findings critically in comparison to the available literature and theories. It examines convergent and divergent themes through the lens of stakeholder groups, examines the effect of the pandemic (Considered: Covid-19) on end-of-life care experiences and considers the implications of the same on practice, policy and theory.</w:t>
      </w:r>
    </w:p>
    <w:p w14:paraId="68C66F22" w14:textId="23D9CD43" w:rsidR="00FE763F" w:rsidRPr="00FE174A" w:rsidRDefault="005F78BB" w:rsidP="003545E8">
      <w:pPr>
        <w:spacing w:after="0" w:line="360" w:lineRule="auto"/>
        <w:jc w:val="both"/>
        <w:rPr>
          <w:rFonts w:ascii="Arial" w:hAnsi="Arial" w:cs="Arial"/>
        </w:rPr>
      </w:pPr>
      <w:r w:rsidRPr="00FE174A">
        <w:rPr>
          <w:rFonts w:ascii="Arial" w:hAnsi="Arial" w:cs="Arial"/>
          <w:b/>
          <w:bCs/>
        </w:rPr>
        <w:t xml:space="preserve">Chapter 6 </w:t>
      </w:r>
      <w:r w:rsidRPr="00FE174A">
        <w:rPr>
          <w:rFonts w:ascii="Arial" w:hAnsi="Arial" w:cs="Arial"/>
        </w:rPr>
        <w:t>sums up the most significant results, contributes to the existing knowledge, presents practice and policy recommendations, indicates future research opportunities, and reflects on the research process. This framework will allow rational continuity of the contextualisation, analysis to application, and finally actionable insights that will allow to improve end-of-life care in residential care homes throughout the UK.</w:t>
      </w:r>
    </w:p>
    <w:p w14:paraId="7D53C797" w14:textId="77777777" w:rsidR="009F64C5" w:rsidRPr="00FE174A" w:rsidRDefault="009F64C5" w:rsidP="003545E8">
      <w:pPr>
        <w:spacing w:after="0" w:line="360" w:lineRule="auto"/>
        <w:jc w:val="both"/>
        <w:rPr>
          <w:rFonts w:ascii="Arial" w:hAnsi="Arial" w:cs="Arial"/>
        </w:rPr>
      </w:pPr>
      <w:r w:rsidRPr="00FE174A">
        <w:rPr>
          <w:rFonts w:ascii="Arial" w:hAnsi="Arial" w:cs="Arial"/>
        </w:rPr>
        <w:t xml:space="preserve"> </w:t>
      </w:r>
      <w:r w:rsidRPr="00FE174A">
        <w:rPr>
          <w:rFonts w:ascii="Arial" w:hAnsi="Arial" w:cs="Arial"/>
        </w:rPr>
        <w:tab/>
        <w:t xml:space="preserve"> </w:t>
      </w:r>
    </w:p>
    <w:p w14:paraId="0F28B479" w14:textId="77777777" w:rsidR="009706D0" w:rsidRPr="00FE174A" w:rsidRDefault="009706D0" w:rsidP="003545E8">
      <w:pPr>
        <w:spacing w:after="0" w:line="360" w:lineRule="auto"/>
        <w:jc w:val="both"/>
        <w:rPr>
          <w:rFonts w:ascii="Arial" w:eastAsia="Times New Roman" w:hAnsi="Arial" w:cs="Arial"/>
          <w:b/>
          <w:color w:val="000000"/>
        </w:rPr>
      </w:pPr>
      <w:r w:rsidRPr="00FE174A">
        <w:rPr>
          <w:rFonts w:ascii="Arial" w:hAnsi="Arial" w:cs="Arial"/>
        </w:rPr>
        <w:br w:type="page"/>
      </w:r>
    </w:p>
    <w:p w14:paraId="05F6760D" w14:textId="6484F938" w:rsidR="00A509D9" w:rsidRPr="00FE174A" w:rsidRDefault="00A509D9" w:rsidP="003545E8">
      <w:pPr>
        <w:pStyle w:val="Heading1"/>
        <w:spacing w:after="0"/>
      </w:pPr>
      <w:bookmarkStart w:id="15" w:name="_Toc220573298"/>
      <w:bookmarkStart w:id="16" w:name="_Toc220846944"/>
      <w:r w:rsidRPr="00FE174A">
        <w:lastRenderedPageBreak/>
        <w:t>Chapter 2: Literature review/theoretical framework</w:t>
      </w:r>
      <w:bookmarkEnd w:id="15"/>
      <w:bookmarkEnd w:id="16"/>
      <w:r w:rsidRPr="00FE174A">
        <w:t xml:space="preserve"> </w:t>
      </w:r>
    </w:p>
    <w:p w14:paraId="5B1B847F" w14:textId="77777777" w:rsidR="00A509D9" w:rsidRPr="00FE174A" w:rsidRDefault="00A509D9" w:rsidP="003545E8">
      <w:pPr>
        <w:spacing w:after="0" w:line="360" w:lineRule="auto"/>
        <w:jc w:val="both"/>
        <w:rPr>
          <w:rFonts w:ascii="Arial" w:eastAsia="Times New Roman" w:hAnsi="Arial" w:cs="Arial"/>
          <w:b/>
          <w:color w:val="000000"/>
        </w:rPr>
      </w:pPr>
      <w:r w:rsidRPr="00FE174A">
        <w:rPr>
          <w:rFonts w:ascii="Arial" w:eastAsia="Times New Roman" w:hAnsi="Arial" w:cs="Arial"/>
          <w:b/>
          <w:color w:val="000000"/>
        </w:rPr>
        <w:t xml:space="preserve">End-of-life care in residential settings: foundations, evidence and emerging gaps </w:t>
      </w:r>
    </w:p>
    <w:p w14:paraId="092FA77C" w14:textId="64624BB6"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Dying well in the care home is one of healthcare's most serious, yet understudied, challenges in modern medicine. With one fifth of all deaths in England now taking place in residential care settings, an understanding of how these institutions support dying residents and their families has become of increasing urgency. This literature review explores the theoretical underpinnings, empirical evidence and policy frameworks related to end-of-life care in UK residential care homes, with a specific focus on the experiences of bereaved families and front-line care staff - two stakeholder groups whose views are often not adequately represented in research and practice.</w:t>
      </w:r>
    </w:p>
    <w:p w14:paraId="0438E969" w14:textId="5A482F6D"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 xml:space="preserve">The review collates literature from five interlinked areas: conceptual foundations of end of life care, the residential care context in the UK, bereaved family experiences, care home staff perspectives and relevant policy frameworks. Through this analysis, a large gap is identified: the lack of </w:t>
      </w:r>
      <w:r w:rsidR="00720682" w:rsidRPr="00FE174A">
        <w:rPr>
          <w:rFonts w:ascii="Arial" w:eastAsia="Times New Roman" w:hAnsi="Arial" w:cs="Arial"/>
          <w:bCs/>
          <w:color w:val="000000"/>
        </w:rPr>
        <w:t>synthesis of</w:t>
      </w:r>
      <w:r w:rsidRPr="00FE174A">
        <w:rPr>
          <w:rFonts w:ascii="Arial" w:eastAsia="Times New Roman" w:hAnsi="Arial" w:cs="Arial"/>
          <w:bCs/>
          <w:color w:val="000000"/>
        </w:rPr>
        <w:t xml:space="preserve"> research on family and staff experiences that intersect and are affected by one another in the care home setting.</w:t>
      </w:r>
    </w:p>
    <w:p w14:paraId="165F1ED0" w14:textId="77777777" w:rsidR="00A509D9" w:rsidRPr="00FE174A" w:rsidRDefault="00A509D9" w:rsidP="003545E8">
      <w:pPr>
        <w:spacing w:after="0" w:line="360" w:lineRule="auto"/>
        <w:jc w:val="both"/>
        <w:rPr>
          <w:rFonts w:ascii="Arial" w:eastAsia="Times New Roman" w:hAnsi="Arial" w:cs="Arial"/>
          <w:b/>
          <w:color w:val="000000"/>
        </w:rPr>
      </w:pPr>
    </w:p>
    <w:p w14:paraId="5A2DD7D8" w14:textId="77777777" w:rsidR="00A509D9" w:rsidRPr="00FE174A" w:rsidRDefault="00A509D9" w:rsidP="003545E8">
      <w:pPr>
        <w:pStyle w:val="Heading2"/>
        <w:spacing w:after="0"/>
      </w:pPr>
      <w:bookmarkStart w:id="17" w:name="_Toc220846945"/>
      <w:r w:rsidRPr="00FE174A">
        <w:t>2.1 Introduction to Literature Review</w:t>
      </w:r>
      <w:bookmarkEnd w:id="17"/>
    </w:p>
    <w:p w14:paraId="41BC7648" w14:textId="6984EFE1"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This literature review provides the theoretical and empirical basis for investigating experiences of end-of-life care in UK residential care homes. The scope of the review includes peer-reviewed research, UK policy documents, quality frameworks and authoritative grey literature published between 2000 and 2025, with emphasis on those from 2015 onwards for currency, whilst including seminal earlier works which underpin contemporary understanding.</w:t>
      </w:r>
    </w:p>
    <w:p w14:paraId="761287B0" w14:textId="4D3DB84B"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search strategy for this literature review involved two electronic databases (MEDline via PubMed and PsycInfo via EBSCOhost) with search terms of "end-of-life care," "palliative care," "care homes," "nursing homes," "residential care," "family experiences," "bereavement," "staff perspectives," and "workforce." Policy documents were identified using systematic searches of the websites of NHS England, NICE, CQC and third-sector organisations, including Marie Curie, Hospice UK, and Age UK.</w:t>
      </w:r>
    </w:p>
    <w:p w14:paraId="3FEC5B7B" w14:textId="0B5F90A8" w:rsidR="00A509D9" w:rsidRPr="00FE174A" w:rsidRDefault="00A509D9" w:rsidP="003545E8">
      <w:pPr>
        <w:spacing w:after="0" w:line="360" w:lineRule="auto"/>
        <w:jc w:val="both"/>
        <w:rPr>
          <w:rFonts w:ascii="Arial" w:eastAsia="Times New Roman" w:hAnsi="Arial" w:cs="Arial"/>
          <w:b/>
          <w:color w:val="000000"/>
        </w:rPr>
      </w:pPr>
      <w:r w:rsidRPr="00FE174A">
        <w:rPr>
          <w:rFonts w:ascii="Arial" w:eastAsia="Times New Roman" w:hAnsi="Arial" w:cs="Arial"/>
          <w:bCs/>
          <w:color w:val="000000"/>
        </w:rPr>
        <w:t>The purpose of this review is three-fold: to determine the conceptual framework within which end-of-life care exists; to synthesise the current evidence of stakeholder experiences; and to identify gaps justifying the focus of the current study in relation to bereaved family and care staff perspectives.</w:t>
      </w:r>
    </w:p>
    <w:p w14:paraId="697E50ED" w14:textId="77777777" w:rsidR="00A509D9" w:rsidRPr="00FE174A" w:rsidRDefault="00A509D9" w:rsidP="003545E8">
      <w:pPr>
        <w:spacing w:after="0" w:line="360" w:lineRule="auto"/>
        <w:jc w:val="both"/>
        <w:rPr>
          <w:rFonts w:ascii="Arial" w:eastAsia="Times New Roman" w:hAnsi="Arial" w:cs="Arial"/>
          <w:b/>
          <w:color w:val="000000"/>
        </w:rPr>
      </w:pPr>
    </w:p>
    <w:p w14:paraId="1BC45D6B" w14:textId="77777777" w:rsidR="00680753" w:rsidRPr="00FE174A" w:rsidRDefault="00680753" w:rsidP="003545E8">
      <w:pPr>
        <w:pStyle w:val="Heading2"/>
        <w:spacing w:after="0"/>
      </w:pPr>
      <w:bookmarkStart w:id="18" w:name="_Toc220846946"/>
      <w:r w:rsidRPr="00FE174A">
        <w:t>2.2 Conceptual foundations: defining quality at life's end</w:t>
      </w:r>
      <w:bookmarkEnd w:id="18"/>
    </w:p>
    <w:p w14:paraId="633C0F5F" w14:textId="654E3C00" w:rsidR="00A509D9" w:rsidRPr="00FE174A" w:rsidRDefault="00B8022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 xml:space="preserve">The definition of Palliative care, as stated by the World Health Organization (2024), is "an approach improving quality of life of patients and their families facing the problem associated with life-threatening illness, through the prevention and relief of suffering, by means of early </w:t>
      </w:r>
      <w:r w:rsidRPr="00FE174A">
        <w:rPr>
          <w:rFonts w:ascii="Arial" w:eastAsia="Times New Roman" w:hAnsi="Arial" w:cs="Arial"/>
          <w:bCs/>
          <w:color w:val="000000"/>
        </w:rPr>
        <w:lastRenderedPageBreak/>
        <w:t>identification and impeccable assessment and treatment of pain and other problems, physical, psychosocial and spiritual" This holistic definition explicitly situates families along with patients as the recipients of care, creating the basis to understand end-of-life care as indeed being relational rather than clinical in nature.</w:t>
      </w:r>
    </w:p>
    <w:p w14:paraId="6F86644A" w14:textId="051720C7"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Person-centred care is the major philosophy underpinning current end-of-life practice. Rogers' (1961) foundational tenets of therapy, i.e. unconditional positive regard, empathy and genuineness, formed the theoretical foundation for valuing each individual's inherent worth and capacity for growth. Brooker (2007) operationalised these principles in dementia care in the VIPS framework: Valuing people with dementia, treating them as Individuals, understanding their Perspective, and providing a positive Social environment. The second edition of the framework explicitly includes end-of-life use, which shows the practical relevance of person-centred approaches from diagnosis to death (Brooker and Latham, 2016).</w:t>
      </w:r>
    </w:p>
    <w:p w14:paraId="69EC443D" w14:textId="35805964"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Much theoretical interest has been devoted to the idea of a "good death". Kehl's (2006) systematic concept analysis identified twelve core attributes, including being in control, being comfortable, achieving closure and having relationships optimised. Critically, Kehl emphasised just how individual and changeable good death is over time, with significant implications for practices in care homes, where the wishes of residents may evolve over time as death approaches. Meier et al. (2016) then performed a detailed review that found that preferences for dying process, pain-free status, and emotional well-being are the three themes most consistently preferred by patients, families, and healthcare providers. However, their analysis showed considerable discrepancies with families emphasising life completion and dignity to a greater extent than they do, indicating possible tensions in surrogate decision-making.</w:t>
      </w:r>
    </w:p>
    <w:p w14:paraId="2802C15C" w14:textId="1BF67F90"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Chochinov's (20</w:t>
      </w:r>
      <w:r w:rsidR="00761D9B" w:rsidRPr="00FE174A">
        <w:rPr>
          <w:rFonts w:ascii="Arial" w:eastAsia="Times New Roman" w:hAnsi="Arial" w:cs="Arial"/>
          <w:bCs/>
          <w:color w:val="000000"/>
        </w:rPr>
        <w:t>02</w:t>
      </w:r>
      <w:r w:rsidRPr="00FE174A">
        <w:rPr>
          <w:rFonts w:ascii="Arial" w:eastAsia="Times New Roman" w:hAnsi="Arial" w:cs="Arial"/>
          <w:bCs/>
          <w:color w:val="000000"/>
        </w:rPr>
        <w:t>) model of dignity conservation offers both theoretical and practical tools for end-of-life care. His Model of Dignity in the Terminally Ill comprises three domains: illness-related concerns, dignity-conserving repertoire, and social dignity inventory. Clinical trials of Dignity Therapy showed that 91% of participants were satisfied with the intervention and 76% reported an increased sense of dignity (Chochinov et al., 2005). This evidence base provides an argument for dignity as a measurable and changeable construct through focused intervention.</w:t>
      </w:r>
    </w:p>
    <w:p w14:paraId="7F543F93" w14:textId="6DEDD334" w:rsidR="00A509D9" w:rsidRPr="00FE174A" w:rsidRDefault="00A509D9"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Relationship-centred care builds on the principles of person-centred care and applies them to the wider context of relationships. The Pew-Fetzer Task Force (Tresolini, 1994) proposed this paradigm shift, emphasising "the importance of interaction among people as the foundation of any therapeutic or healing activity". Beach and Inui (2006) then expounded on four principles: relationships should involve personhood of those involved, affect and emotion, relationships involve reciprocal influence, and that real relationships are morally valuable. These principles are especially relevant in care homes where interactions between residents, staff and family form over long periods of time.</w:t>
      </w:r>
    </w:p>
    <w:p w14:paraId="36E5985A" w14:textId="77777777" w:rsidR="00E350B9" w:rsidRPr="00FE174A" w:rsidRDefault="00E350B9" w:rsidP="003545E8">
      <w:pPr>
        <w:spacing w:after="0" w:line="360" w:lineRule="auto"/>
        <w:jc w:val="both"/>
        <w:rPr>
          <w:rFonts w:ascii="Arial" w:eastAsia="Times New Roman" w:hAnsi="Arial" w:cs="Arial"/>
          <w:b/>
          <w:color w:val="000000"/>
        </w:rPr>
      </w:pPr>
    </w:p>
    <w:p w14:paraId="693A94E0" w14:textId="77777777" w:rsidR="005D5233" w:rsidRPr="00FE174A" w:rsidRDefault="00B32D53" w:rsidP="003545E8">
      <w:pPr>
        <w:pStyle w:val="Heading2"/>
        <w:spacing w:after="0"/>
      </w:pPr>
      <w:bookmarkStart w:id="19" w:name="_Toc220846947"/>
      <w:r w:rsidRPr="00FE174A">
        <w:t>2.3 The UK residential care context: structures, standards, and challenges</w:t>
      </w:r>
      <w:bookmarkEnd w:id="19"/>
    </w:p>
    <w:p w14:paraId="1657F352" w14:textId="6F093A32" w:rsidR="0009326B" w:rsidRPr="00FE174A" w:rsidRDefault="0009326B" w:rsidP="003545E8">
      <w:pPr>
        <w:spacing w:after="0" w:line="360" w:lineRule="auto"/>
        <w:jc w:val="both"/>
        <w:rPr>
          <w:rFonts w:ascii="Arial" w:hAnsi="Arial" w:cs="Arial"/>
        </w:rPr>
      </w:pPr>
      <w:r w:rsidRPr="00FE174A">
        <w:rPr>
          <w:rFonts w:ascii="Arial" w:hAnsi="Arial" w:cs="Arial"/>
        </w:rPr>
        <w:t>UK residential care is at work in a complex landscape of regulation, funding constraint and demographic pressure. The Care Quality Commission reports (2024) indicate a wide range of care quality within the adult social care in England, continuing issues with not only workforce capacity but service sustainability are blamed. Care homes vary from residential care homes offering personal care to nursing homes which offer 24-hour registered nursing provision, each subject to CQC inspection based on fundamental standards of quality and safety.</w:t>
      </w:r>
    </w:p>
    <w:p w14:paraId="729A6EEE" w14:textId="52C38B52" w:rsidR="0009326B" w:rsidRPr="00FE174A" w:rsidRDefault="0009326B" w:rsidP="003545E8">
      <w:pPr>
        <w:spacing w:after="0" w:line="360" w:lineRule="auto"/>
        <w:jc w:val="both"/>
        <w:rPr>
          <w:rFonts w:ascii="Arial" w:hAnsi="Arial" w:cs="Arial"/>
        </w:rPr>
      </w:pPr>
      <w:r w:rsidRPr="00FE174A">
        <w:rPr>
          <w:rFonts w:ascii="Arial" w:hAnsi="Arial" w:cs="Arial"/>
        </w:rPr>
        <w:t>The regulatory framework for end-of-life care is set out in a range of overlapping guidance documents. NICE Quality Standard QS13 (2021) outlines five quality statements relating to the identification of people approaching the end of life, advance care planning, coordinated care, out-of-hours provision, and support of carers. The accompanying service delivery guideline (NICE, 2019) includes detailed recommendations for organising end-of-life care across settings, with special emphasis on proactive identification, using validated tools, together with a personalised care plan. These standards apply to all types of care, but there are unique challenges to implementation in care homes.</w:t>
      </w:r>
    </w:p>
    <w:p w14:paraId="41113EEC" w14:textId="19666C39" w:rsidR="0009326B" w:rsidRPr="00FE174A" w:rsidRDefault="0009326B" w:rsidP="003545E8">
      <w:pPr>
        <w:spacing w:after="0" w:line="360" w:lineRule="auto"/>
        <w:jc w:val="both"/>
        <w:rPr>
          <w:rFonts w:ascii="Arial" w:hAnsi="Arial" w:cs="Arial"/>
        </w:rPr>
      </w:pPr>
      <w:r w:rsidRPr="00FE174A">
        <w:rPr>
          <w:rFonts w:ascii="Arial" w:hAnsi="Arial" w:cs="Arial"/>
        </w:rPr>
        <w:t xml:space="preserve">The Health and Care Act </w:t>
      </w:r>
      <w:r w:rsidR="008A5811" w:rsidRPr="00FE174A">
        <w:rPr>
          <w:rFonts w:ascii="Arial" w:hAnsi="Arial" w:cs="Arial"/>
        </w:rPr>
        <w:t>(</w:t>
      </w:r>
      <w:r w:rsidRPr="00FE174A">
        <w:rPr>
          <w:rFonts w:ascii="Arial" w:hAnsi="Arial" w:cs="Arial"/>
        </w:rPr>
        <w:t>2022</w:t>
      </w:r>
      <w:r w:rsidR="008A5811" w:rsidRPr="00FE174A">
        <w:rPr>
          <w:rFonts w:ascii="Arial" w:hAnsi="Arial" w:cs="Arial"/>
        </w:rPr>
        <w:t>)</w:t>
      </w:r>
      <w:r w:rsidRPr="00FE174A">
        <w:rPr>
          <w:rFonts w:ascii="Arial" w:hAnsi="Arial" w:cs="Arial"/>
        </w:rPr>
        <w:t xml:space="preserve"> was a watershed galvanizing moment as it made palliative care a statutory requirement for Integrated Care Boards. NHS England's subsequent statutory guidance (2022) shares commissioning expectations, including adequate specialist services, capacity in hospices and financial viability. The Ambitions for Palliative and End of Life Care framework (National Palliative and End of Life Care Partnership, 2021) gives the overarching strategic </w:t>
      </w:r>
      <w:r w:rsidR="00515FDB" w:rsidRPr="00FE174A">
        <w:rPr>
          <w:rFonts w:ascii="Arial" w:hAnsi="Arial" w:cs="Arial"/>
        </w:rPr>
        <w:t>direction and</w:t>
      </w:r>
      <w:r w:rsidRPr="00FE174A">
        <w:rPr>
          <w:rFonts w:ascii="Arial" w:hAnsi="Arial" w:cs="Arial"/>
        </w:rPr>
        <w:t xml:space="preserve"> includes six ambitions which have been co-produced by 34 national organisations. Every ICB must commission services consistent with this framework; this varies considerably.</w:t>
      </w:r>
    </w:p>
    <w:p w14:paraId="371DA234" w14:textId="7A13021F" w:rsidR="0009326B" w:rsidRPr="00FE174A" w:rsidRDefault="0009326B" w:rsidP="003545E8">
      <w:pPr>
        <w:spacing w:after="0" w:line="360" w:lineRule="auto"/>
        <w:jc w:val="both"/>
        <w:rPr>
          <w:rFonts w:ascii="Arial" w:hAnsi="Arial" w:cs="Arial"/>
        </w:rPr>
      </w:pPr>
      <w:r w:rsidRPr="00FE174A">
        <w:rPr>
          <w:rFonts w:ascii="Arial" w:hAnsi="Arial" w:cs="Arial"/>
        </w:rPr>
        <w:t>Workforce issues represent possibly the greatest obstacle to quality end-of-life care in care homes. Hussein and Manthorpe (2012), using national workforce data, found that dementia care workers, who provide a lot of end-of-life care, are more likely to be female, work part-time, be agency-employed, and have lower qualifications than other social care workers. These characteristics start to have profound implications for training provision and continuity of care. Subsequent analysis by Hussein, Ismail and Manthorpe (2016) found consistently high turnover and vacancy rates, with organisational and environmental factors identified as key predictors - suggesting the need for systemic rather than individual level solutions.</w:t>
      </w:r>
    </w:p>
    <w:p w14:paraId="076B7746" w14:textId="32D7CBBC" w:rsidR="0009326B" w:rsidRPr="00FE174A" w:rsidRDefault="0009326B" w:rsidP="003545E8">
      <w:pPr>
        <w:spacing w:after="0" w:line="360" w:lineRule="auto"/>
        <w:jc w:val="both"/>
        <w:rPr>
          <w:rFonts w:ascii="Arial" w:hAnsi="Arial" w:cs="Arial"/>
        </w:rPr>
      </w:pPr>
      <w:r w:rsidRPr="00FE174A">
        <w:rPr>
          <w:rFonts w:ascii="Arial" w:hAnsi="Arial" w:cs="Arial"/>
        </w:rPr>
        <w:t xml:space="preserve">Funding pressures add to workforce problems. Care homes function mainly on a local authority commissioning basis at rates which will usually be far below the true cost of provision, and between financial viability and quality provision.  Pain had an alarming impact on one out of every three dying individuals, and over a third of the population reported experiencing depression most or all of their final week, documented in the Marie Curie Better End of Life </w:t>
      </w:r>
      <w:r w:rsidRPr="00FE174A">
        <w:rPr>
          <w:rFonts w:ascii="Arial" w:hAnsi="Arial" w:cs="Arial"/>
        </w:rPr>
        <w:lastRenderedPageBreak/>
        <w:t>report (Johansson et al., 2024). Since 2015, it has been the largest nationally representative survey. Although cutting across all settings, these results highlight the disparity between policy ideals and experiences.</w:t>
      </w:r>
    </w:p>
    <w:p w14:paraId="11296F0B" w14:textId="77777777" w:rsidR="00BE3788" w:rsidRPr="00FE174A" w:rsidRDefault="00BE3788" w:rsidP="003545E8">
      <w:pPr>
        <w:spacing w:after="0" w:line="360" w:lineRule="auto"/>
        <w:jc w:val="both"/>
        <w:rPr>
          <w:rFonts w:ascii="Arial" w:hAnsi="Arial" w:cs="Arial"/>
          <w:b/>
          <w:bCs/>
        </w:rPr>
      </w:pPr>
    </w:p>
    <w:p w14:paraId="44A301D2" w14:textId="77777777" w:rsidR="00D1686D" w:rsidRPr="00FE174A" w:rsidRDefault="00D1686D" w:rsidP="003545E8">
      <w:pPr>
        <w:pStyle w:val="Heading2"/>
        <w:spacing w:after="0"/>
      </w:pPr>
      <w:bookmarkStart w:id="20" w:name="_Toc220846948"/>
      <w:r w:rsidRPr="00FE174A">
        <w:t>2.4 What bereaved families experience: evidence on grief and satisfaction</w:t>
      </w:r>
      <w:bookmarkEnd w:id="20"/>
    </w:p>
    <w:p w14:paraId="31863B73" w14:textId="343B58CB" w:rsidR="0009326B" w:rsidRPr="00FE174A" w:rsidRDefault="0009326B" w:rsidP="003545E8">
      <w:pPr>
        <w:spacing w:after="0" w:line="360" w:lineRule="auto"/>
        <w:jc w:val="both"/>
        <w:rPr>
          <w:rFonts w:ascii="Arial" w:hAnsi="Arial" w:cs="Arial"/>
        </w:rPr>
      </w:pPr>
      <w:r w:rsidRPr="00FE174A">
        <w:rPr>
          <w:rFonts w:ascii="Arial" w:hAnsi="Arial" w:cs="Arial"/>
        </w:rPr>
        <w:t>Family experiences of end-of-life care in the residential setting are a growing yet still developing evidence base. Research has been conducted into anticipatory grief, satisfaction with care, communication and post-bereavement outcomes with complex patterns challenging simplistic assumptions about family needs.</w:t>
      </w:r>
    </w:p>
    <w:p w14:paraId="693B2013" w14:textId="4BC22D30" w:rsidR="0009326B" w:rsidRPr="00FE174A" w:rsidRDefault="0009326B" w:rsidP="003545E8">
      <w:pPr>
        <w:spacing w:after="0" w:line="360" w:lineRule="auto"/>
        <w:jc w:val="both"/>
        <w:rPr>
          <w:rFonts w:ascii="Arial" w:hAnsi="Arial" w:cs="Arial"/>
        </w:rPr>
      </w:pPr>
      <w:r w:rsidRPr="00FE174A">
        <w:rPr>
          <w:rFonts w:ascii="Arial" w:hAnsi="Arial" w:cs="Arial"/>
        </w:rPr>
        <w:t>Anticipatory grief - the emotional reaction to anticipated loss - is very much present long before death arrives. Holley and Mast (2009) have shown that anticipatory grief is significantly and independently related to caregiver burden beyond known predictors, including depressive symptoms. Their subsequent research (Holley and Mast, 2010) found that behavioural issues in care recipients were the most important predictor of anticipatory grief, with spouse caregivers reporting higher grief than adult-children, in this instance highlighting the influence of relationship type on grief experience. Lindauer and Harvath (2014) have offered some important conceptual clarification that distinguishes pre-death grief (as a response to losses already experienced) from anticipatory grief (as a response to anticipated future loss). This difference turns out to be important in the setting of care homes, where families are witnessing decline over months or years.</w:t>
      </w:r>
    </w:p>
    <w:p w14:paraId="6C773C1F" w14:textId="2554B3F5" w:rsidR="0009326B" w:rsidRPr="00FE174A" w:rsidRDefault="0009326B" w:rsidP="003545E8">
      <w:pPr>
        <w:spacing w:after="0" w:line="360" w:lineRule="auto"/>
        <w:jc w:val="both"/>
        <w:rPr>
          <w:rFonts w:ascii="Arial" w:hAnsi="Arial" w:cs="Arial"/>
        </w:rPr>
      </w:pPr>
      <w:r w:rsidRPr="00FE174A">
        <w:rPr>
          <w:rFonts w:ascii="Arial" w:hAnsi="Arial" w:cs="Arial"/>
        </w:rPr>
        <w:t>Garand et al. (2006) investigated anticipatory grief in fairly new caregivers and found that levels of grief were high even at the time of diagnosis. Female gender, increased burden of caregiving, and depression were all found to be independent predictors of anticipatory grief, indicating the possibility of opportunities for early identification and support. The research showed that anticipatory grief is not only a pre-death phenomenon, but a prolonged experience which requires continued attention throughout the care trajectory.</w:t>
      </w:r>
    </w:p>
    <w:p w14:paraId="0182CFEA" w14:textId="5E476EE7" w:rsidR="0009326B" w:rsidRPr="00FE174A" w:rsidRDefault="0009326B" w:rsidP="003545E8">
      <w:pPr>
        <w:spacing w:after="0" w:line="360" w:lineRule="auto"/>
        <w:jc w:val="both"/>
        <w:rPr>
          <w:rFonts w:ascii="Arial" w:hAnsi="Arial" w:cs="Arial"/>
        </w:rPr>
      </w:pPr>
      <w:r w:rsidRPr="00FE174A">
        <w:rPr>
          <w:rFonts w:ascii="Arial" w:hAnsi="Arial" w:cs="Arial"/>
        </w:rPr>
        <w:t>The nursing home setting brings some unique forms of grief. Givens et al. (20</w:t>
      </w:r>
      <w:r w:rsidR="00A442CF" w:rsidRPr="00FE174A">
        <w:rPr>
          <w:rFonts w:ascii="Arial" w:hAnsi="Arial" w:cs="Arial"/>
        </w:rPr>
        <w:t>09</w:t>
      </w:r>
      <w:r w:rsidRPr="00FE174A">
        <w:rPr>
          <w:rFonts w:ascii="Arial" w:hAnsi="Arial" w:cs="Arial"/>
        </w:rPr>
        <w:t>) prospectively monitored 123 bereaved family members and found that grief levels were relatively stable from pre-loss through 7 months post-loss - evidence of prolonged grieving that starts before death. Feelings of separation and yearning were the strongest symptoms. Of note, while pre-loss grief intensity and living with the resident before admission were the only factors independently associated with post-loss grief, admission to the care home itself may be an important loss event.</w:t>
      </w:r>
    </w:p>
    <w:p w14:paraId="483E2905" w14:textId="794F9479" w:rsidR="0009326B" w:rsidRPr="00FE174A" w:rsidRDefault="0009326B" w:rsidP="003545E8">
      <w:pPr>
        <w:spacing w:after="0" w:line="360" w:lineRule="auto"/>
        <w:jc w:val="both"/>
        <w:rPr>
          <w:rFonts w:ascii="Arial" w:hAnsi="Arial" w:cs="Arial"/>
        </w:rPr>
      </w:pPr>
      <w:r w:rsidRPr="00FE174A">
        <w:rPr>
          <w:rFonts w:ascii="Arial" w:hAnsi="Arial" w:cs="Arial"/>
        </w:rPr>
        <w:t xml:space="preserve">Kiely, Prigerson and Mitchell (2008) found that pre-death grief symptoms are different from depression and require different assessment and intervention approaches. Yearning and separation distress were experienced "sometimes, often, or always" by 60% of family proxies. </w:t>
      </w:r>
      <w:r w:rsidRPr="00FE174A">
        <w:rPr>
          <w:rFonts w:ascii="Arial" w:hAnsi="Arial" w:cs="Arial"/>
        </w:rPr>
        <w:lastRenderedPageBreak/>
        <w:t>Critically, lower satisfaction with care was linked with increased pre-death grief, which establishes a direct link between the quality of care and family well-being.</w:t>
      </w:r>
    </w:p>
    <w:p w14:paraId="268E03DD" w14:textId="3B8AF5BB" w:rsidR="0009326B" w:rsidRPr="00FE174A" w:rsidRDefault="0009326B" w:rsidP="003545E8">
      <w:pPr>
        <w:spacing w:after="0" w:line="360" w:lineRule="auto"/>
        <w:jc w:val="both"/>
        <w:rPr>
          <w:rFonts w:ascii="Arial" w:hAnsi="Arial" w:cs="Arial"/>
        </w:rPr>
      </w:pPr>
      <w:r w:rsidRPr="00FE174A">
        <w:rPr>
          <w:rFonts w:ascii="Arial" w:hAnsi="Arial" w:cs="Arial"/>
        </w:rPr>
        <w:t xml:space="preserve">Family satisfaction studies have found important determiners of positive experiences. Thompson et al (2008) conducted qualitative focus groups that identified two main themes: staff ability to recognise signs of imminent </w:t>
      </w:r>
      <w:r w:rsidR="00515FDB" w:rsidRPr="00FE174A">
        <w:rPr>
          <w:rFonts w:ascii="Arial" w:hAnsi="Arial" w:cs="Arial"/>
        </w:rPr>
        <w:t>dying and</w:t>
      </w:r>
      <w:r w:rsidRPr="00FE174A">
        <w:rPr>
          <w:rFonts w:ascii="Arial" w:hAnsi="Arial" w:cs="Arial"/>
        </w:rPr>
        <w:t xml:space="preserve"> communicating about the status of residents and care plans. Dissatisfied families showed guilt, anger, and frustration both during the life of the resident and into the bereavement. Engel, Kiely et al. (2006), in quantifying these relationships, found that greater satisfaction was associated with more time spent in discussion of advance directives, greater resident comfort, and residence in special care units. This is the first empirical evidence demonstrating the direct relationship between resident comfort and family satisfaction.</w:t>
      </w:r>
    </w:p>
    <w:p w14:paraId="2FAFDF30" w14:textId="544C4E87" w:rsidR="0009326B" w:rsidRPr="00FE174A" w:rsidRDefault="0009326B" w:rsidP="003545E8">
      <w:pPr>
        <w:spacing w:after="0" w:line="360" w:lineRule="auto"/>
        <w:jc w:val="both"/>
        <w:rPr>
          <w:rFonts w:ascii="Arial" w:hAnsi="Arial" w:cs="Arial"/>
        </w:rPr>
      </w:pPr>
      <w:r w:rsidRPr="00FE174A">
        <w:rPr>
          <w:rFonts w:ascii="Arial" w:hAnsi="Arial" w:cs="Arial"/>
        </w:rPr>
        <w:t>Complicated grief - a state of persistent separation, distress, and impairment of functioning affecting a substantial minority of bereaved caregivers. Schulz et al. (</w:t>
      </w:r>
      <w:r w:rsidR="00A534D5" w:rsidRPr="00FE174A">
        <w:rPr>
          <w:rFonts w:ascii="Arial" w:hAnsi="Arial" w:cs="Arial"/>
        </w:rPr>
        <w:t xml:space="preserve">2003; </w:t>
      </w:r>
      <w:r w:rsidRPr="00FE174A">
        <w:rPr>
          <w:rFonts w:ascii="Arial" w:hAnsi="Arial" w:cs="Arial"/>
        </w:rPr>
        <w:t>2006) have found that 20% of dementia caregivers presented with complicated grief in addition to high levels of post-death depression. Predictors range from the expected high pre-loss depression and burden, but also from positive experience as a caregiver, suggesting that closer, more meaningful relationships as a caregiver may paradoxically increase vulnerability to complicated grief. However, those caregivers who were enrolled in the psychosocial interventions reported less complicated grief, providing an evidence base for targeted support.</w:t>
      </w:r>
    </w:p>
    <w:p w14:paraId="06A7D473" w14:textId="77777777" w:rsidR="00BE3788" w:rsidRPr="00FE174A" w:rsidRDefault="00BE3788" w:rsidP="003545E8">
      <w:pPr>
        <w:spacing w:after="0" w:line="360" w:lineRule="auto"/>
        <w:jc w:val="both"/>
        <w:rPr>
          <w:rFonts w:ascii="Arial" w:hAnsi="Arial" w:cs="Arial"/>
          <w:b/>
          <w:bCs/>
        </w:rPr>
      </w:pPr>
    </w:p>
    <w:p w14:paraId="18A4A7BA" w14:textId="77777777" w:rsidR="00F8180C" w:rsidRPr="00FE174A" w:rsidRDefault="00F8180C" w:rsidP="003545E8">
      <w:pPr>
        <w:pStyle w:val="Heading1"/>
        <w:spacing w:after="0"/>
      </w:pPr>
      <w:bookmarkStart w:id="21" w:name="_Toc220573299"/>
      <w:bookmarkStart w:id="22" w:name="_Toc220846949"/>
      <w:r w:rsidRPr="00FE174A">
        <w:t>2.5 Staff perspectives: emotional labour, grief, and organisational challenges</w:t>
      </w:r>
      <w:bookmarkEnd w:id="21"/>
      <w:bookmarkEnd w:id="22"/>
    </w:p>
    <w:p w14:paraId="52F99AC4" w14:textId="23DE5692" w:rsidR="004E2E9B" w:rsidRPr="00FE174A" w:rsidRDefault="004E2E9B" w:rsidP="003545E8">
      <w:pPr>
        <w:spacing w:after="0" w:line="360" w:lineRule="auto"/>
        <w:jc w:val="both"/>
        <w:rPr>
          <w:rFonts w:ascii="Arial" w:hAnsi="Arial" w:cs="Arial"/>
        </w:rPr>
      </w:pPr>
      <w:r w:rsidRPr="00FE174A">
        <w:rPr>
          <w:rFonts w:ascii="Arial" w:hAnsi="Arial" w:cs="Arial"/>
        </w:rPr>
        <w:t>Care home staff are in a particular position in end-of-life care, forming long-term relationships with the people they live with</w:t>
      </w:r>
      <w:r w:rsidR="00366E05">
        <w:rPr>
          <w:rFonts w:ascii="Arial" w:hAnsi="Arial" w:cs="Arial"/>
        </w:rPr>
        <w:t>,</w:t>
      </w:r>
      <w:r w:rsidRPr="00FE174A">
        <w:rPr>
          <w:rFonts w:ascii="Arial" w:hAnsi="Arial" w:cs="Arial"/>
        </w:rPr>
        <w:t xml:space="preserve"> but often without the training, support, and recognition for this work. Research has been done investigating training needs, emotional impact, workforce dynamics, and problems with collaboration that reveal a workforce under considerable stress.</w:t>
      </w:r>
    </w:p>
    <w:p w14:paraId="11C06893" w14:textId="666BE272" w:rsidR="004E2E9B" w:rsidRPr="00FE174A" w:rsidRDefault="004E2E9B" w:rsidP="003545E8">
      <w:pPr>
        <w:spacing w:after="0" w:line="360" w:lineRule="auto"/>
        <w:jc w:val="both"/>
        <w:rPr>
          <w:rFonts w:ascii="Arial" w:hAnsi="Arial" w:cs="Arial"/>
        </w:rPr>
      </w:pPr>
      <w:r w:rsidRPr="00FE174A">
        <w:rPr>
          <w:rFonts w:ascii="Arial" w:hAnsi="Arial" w:cs="Arial"/>
        </w:rPr>
        <w:t>Froggatt's seminal work in 2001 questioned assumptions underlying educational initiatives for nursing home staff, recommending the need for recognition of available expertise from within the care homes rather than the transfer of hospice principles. She proposed collaborative approaches bringing palliative care to nursing home practice, and this insight has served the programmes over time. Goodman et al. (2015</w:t>
      </w:r>
      <w:r w:rsidR="00A442CF" w:rsidRPr="00FE174A">
        <w:rPr>
          <w:rFonts w:ascii="Arial" w:hAnsi="Arial" w:cs="Arial"/>
        </w:rPr>
        <w:t>; 2016</w:t>
      </w:r>
      <w:r w:rsidRPr="00FE174A">
        <w:rPr>
          <w:rFonts w:ascii="Arial" w:hAnsi="Arial" w:cs="Arial"/>
        </w:rPr>
        <w:t>) developed this further with research in 29 care homes, with 528 residents and 205 staff members, which identified three key uncertainties: treatment uncertainty, relational uncertainty and service uncertainty. While interventions led to increased staff levels of knowledge and confidence, underlying ambiguity about 'who should do what and when' had remained an underpinning challenge.</w:t>
      </w:r>
    </w:p>
    <w:p w14:paraId="34DCD0EB" w14:textId="50D60374" w:rsidR="004E2E9B" w:rsidRPr="00FE174A" w:rsidRDefault="004E2E9B" w:rsidP="003545E8">
      <w:pPr>
        <w:spacing w:after="0" w:line="360" w:lineRule="auto"/>
        <w:jc w:val="both"/>
        <w:rPr>
          <w:rFonts w:ascii="Arial" w:hAnsi="Arial" w:cs="Arial"/>
        </w:rPr>
      </w:pPr>
      <w:r w:rsidRPr="00FE174A">
        <w:rPr>
          <w:rFonts w:ascii="Arial" w:hAnsi="Arial" w:cs="Arial"/>
        </w:rPr>
        <w:t xml:space="preserve">The emotional burden of recurrent resident death on the staff has been the subject of growing research interest. Boerner et al. (2015) examined 140 certified nursing assistants and 80 home care workers, who found grief reactions were similar to those of bereaved family caregivers. </w:t>
      </w:r>
      <w:r w:rsidRPr="00FE174A">
        <w:rPr>
          <w:rFonts w:ascii="Arial" w:hAnsi="Arial" w:cs="Arial"/>
        </w:rPr>
        <w:lastRenderedPageBreak/>
        <w:t xml:space="preserve">Staff felt frequently that they were "not at all prepared" for deaths, and feelings of grief intensity were associated with relationship closeness, duration of care, and emotional preparedness. Anderson and Ewen (2011) surveyed 380 nursing assistants, </w:t>
      </w:r>
      <w:r w:rsidR="00720682" w:rsidRPr="00FE174A">
        <w:rPr>
          <w:rFonts w:ascii="Arial" w:hAnsi="Arial" w:cs="Arial"/>
        </w:rPr>
        <w:t>who</w:t>
      </w:r>
      <w:r w:rsidRPr="00FE174A">
        <w:rPr>
          <w:rFonts w:ascii="Arial" w:hAnsi="Arial" w:cs="Arial"/>
        </w:rPr>
        <w:t xml:space="preserve"> showed that grief distress was a predictive factor of increased burnout and decreased psychological and physical well-being. Conversely, those with post-traumatic growth as a result of grief had lower burnout and greater job satisfaction, implying some potential for transformative changes instead of detrimental consequences.</w:t>
      </w:r>
    </w:p>
    <w:p w14:paraId="52DB5EFD" w14:textId="2A987E80" w:rsidR="004E2E9B" w:rsidRPr="00FE174A" w:rsidRDefault="004E2E9B" w:rsidP="003545E8">
      <w:pPr>
        <w:spacing w:after="0" w:line="360" w:lineRule="auto"/>
        <w:jc w:val="both"/>
        <w:rPr>
          <w:rFonts w:ascii="Arial" w:hAnsi="Arial" w:cs="Arial"/>
        </w:rPr>
      </w:pPr>
      <w:r w:rsidRPr="00FE174A">
        <w:rPr>
          <w:rFonts w:ascii="Arial" w:hAnsi="Arial" w:cs="Arial"/>
        </w:rPr>
        <w:t>Marcella and Kelley's (2015) qualitative research, entitled, evocatively, Death Is Part of the Job, identified the following four shaping factors: the emotional impact of the individual loss, the cumulative burden of ongoing grief, organisational cultures that hide or minimise death, and lack of support or education. Their eight recommendations for organisational policy outline a practical framework for dealing with staff grief on a systematic basis.</w:t>
      </w:r>
    </w:p>
    <w:p w14:paraId="2D17BAEE" w14:textId="6B125C8C" w:rsidR="004E2E9B" w:rsidRPr="00FE174A" w:rsidRDefault="004E2E9B" w:rsidP="003545E8">
      <w:pPr>
        <w:spacing w:after="0" w:line="360" w:lineRule="auto"/>
        <w:jc w:val="both"/>
        <w:rPr>
          <w:rFonts w:ascii="Arial" w:hAnsi="Arial" w:cs="Arial"/>
        </w:rPr>
      </w:pPr>
      <w:r w:rsidRPr="00FE174A">
        <w:rPr>
          <w:rFonts w:ascii="Arial" w:hAnsi="Arial" w:cs="Arial"/>
        </w:rPr>
        <w:t>The concept of emotional labour offers a theoretical purchase on staff experiences. James (1989) defined emotional labour as "the labour involved in dealing with other people's feelings, one core component of which is the regulation of emotions." Her subsequent research in hospice settings (James, 1992) identified care as consisting of organisation, physical labour and emotional labour, with the emotional labour remaining undervalued and invisible. This analysis sheds light on the fact that care home staff may feel a significant burden without formal acknowledgement or support.</w:t>
      </w:r>
    </w:p>
    <w:p w14:paraId="5C77F0DD" w14:textId="309C2DCA" w:rsidR="004E2E9B" w:rsidRPr="00FE174A" w:rsidRDefault="004E2E9B" w:rsidP="003545E8">
      <w:pPr>
        <w:spacing w:after="0" w:line="360" w:lineRule="auto"/>
        <w:jc w:val="both"/>
        <w:rPr>
          <w:rFonts w:ascii="Arial" w:hAnsi="Arial" w:cs="Arial"/>
        </w:rPr>
      </w:pPr>
      <w:r w:rsidRPr="00FE174A">
        <w:rPr>
          <w:rFonts w:ascii="Arial" w:hAnsi="Arial" w:cs="Arial"/>
        </w:rPr>
        <w:t>Organisational and cultural factors are fundamental to the quality of care and experience of staff. Tellis-Nayak and Tellis-Nayak (1989) have documented cultural clashes between the background of nurse aides and the nursing home institutional environment, demonstrating the effect of organisational culture on the quality of care. Tellis-Nayak (2007) further stated that the relationship between nursing supervisors and nurse aides plays a significant role in the development of person-centred workplaces and has implications for job satisfaction and retention. These findings suggest that to address the issues of staff experience, organisational rather than individual-level intervention is required.</w:t>
      </w:r>
    </w:p>
    <w:p w14:paraId="6E3D6837" w14:textId="3FCCBE5D" w:rsidR="00964ECD" w:rsidRPr="00FE174A" w:rsidRDefault="004E2E9B" w:rsidP="003545E8">
      <w:pPr>
        <w:spacing w:after="0" w:line="360" w:lineRule="auto"/>
        <w:jc w:val="both"/>
        <w:rPr>
          <w:rFonts w:ascii="Arial" w:hAnsi="Arial" w:cs="Arial"/>
        </w:rPr>
      </w:pPr>
      <w:r w:rsidRPr="00FE174A">
        <w:rPr>
          <w:rFonts w:ascii="Arial" w:hAnsi="Arial" w:cs="Arial"/>
        </w:rPr>
        <w:t xml:space="preserve">Muldrew et al. (2020) </w:t>
      </w:r>
      <w:r w:rsidR="003545E8" w:rsidRPr="00FE174A">
        <w:rPr>
          <w:rFonts w:ascii="Arial" w:hAnsi="Arial" w:cs="Arial"/>
        </w:rPr>
        <w:t>surveyed</w:t>
      </w:r>
      <w:r w:rsidRPr="00FE174A">
        <w:rPr>
          <w:rFonts w:ascii="Arial" w:hAnsi="Arial" w:cs="Arial"/>
        </w:rPr>
        <w:t xml:space="preserve"> 123 nurses in the UK and Canadian care facilities concerning the ethical questions related to palliative care. Frequently reported issues were maintaining resident autonomy, dealing with distress for the family, poor communication among staff, and a lack of time. Higher distress was observed due to poor communication, lack of training, and disagreement between family members - demonstrating the connection between family dynamics and staff wellbeing that current research is unlikely to look at directly.</w:t>
      </w:r>
    </w:p>
    <w:p w14:paraId="50BEEF17" w14:textId="77777777" w:rsidR="003C729A" w:rsidRDefault="003C729A" w:rsidP="003545E8">
      <w:pPr>
        <w:spacing w:after="0" w:line="360" w:lineRule="auto"/>
        <w:jc w:val="both"/>
        <w:rPr>
          <w:ins w:id="23" w:author="Farah Wiita" w:date="2026-02-01T17:17:00Z" w16du:dateUtc="2026-02-01T17:17:00Z"/>
          <w:rFonts w:ascii="Arial" w:hAnsi="Arial" w:cs="Arial"/>
          <w:b/>
          <w:bCs/>
        </w:rPr>
      </w:pPr>
    </w:p>
    <w:p w14:paraId="3DCE4B92" w14:textId="77777777" w:rsidR="00FA6F39" w:rsidRDefault="00FA6F39" w:rsidP="003545E8">
      <w:pPr>
        <w:spacing w:after="0" w:line="360" w:lineRule="auto"/>
        <w:jc w:val="both"/>
        <w:rPr>
          <w:ins w:id="24" w:author="Farah Wiita" w:date="2026-02-01T17:17:00Z" w16du:dateUtc="2026-02-01T17:17:00Z"/>
          <w:rFonts w:ascii="Arial" w:hAnsi="Arial" w:cs="Arial"/>
          <w:b/>
          <w:bCs/>
        </w:rPr>
      </w:pPr>
    </w:p>
    <w:p w14:paraId="370872AE" w14:textId="77777777" w:rsidR="00FA6F39" w:rsidRDefault="00FA6F39" w:rsidP="003545E8">
      <w:pPr>
        <w:spacing w:after="0" w:line="360" w:lineRule="auto"/>
        <w:jc w:val="both"/>
        <w:rPr>
          <w:ins w:id="25" w:author="Farah Wiita" w:date="2026-02-01T17:17:00Z" w16du:dateUtc="2026-02-01T17:17:00Z"/>
          <w:rFonts w:ascii="Arial" w:hAnsi="Arial" w:cs="Arial"/>
          <w:b/>
          <w:bCs/>
        </w:rPr>
      </w:pPr>
    </w:p>
    <w:p w14:paraId="6B3675A6" w14:textId="77777777" w:rsidR="00FA6F39" w:rsidRPr="00FE174A" w:rsidRDefault="00FA6F39" w:rsidP="003545E8">
      <w:pPr>
        <w:spacing w:after="0" w:line="360" w:lineRule="auto"/>
        <w:jc w:val="both"/>
        <w:rPr>
          <w:rFonts w:ascii="Arial" w:hAnsi="Arial" w:cs="Arial"/>
          <w:b/>
          <w:bCs/>
        </w:rPr>
      </w:pPr>
    </w:p>
    <w:p w14:paraId="5EC11479" w14:textId="77777777" w:rsidR="00964ECD" w:rsidRPr="00FE174A" w:rsidRDefault="00964ECD" w:rsidP="003545E8">
      <w:pPr>
        <w:pStyle w:val="Heading2"/>
        <w:spacing w:after="0"/>
      </w:pPr>
      <w:bookmarkStart w:id="26" w:name="_Toc220846950"/>
      <w:r w:rsidRPr="00FE174A">
        <w:lastRenderedPageBreak/>
        <w:t>2.6 Policy frameworks and quality programmes: implementation landscape</w:t>
      </w:r>
      <w:bookmarkEnd w:id="26"/>
    </w:p>
    <w:p w14:paraId="0776FD39" w14:textId="4E080924" w:rsidR="004E2E9B" w:rsidRPr="00FE174A" w:rsidRDefault="004E2E9B" w:rsidP="003545E8">
      <w:pPr>
        <w:spacing w:after="0" w:line="360" w:lineRule="auto"/>
        <w:jc w:val="both"/>
        <w:rPr>
          <w:rFonts w:ascii="Arial" w:hAnsi="Arial" w:cs="Arial"/>
        </w:rPr>
      </w:pPr>
      <w:r w:rsidRPr="00FE174A">
        <w:rPr>
          <w:rFonts w:ascii="Arial" w:hAnsi="Arial" w:cs="Arial"/>
        </w:rPr>
        <w:t>The UK's policy and practice infrastructure for end-of-life care in care homes includes national guidance, professional standards and quality improvement programmes in operation at different levels of implementation.</w:t>
      </w:r>
    </w:p>
    <w:p w14:paraId="1123C886" w14:textId="2EA32717" w:rsidR="004E2E9B" w:rsidRPr="00FE174A" w:rsidRDefault="004E2E9B" w:rsidP="003545E8">
      <w:pPr>
        <w:spacing w:after="0" w:line="360" w:lineRule="auto"/>
        <w:jc w:val="both"/>
        <w:rPr>
          <w:rFonts w:ascii="Arial" w:hAnsi="Arial" w:cs="Arial"/>
        </w:rPr>
      </w:pPr>
      <w:r w:rsidRPr="00FE174A">
        <w:rPr>
          <w:rFonts w:ascii="Arial" w:hAnsi="Arial" w:cs="Arial"/>
        </w:rPr>
        <w:t>The Gold Standards Framework Care Homes Program is the most popular quality improvement initiative represented in this way, with thousands of care homes having completed the programme since 2004 (Gold Standards Framework Centre, 2025). The programme is focused on proactive identification, advanced care planning and coordination of care to reduce hospital admissions that are not anticipated. GSF's Quality Hallmark Award is an accreditation recognised by CQC as a marker of quality care, creating incentives for organisational engagement.</w:t>
      </w:r>
    </w:p>
    <w:p w14:paraId="6F0ED64D" w14:textId="34D7D2D9" w:rsidR="004E2E9B" w:rsidRPr="00FE174A" w:rsidRDefault="004E2E9B" w:rsidP="003545E8">
      <w:pPr>
        <w:spacing w:after="0" w:line="360" w:lineRule="auto"/>
        <w:jc w:val="both"/>
        <w:rPr>
          <w:rFonts w:ascii="Arial" w:hAnsi="Arial" w:cs="Arial"/>
        </w:rPr>
      </w:pPr>
      <w:r w:rsidRPr="00FE174A">
        <w:rPr>
          <w:rFonts w:ascii="Arial" w:hAnsi="Arial" w:cs="Arial"/>
        </w:rPr>
        <w:t>The Six Steps to Success Programme (NHS England North West, 2022), created with support from the National End of Life Care Programme, is an alternative approach that is underpinned by the Route to Success guides. The programme aims to improve care through organisational change and staff development at discussions as end of life approaches, care coordination, care in the last days and bereavement support. Both GSF and Six Steps meet training needs found in the research literature, but there have been limited evaluations of their effectiveness.</w:t>
      </w:r>
    </w:p>
    <w:p w14:paraId="636C2E27" w14:textId="661402A8" w:rsidR="004E2E9B" w:rsidRPr="00FE174A" w:rsidRDefault="004E2E9B" w:rsidP="003545E8">
      <w:pPr>
        <w:spacing w:after="0" w:line="360" w:lineRule="auto"/>
        <w:jc w:val="both"/>
        <w:rPr>
          <w:rFonts w:ascii="Arial" w:hAnsi="Arial" w:cs="Arial"/>
        </w:rPr>
      </w:pPr>
      <w:r w:rsidRPr="00FE174A">
        <w:rPr>
          <w:rFonts w:ascii="Arial" w:hAnsi="Arial" w:cs="Arial"/>
        </w:rPr>
        <w:t>Complementary guidance is available through professional bodies. The Royal College of Nursing (2025) makes end-of-life care everybody's business and not just those of specialist nurses; it has professional resources and training modules available. The RCN has links to the Leadership Alliance for Care of Dying People's "One Chance to Get It Right" priorities, and partners with Hospice UK (2024), care after death guidance.</w:t>
      </w:r>
    </w:p>
    <w:p w14:paraId="48336AC7" w14:textId="0973823D" w:rsidR="004E2E9B" w:rsidRPr="00FE174A" w:rsidRDefault="004E2E9B" w:rsidP="003545E8">
      <w:pPr>
        <w:spacing w:after="0" w:line="360" w:lineRule="auto"/>
        <w:jc w:val="both"/>
        <w:rPr>
          <w:rFonts w:ascii="Arial" w:hAnsi="Arial" w:cs="Arial"/>
          <w:b/>
          <w:bCs/>
        </w:rPr>
      </w:pPr>
      <w:r w:rsidRPr="00FE174A">
        <w:rPr>
          <w:rFonts w:ascii="Arial" w:hAnsi="Arial" w:cs="Arial"/>
        </w:rPr>
        <w:t>Despite these infrastructures, there are major gaps in implementation. The Marie Curie survey (Johansson et al., 2024) did document experiences against policy aspirations, and CQC (2024) maintains the identification of variation in quality. The gap between framework availability and consistent implementation is one of the main challenges for the sector.</w:t>
      </w:r>
    </w:p>
    <w:p w14:paraId="7794419C" w14:textId="77777777" w:rsidR="004E2E9B" w:rsidRPr="00FE174A" w:rsidRDefault="004E2E9B" w:rsidP="003545E8">
      <w:pPr>
        <w:spacing w:after="0" w:line="360" w:lineRule="auto"/>
        <w:jc w:val="both"/>
        <w:rPr>
          <w:rFonts w:ascii="Arial" w:hAnsi="Arial" w:cs="Arial"/>
          <w:b/>
          <w:bCs/>
        </w:rPr>
      </w:pPr>
    </w:p>
    <w:p w14:paraId="6974836C" w14:textId="77777777" w:rsidR="006E0DA5" w:rsidRPr="00FE174A" w:rsidRDefault="006E0DA5" w:rsidP="003545E8">
      <w:pPr>
        <w:pStyle w:val="Heading2"/>
        <w:spacing w:after="0"/>
      </w:pPr>
      <w:bookmarkStart w:id="27" w:name="_Toc220846951"/>
      <w:r w:rsidRPr="00FE174A">
        <w:t>2.7 Synthesis and gap identification: where staff and family experiences meet</w:t>
      </w:r>
      <w:bookmarkEnd w:id="27"/>
    </w:p>
    <w:p w14:paraId="67A9E6B9" w14:textId="19D01435" w:rsidR="004E2E9B" w:rsidRPr="00FE174A" w:rsidRDefault="004E2E9B" w:rsidP="003545E8">
      <w:pPr>
        <w:spacing w:after="0" w:line="360" w:lineRule="auto"/>
        <w:jc w:val="both"/>
        <w:rPr>
          <w:rFonts w:ascii="Arial" w:hAnsi="Arial" w:cs="Arial"/>
        </w:rPr>
      </w:pPr>
      <w:r w:rsidRPr="00FE174A">
        <w:rPr>
          <w:rFonts w:ascii="Arial" w:hAnsi="Arial" w:cs="Arial"/>
        </w:rPr>
        <w:t>This review shows that there are significant bodies of evidence investigating family experiences and staff perspectives as independent phenomena, but also very little research discussing their intersection. Familieserness - Anticipatory grief - satisfaction - mediated - Communication - Risk for Complicated Bereavement Staff experience emotional labour, accumulative grief and organisational barriers to quality care. Both groups' experiences are affected by the same deaths, the same organisational contexts and the same care relationships - yet research has mostly considered them in isolation.</w:t>
      </w:r>
    </w:p>
    <w:p w14:paraId="6EFC368F" w14:textId="529C32F8" w:rsidR="004E2E9B" w:rsidRPr="00FE174A" w:rsidRDefault="004E2E9B" w:rsidP="003545E8">
      <w:pPr>
        <w:spacing w:after="0" w:line="360" w:lineRule="auto"/>
        <w:jc w:val="both"/>
        <w:rPr>
          <w:rFonts w:ascii="Arial" w:hAnsi="Arial" w:cs="Arial"/>
        </w:rPr>
      </w:pPr>
      <w:r w:rsidRPr="00FE174A">
        <w:rPr>
          <w:rFonts w:ascii="Arial" w:hAnsi="Arial" w:cs="Arial"/>
        </w:rPr>
        <w:t xml:space="preserve">The evidence reviewed identifies a number of gaps of interest for investigation. First, though family satisfaction research shows that staff communication is key, exactly how staff </w:t>
      </w:r>
      <w:r w:rsidRPr="00FE174A">
        <w:rPr>
          <w:rFonts w:ascii="Arial" w:hAnsi="Arial" w:cs="Arial"/>
        </w:rPr>
        <w:lastRenderedPageBreak/>
        <w:t>experience and negotiate these communications is understudied. Second, the emotional labour framework indicates that staff control their emotions in interactions with families, but the two-way influence of family grief on staff wellbeing is seldom explored. Third, organisational factors influence both family and staff experiences; however, how these parallel pathways interact in particular care home contexts is unclear.</w:t>
      </w:r>
    </w:p>
    <w:p w14:paraId="4C5FFF9D" w14:textId="14216F60" w:rsidR="009706D0" w:rsidRPr="00FE174A" w:rsidRDefault="004E2E9B" w:rsidP="003545E8">
      <w:pPr>
        <w:spacing w:after="0" w:line="360" w:lineRule="auto"/>
        <w:jc w:val="both"/>
        <w:rPr>
          <w:rFonts w:ascii="Arial" w:hAnsi="Arial" w:cs="Arial"/>
        </w:rPr>
      </w:pPr>
      <w:r w:rsidRPr="00FE174A">
        <w:rPr>
          <w:rFonts w:ascii="Arial" w:hAnsi="Arial" w:cs="Arial"/>
        </w:rPr>
        <w:t>This systematic review therefore addresses a critical gap: understanding the relationships between experienced feelings or perceptions of bereaved family and care staff that affect each other in residential care settings in the UK. By using processes to synthesise evidence from both perspectives at the same time, the review will attempt to produce insights for policy and practice that respond to the relational nature of end-of-life care conceptualised in person-centred and relationship-centred approaches.</w:t>
      </w:r>
      <w:r w:rsidRPr="00FE174A">
        <w:rPr>
          <w:rFonts w:ascii="Arial" w:hAnsi="Arial" w:cs="Arial"/>
          <w:b/>
          <w:bCs/>
        </w:rPr>
        <w:t xml:space="preserve">  </w:t>
      </w:r>
    </w:p>
    <w:p w14:paraId="48B5E45D" w14:textId="77777777" w:rsidR="003C729A" w:rsidRPr="00FE174A" w:rsidRDefault="003C729A" w:rsidP="003545E8">
      <w:pPr>
        <w:spacing w:after="0" w:line="360" w:lineRule="auto"/>
        <w:jc w:val="both"/>
        <w:rPr>
          <w:rFonts w:ascii="Arial" w:hAnsi="Arial" w:cs="Arial"/>
        </w:rPr>
      </w:pPr>
    </w:p>
    <w:p w14:paraId="38BA58A8" w14:textId="77777777" w:rsidR="003545E8" w:rsidRPr="00FE174A" w:rsidRDefault="003545E8">
      <w:pPr>
        <w:rPr>
          <w:rFonts w:ascii="Arial" w:eastAsia="Times New Roman" w:hAnsi="Arial" w:cs="Arial"/>
          <w:b/>
          <w:color w:val="000000"/>
        </w:rPr>
      </w:pPr>
      <w:bookmarkStart w:id="28" w:name="_Toc220573300"/>
      <w:r w:rsidRPr="00FE174A">
        <w:rPr>
          <w:rFonts w:ascii="Arial" w:hAnsi="Arial" w:cs="Arial"/>
        </w:rPr>
        <w:br w:type="page"/>
      </w:r>
    </w:p>
    <w:p w14:paraId="523AB4EA" w14:textId="56C0AD04" w:rsidR="009F64C5" w:rsidRPr="00FE174A" w:rsidRDefault="00DD7AA5" w:rsidP="003545E8">
      <w:pPr>
        <w:pStyle w:val="Heading1"/>
        <w:spacing w:after="0"/>
      </w:pPr>
      <w:bookmarkStart w:id="29" w:name="_Toc220846952"/>
      <w:r w:rsidRPr="00FE174A">
        <w:lastRenderedPageBreak/>
        <w:t>Chapter 3: Research Methodology</w:t>
      </w:r>
      <w:bookmarkEnd w:id="28"/>
      <w:bookmarkEnd w:id="29"/>
      <w:r w:rsidRPr="00FE174A">
        <w:t xml:space="preserve"> </w:t>
      </w:r>
    </w:p>
    <w:p w14:paraId="3D77E813" w14:textId="0506B1DC" w:rsidR="005E4055" w:rsidRPr="00FE174A" w:rsidRDefault="005E4055" w:rsidP="003545E8">
      <w:pPr>
        <w:pStyle w:val="Heading2"/>
        <w:spacing w:after="0"/>
      </w:pPr>
      <w:bookmarkStart w:id="30" w:name="_Toc220846953"/>
      <w:r w:rsidRPr="00FE174A">
        <w:t>3.1 Introduction</w:t>
      </w:r>
      <w:bookmarkEnd w:id="30"/>
    </w:p>
    <w:p w14:paraId="3C0EF532" w14:textId="28C8E532" w:rsidR="005E4055" w:rsidRPr="00FE174A" w:rsidRDefault="00690A8A" w:rsidP="003545E8">
      <w:pPr>
        <w:spacing w:after="0" w:line="360" w:lineRule="auto"/>
        <w:jc w:val="both"/>
        <w:rPr>
          <w:rFonts w:ascii="Arial" w:hAnsi="Arial" w:cs="Arial"/>
        </w:rPr>
      </w:pPr>
      <w:r w:rsidRPr="00FE174A">
        <w:rPr>
          <w:rFonts w:ascii="Arial" w:hAnsi="Arial" w:cs="Arial"/>
        </w:rPr>
        <w:t>This chapter describes the systematic review methodology to answer the research question: What are the experiences of bereaved family members and care home staff with end-of-life care in residential care homes in the UK? To ensure a transparent and reproducible conduct, the methodology followed the PRISMA 2020 framework (Page et al., 2021) of systematic reviews and meta-analyses. The chapter outlines the research design, search strategy, eligibility criteria, study selection, quality assessment, and data synthesis strategy. The methodological choices aimed to address the four research objectives that were discussed in Chapter 1 in a systematic manner without compromising on scientific rigour.</w:t>
      </w:r>
    </w:p>
    <w:p w14:paraId="24E16644" w14:textId="11BC4142" w:rsidR="005E4055" w:rsidRPr="00FE174A" w:rsidRDefault="005E4055" w:rsidP="003545E8">
      <w:pPr>
        <w:spacing w:after="0" w:line="360" w:lineRule="auto"/>
        <w:jc w:val="both"/>
        <w:rPr>
          <w:rFonts w:ascii="Arial" w:hAnsi="Arial" w:cs="Arial"/>
        </w:rPr>
      </w:pPr>
    </w:p>
    <w:p w14:paraId="761D1624" w14:textId="77777777" w:rsidR="005E4055" w:rsidRPr="00FE174A" w:rsidRDefault="005E4055" w:rsidP="003545E8">
      <w:pPr>
        <w:pStyle w:val="Heading2"/>
        <w:spacing w:after="0"/>
      </w:pPr>
      <w:bookmarkStart w:id="31" w:name="_Toc220846954"/>
      <w:r w:rsidRPr="00FE174A">
        <w:t>3.2 Research Design and Philosophical Position</w:t>
      </w:r>
      <w:bookmarkEnd w:id="31"/>
    </w:p>
    <w:p w14:paraId="6A95BA93" w14:textId="61B739E9" w:rsidR="00690A8A" w:rsidRPr="00FE174A" w:rsidRDefault="00690A8A" w:rsidP="003545E8">
      <w:pPr>
        <w:spacing w:after="0" w:line="360" w:lineRule="auto"/>
        <w:jc w:val="both"/>
        <w:rPr>
          <w:rFonts w:ascii="Arial" w:hAnsi="Arial" w:cs="Arial"/>
        </w:rPr>
      </w:pPr>
      <w:r w:rsidRPr="00FE174A">
        <w:rPr>
          <w:rFonts w:ascii="Arial" w:hAnsi="Arial" w:cs="Arial"/>
        </w:rPr>
        <w:t>A systematic review design was used in this study, as it is a suitable methodological choice in terms of synthesizing the existing qualitative and mixed-method research on experiential phenomena (Booth et al., 20</w:t>
      </w:r>
      <w:r w:rsidR="00815268" w:rsidRPr="00FE174A">
        <w:rPr>
          <w:rFonts w:ascii="Arial" w:hAnsi="Arial" w:cs="Arial"/>
        </w:rPr>
        <w:t>22</w:t>
      </w:r>
      <w:r w:rsidRPr="00FE174A">
        <w:rPr>
          <w:rFonts w:ascii="Arial" w:hAnsi="Arial" w:cs="Arial"/>
        </w:rPr>
        <w:t>). Systematic reviews facilitate comprehensive identification, critical appraisal, and synthesis of all pertinent research on a given research question, which in turn reduces bias and offers effective evidence to guide practice and policy formulation (Aromataris and Pearson, 2014). This review used the PRISMA 2020 framework (Page et al., 2021) to organize its methods and include clear reporting principles, which increase transparency and reproducibility.</w:t>
      </w:r>
    </w:p>
    <w:p w14:paraId="0C7B95A0" w14:textId="772A8B23" w:rsidR="00EB6C8E" w:rsidRPr="00FE174A" w:rsidRDefault="00EB6C8E" w:rsidP="003545E8">
      <w:pPr>
        <w:spacing w:after="0" w:line="360" w:lineRule="auto"/>
        <w:jc w:val="both"/>
        <w:rPr>
          <w:rFonts w:ascii="Arial" w:hAnsi="Arial" w:cs="Arial"/>
        </w:rPr>
      </w:pPr>
      <w:r w:rsidRPr="00FE174A">
        <w:rPr>
          <w:rFonts w:ascii="Arial" w:hAnsi="Arial" w:cs="Arial"/>
        </w:rPr>
        <w:t>The study relied on an interpretivist paradigm that acknowledges human experiences as regulated and contextualized (Lincoln and Guba, 1985). This philosophical standpoint recognizes that grieved relatives and care facility personnel derive meaning about their end of life care experiences depending on individual, interrelation, and organizational situational circumstances. An interpretivist is a paradigm that favours the testimonies of the individuals themselves who have provided and received end-of-life care and aims to comprehend the various realities and subjective perceptions defining these experiences (Creswell and Poth, 2018).</w:t>
      </w:r>
    </w:p>
    <w:p w14:paraId="60C7023A" w14:textId="279B2E05" w:rsidR="00EB6C8E" w:rsidRPr="00FE174A" w:rsidRDefault="00EB6C8E" w:rsidP="003545E8">
      <w:pPr>
        <w:spacing w:after="0" w:line="360" w:lineRule="auto"/>
        <w:jc w:val="both"/>
        <w:rPr>
          <w:rFonts w:ascii="Arial" w:hAnsi="Arial" w:cs="Arial"/>
        </w:rPr>
      </w:pPr>
      <w:r w:rsidRPr="00FE174A">
        <w:rPr>
          <w:rFonts w:ascii="Arial" w:hAnsi="Arial" w:cs="Arial"/>
        </w:rPr>
        <w:t>To explore this question, qualitative and mixed-methods studies were considered the most suitable due to their ability to provide rich and descriptive narratives of lived experience, with complexity, nuance, and context that other quantitative methodologies cannot access (Pope and Mays, 2020). Only studies with a significant qualitative part were also included in the definition of mixed-method studies because such studies might offer both scope (quantitative data) and depth (qualitative exploration), contributing more to the comprehension of multifaceted healthcare phenomena (Creswell and Plano Clark, 201</w:t>
      </w:r>
      <w:r w:rsidR="00761D9B" w:rsidRPr="00FE174A">
        <w:rPr>
          <w:rFonts w:ascii="Arial" w:hAnsi="Arial" w:cs="Arial"/>
        </w:rPr>
        <w:t>8</w:t>
      </w:r>
      <w:r w:rsidRPr="00FE174A">
        <w:rPr>
          <w:rFonts w:ascii="Arial" w:hAnsi="Arial" w:cs="Arial"/>
        </w:rPr>
        <w:t>).</w:t>
      </w:r>
    </w:p>
    <w:p w14:paraId="28ABDA73" w14:textId="7F4BBA49" w:rsidR="006E066D" w:rsidRPr="00FE174A" w:rsidRDefault="006E066D" w:rsidP="003545E8">
      <w:pPr>
        <w:spacing w:after="0" w:line="360" w:lineRule="auto"/>
        <w:jc w:val="both"/>
        <w:rPr>
          <w:rFonts w:ascii="Arial" w:hAnsi="Arial" w:cs="Arial"/>
        </w:rPr>
      </w:pPr>
      <w:r w:rsidRPr="00FE174A">
        <w:rPr>
          <w:rFonts w:ascii="Arial" w:hAnsi="Arial" w:cs="Arial"/>
        </w:rPr>
        <w:t xml:space="preserve">The benefits of the systematic review method are that it brings together many studies to increase confidence in the results; it shows gaps in the current research; it can indicate </w:t>
      </w:r>
      <w:r w:rsidRPr="00FE174A">
        <w:rPr>
          <w:rFonts w:ascii="Arial" w:hAnsi="Arial" w:cs="Arial"/>
        </w:rPr>
        <w:lastRenderedPageBreak/>
        <w:t>patterns in many contexts and populations; and it offers a sound evidence base to guide the practice and policy recommendations (Gough et al., 2017). Nevertheless, there are drawbacks: they cannot produce new empirical results; synthesis across varied study designs and settings can be hard; and publication bias will have the effect that some positions or findings are underrepresented in the published literature (Petticrew and Roberts, 2006). All these advantages and limitations were weighed against each other during the review process and are discussed in section 3.10.</w:t>
      </w:r>
    </w:p>
    <w:p w14:paraId="20AC4BAE" w14:textId="77777777" w:rsidR="006E066D" w:rsidRPr="00FE174A" w:rsidRDefault="006E066D" w:rsidP="003545E8">
      <w:pPr>
        <w:spacing w:after="0" w:line="360" w:lineRule="auto"/>
        <w:jc w:val="both"/>
        <w:rPr>
          <w:rFonts w:ascii="Arial" w:hAnsi="Arial" w:cs="Arial"/>
          <w:highlight w:val="yellow"/>
        </w:rPr>
      </w:pPr>
    </w:p>
    <w:p w14:paraId="077C079E" w14:textId="17367ED4" w:rsidR="005E4055" w:rsidRPr="00FE174A" w:rsidRDefault="005E4055" w:rsidP="003545E8">
      <w:pPr>
        <w:pStyle w:val="Heading2"/>
        <w:spacing w:after="0"/>
      </w:pPr>
      <w:bookmarkStart w:id="32" w:name="_Toc220846955"/>
      <w:r w:rsidRPr="00FE174A">
        <w:t>3.3 Search Strategy</w:t>
      </w:r>
      <w:bookmarkEnd w:id="32"/>
    </w:p>
    <w:p w14:paraId="3C3CFE15" w14:textId="77777777" w:rsidR="005E4055" w:rsidRPr="00FE174A" w:rsidRDefault="005E4055" w:rsidP="003545E8">
      <w:pPr>
        <w:pStyle w:val="Heading3"/>
        <w:spacing w:after="0"/>
      </w:pPr>
      <w:bookmarkStart w:id="33" w:name="_Toc220846956"/>
      <w:r w:rsidRPr="00FE174A">
        <w:t>3.3.1 Information Sources</w:t>
      </w:r>
      <w:bookmarkEnd w:id="33"/>
    </w:p>
    <w:p w14:paraId="1CBEDAD9" w14:textId="39F942B5" w:rsidR="000D162E" w:rsidRPr="00FE174A" w:rsidRDefault="000D162E" w:rsidP="003545E8">
      <w:pPr>
        <w:spacing w:after="0" w:line="360" w:lineRule="auto"/>
        <w:jc w:val="both"/>
        <w:rPr>
          <w:rFonts w:ascii="Arial" w:hAnsi="Arial" w:cs="Arial"/>
        </w:rPr>
      </w:pPr>
      <w:r w:rsidRPr="00FE174A">
        <w:rPr>
          <w:rFonts w:ascii="Arial" w:hAnsi="Arial" w:cs="Arial"/>
        </w:rPr>
        <w:t>In October of 2025, two bibliographic databases, namely Medline (accessed through PubMed) and PsycINFO (accessed through EBSCOhost), were searched using electronic databases. The main database that was chosen was Medline, classified by the largest proportion of peer-reviewed and research literature in biomedical and health services. The source PsycINFO was chosen because it covers a wide range of psychology, nursing, and social care issues that reflect views on human experiences, mental health, and bereavement that lie at the centre of this research question (American Psychological Association, 2024). These databases were complemented to make sure that the relevant qualitative and mixed-method research was found extensively in the fields of health, social care, and psychology.</w:t>
      </w:r>
    </w:p>
    <w:p w14:paraId="60DE82F5" w14:textId="38166FF7" w:rsidR="000D162E" w:rsidRPr="00FE174A" w:rsidRDefault="000D162E" w:rsidP="003545E8">
      <w:pPr>
        <w:spacing w:after="0" w:line="360" w:lineRule="auto"/>
        <w:jc w:val="both"/>
        <w:rPr>
          <w:rFonts w:ascii="Arial" w:hAnsi="Arial" w:cs="Arial"/>
        </w:rPr>
      </w:pPr>
      <w:r w:rsidRPr="00FE174A">
        <w:rPr>
          <w:rFonts w:ascii="Arial" w:hAnsi="Arial" w:cs="Arial"/>
        </w:rPr>
        <w:t xml:space="preserve">Making time to consult the grey literature systematically to locate the relevant reports, practice guidance, and policy documents, which might not be easily found in the peer-reviewed journals, offered the opportunity to gain meaningful contextual insight into end-of-life care in the UK residential care homes. These were reports by </w:t>
      </w:r>
      <w:r w:rsidR="008B04B8">
        <w:rPr>
          <w:rFonts w:ascii="Arial" w:hAnsi="Arial" w:cs="Arial"/>
        </w:rPr>
        <w:t xml:space="preserve">the </w:t>
      </w:r>
      <w:r w:rsidRPr="00FE174A">
        <w:rPr>
          <w:rFonts w:ascii="Arial" w:hAnsi="Arial" w:cs="Arial"/>
        </w:rPr>
        <w:t>Care Quality Commission (CQC) of care home inspection and quality ratings</w:t>
      </w:r>
      <w:r w:rsidR="008B04B8">
        <w:rPr>
          <w:rFonts w:ascii="Arial" w:hAnsi="Arial" w:cs="Arial"/>
        </w:rPr>
        <w:t xml:space="preserve">, </w:t>
      </w:r>
      <w:r w:rsidRPr="00FE174A">
        <w:rPr>
          <w:rFonts w:ascii="Arial" w:hAnsi="Arial" w:cs="Arial"/>
        </w:rPr>
        <w:t xml:space="preserve">publications on end-of-life care practice and evidence by Social Care Institute of Excellence (SCIE) and guidance on palliative and end-of-life care in care home settings by </w:t>
      </w:r>
      <w:r w:rsidR="008B04B8">
        <w:rPr>
          <w:rFonts w:ascii="Arial" w:hAnsi="Arial" w:cs="Arial"/>
        </w:rPr>
        <w:t xml:space="preserve">the </w:t>
      </w:r>
      <w:r w:rsidRPr="00FE174A">
        <w:rPr>
          <w:rFonts w:ascii="Arial" w:hAnsi="Arial" w:cs="Arial"/>
        </w:rPr>
        <w:t>Royal College of Nursing (RCN). The reason why these grey literature sources have been selected is that they refer to authoritative bodies in the UK and their publications directly enlighten the care home practice, regulation, and professional standards. Reference lists of the included studies would also be searched by hand to find any other relevant studies that were not found on a database search, and in line with PRISMA</w:t>
      </w:r>
      <w:r w:rsidR="00720682" w:rsidRPr="00FE174A">
        <w:rPr>
          <w:rFonts w:ascii="Arial" w:hAnsi="Arial" w:cs="Arial"/>
        </w:rPr>
        <w:t>,</w:t>
      </w:r>
      <w:r w:rsidRPr="00FE174A">
        <w:rPr>
          <w:rFonts w:ascii="Arial" w:hAnsi="Arial" w:cs="Arial"/>
        </w:rPr>
        <w:t xml:space="preserve"> hand searching </w:t>
      </w:r>
      <w:r w:rsidR="00720682" w:rsidRPr="00FE174A">
        <w:rPr>
          <w:rFonts w:ascii="Arial" w:hAnsi="Arial" w:cs="Arial"/>
        </w:rPr>
        <w:t>is</w:t>
      </w:r>
      <w:r w:rsidRPr="00FE174A">
        <w:rPr>
          <w:rFonts w:ascii="Arial" w:hAnsi="Arial" w:cs="Arial"/>
        </w:rPr>
        <w:t xml:space="preserve"> an ultimate method of literature identification (Page et al., 2021).</w:t>
      </w:r>
    </w:p>
    <w:p w14:paraId="5352DFD2" w14:textId="1A26D55C" w:rsidR="000D162E" w:rsidRPr="00FE174A" w:rsidRDefault="000D162E" w:rsidP="003545E8">
      <w:pPr>
        <w:spacing w:after="0" w:line="360" w:lineRule="auto"/>
        <w:jc w:val="both"/>
        <w:rPr>
          <w:rFonts w:ascii="Arial" w:hAnsi="Arial" w:cs="Arial"/>
        </w:rPr>
      </w:pPr>
    </w:p>
    <w:p w14:paraId="2D616DEE" w14:textId="0D923F3E" w:rsidR="000D162E" w:rsidRPr="00FE174A" w:rsidRDefault="000D162E" w:rsidP="003545E8">
      <w:pPr>
        <w:pStyle w:val="Heading3"/>
        <w:spacing w:after="0"/>
      </w:pPr>
      <w:bookmarkStart w:id="34" w:name="_Toc220846957"/>
      <w:r w:rsidRPr="00FE174A">
        <w:t>3.3.2 Search Terms and Boolean Logic</w:t>
      </w:r>
      <w:bookmarkEnd w:id="34"/>
    </w:p>
    <w:p w14:paraId="648D17B1" w14:textId="1D4CA499" w:rsidR="00A74D07" w:rsidRPr="00FE174A" w:rsidRDefault="000D162E" w:rsidP="00A74D07">
      <w:pPr>
        <w:spacing w:after="0" w:line="360" w:lineRule="auto"/>
        <w:jc w:val="both"/>
        <w:rPr>
          <w:rFonts w:ascii="Arial" w:hAnsi="Arial" w:cs="Arial"/>
          <w:highlight w:val="yellow"/>
        </w:rPr>
      </w:pPr>
      <w:r w:rsidRPr="00FE174A">
        <w:rPr>
          <w:rFonts w:ascii="Arial" w:hAnsi="Arial" w:cs="Arial"/>
        </w:rPr>
        <w:t>Medical Subject Headings were used to systematically recognize the relevant literature that occurred based on Medical Subject Headings (MeSH) terminologies, as well as free-text terminologies and Boolean operators (AND, OR). Table 1, below, has a tabulation of the search terms arranged into four conceptual categories.</w:t>
      </w:r>
    </w:p>
    <w:p w14:paraId="4A4C55A5" w14:textId="52E9D0F8" w:rsidR="005E4055" w:rsidRPr="00FE174A" w:rsidRDefault="00A74D07" w:rsidP="00A74D07">
      <w:pPr>
        <w:pStyle w:val="Caption"/>
        <w:rPr>
          <w:rFonts w:ascii="Arial" w:hAnsi="Arial" w:cs="Arial"/>
          <w:sz w:val="22"/>
          <w:szCs w:val="22"/>
        </w:rPr>
      </w:pPr>
      <w:bookmarkStart w:id="35" w:name="_Toc220798160"/>
      <w:r w:rsidRPr="00FE174A">
        <w:rPr>
          <w:rFonts w:ascii="Arial" w:hAnsi="Arial" w:cs="Arial"/>
          <w:b/>
          <w:bCs/>
          <w:sz w:val="22"/>
          <w:szCs w:val="22"/>
        </w:rPr>
        <w:lastRenderedPageBreak/>
        <w:t xml:space="preserve">Table </w:t>
      </w:r>
      <w:r w:rsidRPr="00FE174A">
        <w:rPr>
          <w:rFonts w:ascii="Arial" w:hAnsi="Arial" w:cs="Arial"/>
          <w:b/>
          <w:bCs/>
          <w:sz w:val="22"/>
          <w:szCs w:val="22"/>
        </w:rPr>
        <w:fldChar w:fldCharType="begin"/>
      </w:r>
      <w:r w:rsidRPr="00FE174A">
        <w:rPr>
          <w:rFonts w:ascii="Arial" w:hAnsi="Arial" w:cs="Arial"/>
          <w:b/>
          <w:bCs/>
          <w:sz w:val="22"/>
          <w:szCs w:val="22"/>
        </w:rPr>
        <w:instrText xml:space="preserve"> SEQ Table \* ARABIC </w:instrText>
      </w:r>
      <w:r w:rsidRPr="00FE174A">
        <w:rPr>
          <w:rFonts w:ascii="Arial" w:hAnsi="Arial" w:cs="Arial"/>
          <w:b/>
          <w:bCs/>
          <w:sz w:val="22"/>
          <w:szCs w:val="22"/>
        </w:rPr>
        <w:fldChar w:fldCharType="separate"/>
      </w:r>
      <w:r w:rsidRPr="00FE174A">
        <w:rPr>
          <w:rFonts w:ascii="Arial" w:hAnsi="Arial" w:cs="Arial"/>
          <w:b/>
          <w:bCs/>
          <w:noProof/>
          <w:sz w:val="22"/>
          <w:szCs w:val="22"/>
        </w:rPr>
        <w:t>1</w:t>
      </w:r>
      <w:r w:rsidRPr="00FE174A">
        <w:rPr>
          <w:rFonts w:ascii="Arial" w:hAnsi="Arial" w:cs="Arial"/>
          <w:b/>
          <w:bCs/>
          <w:sz w:val="22"/>
          <w:szCs w:val="22"/>
        </w:rPr>
        <w:fldChar w:fldCharType="end"/>
      </w:r>
      <w:r w:rsidRPr="00FE174A">
        <w:rPr>
          <w:rFonts w:ascii="Arial" w:hAnsi="Arial" w:cs="Arial"/>
          <w:b/>
          <w:bCs/>
          <w:sz w:val="22"/>
          <w:szCs w:val="22"/>
        </w:rPr>
        <w:t>:</w:t>
      </w:r>
      <w:r w:rsidR="005E4055" w:rsidRPr="00FE174A">
        <w:rPr>
          <w:rFonts w:ascii="Arial" w:hAnsi="Arial" w:cs="Arial"/>
          <w:b/>
          <w:bCs/>
          <w:sz w:val="22"/>
          <w:szCs w:val="22"/>
        </w:rPr>
        <w:t xml:space="preserve"> Search Terms and Boolean Logic</w:t>
      </w:r>
      <w:bookmarkEnd w:id="35"/>
    </w:p>
    <w:p w14:paraId="0F16873A" w14:textId="4135D5FD" w:rsidR="008271BF" w:rsidRPr="00FE174A" w:rsidRDefault="006A49E3" w:rsidP="003545E8">
      <w:pPr>
        <w:spacing w:after="0" w:line="360" w:lineRule="auto"/>
        <w:jc w:val="both"/>
        <w:rPr>
          <w:rFonts w:ascii="Arial" w:hAnsi="Arial" w:cs="Arial"/>
          <w:b/>
          <w:bCs/>
          <w:highlight w:val="yellow"/>
        </w:rPr>
      </w:pPr>
      <w:r w:rsidRPr="006A49E3">
        <w:rPr>
          <w:rFonts w:ascii="Arial" w:hAnsi="Arial" w:cs="Arial"/>
          <w:b/>
          <w:bCs/>
          <w:noProof/>
        </w:rPr>
        <w:drawing>
          <wp:inline distT="0" distB="0" distL="0" distR="0" wp14:anchorId="495F1949" wp14:editId="1ED2DE04">
            <wp:extent cx="5731510" cy="2560320"/>
            <wp:effectExtent l="0" t="0" r="2540" b="0"/>
            <wp:docPr id="1968903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03970" name=""/>
                    <pic:cNvPicPr/>
                  </pic:nvPicPr>
                  <pic:blipFill>
                    <a:blip r:embed="rId16"/>
                    <a:stretch>
                      <a:fillRect/>
                    </a:stretch>
                  </pic:blipFill>
                  <pic:spPr>
                    <a:xfrm>
                      <a:off x="0" y="0"/>
                      <a:ext cx="5731510" cy="2560320"/>
                    </a:xfrm>
                    <a:prstGeom prst="rect">
                      <a:avLst/>
                    </a:prstGeom>
                  </pic:spPr>
                </pic:pic>
              </a:graphicData>
            </a:graphic>
          </wp:inline>
        </w:drawing>
      </w:r>
    </w:p>
    <w:p w14:paraId="15B4BCBD" w14:textId="4C1CA582" w:rsidR="00B524B0" w:rsidRPr="00FE174A" w:rsidRDefault="00B524B0" w:rsidP="003545E8">
      <w:pPr>
        <w:spacing w:after="0" w:line="360" w:lineRule="auto"/>
        <w:jc w:val="both"/>
        <w:rPr>
          <w:rFonts w:ascii="Arial" w:hAnsi="Arial" w:cs="Arial"/>
        </w:rPr>
      </w:pPr>
      <w:r w:rsidRPr="00FE174A">
        <w:rPr>
          <w:rFonts w:ascii="Arial" w:hAnsi="Arial" w:cs="Arial"/>
          <w:b/>
          <w:bCs/>
        </w:rPr>
        <w:t xml:space="preserve">Combined Search Strategy: </w:t>
      </w:r>
      <w:r w:rsidRPr="00FE174A">
        <w:rPr>
          <w:rFonts w:ascii="Arial" w:hAnsi="Arial" w:cs="Arial"/>
        </w:rPr>
        <w:t>(Population terms) and (Participant terms) and (Phenomenon terms) and (Geographic terms).</w:t>
      </w:r>
    </w:p>
    <w:p w14:paraId="51B95F66" w14:textId="5A216A4A" w:rsidR="00B524B0" w:rsidRPr="00FE174A" w:rsidRDefault="00B524B0" w:rsidP="003545E8">
      <w:pPr>
        <w:spacing w:after="0" w:line="360" w:lineRule="auto"/>
        <w:jc w:val="both"/>
        <w:rPr>
          <w:rFonts w:ascii="Arial" w:hAnsi="Arial" w:cs="Arial"/>
        </w:rPr>
      </w:pPr>
      <w:r w:rsidRPr="00FE174A">
        <w:rPr>
          <w:rFonts w:ascii="Arial" w:hAnsi="Arial" w:cs="Arial"/>
        </w:rPr>
        <w:t>The asterisk (</w:t>
      </w:r>
      <w:r w:rsidR="00A74D07" w:rsidRPr="00FE174A">
        <w:rPr>
          <w:rFonts w:ascii="Arial" w:hAnsi="Arial" w:cs="Arial"/>
        </w:rPr>
        <w:t>*) was used as a truncation mark to represent the different word endings in the variants (e.g.,</w:t>
      </w:r>
      <w:r w:rsidRPr="00FE174A">
        <w:rPr>
          <w:rFonts w:ascii="Arial" w:hAnsi="Arial" w:cs="Arial"/>
        </w:rPr>
        <w:t xml:space="preserve"> family/families/familial fell under the asterisk mark). Operators </w:t>
      </w:r>
      <w:r w:rsidR="00A74D07" w:rsidRPr="00FE174A">
        <w:rPr>
          <w:rFonts w:ascii="Arial" w:hAnsi="Arial" w:cs="Arial"/>
        </w:rPr>
        <w:t xml:space="preserve">OR were used to link similar words within each category to increase sensitivity, and the four categories were linked with operators </w:t>
      </w:r>
      <w:r w:rsidRPr="00FE174A">
        <w:rPr>
          <w:rFonts w:ascii="Arial" w:hAnsi="Arial" w:cs="Arial"/>
        </w:rPr>
        <w:t>AND to increase specificity</w:t>
      </w:r>
      <w:r w:rsidR="00AB1F86" w:rsidRPr="00FE174A">
        <w:rPr>
          <w:rFonts w:ascii="Arial" w:hAnsi="Arial" w:cs="Arial"/>
        </w:rPr>
        <w:t>.</w:t>
      </w:r>
    </w:p>
    <w:p w14:paraId="5E84044F" w14:textId="77777777" w:rsidR="00BE3788" w:rsidRPr="00FE174A" w:rsidRDefault="00BE3788" w:rsidP="003545E8">
      <w:pPr>
        <w:spacing w:after="0" w:line="360" w:lineRule="auto"/>
        <w:jc w:val="both"/>
        <w:rPr>
          <w:rFonts w:ascii="Arial" w:hAnsi="Arial" w:cs="Arial"/>
        </w:rPr>
      </w:pPr>
    </w:p>
    <w:p w14:paraId="6CECBF3D" w14:textId="77777777" w:rsidR="005E4055" w:rsidRPr="00FE174A" w:rsidRDefault="005E4055" w:rsidP="003545E8">
      <w:pPr>
        <w:pStyle w:val="Heading3"/>
        <w:spacing w:after="0"/>
      </w:pPr>
      <w:bookmarkStart w:id="36" w:name="_Toc220846958"/>
      <w:r w:rsidRPr="00FE174A">
        <w:t>3.3.3 Date Parameters</w:t>
      </w:r>
      <w:bookmarkEnd w:id="36"/>
    </w:p>
    <w:p w14:paraId="736E3385" w14:textId="6BCAC4CD" w:rsidR="0006524E" w:rsidRPr="00FE174A" w:rsidRDefault="0006524E" w:rsidP="003545E8">
      <w:pPr>
        <w:spacing w:after="0" w:line="360" w:lineRule="auto"/>
        <w:jc w:val="both"/>
        <w:rPr>
          <w:rFonts w:ascii="Arial" w:hAnsi="Arial" w:cs="Arial"/>
        </w:rPr>
      </w:pPr>
      <w:r w:rsidRPr="00FE174A">
        <w:rPr>
          <w:rFonts w:ascii="Arial" w:hAnsi="Arial" w:cs="Arial"/>
        </w:rPr>
        <w:t>The searches in the databases were limited to articles published within the period of January 2015 to October 2025, which covers the latest decade of evidence. Because this period represented the evidence of recent practice and policy backgrounds in residential care homes in the UK, the findings represented present models of care delivery and regulation systems. A decade gives enough time to establish patterns, trends and thematic elements along with remaining relevant to the contemporary practice. Major policy shifts in UK palliative and end-of-life care have happened since 2015, such as the Ambitions for Palliative and End of Life Care framework (National Palliative and End of Life Care Partnership, 2015), which is why this timeframe is of particular relevance in appreciating experiences of stakeholders.</w:t>
      </w:r>
    </w:p>
    <w:p w14:paraId="65BB6F86" w14:textId="2C03DB13" w:rsidR="0006524E" w:rsidRPr="00FE174A" w:rsidRDefault="0006524E" w:rsidP="003545E8">
      <w:pPr>
        <w:spacing w:after="0" w:line="360" w:lineRule="auto"/>
        <w:jc w:val="both"/>
        <w:rPr>
          <w:rFonts w:ascii="Arial" w:hAnsi="Arial" w:cs="Arial"/>
        </w:rPr>
      </w:pPr>
      <w:r w:rsidRPr="00FE174A">
        <w:rPr>
          <w:rFonts w:ascii="Arial" w:hAnsi="Arial" w:cs="Arial"/>
        </w:rPr>
        <w:t>The COVID-19 pandemic period (2020-2025) also entered into the timeframe, significantly affecting end-of-life care delivery in residential care facilities by restricting regulations, planning infection control measures and mortality increase (Bradshaw et al., 2023). The inclusion of pandemic-era research with pre-pandemic methodology facilitated a comparison of the experiences related to end-of-life care in the typical and crisis conditions of the past.</w:t>
      </w:r>
    </w:p>
    <w:p w14:paraId="62B24B68" w14:textId="77777777" w:rsidR="0006524E" w:rsidRPr="00FE174A" w:rsidRDefault="0006524E" w:rsidP="003545E8">
      <w:pPr>
        <w:spacing w:after="0" w:line="360" w:lineRule="auto"/>
        <w:jc w:val="both"/>
        <w:rPr>
          <w:rFonts w:ascii="Arial" w:hAnsi="Arial" w:cs="Arial"/>
        </w:rPr>
      </w:pPr>
    </w:p>
    <w:p w14:paraId="6D03CBEA" w14:textId="77777777" w:rsidR="0006524E" w:rsidRPr="00FE174A" w:rsidRDefault="0006524E" w:rsidP="003545E8">
      <w:pPr>
        <w:pStyle w:val="Heading2"/>
        <w:spacing w:after="0"/>
      </w:pPr>
      <w:bookmarkStart w:id="37" w:name="_Toc220846959"/>
      <w:r w:rsidRPr="00FE174A">
        <w:t>3.4 Eligibility Criteria</w:t>
      </w:r>
      <w:bookmarkEnd w:id="37"/>
    </w:p>
    <w:p w14:paraId="336325F5" w14:textId="32BA1709" w:rsidR="00840414" w:rsidRPr="00FE174A" w:rsidRDefault="00840414" w:rsidP="003545E8">
      <w:pPr>
        <w:spacing w:after="0" w:line="360" w:lineRule="auto"/>
        <w:jc w:val="both"/>
        <w:rPr>
          <w:rFonts w:ascii="Arial" w:hAnsi="Arial" w:cs="Arial"/>
        </w:rPr>
      </w:pPr>
      <w:r w:rsidRPr="00FE174A">
        <w:rPr>
          <w:rFonts w:ascii="Arial" w:hAnsi="Arial" w:cs="Arial"/>
        </w:rPr>
        <w:lastRenderedPageBreak/>
        <w:t xml:space="preserve">Systematic, transparent and consistent study selection was predetermined using very well-defined inclusion and exclusion criteria. These criteria are discussed in Table 2. </w:t>
      </w:r>
    </w:p>
    <w:p w14:paraId="6FDF0189" w14:textId="47246261" w:rsidR="005E4055" w:rsidRPr="008B04B8" w:rsidRDefault="00A74D07" w:rsidP="00A74D07">
      <w:pPr>
        <w:pStyle w:val="Caption"/>
        <w:rPr>
          <w:rFonts w:ascii="Arial" w:hAnsi="Arial" w:cs="Arial"/>
          <w:color w:val="000000" w:themeColor="text1"/>
          <w:sz w:val="22"/>
          <w:szCs w:val="22"/>
        </w:rPr>
      </w:pPr>
      <w:bookmarkStart w:id="38" w:name="_Toc220798161"/>
      <w:r w:rsidRPr="008B04B8">
        <w:rPr>
          <w:rFonts w:ascii="Arial" w:hAnsi="Arial" w:cs="Arial"/>
          <w:b/>
          <w:bCs/>
          <w:color w:val="000000" w:themeColor="text1"/>
          <w:sz w:val="22"/>
          <w:szCs w:val="22"/>
        </w:rPr>
        <w:t xml:space="preserve">Table </w:t>
      </w:r>
      <w:r w:rsidRPr="008B04B8">
        <w:rPr>
          <w:rFonts w:ascii="Arial" w:hAnsi="Arial" w:cs="Arial"/>
          <w:b/>
          <w:bCs/>
          <w:color w:val="000000" w:themeColor="text1"/>
          <w:sz w:val="22"/>
          <w:szCs w:val="22"/>
        </w:rPr>
        <w:fldChar w:fldCharType="begin"/>
      </w:r>
      <w:r w:rsidRPr="008B04B8">
        <w:rPr>
          <w:rFonts w:ascii="Arial" w:hAnsi="Arial" w:cs="Arial"/>
          <w:b/>
          <w:bCs/>
          <w:color w:val="000000" w:themeColor="text1"/>
          <w:sz w:val="22"/>
          <w:szCs w:val="22"/>
        </w:rPr>
        <w:instrText xml:space="preserve"> SEQ Table \* ARABIC </w:instrText>
      </w:r>
      <w:r w:rsidRPr="008B04B8">
        <w:rPr>
          <w:rFonts w:ascii="Arial" w:hAnsi="Arial" w:cs="Arial"/>
          <w:b/>
          <w:bCs/>
          <w:color w:val="000000" w:themeColor="text1"/>
          <w:sz w:val="22"/>
          <w:szCs w:val="22"/>
        </w:rPr>
        <w:fldChar w:fldCharType="separate"/>
      </w:r>
      <w:r w:rsidRPr="008B04B8">
        <w:rPr>
          <w:rFonts w:ascii="Arial" w:hAnsi="Arial" w:cs="Arial"/>
          <w:b/>
          <w:bCs/>
          <w:color w:val="000000" w:themeColor="text1"/>
          <w:sz w:val="22"/>
          <w:szCs w:val="22"/>
        </w:rPr>
        <w:t>2</w:t>
      </w:r>
      <w:r w:rsidRPr="008B04B8">
        <w:rPr>
          <w:rFonts w:ascii="Arial" w:hAnsi="Arial" w:cs="Arial"/>
          <w:b/>
          <w:bCs/>
          <w:color w:val="000000" w:themeColor="text1"/>
          <w:sz w:val="22"/>
          <w:szCs w:val="22"/>
        </w:rPr>
        <w:fldChar w:fldCharType="end"/>
      </w:r>
      <w:r w:rsidR="005E4055" w:rsidRPr="008B04B8">
        <w:rPr>
          <w:rFonts w:ascii="Arial" w:hAnsi="Arial" w:cs="Arial"/>
          <w:b/>
          <w:bCs/>
          <w:color w:val="000000" w:themeColor="text1"/>
          <w:sz w:val="22"/>
          <w:szCs w:val="22"/>
        </w:rPr>
        <w:t>: Inclusion and Exclusion Criteria</w:t>
      </w:r>
      <w:bookmarkEnd w:id="38"/>
    </w:p>
    <w:p w14:paraId="24C45C56" w14:textId="65545050" w:rsidR="00FD1B2B" w:rsidRPr="00FE174A" w:rsidRDefault="00366E05" w:rsidP="003545E8">
      <w:pPr>
        <w:spacing w:after="0" w:line="360" w:lineRule="auto"/>
        <w:jc w:val="both"/>
        <w:rPr>
          <w:rFonts w:ascii="Arial" w:hAnsi="Arial" w:cs="Arial"/>
          <w:highlight w:val="yellow"/>
        </w:rPr>
      </w:pPr>
      <w:r w:rsidRPr="00366E05">
        <w:rPr>
          <w:rFonts w:ascii="Arial" w:hAnsi="Arial" w:cs="Arial"/>
          <w:noProof/>
        </w:rPr>
        <w:drawing>
          <wp:inline distT="0" distB="0" distL="0" distR="0" wp14:anchorId="6E99FEE0" wp14:editId="65DC5F24">
            <wp:extent cx="5731510" cy="5102860"/>
            <wp:effectExtent l="0" t="0" r="2540" b="2540"/>
            <wp:docPr id="1535882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82173" name=""/>
                    <pic:cNvPicPr/>
                  </pic:nvPicPr>
                  <pic:blipFill>
                    <a:blip r:embed="rId17"/>
                    <a:stretch>
                      <a:fillRect/>
                    </a:stretch>
                  </pic:blipFill>
                  <pic:spPr>
                    <a:xfrm>
                      <a:off x="0" y="0"/>
                      <a:ext cx="5731510" cy="5102860"/>
                    </a:xfrm>
                    <a:prstGeom prst="rect">
                      <a:avLst/>
                    </a:prstGeom>
                  </pic:spPr>
                </pic:pic>
              </a:graphicData>
            </a:graphic>
          </wp:inline>
        </w:drawing>
      </w:r>
    </w:p>
    <w:p w14:paraId="0542925D" w14:textId="3E7761E5" w:rsidR="00434188" w:rsidRPr="00FE174A" w:rsidRDefault="00434188" w:rsidP="003545E8">
      <w:pPr>
        <w:spacing w:after="0" w:line="360" w:lineRule="auto"/>
        <w:jc w:val="both"/>
        <w:rPr>
          <w:rFonts w:ascii="Arial" w:hAnsi="Arial" w:cs="Arial"/>
        </w:rPr>
      </w:pPr>
      <w:r w:rsidRPr="00FE174A">
        <w:rPr>
          <w:rFonts w:ascii="Arial" w:hAnsi="Arial" w:cs="Arial"/>
        </w:rPr>
        <w:t>The setting criterion was UK residential care homes since cross-country transferability is constrained by the fact that many countries have different healthcare systems, regulatory frameworks, and cultural approaches to end-of-life care (Bone et al., 2018). The participant criterion targeted bereaved family members due to their reflections of bereavement as a retrospective insight into the overall care path and the possible elicitation of more forthright views (Perkins et al., 2016). Staff in care homes were also incorporated in all positions to represent the different views of the care delivery system.</w:t>
      </w:r>
    </w:p>
    <w:p w14:paraId="65F5B7E6" w14:textId="1F353245" w:rsidR="00434188" w:rsidRPr="00FE174A" w:rsidRDefault="00434188" w:rsidP="003545E8">
      <w:pPr>
        <w:spacing w:after="0" w:line="360" w:lineRule="auto"/>
        <w:jc w:val="both"/>
        <w:rPr>
          <w:rFonts w:ascii="Arial" w:hAnsi="Arial" w:cs="Arial"/>
        </w:rPr>
      </w:pPr>
      <w:r w:rsidRPr="00FE174A">
        <w:rPr>
          <w:rFonts w:ascii="Arial" w:hAnsi="Arial" w:cs="Arial"/>
        </w:rPr>
        <w:t xml:space="preserve">The study design criterion favours qualitative and mixed-method research since the methodologies produce in-depth descriptions of lived experiences, in a way that subjective meanings and emotions and contextual factors that cannot be adequately examined through quantitative research are covered (Sandelowski and Barroso, 2007). Section 3.3.3 explained why the publication period criteria (2015-2025) were justifiable. The language requirement </w:t>
      </w:r>
      <w:r w:rsidRPr="00FE174A">
        <w:rPr>
          <w:rFonts w:ascii="Arial" w:hAnsi="Arial" w:cs="Arial"/>
        </w:rPr>
        <w:lastRenderedPageBreak/>
        <w:t xml:space="preserve">was an indication of a resource constraint and the preeminence of UK studies in English. Focus criterion guaranteed that studies were directly concerned with experiential aspects of end-of- life care and not just clinical or </w:t>
      </w:r>
      <w:r w:rsidR="00720682" w:rsidRPr="00FE174A">
        <w:rPr>
          <w:rFonts w:ascii="Arial" w:hAnsi="Arial" w:cs="Arial"/>
        </w:rPr>
        <w:t>organisational</w:t>
      </w:r>
      <w:r w:rsidRPr="00FE174A">
        <w:rPr>
          <w:rFonts w:ascii="Arial" w:hAnsi="Arial" w:cs="Arial"/>
        </w:rPr>
        <w:t xml:space="preserve"> outcomes.</w:t>
      </w:r>
    </w:p>
    <w:p w14:paraId="1E9CE2A6" w14:textId="77777777" w:rsidR="00434188" w:rsidRPr="00FE174A" w:rsidRDefault="00434188" w:rsidP="003545E8">
      <w:pPr>
        <w:spacing w:after="0" w:line="360" w:lineRule="auto"/>
        <w:jc w:val="both"/>
        <w:rPr>
          <w:rFonts w:ascii="Arial" w:hAnsi="Arial" w:cs="Arial"/>
        </w:rPr>
      </w:pPr>
    </w:p>
    <w:p w14:paraId="03AFC9F5" w14:textId="77777777" w:rsidR="00434188" w:rsidRPr="00FE174A" w:rsidRDefault="00434188" w:rsidP="003545E8">
      <w:pPr>
        <w:pStyle w:val="Heading2"/>
        <w:spacing w:after="0"/>
      </w:pPr>
      <w:bookmarkStart w:id="39" w:name="_Toc220846960"/>
      <w:r w:rsidRPr="00FE174A">
        <w:t>3.5 Study Selection Process</w:t>
      </w:r>
      <w:bookmarkEnd w:id="39"/>
    </w:p>
    <w:p w14:paraId="733DE805" w14:textId="77777777" w:rsidR="00BE3788" w:rsidRPr="00FE174A" w:rsidRDefault="00434188" w:rsidP="003545E8">
      <w:pPr>
        <w:spacing w:after="0" w:line="360" w:lineRule="auto"/>
        <w:jc w:val="both"/>
        <w:rPr>
          <w:rFonts w:ascii="Arial" w:hAnsi="Arial" w:cs="Arial"/>
        </w:rPr>
      </w:pPr>
      <w:r w:rsidRPr="00FE174A">
        <w:rPr>
          <w:rFonts w:ascii="Arial" w:hAnsi="Arial" w:cs="Arial"/>
        </w:rPr>
        <w:t xml:space="preserve">The process of study selection occurred in four phases in accordance with PRISMA 2020 (Page et al., 2021). </w:t>
      </w:r>
    </w:p>
    <w:p w14:paraId="75B42DCB" w14:textId="54E05C30" w:rsidR="00434188" w:rsidRPr="00FE174A" w:rsidRDefault="00434188" w:rsidP="003545E8">
      <w:pPr>
        <w:spacing w:after="0" w:line="360" w:lineRule="auto"/>
        <w:jc w:val="both"/>
        <w:rPr>
          <w:rFonts w:ascii="Arial" w:hAnsi="Arial" w:cs="Arial"/>
        </w:rPr>
      </w:pPr>
      <w:r w:rsidRPr="00FE174A">
        <w:rPr>
          <w:rFonts w:ascii="Arial" w:hAnsi="Arial" w:cs="Arial"/>
          <w:b/>
          <w:bCs/>
        </w:rPr>
        <w:t>Phase 1</w:t>
      </w:r>
      <w:r w:rsidRPr="00FE174A">
        <w:rPr>
          <w:rFonts w:ascii="Arial" w:hAnsi="Arial" w:cs="Arial"/>
        </w:rPr>
        <w:t xml:space="preserve"> entailed the implementation of searches in Medline and PsycINFO in October 2025, and the results were exported to a bibliographic software. Data corruption by duplication was eliminated through Microsoft Excel using the combine and remove duplicates option applied to author, year, and title grouped data, coupled with manual correction.</w:t>
      </w:r>
    </w:p>
    <w:p w14:paraId="6AE8F9B8" w14:textId="56F2FCA1" w:rsidR="00434188" w:rsidRPr="00FE174A" w:rsidRDefault="00434188" w:rsidP="003545E8">
      <w:pPr>
        <w:spacing w:after="0" w:line="360" w:lineRule="auto"/>
        <w:jc w:val="both"/>
        <w:rPr>
          <w:rFonts w:ascii="Arial" w:hAnsi="Arial" w:cs="Arial"/>
        </w:rPr>
      </w:pPr>
      <w:r w:rsidRPr="00FE174A">
        <w:rPr>
          <w:rFonts w:ascii="Arial" w:hAnsi="Arial" w:cs="Arial"/>
          <w:b/>
          <w:bCs/>
        </w:rPr>
        <w:t>Phase 2</w:t>
      </w:r>
      <w:r w:rsidRPr="00FE174A">
        <w:rPr>
          <w:rFonts w:ascii="Arial" w:hAnsi="Arial" w:cs="Arial"/>
        </w:rPr>
        <w:t xml:space="preserve"> was the review of titles and abstracts with criteria (Table 3.2). Records were classified into either include, exclude, or uncertain. Conservative inclusion was used: doubtful records were allowed to be used in full-text testing.</w:t>
      </w:r>
    </w:p>
    <w:p w14:paraId="348FBB01" w14:textId="76FBFD04" w:rsidR="00434188" w:rsidRPr="00FE174A" w:rsidRDefault="00434188" w:rsidP="003545E8">
      <w:pPr>
        <w:spacing w:after="0" w:line="360" w:lineRule="auto"/>
        <w:jc w:val="both"/>
        <w:rPr>
          <w:rFonts w:ascii="Arial" w:hAnsi="Arial" w:cs="Arial"/>
        </w:rPr>
      </w:pPr>
      <w:r w:rsidRPr="00FE174A">
        <w:rPr>
          <w:rFonts w:ascii="Arial" w:hAnsi="Arial" w:cs="Arial"/>
          <w:b/>
          <w:bCs/>
        </w:rPr>
        <w:t>Phase 3</w:t>
      </w:r>
      <w:r w:rsidRPr="00FE174A">
        <w:rPr>
          <w:rFonts w:ascii="Arial" w:hAnsi="Arial" w:cs="Arial"/>
        </w:rPr>
        <w:t xml:space="preserve"> entailed the acquisition and perusal of full manuscripts. Individual articles were evaluated using all the criteria, with exclusion causes recorded. Four more copies were detected in this stage.</w:t>
      </w:r>
    </w:p>
    <w:p w14:paraId="41AE26F8" w14:textId="1D6225C9" w:rsidR="00434188" w:rsidRPr="00FE174A" w:rsidRDefault="00C15A92" w:rsidP="003545E8">
      <w:pPr>
        <w:spacing w:after="0" w:line="360" w:lineRule="auto"/>
        <w:jc w:val="both"/>
        <w:rPr>
          <w:rFonts w:ascii="Arial" w:hAnsi="Arial" w:cs="Arial"/>
        </w:rPr>
      </w:pPr>
      <w:r w:rsidRPr="00FE174A">
        <w:rPr>
          <w:rFonts w:ascii="Arial" w:hAnsi="Arial" w:cs="Arial"/>
          <w:b/>
          <w:bCs/>
        </w:rPr>
        <w:t>Phase 4</w:t>
      </w:r>
      <w:r w:rsidRPr="00FE174A">
        <w:rPr>
          <w:rFonts w:ascii="Arial" w:hAnsi="Arial" w:cs="Arial"/>
        </w:rPr>
        <w:t xml:space="preserve"> was a hand search of the reference lists of the included studies to allow retrieval of extra publications not detected by databases (Greenhalgh and Peacock, 2005). No differently identified records were not screened.</w:t>
      </w:r>
    </w:p>
    <w:p w14:paraId="5119E27E" w14:textId="4991E210" w:rsidR="00434188" w:rsidRPr="00FE174A" w:rsidRDefault="00434188" w:rsidP="003545E8">
      <w:pPr>
        <w:spacing w:after="0" w:line="360" w:lineRule="auto"/>
        <w:jc w:val="both"/>
        <w:rPr>
          <w:rFonts w:ascii="Arial" w:hAnsi="Arial" w:cs="Arial"/>
        </w:rPr>
      </w:pPr>
      <w:r w:rsidRPr="00FE174A">
        <w:rPr>
          <w:rFonts w:ascii="Arial" w:hAnsi="Arial" w:cs="Arial"/>
        </w:rPr>
        <w:t>All phases were undertaken by one reviewer. To improve rigour, a priori explicit criteria were set, a detailed documentation was maintained, and conservative inclusion was applied. The PRISMA flow diagram (Figure 1, attached before section 4.3) represents the entire process.</w:t>
      </w:r>
    </w:p>
    <w:p w14:paraId="6912D2EA" w14:textId="77777777" w:rsidR="00434188" w:rsidRPr="00FE174A" w:rsidRDefault="00434188" w:rsidP="003545E8">
      <w:pPr>
        <w:spacing w:after="0" w:line="360" w:lineRule="auto"/>
        <w:jc w:val="both"/>
        <w:rPr>
          <w:rFonts w:ascii="Arial" w:hAnsi="Arial" w:cs="Arial"/>
        </w:rPr>
      </w:pPr>
    </w:p>
    <w:p w14:paraId="12323E5E" w14:textId="77777777" w:rsidR="00434188" w:rsidRPr="00FE174A" w:rsidRDefault="00434188" w:rsidP="003545E8">
      <w:pPr>
        <w:pStyle w:val="Heading2"/>
        <w:spacing w:after="0"/>
      </w:pPr>
      <w:bookmarkStart w:id="40" w:name="_Toc220846961"/>
      <w:r w:rsidRPr="00FE174A">
        <w:t>3.6 Data Extraction</w:t>
      </w:r>
      <w:bookmarkEnd w:id="40"/>
    </w:p>
    <w:p w14:paraId="2C8F4A15" w14:textId="4B87E602" w:rsidR="00434188" w:rsidRDefault="00434188" w:rsidP="003545E8">
      <w:pPr>
        <w:spacing w:after="0" w:line="360" w:lineRule="auto"/>
        <w:jc w:val="both"/>
        <w:rPr>
          <w:ins w:id="41" w:author="Farah Wiita" w:date="2026-02-01T17:20:00Z" w16du:dateUtc="2026-02-01T17:20:00Z"/>
          <w:rFonts w:ascii="Arial" w:hAnsi="Arial" w:cs="Arial"/>
        </w:rPr>
      </w:pPr>
      <w:r w:rsidRPr="00FE174A">
        <w:rPr>
          <w:rFonts w:ascii="Arial" w:hAnsi="Arial" w:cs="Arial"/>
        </w:rPr>
        <w:t>A set data extraction form was used to record: features of study (author, year, journal, UK location, and care home type), methodology (design, data collection, sampling, sample size, analysis), the features of participants (types, staff roles, and family relationships), features of key results (themes, quotations, quantitative results of interventional studies), and nature of recommendations. The procedure entailed reading an individual study, filling in the form and verbatim quotations were recorded. Data were stored in Microsoft Excel using distinct tabs of characteristics, methods, findings, and quality rating, where data were stored consistently and synthesis was easily enabled (Booth et al., 20</w:t>
      </w:r>
      <w:r w:rsidR="00815268" w:rsidRPr="00FE174A">
        <w:rPr>
          <w:rFonts w:ascii="Arial" w:hAnsi="Arial" w:cs="Arial"/>
        </w:rPr>
        <w:t>22</w:t>
      </w:r>
      <w:r w:rsidRPr="00FE174A">
        <w:rPr>
          <w:rFonts w:ascii="Arial" w:hAnsi="Arial" w:cs="Arial"/>
        </w:rPr>
        <w:t>).</w:t>
      </w:r>
    </w:p>
    <w:p w14:paraId="257F2151" w14:textId="77777777" w:rsidR="00FA6F39" w:rsidRPr="00FE174A" w:rsidRDefault="00FA6F39" w:rsidP="003545E8">
      <w:pPr>
        <w:spacing w:after="0" w:line="360" w:lineRule="auto"/>
        <w:jc w:val="both"/>
        <w:rPr>
          <w:rFonts w:ascii="Arial" w:hAnsi="Arial" w:cs="Arial"/>
        </w:rPr>
      </w:pPr>
    </w:p>
    <w:p w14:paraId="1019C85F" w14:textId="77777777" w:rsidR="00434188" w:rsidRPr="00FE174A" w:rsidRDefault="00434188" w:rsidP="003545E8">
      <w:pPr>
        <w:spacing w:after="0" w:line="360" w:lineRule="auto"/>
        <w:jc w:val="both"/>
        <w:rPr>
          <w:rFonts w:ascii="Arial" w:hAnsi="Arial" w:cs="Arial"/>
        </w:rPr>
      </w:pPr>
    </w:p>
    <w:p w14:paraId="48289597" w14:textId="77777777" w:rsidR="00434188" w:rsidRPr="00FE174A" w:rsidRDefault="00434188" w:rsidP="003545E8">
      <w:pPr>
        <w:pStyle w:val="Heading2"/>
        <w:spacing w:after="0"/>
      </w:pPr>
      <w:bookmarkStart w:id="42" w:name="_Toc220846962"/>
      <w:r w:rsidRPr="00FE174A">
        <w:t>3.7 Quality Assessment</w:t>
      </w:r>
      <w:bookmarkEnd w:id="42"/>
    </w:p>
    <w:p w14:paraId="03DF6F05" w14:textId="03BA654B" w:rsidR="00434188" w:rsidRPr="00FE174A" w:rsidRDefault="00434188" w:rsidP="003545E8">
      <w:pPr>
        <w:spacing w:after="0" w:line="360" w:lineRule="auto"/>
        <w:jc w:val="both"/>
        <w:rPr>
          <w:rFonts w:ascii="Arial" w:hAnsi="Arial" w:cs="Arial"/>
        </w:rPr>
      </w:pPr>
      <w:r w:rsidRPr="00FE174A">
        <w:rPr>
          <w:rFonts w:ascii="Arial" w:hAnsi="Arial" w:cs="Arial"/>
        </w:rPr>
        <w:lastRenderedPageBreak/>
        <w:t>To evaluate the methodological quality of included studies, the Critical Appraisal Skills Programme (CASP) Quality Checklist (Critical Appraisal Skills Programme, 2018) the well-known instrument in the context of assessing the rigour of qualitative studies, was used to evaluate those studies. CASP was chosen as it offers framework criteria that are explicitly tailored to the qualitative research appraisal and capture the major areas of quality that are of significance in the experiential research (Long et al., 2020). CASP checklist is a ten criteria that evaluate: it is (1) clear that the research aims are appropriate, (2) that the qualitative methods adopted are appropriate, (3) that the research design is appropriate, (4) that the recruitment strategy is appropriate, (5) that the methods used to collect data are appropriate, (6) that the researcher-participant relationship has been considered, (7) that ethics are upheld, (8) that data analysis is rigorous, (9) that findings statement is clear, and (10) that the research is valuable and relevant</w:t>
      </w:r>
    </w:p>
    <w:p w14:paraId="40A44371" w14:textId="43A925B2" w:rsidR="00434188" w:rsidRPr="00FE174A" w:rsidRDefault="00434188" w:rsidP="003545E8">
      <w:pPr>
        <w:spacing w:after="0" w:line="360" w:lineRule="auto"/>
        <w:jc w:val="both"/>
        <w:rPr>
          <w:rFonts w:ascii="Arial" w:hAnsi="Arial" w:cs="Arial"/>
        </w:rPr>
      </w:pPr>
      <w:r w:rsidRPr="00FE174A">
        <w:rPr>
          <w:rFonts w:ascii="Arial" w:hAnsi="Arial" w:cs="Arial"/>
        </w:rPr>
        <w:t>In mixed-methods studies, the qualitative element was evaluated according to CASP Qualitative criteria; however, quantitative elements were observed, but not graded, because the research question did not put a high priority on quantitative data. The score on each of the criteria was Yes (criterion fully met), Can't Tell (inadequate information available to determine), or No (criterion not met). The quality scores of studies were on a 0-10 scale underYes for the same scores, high quality was 9-10, medium 6-8 and low 0-5. A final synthesis of 7 or higher was used to derive the final synthesis to ensure that methodological rigour was upheld whilst sufficient breadth of evidence was met.</w:t>
      </w:r>
    </w:p>
    <w:p w14:paraId="78BC1938" w14:textId="77777777" w:rsidR="00434188" w:rsidRPr="00FE174A" w:rsidRDefault="00434188" w:rsidP="003545E8">
      <w:pPr>
        <w:spacing w:after="0" w:line="360" w:lineRule="auto"/>
        <w:jc w:val="both"/>
        <w:rPr>
          <w:rFonts w:ascii="Arial" w:hAnsi="Arial" w:cs="Arial"/>
        </w:rPr>
      </w:pPr>
      <w:r w:rsidRPr="00FE174A">
        <w:rPr>
          <w:rFonts w:ascii="Arial" w:hAnsi="Arial" w:cs="Arial"/>
        </w:rPr>
        <w:t>Synthesis was informed by quality ratings in various ways. As the broad themes were determined, high-quality studies (9-10/10) were assigned a higher interpretive weight. In cases where there was disagreement on the outcome of the studies, the quality ratings were used to explain whether such differences were due to methodological drawbacks. There were also observed methodological strengths and weaknesses across the evidence base, which were also revealed in the quality assessment process. Full CASP evaluations of each of the included studies can be found in Appendix C.</w:t>
      </w:r>
    </w:p>
    <w:p w14:paraId="63206B02" w14:textId="77777777" w:rsidR="00434188" w:rsidRPr="00FE174A" w:rsidRDefault="00434188" w:rsidP="003545E8">
      <w:pPr>
        <w:spacing w:after="0" w:line="360" w:lineRule="auto"/>
        <w:jc w:val="both"/>
        <w:rPr>
          <w:rFonts w:ascii="Arial" w:hAnsi="Arial" w:cs="Arial"/>
        </w:rPr>
      </w:pPr>
    </w:p>
    <w:p w14:paraId="6DB61AB1" w14:textId="77777777" w:rsidR="00434188" w:rsidRPr="00FE174A" w:rsidRDefault="00434188" w:rsidP="003545E8">
      <w:pPr>
        <w:pStyle w:val="Heading2"/>
        <w:spacing w:after="0"/>
      </w:pPr>
      <w:bookmarkStart w:id="43" w:name="_Toc220846963"/>
      <w:r w:rsidRPr="00FE174A">
        <w:t>3.8 Data Synthesis and Analysis</w:t>
      </w:r>
      <w:bookmarkEnd w:id="43"/>
    </w:p>
    <w:p w14:paraId="519A9DE3" w14:textId="1BAC7812" w:rsidR="00434188" w:rsidRPr="00FE174A" w:rsidRDefault="00434188" w:rsidP="003545E8">
      <w:pPr>
        <w:spacing w:after="0" w:line="360" w:lineRule="auto"/>
        <w:jc w:val="both"/>
        <w:rPr>
          <w:rFonts w:ascii="Arial" w:hAnsi="Arial" w:cs="Arial"/>
        </w:rPr>
      </w:pPr>
      <w:r w:rsidRPr="00FE174A">
        <w:rPr>
          <w:rFonts w:ascii="Arial" w:hAnsi="Arial" w:cs="Arial"/>
        </w:rPr>
        <w:t xml:space="preserve">Thematic synthesis was performed according to the six-step systematic approach offered by Braun and Clarke (2021), which was chosen because it provides opportunities to interpret the results beyond the limits of the study (Thomas and Harden, 2008). These stages were: Familiarization (reading studies, finding patterns), Generating Code (coding performance findings and quotations using descriptive labels, manually coding participant quotations line by line), Searching Themes (themes: collating codes into themes), Developing Themes (creating clear definitions of how the themes are relevant to objectives), and Producing Report </w:t>
      </w:r>
      <w:r w:rsidRPr="00FE174A">
        <w:rPr>
          <w:rFonts w:ascii="Arial" w:hAnsi="Arial" w:cs="Arial"/>
        </w:rPr>
        <w:lastRenderedPageBreak/>
        <w:t>(organization: structuring performance findings into coherent narrative with quotations and numerical summaries).</w:t>
      </w:r>
    </w:p>
    <w:p w14:paraId="33A7F8B0" w14:textId="29D23C75" w:rsidR="00434188" w:rsidRPr="00FE174A" w:rsidRDefault="00434188" w:rsidP="003545E8">
      <w:pPr>
        <w:spacing w:after="0" w:line="360" w:lineRule="auto"/>
        <w:jc w:val="both"/>
        <w:rPr>
          <w:rFonts w:ascii="Arial" w:hAnsi="Arial" w:cs="Arial"/>
        </w:rPr>
      </w:pPr>
      <w:r w:rsidRPr="00FE174A">
        <w:rPr>
          <w:rFonts w:ascii="Arial" w:hAnsi="Arial" w:cs="Arial"/>
        </w:rPr>
        <w:t>They were complemented by narrative synthesis, which ensured a structured description of the characteristics of the studies and their context (Popay et al., 2006). Synthesis achieved each objective: Objective 1 by focusing on family themes, Objective 2 by focusing on the staff perspective, Objective 3 by focusing on crosscutting factors, and Objective 4 by integrating quality assessment and recommendations. Quality evaluation was introduced through observing what themes were produced by high and moderate-quality studies, and the rigour rating was used to evaluate confidence (Noyes et al., 2019).</w:t>
      </w:r>
    </w:p>
    <w:p w14:paraId="4DFC4F01" w14:textId="77777777" w:rsidR="00434188" w:rsidRPr="00FE174A" w:rsidRDefault="00434188" w:rsidP="003545E8">
      <w:pPr>
        <w:spacing w:after="0" w:line="360" w:lineRule="auto"/>
        <w:jc w:val="both"/>
        <w:rPr>
          <w:rFonts w:ascii="Arial" w:hAnsi="Arial" w:cs="Arial"/>
        </w:rPr>
      </w:pPr>
    </w:p>
    <w:p w14:paraId="636FB5BF" w14:textId="77777777" w:rsidR="00434188" w:rsidRPr="00FE174A" w:rsidRDefault="00434188" w:rsidP="003545E8">
      <w:pPr>
        <w:pStyle w:val="Heading2"/>
        <w:spacing w:after="0"/>
      </w:pPr>
      <w:bookmarkStart w:id="44" w:name="_Toc220846964"/>
      <w:r w:rsidRPr="00FE174A">
        <w:t>3.9 Ethical Considerations</w:t>
      </w:r>
      <w:bookmarkEnd w:id="44"/>
    </w:p>
    <w:p w14:paraId="3CFBB4FC" w14:textId="0DC40ABC" w:rsidR="00434188" w:rsidRPr="00FE174A" w:rsidRDefault="00434188" w:rsidP="003545E8">
      <w:pPr>
        <w:spacing w:after="0" w:line="360" w:lineRule="auto"/>
        <w:jc w:val="both"/>
        <w:rPr>
          <w:rFonts w:ascii="Arial" w:hAnsi="Arial" w:cs="Arial"/>
        </w:rPr>
      </w:pPr>
      <w:r w:rsidRPr="00FE174A">
        <w:rPr>
          <w:rFonts w:ascii="Arial" w:hAnsi="Arial" w:cs="Arial"/>
        </w:rPr>
        <w:t>This</w:t>
      </w:r>
      <w:r w:rsidR="003545E8" w:rsidRPr="00FE174A">
        <w:rPr>
          <w:rFonts w:ascii="Arial" w:hAnsi="Arial" w:cs="Arial"/>
        </w:rPr>
        <w:t xml:space="preserve"> </w:t>
      </w:r>
      <w:r w:rsidRPr="00FE174A">
        <w:rPr>
          <w:rFonts w:ascii="Arial" w:hAnsi="Arial" w:cs="Arial"/>
        </w:rPr>
        <w:t xml:space="preserve">systematic review was granted ethical approval on </w:t>
      </w:r>
      <w:r w:rsidR="003545E8" w:rsidRPr="00FE174A">
        <w:rPr>
          <w:rFonts w:ascii="Arial" w:hAnsi="Arial" w:cs="Arial"/>
        </w:rPr>
        <w:t>8</w:t>
      </w:r>
      <w:r w:rsidR="003545E8" w:rsidRPr="00FE174A">
        <w:rPr>
          <w:rFonts w:ascii="Arial" w:hAnsi="Arial" w:cs="Arial"/>
          <w:vertAlign w:val="superscript"/>
        </w:rPr>
        <w:t>th</w:t>
      </w:r>
      <w:r w:rsidR="003545E8" w:rsidRPr="00FE174A">
        <w:rPr>
          <w:rFonts w:ascii="Arial" w:hAnsi="Arial" w:cs="Arial"/>
        </w:rPr>
        <w:t xml:space="preserve"> October 2025</w:t>
      </w:r>
      <w:r w:rsidRPr="00FE174A">
        <w:rPr>
          <w:rFonts w:ascii="Arial" w:hAnsi="Arial" w:cs="Arial"/>
        </w:rPr>
        <w:t xml:space="preserve"> by the University of Wales Trinity Saint David Research Ethics Committee. The study involved a secondary analysis of published literature</w:t>
      </w:r>
      <w:r w:rsidR="003545E8" w:rsidRPr="00FE174A">
        <w:rPr>
          <w:rFonts w:ascii="Arial" w:hAnsi="Arial" w:cs="Arial"/>
        </w:rPr>
        <w:t>,</w:t>
      </w:r>
      <w:r w:rsidRPr="00FE174A">
        <w:rPr>
          <w:rFonts w:ascii="Arial" w:hAnsi="Arial" w:cs="Arial"/>
        </w:rPr>
        <w:t xml:space="preserve"> which meant that ethical implications were low. </w:t>
      </w:r>
    </w:p>
    <w:p w14:paraId="730E53A7" w14:textId="1ED8ACC9" w:rsidR="009706D0" w:rsidRPr="00FE174A" w:rsidRDefault="00434188" w:rsidP="003545E8">
      <w:pPr>
        <w:spacing w:after="0" w:line="360" w:lineRule="auto"/>
        <w:jc w:val="both"/>
        <w:rPr>
          <w:rFonts w:ascii="Arial" w:hAnsi="Arial" w:cs="Arial"/>
        </w:rPr>
      </w:pPr>
      <w:r w:rsidRPr="00FE174A">
        <w:rPr>
          <w:rFonts w:ascii="Arial" w:hAnsi="Arial" w:cs="Arial"/>
        </w:rPr>
        <w:t>Transparency and rigour were ensured by following the PRISMA 2020 (</w:t>
      </w:r>
      <w:r w:rsidR="003545E8" w:rsidRPr="00FE174A">
        <w:rPr>
          <w:rFonts w:ascii="Arial" w:eastAsia="Calibri" w:hAnsi="Arial" w:cs="Arial"/>
        </w:rPr>
        <w:t>Page et al., 2021</w:t>
      </w:r>
      <w:r w:rsidRPr="00FE174A">
        <w:rPr>
          <w:rFonts w:ascii="Arial" w:hAnsi="Arial" w:cs="Arial"/>
        </w:rPr>
        <w:t xml:space="preserve">) reporting standards. The secondary data were handled with sensitivity to respect the bereaved family members involved in each study. Intellectual property was respected by properly crediting all source studies, using quotations correctly with citation of the author, and appreciation of the original author's interpretation. </w:t>
      </w:r>
      <w:r w:rsidRPr="00FE174A">
        <w:rPr>
          <w:rFonts w:ascii="Arial" w:hAnsi="Arial" w:cs="Arial"/>
          <w:highlight w:val="yellow"/>
        </w:rPr>
        <w:br w:type="page"/>
      </w:r>
    </w:p>
    <w:p w14:paraId="1DC68205" w14:textId="371F1E79" w:rsidR="009F64C5" w:rsidRPr="00FE174A" w:rsidRDefault="00DD7AA5" w:rsidP="003545E8">
      <w:pPr>
        <w:pStyle w:val="Heading1"/>
        <w:spacing w:after="0"/>
      </w:pPr>
      <w:bookmarkStart w:id="45" w:name="_Toc220573301"/>
      <w:bookmarkStart w:id="46" w:name="_Toc220846965"/>
      <w:r w:rsidRPr="00FE174A">
        <w:lastRenderedPageBreak/>
        <w:t>Chapter 4: Results</w:t>
      </w:r>
      <w:bookmarkEnd w:id="45"/>
      <w:bookmarkEnd w:id="46"/>
      <w:r w:rsidRPr="00FE174A">
        <w:t xml:space="preserve"> </w:t>
      </w:r>
    </w:p>
    <w:p w14:paraId="0C825FC9" w14:textId="4BAD2A71" w:rsidR="00EE6C34" w:rsidRPr="00FE174A" w:rsidRDefault="00744B8B" w:rsidP="003545E8">
      <w:pPr>
        <w:pStyle w:val="Heading2"/>
        <w:spacing w:after="0"/>
        <w:rPr>
          <w:rFonts w:eastAsia="Calibri"/>
        </w:rPr>
      </w:pPr>
      <w:bookmarkStart w:id="47" w:name="_Toc220846966"/>
      <w:r w:rsidRPr="00FE174A">
        <w:rPr>
          <w:rFonts w:eastAsia="Calibri"/>
        </w:rPr>
        <w:t>4.1 Introduction</w:t>
      </w:r>
      <w:bookmarkEnd w:id="47"/>
    </w:p>
    <w:p w14:paraId="4939F0B9" w14:textId="30E7C93A" w:rsidR="00EE6C34" w:rsidRPr="00FE174A" w:rsidRDefault="00EE6C34" w:rsidP="003545E8">
      <w:pPr>
        <w:spacing w:after="0" w:line="360" w:lineRule="auto"/>
        <w:jc w:val="both"/>
        <w:rPr>
          <w:rFonts w:ascii="Arial" w:eastAsia="Calibri" w:hAnsi="Arial" w:cs="Arial"/>
        </w:rPr>
      </w:pPr>
      <w:r w:rsidRPr="00FE174A">
        <w:rPr>
          <w:rFonts w:ascii="Arial" w:eastAsia="Calibri" w:hAnsi="Arial" w:cs="Arial"/>
        </w:rPr>
        <w:t>The chapter includes the results of a systematic review on the experiences of bereaved relatives and care home workers with end-of-life care in the UK residential care homes. Using a PRISMA 2020 framework (Page et al., 2021), a review of 12 high-quality studies in total was identified, appraised, and synthesized in accordance with the framework. The results respond directly to the research question, which is as follows: What are the experiences of bereaved family members and the staff of the care home concerning end-of-life care given in residential care homes in the UK? and are in line with four objectives of the research indicated in Chapter 1.</w:t>
      </w:r>
    </w:p>
    <w:p w14:paraId="4ED4B410" w14:textId="6C88131C" w:rsidR="00EE6C34" w:rsidRPr="00FE174A" w:rsidRDefault="00EE6C34" w:rsidP="003545E8">
      <w:pPr>
        <w:spacing w:after="0" w:line="360" w:lineRule="auto"/>
        <w:jc w:val="both"/>
        <w:rPr>
          <w:rFonts w:ascii="Arial" w:eastAsia="Calibri" w:hAnsi="Arial" w:cs="Arial"/>
        </w:rPr>
      </w:pPr>
      <w:r w:rsidRPr="00FE174A">
        <w:rPr>
          <w:rFonts w:ascii="Arial" w:eastAsia="Calibri" w:hAnsi="Arial" w:cs="Arial"/>
        </w:rPr>
        <w:t>The findings are presented in six groups. Section 4.2 gives an account of the flow used in selecting the study through the PRISMA flow diagram. Section 4.3 shows the features of the 12 studies that the author included there. Quality assessment findings summarised in section 4.4 were based on Critical Appraisal Skills Programme (CASP) checklists. The thematic synthesis is provided in section 4.5, which covers experiences of bereaved family members (4.5.1), care home staff (4.5.2) and points of intersection between the two groups of stakeholders (4.5.3). Lastly, section 4.6 gives a conclusion in the form of a connection of major findings with research objectives.</w:t>
      </w:r>
    </w:p>
    <w:p w14:paraId="510C9A5C" w14:textId="77777777" w:rsidR="00EE6C34" w:rsidRPr="00FE174A" w:rsidRDefault="00EE6C34" w:rsidP="003545E8">
      <w:pPr>
        <w:spacing w:after="0" w:line="360" w:lineRule="auto"/>
        <w:jc w:val="both"/>
        <w:rPr>
          <w:rFonts w:ascii="Arial" w:eastAsia="Calibri" w:hAnsi="Arial" w:cs="Arial"/>
        </w:rPr>
      </w:pPr>
    </w:p>
    <w:p w14:paraId="6B8A9F60" w14:textId="77777777" w:rsidR="00EE6C34" w:rsidRPr="00FE174A" w:rsidRDefault="00EE6C34" w:rsidP="003545E8">
      <w:pPr>
        <w:pStyle w:val="Heading2"/>
        <w:spacing w:after="0"/>
        <w:rPr>
          <w:rFonts w:eastAsia="Calibri"/>
        </w:rPr>
      </w:pPr>
      <w:bookmarkStart w:id="48" w:name="_Toc220846967"/>
      <w:r w:rsidRPr="00FE174A">
        <w:rPr>
          <w:rFonts w:eastAsia="Calibri"/>
        </w:rPr>
        <w:t>4.2 Study Selection Results</w:t>
      </w:r>
      <w:bookmarkEnd w:id="48"/>
    </w:p>
    <w:p w14:paraId="40110B8E" w14:textId="344C0D4A" w:rsidR="00EE6C34" w:rsidRPr="00FE174A" w:rsidRDefault="00EE6C34" w:rsidP="003545E8">
      <w:pPr>
        <w:spacing w:after="0" w:line="360" w:lineRule="auto"/>
        <w:jc w:val="both"/>
        <w:rPr>
          <w:rFonts w:ascii="Arial" w:eastAsia="Calibri" w:hAnsi="Arial" w:cs="Arial"/>
        </w:rPr>
      </w:pPr>
      <w:r w:rsidRPr="00FE174A">
        <w:rPr>
          <w:rFonts w:ascii="Arial" w:eastAsia="Calibri" w:hAnsi="Arial" w:cs="Arial"/>
        </w:rPr>
        <w:t>The search strategy gave 280 records in total, including 156 on Medline (through PubMed), 89 on PsycINFO, 23 on grey literature sources (Care Quality Commission, Social Care Institute of Excellence, Royal College of Nursing, National Institute of Research in Health) and 12 on hand searching reference lists. After the process of deduplication was performed through the use of Excel, Removing Duplicates option was used with author, year and title as keys to create 1 record, which resulted in the removal of 256 duplicate records and screened 24 records in title and abstract.</w:t>
      </w:r>
    </w:p>
    <w:p w14:paraId="2D7E1C1B" w14:textId="19FF6371" w:rsidR="00EE6C34" w:rsidRPr="00FE174A" w:rsidRDefault="00EE6C34" w:rsidP="003545E8">
      <w:pPr>
        <w:spacing w:after="0" w:line="360" w:lineRule="auto"/>
        <w:jc w:val="both"/>
        <w:rPr>
          <w:rFonts w:ascii="Arial" w:eastAsia="Calibri" w:hAnsi="Arial" w:cs="Arial"/>
        </w:rPr>
      </w:pPr>
      <w:r w:rsidRPr="00FE174A">
        <w:rPr>
          <w:rFonts w:ascii="Arial" w:eastAsia="Calibri" w:hAnsi="Arial" w:cs="Arial"/>
        </w:rPr>
        <w:t>Upon screening titles and abstracts, all 24 of the records passed the first inclusion criteria and moved to full-text evaluation. Four more duplicates were found during the full-text review due to the presence of the same studies in both the search outcomes of the databases: Hanna et al. (2022), Vandrevala et al. (2017), Bradshaw et al. (2023), and Spacey et al. (2021). This would lead to the selection of 20 different studies that go through quality assessment.</w:t>
      </w:r>
    </w:p>
    <w:p w14:paraId="5A08F09A" w14:textId="47233F9E" w:rsidR="00EE6C34" w:rsidRPr="00FE174A" w:rsidRDefault="00EE6C34" w:rsidP="003545E8">
      <w:pPr>
        <w:spacing w:after="0" w:line="360" w:lineRule="auto"/>
        <w:jc w:val="both"/>
        <w:rPr>
          <w:rFonts w:ascii="Arial" w:eastAsia="Calibri" w:hAnsi="Arial" w:cs="Arial"/>
        </w:rPr>
      </w:pPr>
      <w:r w:rsidRPr="00FE174A">
        <w:rPr>
          <w:rFonts w:ascii="Arial" w:eastAsia="Calibri" w:hAnsi="Arial" w:cs="Arial"/>
        </w:rPr>
        <w:t xml:space="preserve">The 20 studies were subjected to stringent quality evaluation through the right CASP checklists, along with 15 studies based on the CASP Qualitative Checklist, 3 on the CASP Cohort Study Checklist, and 2 Mixed Methods Appraisal Tool. The quality ratings showed 14 high-quality studies (with a score of 8-10/10), 6 medium-quality studies (with a score of 5-7/10) and no low-quality studies. Out of these 20 studies, 12 studies then were identified to be </w:t>
      </w:r>
      <w:r w:rsidRPr="00FE174A">
        <w:rPr>
          <w:rFonts w:ascii="Arial" w:eastAsia="Calibri" w:hAnsi="Arial" w:cs="Arial"/>
        </w:rPr>
        <w:lastRenderedPageBreak/>
        <w:t>included in the final synthesis because of: CASP quality scores of at least 7/10, direct relevance to the research question, representative of both family and staff and combined views (</w:t>
      </w:r>
      <w:r w:rsidRPr="008B04B8">
        <w:rPr>
          <w:rFonts w:ascii="Arial" w:eastAsia="Calibri" w:hAnsi="Arial" w:cs="Arial"/>
          <w:i/>
          <w:iCs/>
        </w:rPr>
        <w:t>n</w:t>
      </w:r>
      <w:r w:rsidRPr="00FE174A">
        <w:rPr>
          <w:rFonts w:ascii="Arial" w:eastAsia="Calibri" w:hAnsi="Arial" w:cs="Arial"/>
        </w:rPr>
        <w:t xml:space="preserve">=5, </w:t>
      </w:r>
      <w:r w:rsidRPr="008B04B8">
        <w:rPr>
          <w:rFonts w:ascii="Arial" w:eastAsia="Calibri" w:hAnsi="Arial" w:cs="Arial"/>
          <w:i/>
          <w:iCs/>
        </w:rPr>
        <w:t>n</w:t>
      </w:r>
      <w:r w:rsidRPr="00FE174A">
        <w:rPr>
          <w:rFonts w:ascii="Arial" w:eastAsia="Calibri" w:hAnsi="Arial" w:cs="Arial"/>
        </w:rPr>
        <w:t xml:space="preserve">=4 and </w:t>
      </w:r>
      <w:r w:rsidR="00FA6F39" w:rsidRPr="00F16319">
        <w:rPr>
          <w:rFonts w:ascii="Arial" w:eastAsia="Calibri" w:hAnsi="Arial" w:cs="Arial"/>
          <w:i/>
          <w:iCs/>
        </w:rPr>
        <w:t>n</w:t>
      </w:r>
      <w:r w:rsidR="00FA6F39" w:rsidRPr="00FE174A">
        <w:rPr>
          <w:rFonts w:ascii="Arial" w:eastAsia="Calibri" w:hAnsi="Arial" w:cs="Arial"/>
        </w:rPr>
        <w:t>=</w:t>
      </w:r>
      <w:r w:rsidRPr="00FE174A">
        <w:rPr>
          <w:rFonts w:ascii="Arial" w:eastAsia="Calibri" w:hAnsi="Arial" w:cs="Arial"/>
        </w:rPr>
        <w:t>3 respectively), geographic such diversity across regions of the UK, and diversity in the quality of methodology (qualitative and mixed methods classification of research) used. The entire process of the selection is shown in Figure 1.</w:t>
      </w:r>
    </w:p>
    <w:p w14:paraId="24033803" w14:textId="206FF1F7" w:rsidR="00EE6C34" w:rsidRPr="00FE174A" w:rsidRDefault="004C5AC0" w:rsidP="003545E8">
      <w:pPr>
        <w:spacing w:after="0" w:line="360" w:lineRule="auto"/>
        <w:jc w:val="both"/>
        <w:rPr>
          <w:rFonts w:ascii="Arial" w:eastAsia="Calibri" w:hAnsi="Arial" w:cs="Arial"/>
        </w:rPr>
      </w:pPr>
      <w:r w:rsidRPr="00FE174A">
        <w:rPr>
          <w:rFonts w:ascii="Arial" w:eastAsia="Calibri" w:hAnsi="Arial" w:cs="Arial"/>
          <w:noProof/>
        </w:rPr>
        <w:lastRenderedPageBreak/>
        <w:drawing>
          <wp:inline distT="0" distB="0" distL="0" distR="0" wp14:anchorId="01A25778" wp14:editId="773753BD">
            <wp:extent cx="5510962" cy="8187070"/>
            <wp:effectExtent l="0" t="0" r="0" b="4445"/>
            <wp:docPr id="690065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65026" name=""/>
                    <pic:cNvPicPr/>
                  </pic:nvPicPr>
                  <pic:blipFill>
                    <a:blip r:embed="rId18"/>
                    <a:stretch>
                      <a:fillRect/>
                    </a:stretch>
                  </pic:blipFill>
                  <pic:spPr>
                    <a:xfrm>
                      <a:off x="0" y="0"/>
                      <a:ext cx="5513175" cy="8190358"/>
                    </a:xfrm>
                    <a:prstGeom prst="rect">
                      <a:avLst/>
                    </a:prstGeom>
                  </pic:spPr>
                </pic:pic>
              </a:graphicData>
            </a:graphic>
          </wp:inline>
        </w:drawing>
      </w:r>
    </w:p>
    <w:p w14:paraId="24033804" w14:textId="772CB136" w:rsidR="00EE6C34" w:rsidRPr="00FE174A" w:rsidRDefault="00A74D07" w:rsidP="00A74D07">
      <w:pPr>
        <w:pStyle w:val="Caption"/>
        <w:rPr>
          <w:rFonts w:ascii="Arial" w:eastAsia="Calibri" w:hAnsi="Arial" w:cs="Arial"/>
          <w:sz w:val="22"/>
          <w:szCs w:val="22"/>
        </w:rPr>
      </w:pPr>
      <w:bookmarkStart w:id="49" w:name="_Toc220798111"/>
      <w:r w:rsidRPr="00FE174A">
        <w:rPr>
          <w:rFonts w:ascii="Arial" w:eastAsia="Calibri" w:hAnsi="Arial" w:cs="Arial"/>
          <w:sz w:val="22"/>
          <w:szCs w:val="22"/>
        </w:rPr>
        <w:t xml:space="preserve">Figure </w:t>
      </w:r>
      <w:r w:rsidRPr="00FE174A">
        <w:rPr>
          <w:rFonts w:ascii="Arial" w:eastAsia="Calibri" w:hAnsi="Arial" w:cs="Arial"/>
          <w:sz w:val="22"/>
          <w:szCs w:val="22"/>
        </w:rPr>
        <w:fldChar w:fldCharType="begin"/>
      </w:r>
      <w:r w:rsidRPr="00FE174A">
        <w:rPr>
          <w:rFonts w:ascii="Arial" w:eastAsia="Calibri" w:hAnsi="Arial" w:cs="Arial"/>
          <w:sz w:val="22"/>
          <w:szCs w:val="22"/>
        </w:rPr>
        <w:instrText xml:space="preserve"> SEQ Figure \* ARABIC </w:instrText>
      </w:r>
      <w:r w:rsidRPr="00FE174A">
        <w:rPr>
          <w:rFonts w:ascii="Arial" w:eastAsia="Calibri" w:hAnsi="Arial" w:cs="Arial"/>
          <w:sz w:val="22"/>
          <w:szCs w:val="22"/>
        </w:rPr>
        <w:fldChar w:fldCharType="separate"/>
      </w:r>
      <w:r w:rsidRPr="00FE174A">
        <w:rPr>
          <w:rFonts w:ascii="Arial" w:eastAsia="Calibri" w:hAnsi="Arial" w:cs="Arial"/>
          <w:noProof/>
          <w:sz w:val="22"/>
          <w:szCs w:val="22"/>
        </w:rPr>
        <w:t>1</w:t>
      </w:r>
      <w:r w:rsidRPr="00FE174A">
        <w:rPr>
          <w:rFonts w:ascii="Arial" w:eastAsia="Calibri" w:hAnsi="Arial" w:cs="Arial"/>
          <w:sz w:val="22"/>
          <w:szCs w:val="22"/>
        </w:rPr>
        <w:fldChar w:fldCharType="end"/>
      </w:r>
      <w:r w:rsidR="00EE6C34" w:rsidRPr="00FE174A">
        <w:rPr>
          <w:rFonts w:ascii="Arial" w:eastAsia="Calibri" w:hAnsi="Arial" w:cs="Arial"/>
          <w:sz w:val="22"/>
          <w:szCs w:val="22"/>
        </w:rPr>
        <w:t>: PRISMA Flow Diagram for Study Selection Process</w:t>
      </w:r>
      <w:bookmarkEnd w:id="49"/>
    </w:p>
    <w:p w14:paraId="24033805" w14:textId="77777779" w:rsidR="00EE6C34" w:rsidRPr="00FE174A" w:rsidDel="00FA6F39" w:rsidRDefault="00EE6C34" w:rsidP="003545E8">
      <w:pPr>
        <w:spacing w:after="0" w:line="360" w:lineRule="auto"/>
        <w:jc w:val="both"/>
        <w:rPr>
          <w:del w:id="50" w:author="Farah Wiita" w:date="2026-02-01T17:21:00Z" w16du:dateUtc="2026-02-01T17:21:00Z"/>
          <w:rFonts w:ascii="Arial" w:eastAsia="Calibri" w:hAnsi="Arial" w:cs="Arial"/>
          <w:i/>
          <w:iCs/>
        </w:rPr>
      </w:pPr>
      <w:r w:rsidRPr="00FE174A">
        <w:rPr>
          <w:rFonts w:ascii="Arial" w:eastAsia="Calibri" w:hAnsi="Arial" w:cs="Arial"/>
          <w:i/>
          <w:iCs/>
        </w:rPr>
        <w:t>Source: Author’s own work based on PRISMA 2020 guidelines (Page et al., 2021)</w:t>
      </w:r>
    </w:p>
    <w:p w14:paraId="2A888C6E" w14:textId="77777777" w:rsidR="00EE6C34" w:rsidRPr="00FE174A" w:rsidDel="00FA6F39" w:rsidRDefault="00EE6C34" w:rsidP="003545E8">
      <w:pPr>
        <w:spacing w:after="0" w:line="360" w:lineRule="auto"/>
        <w:jc w:val="both"/>
        <w:rPr>
          <w:del w:id="51" w:author="Farah Wiita" w:date="2026-02-01T17:21:00Z" w16du:dateUtc="2026-02-01T17:21:00Z"/>
          <w:rFonts w:ascii="Arial" w:eastAsia="Calibri" w:hAnsi="Arial" w:cs="Arial"/>
        </w:rPr>
      </w:pPr>
    </w:p>
    <w:p w14:paraId="53801A6C" w14:textId="4AD2C965" w:rsidR="00EE6C34" w:rsidRPr="00FE174A" w:rsidRDefault="00EE6C34" w:rsidP="003545E8">
      <w:pPr>
        <w:spacing w:after="0" w:line="360" w:lineRule="auto"/>
        <w:jc w:val="both"/>
        <w:rPr>
          <w:rFonts w:ascii="Arial" w:eastAsia="Calibri" w:hAnsi="Arial" w:cs="Arial"/>
        </w:rPr>
      </w:pPr>
      <w:bookmarkStart w:id="52" w:name="_Toc220846968"/>
      <w:r w:rsidRPr="00FE174A">
        <w:rPr>
          <w:rStyle w:val="Heading2Char"/>
          <w:rFonts w:eastAsiaTheme="minorEastAsia"/>
        </w:rPr>
        <w:t>4.3 Included Studies Characteristics</w:t>
      </w:r>
      <w:bookmarkEnd w:id="52"/>
    </w:p>
    <w:p w14:paraId="15453069" w14:textId="3DDB3D70" w:rsidR="00423AA7" w:rsidRPr="00FE174A" w:rsidRDefault="00EE6C34" w:rsidP="003545E8">
      <w:pPr>
        <w:spacing w:after="0" w:line="360" w:lineRule="auto"/>
        <w:jc w:val="both"/>
        <w:rPr>
          <w:rFonts w:ascii="Arial" w:eastAsia="Calibri" w:hAnsi="Arial" w:cs="Arial"/>
        </w:rPr>
      </w:pPr>
      <w:r w:rsidRPr="00FE174A">
        <w:rPr>
          <w:rFonts w:ascii="Arial" w:eastAsia="Calibri" w:hAnsi="Arial" w:cs="Arial"/>
        </w:rPr>
        <w:t>All 12 studies made in it have shown significant diversity in methodology and context, as seen in Table 1. Qualitative designs were used in eight studies (67 percent), and four (33 percent) used mixed-method designs based on the combination of the qualitative approach (qualitative interview) and the validated quantitative variables or cross-sectional surveys. Geographically, 10 studies (83%) were carried out in England on which specific locations of England were represented, i.e., London (Moore et al., 2017; Kupeli et al., 2016), North-Eastern England (Poole et al., 2018), Hertfordshire (Handley et al., 20</w:t>
      </w:r>
      <w:r w:rsidR="00A442CF" w:rsidRPr="00FE174A">
        <w:rPr>
          <w:rFonts w:ascii="Arial" w:eastAsia="Calibri" w:hAnsi="Arial" w:cs="Arial"/>
        </w:rPr>
        <w:t>22</w:t>
      </w:r>
      <w:r w:rsidRPr="00FE174A">
        <w:rPr>
          <w:rFonts w:ascii="Arial" w:eastAsia="Calibri" w:hAnsi="Arial" w:cs="Arial"/>
        </w:rPr>
        <w:t>), South-Western England (Spacey et al., 2021), Northern England (Preston et al., 2025). One was commissioned in Northern Ireland (De Witt Jansen et al., 2017), and two recruited a national sample across the UK, of 92.5 and 7.5 percent of participants in the UK and English, respectively (Bradshaw et al., 2023; Preston et al., 2025).</w:t>
      </w:r>
    </w:p>
    <w:p w14:paraId="2422D6CF" w14:textId="04C123E3" w:rsidR="00EE6C34" w:rsidRPr="00FE174A" w:rsidRDefault="00423AA7" w:rsidP="003545E8">
      <w:pPr>
        <w:spacing w:after="0" w:line="360" w:lineRule="auto"/>
        <w:jc w:val="both"/>
        <w:rPr>
          <w:rFonts w:ascii="Arial" w:eastAsia="Calibri" w:hAnsi="Arial" w:cs="Arial"/>
        </w:rPr>
      </w:pPr>
      <w:r w:rsidRPr="00FE174A">
        <w:rPr>
          <w:rFonts w:ascii="Arial" w:eastAsia="Calibri" w:hAnsi="Arial" w:cs="Arial"/>
        </w:rPr>
        <w:t>They consisted of 20 participants (Vandrevala et al., 2017) and 134 participants (Bradshaw et al., 2023). Bamford et al. (2018) was the largest qualitative research involving 116 interviews, 12 focus groups, and 256 hours of direct observation in various care home locations. The total number of participants in all 12 studies was over 450 individuals, which included bereaved and current family carers, staff members of care homes at different levels (healthcare assistants, nurses, team leads, managers) and health and social care professionals.</w:t>
      </w:r>
    </w:p>
    <w:p w14:paraId="39519547" w14:textId="2538B209" w:rsidR="00EE6C34" w:rsidRPr="00FE174A" w:rsidRDefault="00EE6C34" w:rsidP="003545E8">
      <w:pPr>
        <w:spacing w:after="0" w:line="360" w:lineRule="auto"/>
        <w:jc w:val="both"/>
        <w:rPr>
          <w:rFonts w:ascii="Arial" w:eastAsia="Calibri" w:hAnsi="Arial" w:cs="Arial"/>
        </w:rPr>
      </w:pPr>
      <w:r w:rsidRPr="00FE174A">
        <w:rPr>
          <w:rFonts w:ascii="Arial" w:eastAsia="Calibri" w:hAnsi="Arial" w:cs="Arial"/>
        </w:rPr>
        <w:t>Most of the ten studies (83) used semi-structured interviews as their primary source of data collection and thus were able to explore in depth the lived experiences. To permit end-of-life care delivery observation, five studies (42%) were based on the focus group implemented to support peer discussion and determine similar experiences, and two studies (17) were based on direct observation. One-third of the studies (25) employed qualified quantitative methods based on the Hospital Anxiety and Depression Scale (HADS), Short Form-12 Health Survey (SF-12), Zarit Burden Interview, the Inventory of Complicated Grief (ICG), and the Satisfaction With Care at the End-of-Life in Dementia (SWC-EOLD) scale to define the mental health and satisfaction outcomes in family carers (Moore et al., 2017; Bradshaw et al., 2023).</w:t>
      </w:r>
    </w:p>
    <w:p w14:paraId="3266B461" w14:textId="31A8EF5E" w:rsidR="00593AA7" w:rsidRDefault="00EE6C34" w:rsidP="003545E8">
      <w:pPr>
        <w:spacing w:after="0" w:line="360" w:lineRule="auto"/>
        <w:jc w:val="both"/>
        <w:rPr>
          <w:ins w:id="53" w:author="Farah Wiita" w:date="2026-02-01T17:22:00Z" w16du:dateUtc="2026-02-01T17:22:00Z"/>
          <w:rFonts w:ascii="Arial" w:eastAsia="Calibri" w:hAnsi="Arial" w:cs="Arial"/>
        </w:rPr>
      </w:pPr>
      <w:r w:rsidRPr="00FE174A">
        <w:rPr>
          <w:rFonts w:ascii="Arial" w:eastAsia="Calibri" w:hAnsi="Arial" w:cs="Arial"/>
        </w:rPr>
        <w:t xml:space="preserve">Thematic analysis was the most commonly used analytical method; nine studies (75%) used thematic analysis, two studies (17) followed framework analysis, and two (17) followed methodologies of realist evaluation. On a temporal note, 6 studies (50%) took place pre-pandemic (2016-2019), and six (50) examined the end-of-life care experiences during or in the immediate aftermath of the COVID-19 pandemic (2020-2025), and this gave perspective on crisis and non-crisis care delivery. Preston et al. (2025) is the latest publication that has been </w:t>
      </w:r>
      <w:r w:rsidR="00720682" w:rsidRPr="00FE174A">
        <w:rPr>
          <w:rFonts w:ascii="Arial" w:eastAsia="Calibri" w:hAnsi="Arial" w:cs="Arial"/>
        </w:rPr>
        <w:t>synthesised</w:t>
      </w:r>
      <w:r w:rsidRPr="00FE174A">
        <w:rPr>
          <w:rFonts w:ascii="Arial" w:eastAsia="Calibri" w:hAnsi="Arial" w:cs="Arial"/>
        </w:rPr>
        <w:t xml:space="preserve"> into evidence.</w:t>
      </w:r>
    </w:p>
    <w:p w14:paraId="5254199A" w14:textId="77777777" w:rsidR="00FA6F39" w:rsidRDefault="00FA6F39" w:rsidP="003545E8">
      <w:pPr>
        <w:spacing w:after="0" w:line="360" w:lineRule="auto"/>
        <w:jc w:val="both"/>
        <w:rPr>
          <w:ins w:id="54" w:author="Farah Wiita" w:date="2026-02-01T17:22:00Z" w16du:dateUtc="2026-02-01T17:22:00Z"/>
          <w:rFonts w:ascii="Arial" w:eastAsia="Calibri" w:hAnsi="Arial" w:cs="Arial"/>
        </w:rPr>
      </w:pPr>
    </w:p>
    <w:p w14:paraId="4A96EEBA" w14:textId="77777777" w:rsidR="00FA6F39" w:rsidRPr="00FE174A" w:rsidRDefault="00FA6F39" w:rsidP="003545E8">
      <w:pPr>
        <w:spacing w:after="0" w:line="360" w:lineRule="auto"/>
        <w:jc w:val="both"/>
        <w:rPr>
          <w:rFonts w:ascii="Arial" w:eastAsia="Calibri" w:hAnsi="Arial" w:cs="Arial"/>
        </w:rPr>
      </w:pPr>
    </w:p>
    <w:p w14:paraId="42F4268C" w14:textId="0241FB3F" w:rsidR="00744B8B" w:rsidRPr="00FE174A" w:rsidRDefault="00744B8B" w:rsidP="003545E8">
      <w:pPr>
        <w:spacing w:after="0" w:line="360" w:lineRule="auto"/>
        <w:jc w:val="both"/>
        <w:rPr>
          <w:rFonts w:ascii="Arial" w:eastAsia="Calibri" w:hAnsi="Arial" w:cs="Arial"/>
        </w:rPr>
      </w:pPr>
      <w:r w:rsidRPr="00FE174A">
        <w:rPr>
          <w:rFonts w:ascii="Arial" w:eastAsia="Calibri" w:hAnsi="Arial" w:cs="Arial"/>
          <w:b/>
          <w:bCs/>
        </w:rPr>
        <w:lastRenderedPageBreak/>
        <w:t>TABLE 1: Characteristics of Included Studies (</w:t>
      </w:r>
      <w:r w:rsidRPr="008B04B8">
        <w:rPr>
          <w:rFonts w:ascii="Arial" w:eastAsia="Calibri" w:hAnsi="Arial" w:cs="Arial"/>
          <w:b/>
          <w:bCs/>
          <w:i/>
          <w:iCs/>
        </w:rPr>
        <w:t>n</w:t>
      </w:r>
      <w:r w:rsidRPr="00FE174A">
        <w:rPr>
          <w:rFonts w:ascii="Arial" w:eastAsia="Calibri" w:hAnsi="Arial" w:cs="Arial"/>
          <w:b/>
          <w:bCs/>
        </w:rPr>
        <w:t>=12)</w:t>
      </w:r>
      <w:del w:id="55" w:author="Farah Wiita" w:date="2026-02-01T17:22:00Z" w16du:dateUtc="2026-02-01T17:22:00Z">
        <w:r w:rsidRPr="00FE174A" w:rsidDel="00FA6F39">
          <w:rPr>
            <w:rFonts w:ascii="Arial" w:eastAsia="Calibri" w:hAnsi="Arial" w:cs="Arial"/>
            <w:b/>
            <w:bCs/>
          </w:rPr>
          <w:delText>]</w:delText>
        </w:r>
      </w:del>
    </w:p>
    <w:p w14:paraId="573E090E" w14:textId="2A987BD2" w:rsidR="00366E05" w:rsidRDefault="00366E05" w:rsidP="003545E8">
      <w:pPr>
        <w:spacing w:after="0" w:line="360" w:lineRule="auto"/>
        <w:jc w:val="both"/>
        <w:rPr>
          <w:rFonts w:ascii="Arial" w:eastAsia="Calibri" w:hAnsi="Arial" w:cs="Arial"/>
          <w:b/>
          <w:bCs/>
        </w:rPr>
      </w:pPr>
      <w:r w:rsidRPr="00366E05">
        <w:rPr>
          <w:rFonts w:ascii="Arial" w:eastAsia="Calibri" w:hAnsi="Arial" w:cs="Arial"/>
          <w:b/>
          <w:bCs/>
          <w:noProof/>
        </w:rPr>
        <w:drawing>
          <wp:inline distT="0" distB="0" distL="0" distR="0" wp14:anchorId="36D2FF8E" wp14:editId="4892BFAB">
            <wp:extent cx="5731510" cy="4766310"/>
            <wp:effectExtent l="0" t="0" r="2540" b="0"/>
            <wp:docPr id="1302111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11723" name=""/>
                    <pic:cNvPicPr/>
                  </pic:nvPicPr>
                  <pic:blipFill>
                    <a:blip r:embed="rId19"/>
                    <a:stretch>
                      <a:fillRect/>
                    </a:stretch>
                  </pic:blipFill>
                  <pic:spPr>
                    <a:xfrm>
                      <a:off x="0" y="0"/>
                      <a:ext cx="5731510" cy="4766310"/>
                    </a:xfrm>
                    <a:prstGeom prst="rect">
                      <a:avLst/>
                    </a:prstGeom>
                  </pic:spPr>
                </pic:pic>
              </a:graphicData>
            </a:graphic>
          </wp:inline>
        </w:drawing>
      </w:r>
    </w:p>
    <w:p w14:paraId="12AE057B" w14:textId="62183F37" w:rsidR="00207256" w:rsidRPr="00FE174A" w:rsidRDefault="00744B8B" w:rsidP="003545E8">
      <w:pPr>
        <w:spacing w:after="0" w:line="360" w:lineRule="auto"/>
        <w:jc w:val="both"/>
        <w:rPr>
          <w:rFonts w:ascii="Arial" w:eastAsia="Calibri" w:hAnsi="Arial" w:cs="Arial"/>
        </w:rPr>
      </w:pPr>
      <w:r w:rsidRPr="00FE174A">
        <w:rPr>
          <w:rFonts w:ascii="Arial" w:eastAsia="Calibri" w:hAnsi="Arial" w:cs="Arial"/>
          <w:b/>
          <w:bCs/>
        </w:rPr>
        <w:t>Note:</w:t>
      </w:r>
      <w:r w:rsidRPr="00FE174A">
        <w:rPr>
          <w:rFonts w:ascii="Arial" w:eastAsia="Calibri" w:hAnsi="Arial" w:cs="Arial"/>
        </w:rPr>
        <w:t xml:space="preserve"> FG</w:t>
      </w:r>
      <w:r w:rsidR="00D272C1" w:rsidRPr="00FE174A">
        <w:rPr>
          <w:rFonts w:ascii="Arial" w:eastAsia="Calibri" w:hAnsi="Arial" w:cs="Arial"/>
        </w:rPr>
        <w:t>:</w:t>
      </w:r>
      <w:r w:rsidRPr="00FE174A">
        <w:rPr>
          <w:rFonts w:ascii="Arial" w:eastAsia="Calibri" w:hAnsi="Arial" w:cs="Arial"/>
        </w:rPr>
        <w:t xml:space="preserve"> Focus group, HCA</w:t>
      </w:r>
      <w:r w:rsidR="00D272C1" w:rsidRPr="00FE174A">
        <w:rPr>
          <w:rFonts w:ascii="Arial" w:eastAsia="Calibri" w:hAnsi="Arial" w:cs="Arial"/>
        </w:rPr>
        <w:t>:</w:t>
      </w:r>
      <w:r w:rsidRPr="00FE174A">
        <w:rPr>
          <w:rFonts w:ascii="Arial" w:eastAsia="Calibri" w:hAnsi="Arial" w:cs="Arial"/>
        </w:rPr>
        <w:t xml:space="preserve"> Healthcare Assistant, CASP</w:t>
      </w:r>
      <w:r w:rsidR="00D272C1" w:rsidRPr="00FE174A">
        <w:rPr>
          <w:rFonts w:ascii="Arial" w:eastAsia="Calibri" w:hAnsi="Arial" w:cs="Arial"/>
        </w:rPr>
        <w:t>:</w:t>
      </w:r>
      <w:r w:rsidRPr="00FE174A">
        <w:rPr>
          <w:rFonts w:ascii="Arial" w:eastAsia="Calibri" w:hAnsi="Arial" w:cs="Arial"/>
        </w:rPr>
        <w:t xml:space="preserve"> Critical appraisal skills program quality assessment</w:t>
      </w:r>
      <w:r w:rsidR="00D272C1" w:rsidRPr="00FE174A">
        <w:rPr>
          <w:rFonts w:ascii="Arial" w:eastAsia="Calibri" w:hAnsi="Arial" w:cs="Arial"/>
        </w:rPr>
        <w:t xml:space="preserve">, </w:t>
      </w:r>
      <w:r w:rsidRPr="00FE174A">
        <w:rPr>
          <w:rFonts w:ascii="Arial" w:eastAsia="Calibri" w:hAnsi="Arial" w:cs="Arial"/>
        </w:rPr>
        <w:t>SW</w:t>
      </w:r>
      <w:r w:rsidR="00D272C1" w:rsidRPr="00FE174A">
        <w:rPr>
          <w:rFonts w:ascii="Arial" w:eastAsia="Calibri" w:hAnsi="Arial" w:cs="Arial"/>
        </w:rPr>
        <w:t>: South West</w:t>
      </w:r>
      <w:r w:rsidRPr="00FE174A">
        <w:rPr>
          <w:rFonts w:ascii="Arial" w:eastAsia="Calibri" w:hAnsi="Arial" w:cs="Arial"/>
        </w:rPr>
        <w:t>, N</w:t>
      </w:r>
      <w:r w:rsidR="00D272C1" w:rsidRPr="00FE174A">
        <w:rPr>
          <w:rFonts w:ascii="Arial" w:eastAsia="Calibri" w:hAnsi="Arial" w:cs="Arial"/>
        </w:rPr>
        <w:t>: North</w:t>
      </w:r>
      <w:r w:rsidRPr="00FE174A">
        <w:rPr>
          <w:rFonts w:ascii="Arial" w:eastAsia="Calibri" w:hAnsi="Arial" w:cs="Arial"/>
        </w:rPr>
        <w:t>, NE</w:t>
      </w:r>
      <w:r w:rsidR="00D272C1" w:rsidRPr="00FE174A">
        <w:rPr>
          <w:rFonts w:ascii="Arial" w:eastAsia="Calibri" w:hAnsi="Arial" w:cs="Arial"/>
        </w:rPr>
        <w:t>: North East,</w:t>
      </w:r>
      <w:r w:rsidRPr="00FE174A">
        <w:rPr>
          <w:rFonts w:ascii="Arial" w:eastAsia="Calibri" w:hAnsi="Arial" w:cs="Arial"/>
        </w:rPr>
        <w:t xml:space="preserve"> UK</w:t>
      </w:r>
      <w:r w:rsidR="00D272C1" w:rsidRPr="00FE174A">
        <w:rPr>
          <w:rFonts w:ascii="Arial" w:eastAsia="Calibri" w:hAnsi="Arial" w:cs="Arial"/>
        </w:rPr>
        <w:t>: United Kingdom</w:t>
      </w:r>
      <w:r w:rsidRPr="00FE174A">
        <w:rPr>
          <w:rFonts w:ascii="Arial" w:eastAsia="Calibri" w:hAnsi="Arial" w:cs="Arial"/>
        </w:rPr>
        <w:t xml:space="preserve">. </w:t>
      </w:r>
    </w:p>
    <w:p w14:paraId="4DB0A3AE" w14:textId="39150C69" w:rsidR="00744B8B" w:rsidRPr="00FE174A" w:rsidRDefault="00744B8B" w:rsidP="003545E8">
      <w:pPr>
        <w:spacing w:after="0" w:line="360" w:lineRule="auto"/>
        <w:jc w:val="both"/>
        <w:rPr>
          <w:rFonts w:ascii="Arial" w:eastAsia="Calibri" w:hAnsi="Arial" w:cs="Arial"/>
          <w:highlight w:val="yellow"/>
        </w:rPr>
      </w:pPr>
    </w:p>
    <w:p w14:paraId="12000001" w14:textId="6A3E127A" w:rsidR="00744B8B" w:rsidRPr="00FE174A" w:rsidRDefault="00A922EA" w:rsidP="003545E8">
      <w:pPr>
        <w:spacing w:after="0" w:line="360" w:lineRule="auto"/>
        <w:jc w:val="both"/>
        <w:rPr>
          <w:rFonts w:ascii="Arial" w:eastAsia="Calibri" w:hAnsi="Arial" w:cs="Arial"/>
        </w:rPr>
      </w:pPr>
      <w:r w:rsidRPr="00FE174A">
        <w:rPr>
          <w:rFonts w:ascii="Arial" w:eastAsia="Calibri" w:hAnsi="Arial" w:cs="Arial"/>
          <w:noProof/>
        </w:rPr>
        <w:lastRenderedPageBreak/>
        <w:drawing>
          <wp:inline distT="0" distB="0" distL="0" distR="0" wp14:anchorId="6A57CAF4" wp14:editId="5BFFDD82">
            <wp:extent cx="5731510" cy="5080635"/>
            <wp:effectExtent l="0" t="0" r="2540" b="5715"/>
            <wp:docPr id="144782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23601" name=""/>
                    <pic:cNvPicPr/>
                  </pic:nvPicPr>
                  <pic:blipFill>
                    <a:blip r:embed="rId20"/>
                    <a:stretch>
                      <a:fillRect/>
                    </a:stretch>
                  </pic:blipFill>
                  <pic:spPr>
                    <a:xfrm>
                      <a:off x="0" y="0"/>
                      <a:ext cx="5731510" cy="5080635"/>
                    </a:xfrm>
                    <a:prstGeom prst="rect">
                      <a:avLst/>
                    </a:prstGeom>
                  </pic:spPr>
                </pic:pic>
              </a:graphicData>
            </a:graphic>
          </wp:inline>
        </w:drawing>
      </w:r>
    </w:p>
    <w:p w14:paraId="12000002" w14:textId="30E24257" w:rsidR="00744B8B" w:rsidRPr="00FE174A" w:rsidRDefault="00A74D07" w:rsidP="00A74D07">
      <w:pPr>
        <w:pStyle w:val="Caption"/>
        <w:rPr>
          <w:rFonts w:ascii="Arial" w:eastAsia="Calibri" w:hAnsi="Arial" w:cs="Arial"/>
          <w:sz w:val="22"/>
          <w:szCs w:val="22"/>
        </w:rPr>
      </w:pPr>
      <w:bookmarkStart w:id="56" w:name="_Toc220798112"/>
      <w:r w:rsidRPr="00FE174A">
        <w:rPr>
          <w:rFonts w:ascii="Arial" w:eastAsia="Calibri" w:hAnsi="Arial" w:cs="Arial"/>
          <w:sz w:val="22"/>
          <w:szCs w:val="22"/>
        </w:rPr>
        <w:t xml:space="preserve">Figure </w:t>
      </w:r>
      <w:r w:rsidRPr="00FE174A">
        <w:rPr>
          <w:rFonts w:ascii="Arial" w:eastAsia="Calibri" w:hAnsi="Arial" w:cs="Arial"/>
          <w:sz w:val="22"/>
          <w:szCs w:val="22"/>
        </w:rPr>
        <w:fldChar w:fldCharType="begin"/>
      </w:r>
      <w:r w:rsidRPr="00FE174A">
        <w:rPr>
          <w:rFonts w:ascii="Arial" w:eastAsia="Calibri" w:hAnsi="Arial" w:cs="Arial"/>
          <w:sz w:val="22"/>
          <w:szCs w:val="22"/>
        </w:rPr>
        <w:instrText xml:space="preserve"> SEQ Figure \* ARABIC </w:instrText>
      </w:r>
      <w:r w:rsidRPr="00FE174A">
        <w:rPr>
          <w:rFonts w:ascii="Arial" w:eastAsia="Calibri" w:hAnsi="Arial" w:cs="Arial"/>
          <w:sz w:val="22"/>
          <w:szCs w:val="22"/>
        </w:rPr>
        <w:fldChar w:fldCharType="separate"/>
      </w:r>
      <w:r w:rsidRPr="00FE174A">
        <w:rPr>
          <w:rFonts w:ascii="Arial" w:eastAsia="Calibri" w:hAnsi="Arial" w:cs="Arial"/>
          <w:noProof/>
          <w:sz w:val="22"/>
          <w:szCs w:val="22"/>
        </w:rPr>
        <w:t>2</w:t>
      </w:r>
      <w:r w:rsidRPr="00FE174A">
        <w:rPr>
          <w:rFonts w:ascii="Arial" w:eastAsia="Calibri" w:hAnsi="Arial" w:cs="Arial"/>
          <w:sz w:val="22"/>
          <w:szCs w:val="22"/>
        </w:rPr>
        <w:fldChar w:fldCharType="end"/>
      </w:r>
      <w:r w:rsidRPr="00FE174A">
        <w:rPr>
          <w:rFonts w:ascii="Arial" w:eastAsia="Calibri" w:hAnsi="Arial" w:cs="Arial"/>
          <w:sz w:val="22"/>
          <w:szCs w:val="22"/>
        </w:rPr>
        <w:t xml:space="preserve">: </w:t>
      </w:r>
      <w:r w:rsidR="00744B8B" w:rsidRPr="00FE174A">
        <w:rPr>
          <w:rFonts w:ascii="Arial" w:eastAsia="Calibri" w:hAnsi="Arial" w:cs="Arial"/>
          <w:sz w:val="22"/>
          <w:szCs w:val="22"/>
        </w:rPr>
        <w:t>Characteristics of Included Studies (n=12)</w:t>
      </w:r>
      <w:bookmarkEnd w:id="56"/>
    </w:p>
    <w:p w14:paraId="12000003" w14:textId="77777777" w:rsidR="00744B8B" w:rsidRPr="00FE174A" w:rsidRDefault="00744B8B" w:rsidP="003545E8">
      <w:pPr>
        <w:spacing w:after="0" w:line="360" w:lineRule="auto"/>
        <w:jc w:val="both"/>
        <w:rPr>
          <w:rFonts w:ascii="Arial" w:eastAsia="Calibri" w:hAnsi="Arial" w:cs="Arial"/>
          <w:i/>
          <w:iCs/>
        </w:rPr>
      </w:pPr>
      <w:r w:rsidRPr="00FE174A">
        <w:rPr>
          <w:rFonts w:ascii="Arial" w:eastAsia="Calibri" w:hAnsi="Arial" w:cs="Arial"/>
          <w:i/>
          <w:iCs/>
        </w:rPr>
        <w:t>Source: Author’s own work based on data extracted from included studies</w:t>
      </w:r>
    </w:p>
    <w:p w14:paraId="0C841D4F" w14:textId="68074FED" w:rsidR="00744B8B" w:rsidRPr="00FE174A" w:rsidRDefault="00744B8B" w:rsidP="003545E8">
      <w:pPr>
        <w:spacing w:after="0" w:line="360" w:lineRule="auto"/>
        <w:jc w:val="both"/>
        <w:rPr>
          <w:rFonts w:ascii="Arial" w:eastAsia="Calibri" w:hAnsi="Arial" w:cs="Arial"/>
          <w:highlight w:val="yellow"/>
        </w:rPr>
      </w:pPr>
    </w:p>
    <w:p w14:paraId="50069EF9" w14:textId="085A56B0" w:rsidR="000C5AE3" w:rsidRPr="00FE174A" w:rsidRDefault="00744B8B" w:rsidP="003545E8">
      <w:pPr>
        <w:pStyle w:val="Heading2"/>
        <w:spacing w:after="0"/>
        <w:rPr>
          <w:rFonts w:eastAsia="Calibri"/>
        </w:rPr>
      </w:pPr>
      <w:bookmarkStart w:id="57" w:name="_Toc220846969"/>
      <w:r w:rsidRPr="00FE174A">
        <w:rPr>
          <w:rFonts w:eastAsia="Calibri"/>
        </w:rPr>
        <w:t>4.4 Quality Assessment Summary</w:t>
      </w:r>
      <w:bookmarkEnd w:id="57"/>
    </w:p>
    <w:p w14:paraId="070F74AD" w14:textId="2D5DD081" w:rsidR="000C5AE3" w:rsidRPr="00FE174A" w:rsidRDefault="000C5AE3" w:rsidP="003545E8">
      <w:pPr>
        <w:spacing w:after="0" w:line="360" w:lineRule="auto"/>
        <w:jc w:val="both"/>
        <w:rPr>
          <w:rFonts w:ascii="Arial" w:eastAsia="Calibri" w:hAnsi="Arial" w:cs="Arial"/>
        </w:rPr>
      </w:pPr>
      <w:r w:rsidRPr="00FE174A">
        <w:rPr>
          <w:rFonts w:ascii="Arial" w:eastAsia="Calibri" w:hAnsi="Arial" w:cs="Arial"/>
        </w:rPr>
        <w:t>The 12 included articles showed good methodological rigour, with 9/10 to 10/10 in quality scores on the CASP assessment tools and an average quality score of 9.75/10. The highest score of 10/10 was obtained by 9 (75) studies</w:t>
      </w:r>
      <w:r w:rsidR="00720682" w:rsidRPr="00FE174A">
        <w:rPr>
          <w:rFonts w:ascii="Arial" w:eastAsia="Calibri" w:hAnsi="Arial" w:cs="Arial"/>
        </w:rPr>
        <w:t>,</w:t>
      </w:r>
      <w:r w:rsidRPr="00FE174A">
        <w:rPr>
          <w:rFonts w:ascii="Arial" w:eastAsia="Calibri" w:hAnsi="Arial" w:cs="Arial"/>
        </w:rPr>
        <w:t xml:space="preserve"> and the middle score of 9/10 was obtained by 3 (25) studies. Table 2 shows the specific CASP quality rating of each study in 10 study evaluation criteria.</w:t>
      </w:r>
    </w:p>
    <w:p w14:paraId="76FBBB8E" w14:textId="77777777" w:rsidR="000C5AE3" w:rsidRPr="00FE174A" w:rsidRDefault="000C5AE3" w:rsidP="003545E8">
      <w:pPr>
        <w:spacing w:after="0" w:line="360" w:lineRule="auto"/>
        <w:jc w:val="both"/>
        <w:rPr>
          <w:rFonts w:ascii="Arial" w:eastAsia="Calibri" w:hAnsi="Arial" w:cs="Arial"/>
        </w:rPr>
      </w:pPr>
      <w:r w:rsidRPr="00FE174A">
        <w:rPr>
          <w:rFonts w:ascii="Arial" w:eastAsia="Calibri" w:hAnsi="Arial" w:cs="Arial"/>
        </w:rPr>
        <w:t xml:space="preserve">The methodological strengths that were common to the included studies comprised: clear statement of research objectives directly associated with end-of-life care experiences (100% of studies), sound qualitative or mixed-method designs appropriate to investigate end-of-life care-related subjective experiences (100%), rigorous purposive or maximum variation sampling procedures to seek a diverse variety of perspectives (100%), suitable and well described qualitative data collection methods such as interview guides and observational </w:t>
      </w:r>
      <w:r w:rsidRPr="00FE174A">
        <w:rPr>
          <w:rFonts w:ascii="Arial" w:eastAsia="Calibri" w:hAnsi="Arial" w:cs="Arial"/>
        </w:rPr>
        <w:lastRenderedPageBreak/>
        <w:t>protocols (100%), clear and transparent data analysis practices with suggested evidence of coding frameworks and theme</w:t>
      </w:r>
    </w:p>
    <w:p w14:paraId="325724F5" w14:textId="77777777" w:rsidR="000C5AE3" w:rsidRPr="00FE174A" w:rsidRDefault="000C5AE3" w:rsidP="003545E8">
      <w:pPr>
        <w:spacing w:after="0" w:line="360" w:lineRule="auto"/>
        <w:jc w:val="both"/>
        <w:rPr>
          <w:rFonts w:ascii="Arial" w:eastAsia="Calibri" w:hAnsi="Arial" w:cs="Arial"/>
        </w:rPr>
      </w:pPr>
    </w:p>
    <w:p w14:paraId="0D04215F" w14:textId="5C596B50" w:rsidR="000C5AE3" w:rsidRPr="00FE174A" w:rsidRDefault="000C5AE3" w:rsidP="003545E8">
      <w:pPr>
        <w:spacing w:after="0" w:line="360" w:lineRule="auto"/>
        <w:jc w:val="both"/>
        <w:rPr>
          <w:rFonts w:ascii="Arial" w:eastAsia="Calibri" w:hAnsi="Arial" w:cs="Arial"/>
        </w:rPr>
      </w:pPr>
      <w:r w:rsidRPr="00FE174A">
        <w:rPr>
          <w:rFonts w:ascii="Arial" w:eastAsia="Calibri" w:hAnsi="Arial" w:cs="Arial"/>
        </w:rPr>
        <w:t>Three articles that concurred on ‘Unclear’ on the reflexivity criterion (CASP Question 6) included in Poole et al. (2018), Vandrevala et al., the researchers did not thoroughly discuss how the characteristics or assumptions of researchers could have affected data collection or interpretation, despite providing explicit acknowledgement of the researcher's position. Nonetheless, this small weakness did not affect the validity of the results significantly, since all three studies were found to have solid analysis strategies, data triangulation, and participant quotation validation.</w:t>
      </w:r>
    </w:p>
    <w:p w14:paraId="2D1439CD" w14:textId="2DB733DD" w:rsidR="000C5AE3" w:rsidRPr="00FE174A" w:rsidRDefault="000C5AE3" w:rsidP="003545E8">
      <w:pPr>
        <w:spacing w:after="0" w:line="360" w:lineRule="auto"/>
        <w:jc w:val="both"/>
        <w:rPr>
          <w:rFonts w:ascii="Arial" w:eastAsia="Calibri" w:hAnsi="Arial" w:cs="Arial"/>
        </w:rPr>
      </w:pPr>
      <w:r w:rsidRPr="00FE174A">
        <w:rPr>
          <w:rFonts w:ascii="Arial" w:eastAsia="Calibri" w:hAnsi="Arial" w:cs="Arial"/>
        </w:rPr>
        <w:t xml:space="preserve">The faith in the synthesis of the evidence is supported by the high quality of the included articles. The methodological heterogeneity (qualitative and mixed methods), the analytical strategies (thematic analysis, framework analysis, and realist evaluation), and the chronological dispersion (pre-pandemic and pandemic-time studies) increase the reliability of results and their applicability. No studies were filtered out </w:t>
      </w:r>
      <w:r w:rsidR="00A74D07" w:rsidRPr="00FE174A">
        <w:rPr>
          <w:rFonts w:ascii="Arial" w:eastAsia="Calibri" w:hAnsi="Arial" w:cs="Arial"/>
        </w:rPr>
        <w:t>based on</w:t>
      </w:r>
      <w:r w:rsidRPr="00FE174A">
        <w:rPr>
          <w:rFonts w:ascii="Arial" w:eastAsia="Calibri" w:hAnsi="Arial" w:cs="Arial"/>
        </w:rPr>
        <w:t xml:space="preserve"> quality issues since they all met or even surpassed the set standard of CASP score ≥7/10.</w:t>
      </w:r>
    </w:p>
    <w:p w14:paraId="137D6F90" w14:textId="4E9580FB" w:rsidR="00744B8B" w:rsidRPr="00FE174A" w:rsidRDefault="00744B8B" w:rsidP="003545E8">
      <w:pPr>
        <w:spacing w:after="0" w:line="360" w:lineRule="auto"/>
        <w:jc w:val="both"/>
        <w:rPr>
          <w:rFonts w:ascii="Arial" w:eastAsia="Calibri" w:hAnsi="Arial" w:cs="Arial"/>
        </w:rPr>
      </w:pPr>
      <w:r w:rsidRPr="00FE174A">
        <w:rPr>
          <w:rFonts w:ascii="Arial" w:eastAsia="Calibri" w:hAnsi="Arial" w:cs="Arial"/>
          <w:b/>
          <w:bCs/>
        </w:rPr>
        <w:t>TABLE 2: Quality Assessment Summary (CASP Ratings)</w:t>
      </w:r>
    </w:p>
    <w:p w14:paraId="50D9C1F8" w14:textId="1DFB0401" w:rsidR="00FD1B2B" w:rsidRPr="00FE174A" w:rsidRDefault="00366E05" w:rsidP="003545E8">
      <w:pPr>
        <w:spacing w:after="0" w:line="360" w:lineRule="auto"/>
        <w:jc w:val="both"/>
        <w:rPr>
          <w:rFonts w:ascii="Arial" w:eastAsia="Calibri" w:hAnsi="Arial" w:cs="Arial"/>
          <w:b/>
          <w:bCs/>
          <w:highlight w:val="yellow"/>
        </w:rPr>
      </w:pPr>
      <w:r w:rsidRPr="00366E05">
        <w:rPr>
          <w:rFonts w:ascii="Arial" w:eastAsia="Calibri" w:hAnsi="Arial" w:cs="Arial"/>
          <w:b/>
          <w:bCs/>
          <w:noProof/>
        </w:rPr>
        <w:drawing>
          <wp:inline distT="0" distB="0" distL="0" distR="0" wp14:anchorId="41D54FF0" wp14:editId="5F503A6D">
            <wp:extent cx="5731510" cy="2309495"/>
            <wp:effectExtent l="0" t="0" r="2540" b="0"/>
            <wp:docPr id="46409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095869" name=""/>
                    <pic:cNvPicPr/>
                  </pic:nvPicPr>
                  <pic:blipFill>
                    <a:blip r:embed="rId21"/>
                    <a:stretch>
                      <a:fillRect/>
                    </a:stretch>
                  </pic:blipFill>
                  <pic:spPr>
                    <a:xfrm>
                      <a:off x="0" y="0"/>
                      <a:ext cx="5731510" cy="2309495"/>
                    </a:xfrm>
                    <a:prstGeom prst="rect">
                      <a:avLst/>
                    </a:prstGeom>
                  </pic:spPr>
                </pic:pic>
              </a:graphicData>
            </a:graphic>
          </wp:inline>
        </w:drawing>
      </w:r>
    </w:p>
    <w:p w14:paraId="7C3E9B9C" w14:textId="5D062C2E" w:rsidR="00744B8B" w:rsidRPr="00FE174A" w:rsidRDefault="00744B8B" w:rsidP="003545E8">
      <w:pPr>
        <w:spacing w:after="0" w:line="360" w:lineRule="auto"/>
        <w:jc w:val="both"/>
        <w:rPr>
          <w:rFonts w:ascii="Arial" w:eastAsia="Calibri" w:hAnsi="Arial" w:cs="Arial"/>
        </w:rPr>
      </w:pPr>
      <w:r w:rsidRPr="00FE174A">
        <w:rPr>
          <w:rFonts w:ascii="Arial" w:eastAsia="Calibri" w:hAnsi="Arial" w:cs="Arial"/>
          <w:b/>
          <w:bCs/>
        </w:rPr>
        <w:t>Key:</w:t>
      </w:r>
      <w:r w:rsidRPr="00FE174A">
        <w:rPr>
          <w:rFonts w:ascii="Arial" w:eastAsia="Calibri" w:hAnsi="Arial" w:cs="Arial"/>
        </w:rPr>
        <w:t xml:space="preserve"> Y = Yes; UC = Unclear</w:t>
      </w:r>
    </w:p>
    <w:p w14:paraId="08E4A038" w14:textId="77777777" w:rsidR="00744B8B" w:rsidRPr="00FE174A" w:rsidRDefault="00744B8B" w:rsidP="003545E8">
      <w:pPr>
        <w:spacing w:after="0" w:line="360" w:lineRule="auto"/>
        <w:jc w:val="both"/>
        <w:rPr>
          <w:rFonts w:ascii="Arial" w:eastAsia="Calibri" w:hAnsi="Arial" w:cs="Arial"/>
        </w:rPr>
      </w:pPr>
      <w:r w:rsidRPr="00FE174A">
        <w:rPr>
          <w:rFonts w:ascii="Arial" w:eastAsia="Calibri" w:hAnsi="Arial" w:cs="Arial"/>
          <w:b/>
          <w:bCs/>
        </w:rPr>
        <w:t>Quality Distribution:</w:t>
      </w:r>
    </w:p>
    <w:p w14:paraId="45E3313A" w14:textId="77777777" w:rsidR="00744B8B" w:rsidRPr="00FE174A" w:rsidRDefault="00744B8B" w:rsidP="003545E8">
      <w:pPr>
        <w:numPr>
          <w:ilvl w:val="0"/>
          <w:numId w:val="9"/>
        </w:numPr>
        <w:spacing w:after="0" w:line="360" w:lineRule="auto"/>
        <w:jc w:val="both"/>
        <w:rPr>
          <w:rFonts w:ascii="Arial" w:eastAsia="Calibri" w:hAnsi="Arial" w:cs="Arial"/>
        </w:rPr>
      </w:pPr>
      <w:r w:rsidRPr="00FE174A">
        <w:rPr>
          <w:rFonts w:ascii="Arial" w:eastAsia="Calibri" w:hAnsi="Arial" w:cs="Arial"/>
        </w:rPr>
        <w:t>High quality (9-10/10): 12 studies (100%)</w:t>
      </w:r>
    </w:p>
    <w:p w14:paraId="37E45058" w14:textId="77777777" w:rsidR="00744B8B" w:rsidRPr="00FE174A" w:rsidRDefault="00744B8B" w:rsidP="003545E8">
      <w:pPr>
        <w:numPr>
          <w:ilvl w:val="0"/>
          <w:numId w:val="9"/>
        </w:numPr>
        <w:spacing w:after="0" w:line="360" w:lineRule="auto"/>
        <w:jc w:val="both"/>
        <w:rPr>
          <w:rFonts w:ascii="Arial" w:eastAsia="Calibri" w:hAnsi="Arial" w:cs="Arial"/>
        </w:rPr>
      </w:pPr>
      <w:r w:rsidRPr="00FE174A">
        <w:rPr>
          <w:rFonts w:ascii="Arial" w:eastAsia="Calibri" w:hAnsi="Arial" w:cs="Arial"/>
        </w:rPr>
        <w:t>Perfect score (10/10): 9 studies (75%)</w:t>
      </w:r>
    </w:p>
    <w:p w14:paraId="4CEB0461" w14:textId="77777777" w:rsidR="00744B8B" w:rsidRPr="00FE174A" w:rsidRDefault="00744B8B" w:rsidP="003545E8">
      <w:pPr>
        <w:numPr>
          <w:ilvl w:val="0"/>
          <w:numId w:val="9"/>
        </w:numPr>
        <w:spacing w:after="0" w:line="360" w:lineRule="auto"/>
        <w:jc w:val="both"/>
        <w:rPr>
          <w:rFonts w:ascii="Arial" w:eastAsia="Calibri" w:hAnsi="Arial" w:cs="Arial"/>
        </w:rPr>
      </w:pPr>
      <w:r w:rsidRPr="00FE174A">
        <w:rPr>
          <w:rFonts w:ascii="Arial" w:eastAsia="Calibri" w:hAnsi="Arial" w:cs="Arial"/>
        </w:rPr>
        <w:t>Average quality score: 9.75/10</w:t>
      </w:r>
    </w:p>
    <w:p w14:paraId="6F13D0DB" w14:textId="7B922DDB" w:rsidR="00744B8B" w:rsidRPr="00FE174A" w:rsidDel="00FA6F39" w:rsidRDefault="00744B8B" w:rsidP="003545E8">
      <w:pPr>
        <w:spacing w:after="0" w:line="360" w:lineRule="auto"/>
        <w:jc w:val="both"/>
        <w:rPr>
          <w:del w:id="58" w:author="Farah Wiita" w:date="2026-02-01T17:23:00Z" w16du:dateUtc="2026-02-01T17:23:00Z"/>
          <w:rFonts w:ascii="Arial" w:eastAsia="Calibri" w:hAnsi="Arial" w:cs="Arial"/>
          <w:highlight w:val="yellow"/>
        </w:rPr>
      </w:pPr>
    </w:p>
    <w:p w14:paraId="13000001" w14:textId="0AAEC67A" w:rsidR="00744B8B" w:rsidRPr="00FE174A" w:rsidRDefault="00A922EA" w:rsidP="003545E8">
      <w:pPr>
        <w:spacing w:after="0" w:line="360" w:lineRule="auto"/>
        <w:jc w:val="both"/>
        <w:rPr>
          <w:rFonts w:ascii="Arial" w:eastAsia="Calibri" w:hAnsi="Arial" w:cs="Arial"/>
        </w:rPr>
      </w:pPr>
      <w:ins w:id="59" w:author="Mudassir Patel" w:date="2026-02-01T01:45:00Z" w16du:dateUtc="2026-02-01T01:45:00Z">
        <w:del w:id="60" w:author="Farah Wiita" w:date="2026-02-01T17:23:00Z" w16du:dateUtc="2026-02-01T17:23:00Z">
          <w:r w:rsidRPr="00FE174A" w:rsidDel="00FA6F39">
            <w:rPr>
              <w:rFonts w:ascii="Arial" w:eastAsia="Calibri" w:hAnsi="Arial" w:cs="Arial"/>
            </w:rPr>
            <w:lastRenderedPageBreak/>
            <w:delText xml:space="preserve"> </w:delText>
          </w:r>
        </w:del>
      </w:ins>
      <w:r w:rsidRPr="00FE174A">
        <w:rPr>
          <w:rFonts w:ascii="Arial" w:eastAsia="Calibri" w:hAnsi="Arial" w:cs="Arial"/>
          <w:noProof/>
        </w:rPr>
        <w:drawing>
          <wp:inline distT="0" distB="0" distL="0" distR="0" wp14:anchorId="6E00E825" wp14:editId="0221E70E">
            <wp:extent cx="5731510" cy="6036097"/>
            <wp:effectExtent l="0" t="0" r="2540" b="3175"/>
            <wp:docPr id="503890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890471" name=""/>
                    <pic:cNvPicPr/>
                  </pic:nvPicPr>
                  <pic:blipFill rotWithShape="1">
                    <a:blip r:embed="rId22"/>
                    <a:srcRect b="13340"/>
                    <a:stretch>
                      <a:fillRect/>
                    </a:stretch>
                  </pic:blipFill>
                  <pic:spPr bwMode="auto">
                    <a:xfrm>
                      <a:off x="0" y="0"/>
                      <a:ext cx="5731510" cy="6036097"/>
                    </a:xfrm>
                    <a:prstGeom prst="rect">
                      <a:avLst/>
                    </a:prstGeom>
                    <a:ln>
                      <a:noFill/>
                    </a:ln>
                    <a:extLst>
                      <a:ext uri="{53640926-AAD7-44D8-BBD7-CCE9431645EC}">
                        <a14:shadowObscured xmlns:a14="http://schemas.microsoft.com/office/drawing/2010/main"/>
                      </a:ext>
                    </a:extLst>
                  </pic:spPr>
                </pic:pic>
              </a:graphicData>
            </a:graphic>
          </wp:inline>
        </w:drawing>
      </w:r>
    </w:p>
    <w:p w14:paraId="13000002" w14:textId="4BC34A1C" w:rsidR="00744B8B" w:rsidRPr="00FE174A" w:rsidRDefault="00A74D07" w:rsidP="00A74D07">
      <w:pPr>
        <w:pStyle w:val="Caption"/>
        <w:rPr>
          <w:rFonts w:ascii="Arial" w:eastAsia="Calibri" w:hAnsi="Arial" w:cs="Arial"/>
          <w:sz w:val="22"/>
          <w:szCs w:val="22"/>
        </w:rPr>
      </w:pPr>
      <w:bookmarkStart w:id="61" w:name="_Toc220798113"/>
      <w:r w:rsidRPr="00FE174A">
        <w:rPr>
          <w:rFonts w:ascii="Arial" w:eastAsia="Calibri" w:hAnsi="Arial" w:cs="Arial"/>
          <w:sz w:val="22"/>
          <w:szCs w:val="22"/>
        </w:rPr>
        <w:t xml:space="preserve">Figure </w:t>
      </w:r>
      <w:r w:rsidRPr="00FE174A">
        <w:rPr>
          <w:rFonts w:ascii="Arial" w:eastAsia="Calibri" w:hAnsi="Arial" w:cs="Arial"/>
          <w:sz w:val="22"/>
          <w:szCs w:val="22"/>
        </w:rPr>
        <w:fldChar w:fldCharType="begin"/>
      </w:r>
      <w:r w:rsidRPr="00FE174A">
        <w:rPr>
          <w:rFonts w:ascii="Arial" w:eastAsia="Calibri" w:hAnsi="Arial" w:cs="Arial"/>
          <w:sz w:val="22"/>
          <w:szCs w:val="22"/>
        </w:rPr>
        <w:instrText xml:space="preserve"> SEQ Figure \* ARABIC </w:instrText>
      </w:r>
      <w:r w:rsidRPr="00FE174A">
        <w:rPr>
          <w:rFonts w:ascii="Arial" w:eastAsia="Calibri" w:hAnsi="Arial" w:cs="Arial"/>
          <w:sz w:val="22"/>
          <w:szCs w:val="22"/>
        </w:rPr>
        <w:fldChar w:fldCharType="separate"/>
      </w:r>
      <w:r w:rsidRPr="00FE174A">
        <w:rPr>
          <w:rFonts w:ascii="Arial" w:eastAsia="Calibri" w:hAnsi="Arial" w:cs="Arial"/>
          <w:noProof/>
          <w:sz w:val="22"/>
          <w:szCs w:val="22"/>
        </w:rPr>
        <w:t>3</w:t>
      </w:r>
      <w:r w:rsidRPr="00FE174A">
        <w:rPr>
          <w:rFonts w:ascii="Arial" w:eastAsia="Calibri" w:hAnsi="Arial" w:cs="Arial"/>
          <w:sz w:val="22"/>
          <w:szCs w:val="22"/>
        </w:rPr>
        <w:fldChar w:fldCharType="end"/>
      </w:r>
      <w:r w:rsidRPr="00FE174A">
        <w:rPr>
          <w:rFonts w:ascii="Arial" w:eastAsia="Calibri" w:hAnsi="Arial" w:cs="Arial"/>
          <w:sz w:val="22"/>
          <w:szCs w:val="22"/>
        </w:rPr>
        <w:t xml:space="preserve">: </w:t>
      </w:r>
      <w:r w:rsidR="00744B8B" w:rsidRPr="00FE174A">
        <w:rPr>
          <w:rFonts w:ascii="Arial" w:eastAsia="Calibri" w:hAnsi="Arial" w:cs="Arial"/>
          <w:sz w:val="22"/>
          <w:szCs w:val="22"/>
        </w:rPr>
        <w:t>Quality Assessment Summary (CASP Ratings)</w:t>
      </w:r>
      <w:bookmarkEnd w:id="61"/>
    </w:p>
    <w:p w14:paraId="13000003" w14:textId="77777777" w:rsidR="00744B8B" w:rsidRPr="00FE174A" w:rsidRDefault="00744B8B" w:rsidP="003545E8">
      <w:pPr>
        <w:spacing w:after="0" w:line="360" w:lineRule="auto"/>
        <w:jc w:val="both"/>
        <w:rPr>
          <w:rFonts w:ascii="Arial" w:eastAsia="Calibri" w:hAnsi="Arial" w:cs="Arial"/>
          <w:i/>
          <w:iCs/>
        </w:rPr>
      </w:pPr>
      <w:r w:rsidRPr="00FE174A">
        <w:rPr>
          <w:rFonts w:ascii="Arial" w:eastAsia="Calibri" w:hAnsi="Arial" w:cs="Arial"/>
          <w:i/>
          <w:iCs/>
        </w:rPr>
        <w:t>Source: Author’s own work based on CASP Qualitative Checklist (CASP, 2018)</w:t>
      </w:r>
    </w:p>
    <w:p w14:paraId="5C324575" w14:textId="53E51004" w:rsidR="00F95152" w:rsidRPr="00FE174A" w:rsidRDefault="00F95152" w:rsidP="003545E8">
      <w:pPr>
        <w:spacing w:after="0" w:line="360" w:lineRule="auto"/>
        <w:jc w:val="both"/>
        <w:rPr>
          <w:rFonts w:ascii="Arial" w:eastAsia="Calibri" w:hAnsi="Arial" w:cs="Arial"/>
          <w:b/>
          <w:color w:val="000000"/>
        </w:rPr>
      </w:pPr>
      <w:r w:rsidRPr="00FE174A">
        <w:rPr>
          <w:rFonts w:ascii="Arial" w:eastAsia="Calibri" w:hAnsi="Arial" w:cs="Arial"/>
          <w:b/>
          <w:color w:val="000000"/>
        </w:rPr>
        <w:t>4.5 Thematic Findings</w:t>
      </w:r>
    </w:p>
    <w:p w14:paraId="0F9F907E" w14:textId="24A629CE" w:rsidR="00F95152" w:rsidRPr="00FE174A" w:rsidRDefault="00F95152" w:rsidP="003545E8">
      <w:pPr>
        <w:spacing w:after="0" w:line="360" w:lineRule="auto"/>
        <w:jc w:val="both"/>
        <w:rPr>
          <w:rFonts w:ascii="Arial" w:eastAsia="Calibri" w:hAnsi="Arial" w:cs="Arial"/>
          <w:bCs/>
          <w:color w:val="000000"/>
        </w:rPr>
      </w:pPr>
      <w:r w:rsidRPr="00FE174A">
        <w:rPr>
          <w:rFonts w:ascii="Arial" w:eastAsia="Calibri" w:hAnsi="Arial" w:cs="Arial"/>
          <w:bCs/>
          <w:color w:val="000000"/>
        </w:rPr>
        <w:t>Thematic analysis of the 12 included studies revealed 11 overall themes, five of which focused on the experiences of bereaved family members, six focused on the experiences of care home staff, and areas of overlap between the two stakeholder groups. The results are outlined in the cases of each group of stakeholders prior to discussing common themes.</w:t>
      </w:r>
    </w:p>
    <w:p w14:paraId="7776F654" w14:textId="77777777" w:rsidR="00F95152" w:rsidRDefault="00F95152" w:rsidP="003545E8">
      <w:pPr>
        <w:spacing w:after="0" w:line="360" w:lineRule="auto"/>
        <w:jc w:val="both"/>
        <w:rPr>
          <w:ins w:id="62" w:author="Farah Wiita" w:date="2026-02-01T17:23:00Z" w16du:dateUtc="2026-02-01T17:23:00Z"/>
          <w:rFonts w:ascii="Arial" w:eastAsia="Calibri" w:hAnsi="Arial" w:cs="Arial"/>
          <w:b/>
          <w:color w:val="000000"/>
        </w:rPr>
      </w:pPr>
    </w:p>
    <w:p w14:paraId="7EFBF0CC" w14:textId="77777777" w:rsidR="00FA6F39" w:rsidRDefault="00FA6F39" w:rsidP="003545E8">
      <w:pPr>
        <w:spacing w:after="0" w:line="360" w:lineRule="auto"/>
        <w:jc w:val="both"/>
        <w:rPr>
          <w:ins w:id="63" w:author="Farah Wiita" w:date="2026-02-01T17:23:00Z" w16du:dateUtc="2026-02-01T17:23:00Z"/>
          <w:rFonts w:ascii="Arial" w:eastAsia="Calibri" w:hAnsi="Arial" w:cs="Arial"/>
          <w:b/>
          <w:color w:val="000000"/>
        </w:rPr>
      </w:pPr>
    </w:p>
    <w:p w14:paraId="0372938D" w14:textId="77777777" w:rsidR="00FA6F39" w:rsidRPr="00FE174A" w:rsidRDefault="00FA6F39" w:rsidP="003545E8">
      <w:pPr>
        <w:spacing w:after="0" w:line="360" w:lineRule="auto"/>
        <w:jc w:val="both"/>
        <w:rPr>
          <w:rFonts w:ascii="Arial" w:eastAsia="Calibri" w:hAnsi="Arial" w:cs="Arial"/>
          <w:b/>
          <w:color w:val="000000"/>
        </w:rPr>
      </w:pPr>
    </w:p>
    <w:p w14:paraId="33DD3429" w14:textId="5E1AFE68" w:rsidR="00321691" w:rsidRPr="00FE174A" w:rsidRDefault="00321691" w:rsidP="003545E8">
      <w:pPr>
        <w:spacing w:after="0" w:line="360" w:lineRule="auto"/>
        <w:jc w:val="both"/>
        <w:rPr>
          <w:rFonts w:ascii="Arial" w:eastAsia="Calibri" w:hAnsi="Arial" w:cs="Arial"/>
          <w:b/>
          <w:color w:val="000000"/>
        </w:rPr>
      </w:pPr>
      <w:r w:rsidRPr="00FE174A">
        <w:rPr>
          <w:rFonts w:ascii="Arial" w:eastAsia="Calibri" w:hAnsi="Arial" w:cs="Arial"/>
          <w:b/>
          <w:color w:val="000000"/>
        </w:rPr>
        <w:lastRenderedPageBreak/>
        <w:t>4.5.1 Bereaved Family Member Experiences</w:t>
      </w:r>
    </w:p>
    <w:p w14:paraId="6A5A9A45" w14:textId="62A8201F" w:rsidR="00707DDF" w:rsidRPr="00FE174A" w:rsidRDefault="00F95152" w:rsidP="003545E8">
      <w:pPr>
        <w:spacing w:after="0" w:line="360" w:lineRule="auto"/>
        <w:jc w:val="both"/>
        <w:rPr>
          <w:rFonts w:ascii="Arial" w:eastAsia="Calibri" w:hAnsi="Arial" w:cs="Arial"/>
          <w:bCs/>
        </w:rPr>
      </w:pPr>
      <w:r w:rsidRPr="00FE174A">
        <w:rPr>
          <w:rFonts w:ascii="Arial" w:eastAsia="Calibri" w:hAnsi="Arial" w:cs="Arial"/>
          <w:bCs/>
          <w:color w:val="000000"/>
        </w:rPr>
        <w:t xml:space="preserve">The experiences of bereaved family members in residential care homes due to end-of-life care had five key themes, namely: communication and information, presence and involvement, relationships with the staff, grief and bereavement, and care priorities. </w:t>
      </w:r>
      <w:r w:rsidRPr="00FE174A">
        <w:rPr>
          <w:rFonts w:ascii="Arial" w:eastAsia="Calibri" w:hAnsi="Arial" w:cs="Arial"/>
          <w:bCs/>
        </w:rPr>
        <w:t>Theme 1: Communication and Information (n=7 studies).</w:t>
      </w:r>
    </w:p>
    <w:p w14:paraId="2FE9E06F" w14:textId="4E6780C7"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 xml:space="preserve">In seven studies, communication turned out to be an important factor that defines family satisfaction (Moore et al., 2017; Bamford et al., 2018; Poole et al., 2018; Hanna et al., 2022; Perkins et al., 2016; Spacey et al., 2021; Preston et al., 2025). The families highly esteemed the need to constantly be updated on the status of the relative, especially informing them when the resident was getting worse or near death. Perkins et al. (2016) single out proactive communication as a factor that helped the family to make an informed decision of whether they wanted to be available upon when the individual died, with bereaved relatives noting that the need to be there and </w:t>
      </w:r>
      <w:r w:rsidR="00720682" w:rsidRPr="00FE174A">
        <w:rPr>
          <w:rFonts w:ascii="Arial" w:eastAsia="Calibri" w:hAnsi="Arial" w:cs="Arial"/>
          <w:bCs/>
        </w:rPr>
        <w:t>properly say goodbye</w:t>
      </w:r>
      <w:r w:rsidRPr="00FE174A">
        <w:rPr>
          <w:rFonts w:ascii="Arial" w:eastAsia="Calibri" w:hAnsi="Arial" w:cs="Arial"/>
          <w:bCs/>
        </w:rPr>
        <w:t xml:space="preserve"> was supported by prompt staff interaction.</w:t>
      </w:r>
    </w:p>
    <w:p w14:paraId="3EC1C277" w14:textId="35F02184"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On the other hand, non-involvement in the decision-making in critical care, especially Do Not Resuscitate (DNR) meetings, was very distressing. Hanna et al. (2022) discovered that during the COVID-19 situation, families are not part of resuscitation decision-making, and one female carer mentions: Going into a care home, she must have thought, it is all over, they are merely going to dump me, I will not see anybody again. This exclusion further augmented the feeling of abandonment and guilt among the family members. As mentioned by Spacey et al. (2021), the staff in care homes were, in some cases, avoiding residents with dementia outright and approached next of kin to make decisions without involving them and their families, which further excluded such residents and families from meaningful participation.</w:t>
      </w:r>
    </w:p>
    <w:p w14:paraId="373D6F69" w14:textId="77777777" w:rsidR="008A640E" w:rsidRPr="00FE174A" w:rsidRDefault="008A640E" w:rsidP="003545E8">
      <w:pPr>
        <w:spacing w:after="0" w:line="360" w:lineRule="auto"/>
        <w:jc w:val="both"/>
        <w:rPr>
          <w:rFonts w:ascii="Arial" w:eastAsia="Calibri" w:hAnsi="Arial" w:cs="Arial"/>
          <w:bCs/>
        </w:rPr>
      </w:pPr>
    </w:p>
    <w:p w14:paraId="2A4E1A63" w14:textId="77777777" w:rsidR="00707DDF" w:rsidRPr="00FE174A" w:rsidRDefault="00707DDF" w:rsidP="003545E8">
      <w:pPr>
        <w:spacing w:after="0" w:line="360" w:lineRule="auto"/>
        <w:jc w:val="both"/>
        <w:rPr>
          <w:rFonts w:ascii="Arial" w:eastAsia="Calibri" w:hAnsi="Arial" w:cs="Arial"/>
          <w:b/>
        </w:rPr>
      </w:pPr>
      <w:r w:rsidRPr="00FE174A">
        <w:rPr>
          <w:rFonts w:ascii="Arial" w:eastAsia="Calibri" w:hAnsi="Arial" w:cs="Arial"/>
          <w:b/>
        </w:rPr>
        <w:t>Theme 2: Presence and Involvement (</w:t>
      </w:r>
      <w:r w:rsidRPr="00FE174A">
        <w:rPr>
          <w:rFonts w:ascii="Arial" w:eastAsia="Calibri" w:hAnsi="Arial" w:cs="Arial"/>
          <w:b/>
          <w:i/>
          <w:iCs/>
        </w:rPr>
        <w:t>n</w:t>
      </w:r>
      <w:r w:rsidRPr="00FE174A">
        <w:rPr>
          <w:rFonts w:ascii="Arial" w:eastAsia="Calibri" w:hAnsi="Arial" w:cs="Arial"/>
          <w:b/>
        </w:rPr>
        <w:t>=6 studies)</w:t>
      </w:r>
    </w:p>
    <w:p w14:paraId="520A0370" w14:textId="347244EA"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 xml:space="preserve">The six studies (Moore et al., 2017; Bamford et al., 2018; Poole et al., 2018; Hanna et al., 2022; Perkins et al., 2016; Preston et al., 2025) underlined the essential significance which families attached to the dying process in the form of physical presence. Moore et al. (2017) established that the control over and influence occupied </w:t>
      </w:r>
      <w:r w:rsidR="00A74D07" w:rsidRPr="00FE174A">
        <w:rPr>
          <w:rFonts w:ascii="Arial" w:eastAsia="Calibri" w:hAnsi="Arial" w:cs="Arial"/>
          <w:bCs/>
        </w:rPr>
        <w:t>a</w:t>
      </w:r>
      <w:r w:rsidRPr="00FE174A">
        <w:rPr>
          <w:rFonts w:ascii="Arial" w:eastAsia="Calibri" w:hAnsi="Arial" w:cs="Arial"/>
          <w:bCs/>
        </w:rPr>
        <w:t xml:space="preserve"> major part of the experience of bereaved carers, and the practical engagement in care coordination was appreciated in addition to presence.</w:t>
      </w:r>
    </w:p>
    <w:p w14:paraId="64C53011" w14:textId="69B92F65"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 xml:space="preserve">The visiting restrictions associated with the COVID-19 pandemic caused an extreme depth of forced absence trauma. According to Hanna et al. (2022), families reported experiencing wastage or time loss as they were not allowed to reach the dying loved ones during the last moments that might have brought happiness and joy to their lives. According to Preston et al. (2025), the lack of physical presence by families led to permanent trauma, and technology was not an appropriate alternative to the physical one. There was a great sense of guilt and fear of abandonment that families had as they feared that the residents felt dumped and </w:t>
      </w:r>
      <w:r w:rsidRPr="00FE174A">
        <w:rPr>
          <w:rFonts w:ascii="Arial" w:eastAsia="Calibri" w:hAnsi="Arial" w:cs="Arial"/>
          <w:bCs/>
        </w:rPr>
        <w:lastRenderedPageBreak/>
        <w:t>forgotten. In places with positive end-of-life visits, which had happened during the pandemic, they tended to necessitate the care homes violating official COVID-19 regulations, which left the staff in an ethically dilemmatic situation.</w:t>
      </w:r>
    </w:p>
    <w:p w14:paraId="78CD5378" w14:textId="77777777" w:rsidR="008A640E" w:rsidRPr="00FE174A" w:rsidRDefault="008A640E" w:rsidP="003545E8">
      <w:pPr>
        <w:spacing w:after="0" w:line="360" w:lineRule="auto"/>
        <w:jc w:val="both"/>
        <w:rPr>
          <w:rFonts w:ascii="Arial" w:eastAsia="Calibri" w:hAnsi="Arial" w:cs="Arial"/>
          <w:bCs/>
        </w:rPr>
      </w:pPr>
    </w:p>
    <w:p w14:paraId="1B9F04AC" w14:textId="4C127A28" w:rsidR="00691588" w:rsidRPr="00FE174A" w:rsidRDefault="00691588" w:rsidP="003545E8">
      <w:pPr>
        <w:spacing w:after="0" w:line="360" w:lineRule="auto"/>
        <w:jc w:val="both"/>
        <w:rPr>
          <w:rFonts w:ascii="Arial" w:eastAsia="Calibri" w:hAnsi="Arial" w:cs="Arial"/>
          <w:b/>
        </w:rPr>
      </w:pPr>
      <w:r w:rsidRPr="00FE174A">
        <w:rPr>
          <w:rFonts w:ascii="Arial" w:eastAsia="Calibri" w:hAnsi="Arial" w:cs="Arial"/>
          <w:b/>
        </w:rPr>
        <w:t>Theme 3: Relationships with Staff (</w:t>
      </w:r>
      <w:r w:rsidRPr="00FE174A">
        <w:rPr>
          <w:rFonts w:ascii="Arial" w:eastAsia="Calibri" w:hAnsi="Arial" w:cs="Arial"/>
          <w:b/>
          <w:i/>
          <w:iCs/>
        </w:rPr>
        <w:t>n</w:t>
      </w:r>
      <w:r w:rsidRPr="00FE174A">
        <w:rPr>
          <w:rFonts w:ascii="Arial" w:eastAsia="Calibri" w:hAnsi="Arial" w:cs="Arial"/>
          <w:b/>
        </w:rPr>
        <w:t>=4 studies)</w:t>
      </w:r>
    </w:p>
    <w:p w14:paraId="6405B507" w14:textId="01E3DAEF"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Four studies (Moore et al., 2017; Bamford et al., 2018; Perkins et al., 2016; Handley et al., 2022) found that the quality of the relations between the residents and the staff of the care home had a serious impact on the satisfaction of the family. They valued families in which staff members developed strong emotional attachments with residents who valued having staff members who showed empathy with the residents beyond health care duties. According to Bamford et al. (2018), families especially valued the fact that the staff developed strong relationships with the residents, and one of the night care assistants commented: I just think that it must be really scary and frightening. It is just that you do not know what they are thinking. You know, even there, it is just a reassurance.</w:t>
      </w:r>
    </w:p>
    <w:p w14:paraId="4BEEEF2D" w14:textId="7996BF32"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According to Moore et al. (2017), relationship quality with care services was important, which defines the satisfaction of the families with the end-of-life care. Perkins et al. (2016) underlined that bereaved family members attached importance to relationship-focused care in which the staff were compassionate, and relatives stated that regardless of whether staff did all they could to make the process as smooth as possible. Handley et al. (2022) reported that continuity of care led to staff members having extensive information about residents and being able to know when residents were deteriorating and how to design a dying environment aimed at the individual.</w:t>
      </w:r>
    </w:p>
    <w:p w14:paraId="56B62C9A" w14:textId="77777777" w:rsidR="008A640E" w:rsidRPr="00FE174A" w:rsidRDefault="008A640E" w:rsidP="003545E8">
      <w:pPr>
        <w:spacing w:after="0" w:line="360" w:lineRule="auto"/>
        <w:jc w:val="both"/>
        <w:rPr>
          <w:rFonts w:ascii="Arial" w:eastAsia="Calibri" w:hAnsi="Arial" w:cs="Arial"/>
          <w:bCs/>
        </w:rPr>
      </w:pPr>
    </w:p>
    <w:p w14:paraId="285A6438" w14:textId="77777777" w:rsidR="00707DDF" w:rsidRPr="00FE174A" w:rsidRDefault="00707DDF" w:rsidP="003545E8">
      <w:pPr>
        <w:spacing w:after="0" w:line="360" w:lineRule="auto"/>
        <w:jc w:val="both"/>
        <w:rPr>
          <w:rFonts w:ascii="Arial" w:eastAsia="Calibri" w:hAnsi="Arial" w:cs="Arial"/>
          <w:b/>
        </w:rPr>
      </w:pPr>
      <w:r w:rsidRPr="00FE174A">
        <w:rPr>
          <w:rFonts w:ascii="Arial" w:eastAsia="Calibri" w:hAnsi="Arial" w:cs="Arial"/>
          <w:b/>
        </w:rPr>
        <w:t>Theme 4: Grief and Bereavement (</w:t>
      </w:r>
      <w:r w:rsidRPr="00FE174A">
        <w:rPr>
          <w:rFonts w:ascii="Arial" w:eastAsia="Calibri" w:hAnsi="Arial" w:cs="Arial"/>
          <w:b/>
          <w:i/>
          <w:iCs/>
        </w:rPr>
        <w:t>n=</w:t>
      </w:r>
      <w:r w:rsidRPr="00FE174A">
        <w:rPr>
          <w:rFonts w:ascii="Arial" w:eastAsia="Calibri" w:hAnsi="Arial" w:cs="Arial"/>
          <w:b/>
        </w:rPr>
        <w:t>4 studies)</w:t>
      </w:r>
    </w:p>
    <w:p w14:paraId="1F30ADBB" w14:textId="54864537"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Four articles (Moore et al., 2017; Poole et al., 2018; Hanna et al., 2022; Preston et al., 2025) reported high-level grief and bereavement issues amongst people who lost a loved one. Mental health burden was quantified by Moore et al. (2017): the authors showed that 26 per cent of family carers were caseless according to the HADS measure of depression at baseline (250.4) and 41 per cent were caseless according to the HADS measure of anxiety at baseline (250.5): median complicated grief score of 27 (mean of 11 out of 16 grief symptoms experienced at least once every month). A bereaved carer outlined the nature of anticipatory grief as the dementia develops: I guess you do grieve before they are indeed got.</w:t>
      </w:r>
    </w:p>
    <w:p w14:paraId="2985B0AF" w14:textId="63BBB6A5"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 xml:space="preserve">Losses because of the pandemic worsened bereavement problems. Hanna et al. (2022) discovered that isolation and separation increase grief, and that the families had poor bereavement support in the wake of deaths due to the pandemic. Preston et al. (2025) recorded the inability to say goodbye personally as a cause of chronic trauma. In all the studies, </w:t>
      </w:r>
      <w:r w:rsidRPr="00FE174A">
        <w:rPr>
          <w:rFonts w:ascii="Arial" w:eastAsia="Calibri" w:hAnsi="Arial" w:cs="Arial"/>
          <w:bCs/>
        </w:rPr>
        <w:lastRenderedPageBreak/>
        <w:t>formal bereavement support proved to be unsatisfactory, and the family was left to cope with complex grief without proper, orderly professional help.</w:t>
      </w:r>
    </w:p>
    <w:p w14:paraId="08D7E393" w14:textId="77777777" w:rsidR="00707DDF" w:rsidRPr="00FE174A" w:rsidRDefault="00707DDF" w:rsidP="003545E8">
      <w:pPr>
        <w:spacing w:after="0" w:line="360" w:lineRule="auto"/>
        <w:jc w:val="both"/>
        <w:rPr>
          <w:rFonts w:ascii="Arial" w:eastAsia="Calibri" w:hAnsi="Arial" w:cs="Arial"/>
          <w:bCs/>
        </w:rPr>
      </w:pPr>
    </w:p>
    <w:p w14:paraId="0928F777" w14:textId="77777777" w:rsidR="007D3678" w:rsidRPr="00FE174A" w:rsidRDefault="007D3678" w:rsidP="003545E8">
      <w:pPr>
        <w:spacing w:after="0" w:line="360" w:lineRule="auto"/>
        <w:jc w:val="both"/>
        <w:rPr>
          <w:rFonts w:ascii="Arial" w:eastAsia="Calibri" w:hAnsi="Arial" w:cs="Arial"/>
          <w:b/>
        </w:rPr>
      </w:pPr>
      <w:r w:rsidRPr="00FE174A">
        <w:rPr>
          <w:rFonts w:ascii="Arial" w:eastAsia="Calibri" w:hAnsi="Arial" w:cs="Arial"/>
          <w:b/>
        </w:rPr>
        <w:t>Theme 5: Priorities for Care (</w:t>
      </w:r>
      <w:r w:rsidRPr="00FE174A">
        <w:rPr>
          <w:rFonts w:ascii="Arial" w:eastAsia="Calibri" w:hAnsi="Arial" w:cs="Arial"/>
          <w:b/>
          <w:i/>
          <w:iCs/>
        </w:rPr>
        <w:t>n</w:t>
      </w:r>
      <w:r w:rsidRPr="00FE174A">
        <w:rPr>
          <w:rFonts w:ascii="Arial" w:eastAsia="Calibri" w:hAnsi="Arial" w:cs="Arial"/>
          <w:b/>
        </w:rPr>
        <w:t>=3 studies)</w:t>
      </w:r>
    </w:p>
    <w:p w14:paraId="13BCF67F" w14:textId="7FE966DC" w:rsidR="00707DDF" w:rsidRPr="00FE174A" w:rsidRDefault="00E944B2" w:rsidP="003545E8">
      <w:pPr>
        <w:spacing w:after="0" w:line="360" w:lineRule="auto"/>
        <w:jc w:val="both"/>
        <w:rPr>
          <w:rFonts w:ascii="Arial" w:eastAsia="Calibri" w:hAnsi="Arial" w:cs="Arial"/>
          <w:bCs/>
        </w:rPr>
      </w:pPr>
      <w:r w:rsidRPr="00FE174A">
        <w:rPr>
          <w:rFonts w:ascii="Arial" w:eastAsia="Calibri" w:hAnsi="Arial" w:cs="Arial"/>
          <w:bCs/>
        </w:rPr>
        <w:t>The key result of three studies (Bamford et al., 2018; Poole et al., 2018; Perkins et al., 2016) was that families prioritized end-of-life care in a different manner than was assumed by the professionals. Poole et al. (2018) recorded an explicit discordance between family and professional opinion, with families putting more emphasis on being comfortable, staying where they feel safe, and formalization of advance care planning. Seven areas of priority came about, including receiving care where it counts, comfort, skilled workforce, future (but with less weight than professionals anticipated), family roles in the structure of care, future decision-making, and person-centred care.</w:t>
      </w:r>
    </w:p>
    <w:p w14:paraId="212BB0B2" w14:textId="6447EC08" w:rsidR="00707DDF" w:rsidRPr="00FE174A" w:rsidRDefault="00707DDF" w:rsidP="003545E8">
      <w:pPr>
        <w:spacing w:after="0" w:line="360" w:lineRule="auto"/>
        <w:jc w:val="both"/>
        <w:rPr>
          <w:rFonts w:ascii="Arial" w:eastAsia="Calibri" w:hAnsi="Arial" w:cs="Arial"/>
          <w:bCs/>
        </w:rPr>
      </w:pPr>
      <w:r w:rsidRPr="00FE174A">
        <w:rPr>
          <w:rFonts w:ascii="Arial" w:eastAsia="Calibri" w:hAnsi="Arial" w:cs="Arial"/>
          <w:bCs/>
        </w:rPr>
        <w:t>According to Bamford et al. (2018), emotional support and staying informed were the highly valued elements of care provided to the family, which were not merely aspects of clinical symptom management. Perkins et al. (2016) further noted that the assessment of bereaved relatives was focused on the overall achievement of an encompassing death without suffering, with most of them saying that care was generally good when these basic priorities were achieved. The results show that professionals have to get deeper into the personal views of the family, instead of a set of priorities, and strike the right balance between the discussions of planning and the pressing needs for comfort.</w:t>
      </w:r>
    </w:p>
    <w:p w14:paraId="28E8FD8B" w14:textId="77777777" w:rsidR="00795AF2" w:rsidRPr="00FE174A" w:rsidRDefault="00795AF2" w:rsidP="003545E8">
      <w:pPr>
        <w:spacing w:after="0" w:line="360" w:lineRule="auto"/>
        <w:jc w:val="both"/>
        <w:rPr>
          <w:rFonts w:ascii="Arial" w:eastAsia="Calibri" w:hAnsi="Arial" w:cs="Arial"/>
          <w:b/>
          <w:bCs/>
        </w:rPr>
      </w:pPr>
    </w:p>
    <w:p w14:paraId="4FE48B3A" w14:textId="1CA2362F" w:rsidR="007E23AA" w:rsidRPr="00FE174A" w:rsidRDefault="007E23AA" w:rsidP="003545E8">
      <w:pPr>
        <w:spacing w:after="0" w:line="360" w:lineRule="auto"/>
        <w:jc w:val="both"/>
        <w:rPr>
          <w:rFonts w:ascii="Arial" w:eastAsia="Calibri" w:hAnsi="Arial" w:cs="Arial"/>
          <w:b/>
          <w:bCs/>
        </w:rPr>
      </w:pPr>
      <w:r w:rsidRPr="00FE174A">
        <w:rPr>
          <w:rFonts w:ascii="Arial" w:eastAsia="Calibri" w:hAnsi="Arial" w:cs="Arial"/>
          <w:b/>
          <w:bCs/>
        </w:rPr>
        <w:t>4.5.2 Care Home Staff Experiences</w:t>
      </w:r>
    </w:p>
    <w:p w14:paraId="0DBE0C9C" w14:textId="23F5B9BA"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The experiences of care home staff during end-of-life care provision were described through six broad themes, which were: emotional labour and burden, training needs, support needs, recognition and value, systemic barriers, and staff expertise and creativity.</w:t>
      </w:r>
    </w:p>
    <w:p w14:paraId="5702A635" w14:textId="77777777" w:rsidR="0003655A" w:rsidRPr="00FE174A" w:rsidRDefault="0003655A" w:rsidP="003545E8">
      <w:pPr>
        <w:spacing w:after="0" w:line="360" w:lineRule="auto"/>
        <w:jc w:val="both"/>
        <w:rPr>
          <w:rFonts w:ascii="Arial" w:eastAsia="Calibri" w:hAnsi="Arial" w:cs="Arial"/>
        </w:rPr>
      </w:pPr>
    </w:p>
    <w:p w14:paraId="28AA30A6" w14:textId="1FD3F51F" w:rsidR="0003655A" w:rsidRPr="00FE174A" w:rsidRDefault="0003655A" w:rsidP="003545E8">
      <w:pPr>
        <w:spacing w:after="0" w:line="360" w:lineRule="auto"/>
        <w:jc w:val="both"/>
        <w:rPr>
          <w:rFonts w:ascii="Arial" w:eastAsia="Calibri" w:hAnsi="Arial" w:cs="Arial"/>
          <w:b/>
          <w:bCs/>
        </w:rPr>
      </w:pPr>
      <w:r w:rsidRPr="00FE174A">
        <w:rPr>
          <w:rFonts w:ascii="Arial" w:eastAsia="Calibri" w:hAnsi="Arial" w:cs="Arial"/>
          <w:b/>
          <w:bCs/>
        </w:rPr>
        <w:t>Theme 1: and Burden: Emotional Labour (</w:t>
      </w:r>
      <w:r w:rsidRPr="00FE174A">
        <w:rPr>
          <w:rFonts w:ascii="Arial" w:eastAsia="Calibri" w:hAnsi="Arial" w:cs="Arial"/>
          <w:b/>
          <w:bCs/>
          <w:i/>
          <w:iCs/>
        </w:rPr>
        <w:t>n</w:t>
      </w:r>
      <w:r w:rsidRPr="00FE174A">
        <w:rPr>
          <w:rFonts w:ascii="Arial" w:eastAsia="Calibri" w:hAnsi="Arial" w:cs="Arial"/>
          <w:b/>
          <w:bCs/>
        </w:rPr>
        <w:t>=6 studies).</w:t>
      </w:r>
    </w:p>
    <w:p w14:paraId="46B56E34" w14:textId="6E99D751" w:rsidR="007E23AA" w:rsidRPr="00FE174A" w:rsidRDefault="0003655A" w:rsidP="003545E8">
      <w:pPr>
        <w:spacing w:after="0" w:line="360" w:lineRule="auto"/>
        <w:jc w:val="both"/>
        <w:rPr>
          <w:rFonts w:ascii="Arial" w:eastAsia="Calibri" w:hAnsi="Arial" w:cs="Arial"/>
        </w:rPr>
      </w:pPr>
      <w:r w:rsidRPr="00FE174A">
        <w:rPr>
          <w:rFonts w:ascii="Arial" w:eastAsia="Calibri" w:hAnsi="Arial" w:cs="Arial"/>
        </w:rPr>
        <w:t xml:space="preserve">Five (Hanna et al., 2022; Vandrevala et al., 2017; Handley et al., 2022; Spacey et al., 2021; Bradshaw et al., 2023; Preston et al., 2025) and one (Spacey et al., 2021) of these articles indicated that there </w:t>
      </w:r>
      <w:r w:rsidR="00A74D07" w:rsidRPr="00FE174A">
        <w:rPr>
          <w:rFonts w:ascii="Arial" w:eastAsia="Calibri" w:hAnsi="Arial" w:cs="Arial"/>
        </w:rPr>
        <w:t>were</w:t>
      </w:r>
      <w:r w:rsidRPr="00FE174A">
        <w:rPr>
          <w:rFonts w:ascii="Arial" w:eastAsia="Calibri" w:hAnsi="Arial" w:cs="Arial"/>
        </w:rPr>
        <w:t xml:space="preserve"> much emotional labour and load among employees of the care homes. As Vandrevala et al. (2017) found, employees have formed close relationships with residents and families, making it difficult for them to die. The staff members, as mentioned in the study, said that sometimes external pressure on them and the difficulty of connecting with people with dementia were challenging, stressful and anxiety-inducing, particularly when the residents were nearing the end of their lives.</w:t>
      </w:r>
    </w:p>
    <w:p w14:paraId="3951A658" w14:textId="5927283E"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 xml:space="preserve">The death of many residents over time increased emotional stress. According to a critical realist analysis carried out by Spacey et al. (2021), the emotional needs of staff could not be </w:t>
      </w:r>
      <w:r w:rsidRPr="00FE174A">
        <w:rPr>
          <w:rFonts w:ascii="Arial" w:eastAsia="Calibri" w:hAnsi="Arial" w:cs="Arial"/>
        </w:rPr>
        <w:lastRenderedPageBreak/>
        <w:t>met, and as a result, some did not plan their own or their patients', rushed to sort out conversations related to death, and experienced burnout due to cumulative emotional labour. The moral distress was fueled by the COVID-19 pandemic. Preston et al. (2025) observed that the staff had deep moral distress in striking a balance between infection control needs and professional ethics of care, which included feeling complicit in their role of excluding families and grieving on behalf of the family. Bradshaw et al. (2023) measured the impact of the pandemic: 70.1% of the staff reported a considerable level of stress, one manager of whom referred to pandemic restrictions by saying it was terrible...undignified...I would use such a strong word as traumatic to both my staff...the fact that I could not provide the level of care I would like to provide.</w:t>
      </w:r>
    </w:p>
    <w:p w14:paraId="0C675590" w14:textId="77777777" w:rsidR="007E23AA" w:rsidRPr="00FE174A" w:rsidRDefault="007E23AA" w:rsidP="003545E8">
      <w:pPr>
        <w:spacing w:after="0" w:line="360" w:lineRule="auto"/>
        <w:jc w:val="both"/>
        <w:rPr>
          <w:rFonts w:ascii="Arial" w:eastAsia="Calibri" w:hAnsi="Arial" w:cs="Arial"/>
        </w:rPr>
      </w:pPr>
    </w:p>
    <w:p w14:paraId="00FCE8AF" w14:textId="771CC61D" w:rsidR="007E23AA" w:rsidRPr="00FE174A" w:rsidRDefault="007E23AA" w:rsidP="003545E8">
      <w:pPr>
        <w:spacing w:after="0" w:line="360" w:lineRule="auto"/>
        <w:jc w:val="both"/>
        <w:rPr>
          <w:rFonts w:ascii="Arial" w:eastAsia="Calibri" w:hAnsi="Arial" w:cs="Arial"/>
          <w:b/>
          <w:bCs/>
        </w:rPr>
      </w:pPr>
      <w:r w:rsidRPr="00FE174A">
        <w:rPr>
          <w:rFonts w:ascii="Arial" w:eastAsia="Calibri" w:hAnsi="Arial" w:cs="Arial"/>
          <w:b/>
          <w:bCs/>
        </w:rPr>
        <w:t>Theme 2: Training Needs (</w:t>
      </w:r>
      <w:r w:rsidRPr="00FE174A">
        <w:rPr>
          <w:rFonts w:ascii="Arial" w:eastAsia="Calibri" w:hAnsi="Arial" w:cs="Arial"/>
          <w:b/>
          <w:bCs/>
          <w:i/>
          <w:iCs/>
        </w:rPr>
        <w:t>n</w:t>
      </w:r>
      <w:r w:rsidRPr="00FE174A">
        <w:rPr>
          <w:rFonts w:ascii="Arial" w:eastAsia="Calibri" w:hAnsi="Arial" w:cs="Arial"/>
          <w:b/>
          <w:bCs/>
        </w:rPr>
        <w:t>=4 studies)</w:t>
      </w:r>
    </w:p>
    <w:p w14:paraId="017744A4" w14:textId="712CCBDB" w:rsidR="007E23AA" w:rsidRPr="00FE174A" w:rsidRDefault="001162E3" w:rsidP="003545E8">
      <w:pPr>
        <w:spacing w:after="0" w:line="360" w:lineRule="auto"/>
        <w:jc w:val="both"/>
        <w:rPr>
          <w:rFonts w:ascii="Arial" w:eastAsia="Calibri" w:hAnsi="Arial" w:cs="Arial"/>
        </w:rPr>
      </w:pPr>
      <w:r w:rsidRPr="00FE174A">
        <w:rPr>
          <w:rFonts w:ascii="Arial" w:eastAsia="Calibri" w:hAnsi="Arial" w:cs="Arial"/>
        </w:rPr>
        <w:t>Four articles (Vandrevala et al., 2017; Kupeli et al., 2016; De Witt Jansen et al., 2017; Spacey et al., 2021) reported that employees of care homes had significant training lapses. Vandrevala et al. (2017) discovered that staff were unaware of what dementia progression was, the ability to effectively communicate with dying residents and having pain/symptom assessment skills. In particular, De Witt Jansen et al. (2017) emphasized that healthcare assistants (HCAs) needed training on HCA-specific methods of pain assessment because the current pain assessment tools had not been created with HCAs in mind, despite them having the most frequent contact with residents.</w:t>
      </w:r>
    </w:p>
    <w:p w14:paraId="5790EA7F" w14:textId="2B72CD0D"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 xml:space="preserve">Spacey et al. (2021) single out a shortcoming in training and knowledge as a hindrance to meaningful advance care planning discussions, especially with residents with dementia, with non-registered staff being the least trained. According to Kupeli et al. (2016), the limitation of the staff training, such as insufficient dementia training and the knowledge of palliative care, was a systemic determinant of the quality production of end-of-life care. The results were dispersed </w:t>
      </w:r>
      <w:r w:rsidR="00515FDB" w:rsidRPr="00FE174A">
        <w:rPr>
          <w:rFonts w:ascii="Arial" w:eastAsia="Calibri" w:hAnsi="Arial" w:cs="Arial"/>
        </w:rPr>
        <w:t>consistently</w:t>
      </w:r>
      <w:r w:rsidRPr="00FE174A">
        <w:rPr>
          <w:rFonts w:ascii="Arial" w:eastAsia="Calibri" w:hAnsi="Arial" w:cs="Arial"/>
        </w:rPr>
        <w:t>, with the findings always showing that the current training delivery was not sufficient to equip the staff with the requirements to handle the involved complex emotional and clinical needs of an end-of-life care provided to people with dementia.</w:t>
      </w:r>
    </w:p>
    <w:p w14:paraId="6D80E1D6" w14:textId="77777777" w:rsidR="007E23AA" w:rsidRPr="00FE174A" w:rsidRDefault="007E23AA" w:rsidP="003545E8">
      <w:pPr>
        <w:spacing w:after="0" w:line="360" w:lineRule="auto"/>
        <w:jc w:val="both"/>
        <w:rPr>
          <w:rFonts w:ascii="Arial" w:eastAsia="Calibri" w:hAnsi="Arial" w:cs="Arial"/>
        </w:rPr>
      </w:pPr>
    </w:p>
    <w:p w14:paraId="2629D6D0" w14:textId="5BD570B1" w:rsidR="007C6BD7" w:rsidRPr="00FE174A" w:rsidRDefault="007E23AA" w:rsidP="003545E8">
      <w:pPr>
        <w:spacing w:after="0" w:line="360" w:lineRule="auto"/>
        <w:jc w:val="both"/>
        <w:rPr>
          <w:rFonts w:ascii="Arial" w:eastAsia="Calibri" w:hAnsi="Arial" w:cs="Arial"/>
          <w:b/>
          <w:bCs/>
        </w:rPr>
      </w:pPr>
      <w:r w:rsidRPr="00FE174A">
        <w:rPr>
          <w:rFonts w:ascii="Arial" w:eastAsia="Calibri" w:hAnsi="Arial" w:cs="Arial"/>
          <w:b/>
          <w:bCs/>
        </w:rPr>
        <w:t>Theme 3: Support Needs (</w:t>
      </w:r>
      <w:r w:rsidRPr="00FE174A">
        <w:rPr>
          <w:rFonts w:ascii="Arial" w:eastAsia="Calibri" w:hAnsi="Arial" w:cs="Arial"/>
          <w:b/>
          <w:bCs/>
          <w:i/>
          <w:iCs/>
        </w:rPr>
        <w:t>n</w:t>
      </w:r>
      <w:r w:rsidRPr="00FE174A">
        <w:rPr>
          <w:rFonts w:ascii="Arial" w:eastAsia="Calibri" w:hAnsi="Arial" w:cs="Arial"/>
          <w:b/>
          <w:bCs/>
        </w:rPr>
        <w:t>=4 studies)</w:t>
      </w:r>
    </w:p>
    <w:p w14:paraId="4D086D86" w14:textId="215ACBB2" w:rsidR="007E23AA" w:rsidRPr="00FE174A" w:rsidRDefault="007C6BD7" w:rsidP="003545E8">
      <w:pPr>
        <w:spacing w:after="0" w:line="360" w:lineRule="auto"/>
        <w:jc w:val="both"/>
        <w:rPr>
          <w:rFonts w:ascii="Arial" w:eastAsia="Calibri" w:hAnsi="Arial" w:cs="Arial"/>
        </w:rPr>
      </w:pPr>
      <w:r w:rsidRPr="00FE174A">
        <w:rPr>
          <w:rFonts w:ascii="Arial" w:eastAsia="Calibri" w:hAnsi="Arial" w:cs="Arial"/>
        </w:rPr>
        <w:t>Four studies registered the unmet emotional support needs of the staff in care homes (Vandrevala et al., 2017; Handley et al., 2022; Spacey et al., 2021; Bradshaw et al., 2023). In the study of Vandrevala et al. (2017), staff did not have formal mechanisms of processing grief after the deaths of residents, no one to lean on professionally, and many of them had cumulative grief related to the multiple deaths without organizational appreciation or support.</w:t>
      </w:r>
    </w:p>
    <w:p w14:paraId="575E9E39" w14:textId="4A1D3E90"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 xml:space="preserve">Handley et al. (2022) revealed that the support systems among care home staff used informal peer support, with rituals celebrating the residents (by dedicating songs or showing </w:t>
      </w:r>
      <w:r w:rsidRPr="00FE174A">
        <w:rPr>
          <w:rFonts w:ascii="Arial" w:eastAsia="Calibri" w:hAnsi="Arial" w:cs="Arial"/>
        </w:rPr>
        <w:lastRenderedPageBreak/>
        <w:t>photographs), but they lacked formal bereavement support organization structures. Supervision, support, and debriefing of staff were recommended by Spacey et al. (2021) to help staff manage their emotional needs and could decrease emotional labour and avoid death talks. Bradshaw et al. (2023) highlighted that one of three crucial pillars that offered relationship-based care is connected to an identified workforce: a supported workforce, which is necessary, in addition to integration with health/social care systems and digital inclusion, underscoring the structural way of showing deficits in support.</w:t>
      </w:r>
    </w:p>
    <w:p w14:paraId="63E8C3CD" w14:textId="77777777" w:rsidR="007E23AA" w:rsidRPr="00FE174A" w:rsidRDefault="007E23AA" w:rsidP="003545E8">
      <w:pPr>
        <w:spacing w:after="0" w:line="360" w:lineRule="auto"/>
        <w:jc w:val="both"/>
        <w:rPr>
          <w:rFonts w:ascii="Arial" w:eastAsia="Calibri" w:hAnsi="Arial" w:cs="Arial"/>
        </w:rPr>
      </w:pPr>
    </w:p>
    <w:p w14:paraId="3AD7B6A3" w14:textId="72304EDE" w:rsidR="007E23AA" w:rsidRPr="00FE174A" w:rsidRDefault="007E23AA" w:rsidP="003545E8">
      <w:pPr>
        <w:spacing w:after="0" w:line="360" w:lineRule="auto"/>
        <w:jc w:val="both"/>
        <w:rPr>
          <w:rFonts w:ascii="Arial" w:eastAsia="Calibri" w:hAnsi="Arial" w:cs="Arial"/>
          <w:b/>
          <w:bCs/>
        </w:rPr>
      </w:pPr>
      <w:r w:rsidRPr="00FE174A">
        <w:rPr>
          <w:rFonts w:ascii="Arial" w:eastAsia="Calibri" w:hAnsi="Arial" w:cs="Arial"/>
          <w:b/>
          <w:bCs/>
        </w:rPr>
        <w:t>Theme 4: Recognition and Value (</w:t>
      </w:r>
      <w:r w:rsidRPr="00FE174A">
        <w:rPr>
          <w:rFonts w:ascii="Arial" w:eastAsia="Calibri" w:hAnsi="Arial" w:cs="Arial"/>
          <w:b/>
          <w:bCs/>
          <w:i/>
          <w:iCs/>
        </w:rPr>
        <w:t>n</w:t>
      </w:r>
      <w:r w:rsidRPr="00FE174A">
        <w:rPr>
          <w:rFonts w:ascii="Arial" w:eastAsia="Calibri" w:hAnsi="Arial" w:cs="Arial"/>
          <w:b/>
          <w:bCs/>
        </w:rPr>
        <w:t>=3 studies)</w:t>
      </w:r>
    </w:p>
    <w:p w14:paraId="00865E2A" w14:textId="706B36CF"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The effects of care homes on staff reported that the staff members felt unappreciated and unacknowledged (three studies, Kupeli et al., 2016; De Witt Jansen et al., 2017; Bradshaw et al., 2023). According to Kupeli et al. (2016), the societal stance on care work established it as low-status employment, and the issues that the professionals emphasized are contradictions between the quality of care and financial sustainability. De Witt Jansen et al. (2017) discovered that HCA knowledge on identifying resident pain and deterioration was systematically ignored, although HCAs play an important observational role. HCAs reported experiencing frustration when they would raise pain issues which were not clearly addressed by registered staff, since they knew that something was wrong but could not be heard: I can notice that they are in pain, but the nurse never wants to listen to me.</w:t>
      </w:r>
    </w:p>
    <w:p w14:paraId="3DD727A8" w14:textId="7663A91A"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The pandemic increased the concerns of recognition. Bradshaw et al. (2023) discovered that the staff perceived they were deeply undervalued and invisible when compared with the NHS staff, regardless of the substantial contributions they made during the pandemic, which was morally injurious. The article captured requests of parity of esteem with the NHS, which was expressed with great frustration with the marginalised position of the care home sector in the wider health and social care system.</w:t>
      </w:r>
    </w:p>
    <w:p w14:paraId="7FB8CE39" w14:textId="77777777" w:rsidR="002B5434" w:rsidRPr="00FE174A" w:rsidRDefault="002B5434" w:rsidP="003545E8">
      <w:pPr>
        <w:spacing w:after="0" w:line="360" w:lineRule="auto"/>
        <w:jc w:val="both"/>
        <w:rPr>
          <w:rFonts w:ascii="Arial" w:eastAsia="Calibri" w:hAnsi="Arial" w:cs="Arial"/>
        </w:rPr>
      </w:pPr>
    </w:p>
    <w:p w14:paraId="6FCC4C3A" w14:textId="77777777" w:rsidR="002B5434" w:rsidRPr="00FE174A" w:rsidRDefault="002B5434" w:rsidP="003545E8">
      <w:pPr>
        <w:spacing w:after="0" w:line="360" w:lineRule="auto"/>
        <w:jc w:val="both"/>
        <w:rPr>
          <w:rFonts w:ascii="Arial" w:eastAsia="Calibri" w:hAnsi="Arial" w:cs="Arial"/>
          <w:b/>
          <w:bCs/>
        </w:rPr>
      </w:pPr>
      <w:r w:rsidRPr="00FE174A">
        <w:rPr>
          <w:rFonts w:ascii="Arial" w:eastAsia="Calibri" w:hAnsi="Arial" w:cs="Arial"/>
          <w:b/>
          <w:bCs/>
        </w:rPr>
        <w:t>Theme 5: Systemic Barriers (</w:t>
      </w:r>
      <w:r w:rsidRPr="00FE174A">
        <w:rPr>
          <w:rFonts w:ascii="Arial" w:eastAsia="Calibri" w:hAnsi="Arial" w:cs="Arial"/>
          <w:b/>
          <w:bCs/>
          <w:i/>
          <w:iCs/>
        </w:rPr>
        <w:t>n</w:t>
      </w:r>
      <w:r w:rsidRPr="00FE174A">
        <w:rPr>
          <w:rFonts w:ascii="Arial" w:eastAsia="Calibri" w:hAnsi="Arial" w:cs="Arial"/>
          <w:b/>
          <w:bCs/>
        </w:rPr>
        <w:t>=4 studies)</w:t>
      </w:r>
    </w:p>
    <w:p w14:paraId="2CD71FD9" w14:textId="04667E86" w:rsidR="007E23AA" w:rsidRPr="00FE174A" w:rsidRDefault="002B5434" w:rsidP="003545E8">
      <w:pPr>
        <w:spacing w:after="0" w:line="360" w:lineRule="auto"/>
        <w:jc w:val="both"/>
        <w:rPr>
          <w:rFonts w:ascii="Arial" w:eastAsia="Calibri" w:hAnsi="Arial" w:cs="Arial"/>
        </w:rPr>
      </w:pPr>
      <w:r w:rsidRPr="00FE174A">
        <w:rPr>
          <w:rFonts w:ascii="Arial" w:eastAsia="Calibri" w:hAnsi="Arial" w:cs="Arial"/>
        </w:rPr>
        <w:t>There were four articles (Kupeli et al., 2016; Handley et al., 2022; Spacey et al., 2021; Bradshaw et al., 2023) that identified system-level barriers to attitude and quality of end-of-life care. Kupeli et al. (2016) performed a realist evaluation that found seven contextual barriers including a focus on financial efficiency, rather than person-centered care (budget constraints and a profit motive in private sector care homes), complex and split health/social care systems that lacked integration, societal attitudes making care work a low-status occupation, staff training and experience constraints, governance and bureaucratization leading to excessive paperwork and regulation, dimensional complexity (no predictability of progression and difficulty communicating with the patient), and the implementation of advance care planning barriers.</w:t>
      </w:r>
    </w:p>
    <w:p w14:paraId="53ED9FB9" w14:textId="27620CA9"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lastRenderedPageBreak/>
        <w:t>Handley et al. (2022) recorded that documentation and advance care planning system imposed legal and emotional burdens, and sometimes the paper workload and bureaucratization served to distract from meaningful care based on relationships. Spacey et al. (2021) discovered that staff expectations of dementia and capacity resulted in the exclusion of the resident in their own care planning</w:t>
      </w:r>
      <w:r w:rsidR="00515FDB" w:rsidRPr="00FE174A">
        <w:rPr>
          <w:rFonts w:ascii="Arial" w:eastAsia="Calibri" w:hAnsi="Arial" w:cs="Arial"/>
        </w:rPr>
        <w:t>,</w:t>
      </w:r>
      <w:r w:rsidRPr="00FE174A">
        <w:rPr>
          <w:rFonts w:ascii="Arial" w:eastAsia="Calibri" w:hAnsi="Arial" w:cs="Arial"/>
        </w:rPr>
        <w:t xml:space="preserve"> as the staff approached them directly to the family without engaging the residents. Bradshaw et al. (2023) highlighted that to facilitate relationship-centred care, three pillars were required, namely, integration with health/social care systems (external specialist support is necessary), digital inclusion (technology is a supplement and not a replacement), and a supported workforce (requires training, emotional support, and recognition). There was a lack of these systemic supports that sabotaged the individual staff efforts.</w:t>
      </w:r>
    </w:p>
    <w:p w14:paraId="5E155884" w14:textId="77777777" w:rsidR="007E23AA" w:rsidRPr="00FE174A" w:rsidRDefault="007E23AA" w:rsidP="003545E8">
      <w:pPr>
        <w:spacing w:after="0" w:line="360" w:lineRule="auto"/>
        <w:jc w:val="both"/>
        <w:rPr>
          <w:rFonts w:ascii="Arial" w:eastAsia="Calibri" w:hAnsi="Arial" w:cs="Arial"/>
        </w:rPr>
      </w:pPr>
    </w:p>
    <w:p w14:paraId="1B239EB1" w14:textId="78812A45" w:rsidR="007E23AA" w:rsidRPr="00FE174A" w:rsidRDefault="00FE7B33" w:rsidP="003545E8">
      <w:pPr>
        <w:spacing w:after="0" w:line="360" w:lineRule="auto"/>
        <w:jc w:val="both"/>
        <w:rPr>
          <w:rFonts w:ascii="Arial" w:eastAsia="Calibri" w:hAnsi="Arial" w:cs="Arial"/>
          <w:b/>
          <w:bCs/>
        </w:rPr>
      </w:pPr>
      <w:r w:rsidRPr="00FE174A">
        <w:rPr>
          <w:rFonts w:ascii="Arial" w:eastAsia="Calibri" w:hAnsi="Arial" w:cs="Arial"/>
          <w:b/>
          <w:bCs/>
        </w:rPr>
        <w:t>Theme 6: Staff Expertise and Creativity (</w:t>
      </w:r>
      <w:r w:rsidRPr="00FE174A">
        <w:rPr>
          <w:rFonts w:ascii="Arial" w:eastAsia="Calibri" w:hAnsi="Arial" w:cs="Arial"/>
          <w:b/>
          <w:bCs/>
          <w:i/>
          <w:iCs/>
        </w:rPr>
        <w:t>n</w:t>
      </w:r>
      <w:r w:rsidRPr="00FE174A">
        <w:rPr>
          <w:rFonts w:ascii="Arial" w:eastAsia="Calibri" w:hAnsi="Arial" w:cs="Arial"/>
          <w:b/>
          <w:bCs/>
        </w:rPr>
        <w:t>=2 studies)</w:t>
      </w:r>
    </w:p>
    <w:p w14:paraId="408BA0AD" w14:textId="73D59341"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Two articles (Bamford et al., 2018; Handley et al., 2022) reported the expertise and innovativeness of care home staff in providing personalized end-of-life care using limited resources. Handley et al. (2022) determined that continuity of care allowed staff to gain extensive knowledge of the resident, and the subtle indicators of deterioration were detected, which the outside professionals could overlook. Employees reported having experienced just knowing of steadily waning residents as per their accrued relational knowledge.</w:t>
      </w:r>
    </w:p>
    <w:p w14:paraId="711DEFA5" w14:textId="42C7ECC1" w:rsidR="007E23AA" w:rsidRPr="00FE174A" w:rsidRDefault="007E23AA" w:rsidP="003545E8">
      <w:pPr>
        <w:spacing w:after="0" w:line="360" w:lineRule="auto"/>
        <w:jc w:val="both"/>
        <w:rPr>
          <w:rFonts w:ascii="Arial" w:eastAsia="Calibri" w:hAnsi="Arial" w:cs="Arial"/>
        </w:rPr>
      </w:pPr>
      <w:r w:rsidRPr="00FE174A">
        <w:rPr>
          <w:rFonts w:ascii="Arial" w:eastAsia="Calibri" w:hAnsi="Arial" w:cs="Arial"/>
        </w:rPr>
        <w:t>The remarkably high-level staff innovativeness in personalized dying settings was reported by Handley et al. (2022). One of the English care home managers explained: We have gone to make it closer to home than to die in hospital... we have a gentleman, who was a birdwatcher, he has won numerous awards, so we have birds on his roof, on the ceiling. According to Bamford et al. (2018), the importance of valuing the expertise of the staff and continuous learning were crucial element of quality end-of-life care. Such results contradict deficit-oriented discourses and present care home staff as competent, innovative professionals whose skills should be acknowledged and promoted formally.</w:t>
      </w:r>
    </w:p>
    <w:p w14:paraId="1419F335" w14:textId="77777777" w:rsidR="00555312" w:rsidRPr="00FE174A" w:rsidRDefault="00555312" w:rsidP="003545E8">
      <w:pPr>
        <w:spacing w:after="0" w:line="360" w:lineRule="auto"/>
        <w:jc w:val="both"/>
        <w:rPr>
          <w:rFonts w:ascii="Arial" w:eastAsia="Calibri" w:hAnsi="Arial" w:cs="Arial"/>
          <w:b/>
          <w:bCs/>
        </w:rPr>
      </w:pPr>
      <w:r w:rsidRPr="00FE174A">
        <w:rPr>
          <w:rFonts w:ascii="Arial" w:eastAsia="Calibri" w:hAnsi="Arial" w:cs="Arial"/>
          <w:b/>
          <w:bCs/>
        </w:rPr>
        <w:t>4.5.3 Overlapping Themes in the Two Groups.</w:t>
      </w:r>
    </w:p>
    <w:p w14:paraId="4293EDE7" w14:textId="504255C7" w:rsidR="00555312" w:rsidRPr="00FE174A" w:rsidRDefault="00515FDB" w:rsidP="003545E8">
      <w:pPr>
        <w:spacing w:after="0" w:line="360" w:lineRule="auto"/>
        <w:jc w:val="both"/>
        <w:rPr>
          <w:rFonts w:ascii="Arial" w:eastAsia="Calibri" w:hAnsi="Arial" w:cs="Arial"/>
        </w:rPr>
      </w:pPr>
      <w:r w:rsidRPr="00FE174A">
        <w:rPr>
          <w:rFonts w:ascii="Arial" w:eastAsia="Calibri" w:hAnsi="Arial" w:cs="Arial"/>
        </w:rPr>
        <w:t>Several</w:t>
      </w:r>
      <w:r w:rsidR="00555312" w:rsidRPr="00FE174A">
        <w:rPr>
          <w:rFonts w:ascii="Arial" w:eastAsia="Calibri" w:hAnsi="Arial" w:cs="Arial"/>
        </w:rPr>
        <w:t xml:space="preserve"> themes overlapped between bereaved family members and care home staff. Both sets also focused on relationship-based care as the basis of quality end-of-life care, which could be interfered with by systemic pressures or crisis (Bamford et al., 2018; Perkins et al., 2016; Handley et al., 2022; Bradshaw et al., 2023). COVID-19 gave rise to a collective trauma: visiting restrictions were traumatic to families, and staff were morally distressed by the attempt to reconcile the values of infection control and caring with physical presence values, and technology was an inadequate replacement (Hanna et al., 2022; Bradshaw et al., 2023; Preston et al., 2025). The two groups also identified advance care planning as a significant concept but challenging to execute effectively, especially in the case of residents with </w:t>
      </w:r>
      <w:r w:rsidR="00555312" w:rsidRPr="00FE174A">
        <w:rPr>
          <w:rFonts w:ascii="Arial" w:eastAsia="Calibri" w:hAnsi="Arial" w:cs="Arial"/>
        </w:rPr>
        <w:lastRenderedPageBreak/>
        <w:t>dementia unless they were included in their own planning (Moore et al., 2017; Bamford et al., 2018; Poole et al., 2018; Kupeli et al., 2016; Spacey et al., 2021).</w:t>
      </w:r>
    </w:p>
    <w:p w14:paraId="401A92DB" w14:textId="77777777" w:rsidR="00555312" w:rsidRPr="00FE174A" w:rsidRDefault="00555312" w:rsidP="003545E8">
      <w:pPr>
        <w:spacing w:after="0" w:line="360" w:lineRule="auto"/>
        <w:jc w:val="both"/>
        <w:rPr>
          <w:rFonts w:ascii="Arial" w:eastAsia="Calibri" w:hAnsi="Arial" w:cs="Arial"/>
          <w:b/>
          <w:bCs/>
        </w:rPr>
      </w:pPr>
    </w:p>
    <w:p w14:paraId="5680B087" w14:textId="77777777" w:rsidR="00555312" w:rsidRPr="00FE174A" w:rsidRDefault="00555312" w:rsidP="003545E8">
      <w:pPr>
        <w:spacing w:after="0" w:line="360" w:lineRule="auto"/>
        <w:jc w:val="both"/>
        <w:rPr>
          <w:rFonts w:ascii="Arial" w:eastAsia="Calibri" w:hAnsi="Arial" w:cs="Arial"/>
          <w:b/>
          <w:bCs/>
        </w:rPr>
      </w:pPr>
      <w:r w:rsidRPr="00FE174A">
        <w:rPr>
          <w:rFonts w:ascii="Arial" w:eastAsia="Calibri" w:hAnsi="Arial" w:cs="Arial"/>
          <w:b/>
          <w:bCs/>
        </w:rPr>
        <w:t>4.6 Summary of Key Findings</w:t>
      </w:r>
    </w:p>
    <w:p w14:paraId="22010423" w14:textId="65E542CC" w:rsidR="00555312" w:rsidRPr="00FE174A" w:rsidRDefault="00555312" w:rsidP="003545E8">
      <w:pPr>
        <w:spacing w:after="0" w:line="360" w:lineRule="auto"/>
        <w:jc w:val="both"/>
        <w:rPr>
          <w:rFonts w:ascii="Arial" w:eastAsia="Calibri" w:hAnsi="Arial" w:cs="Arial"/>
        </w:rPr>
      </w:pPr>
      <w:r w:rsidRPr="00FE174A">
        <w:rPr>
          <w:rFonts w:ascii="Arial" w:eastAsia="Calibri" w:hAnsi="Arial" w:cs="Arial"/>
        </w:rPr>
        <w:t>This systematic review of 12 high-quality studies incorporated more than 450 participants in UK care home settings. The results directly responded to the four research objectives. Objective 1 (exploring bereaved family experiences) found 5 important themes: centrality of communication and information, the importance of presence and involvement (severely affected by pandemic restrictions), value of staff-resident relationships, challenges in grief and bereavement (prevalence of depression 26% and anxiety 41%) and family priorities which prioritize comfort and dignity over formal planning processes.</w:t>
      </w:r>
    </w:p>
    <w:p w14:paraId="1C086512" w14:textId="77777777" w:rsidR="00555312" w:rsidRPr="00FE174A" w:rsidRDefault="00555312" w:rsidP="003545E8">
      <w:pPr>
        <w:spacing w:after="0" w:line="360" w:lineRule="auto"/>
        <w:jc w:val="both"/>
        <w:rPr>
          <w:rFonts w:ascii="Arial" w:eastAsia="Calibri" w:hAnsi="Arial" w:cs="Arial"/>
        </w:rPr>
      </w:pPr>
    </w:p>
    <w:p w14:paraId="494DC1FC" w14:textId="35BF2F06" w:rsidR="00555312" w:rsidRPr="00FE174A" w:rsidRDefault="00555312" w:rsidP="003545E8">
      <w:pPr>
        <w:spacing w:after="0" w:line="360" w:lineRule="auto"/>
        <w:jc w:val="both"/>
        <w:rPr>
          <w:rFonts w:ascii="Arial" w:eastAsia="Calibri" w:hAnsi="Arial" w:cs="Arial"/>
        </w:rPr>
      </w:pPr>
      <w:r w:rsidRPr="00FE174A">
        <w:rPr>
          <w:rFonts w:ascii="Arial" w:eastAsia="Calibri" w:hAnsi="Arial" w:cs="Arial"/>
        </w:rPr>
        <w:t>The themes identified in Objective 2 (examining staff perspectives) consisted of substantial emotional work and burden with insufficient support structures, high training requirements especially in dementia end-of-life care, staff lack of emotional support despite informal peer support, enduring lack of recognition and value given to care work, multiple systemic barriers such as fragmented health/social care systems and financial constraints, and expertise and creativity of the staff to personalize care despite available resources.</w:t>
      </w:r>
    </w:p>
    <w:p w14:paraId="7780D52A" w14:textId="1EDBAD70" w:rsidR="00555312" w:rsidRPr="00FE174A" w:rsidRDefault="00555312" w:rsidP="003545E8">
      <w:pPr>
        <w:spacing w:after="0" w:line="360" w:lineRule="auto"/>
        <w:jc w:val="both"/>
        <w:rPr>
          <w:rFonts w:ascii="Arial" w:eastAsia="Calibri" w:hAnsi="Arial" w:cs="Arial"/>
        </w:rPr>
      </w:pPr>
      <w:r w:rsidRPr="00FE174A">
        <w:rPr>
          <w:rFonts w:ascii="Arial" w:eastAsia="Calibri" w:hAnsi="Arial" w:cs="Arial"/>
        </w:rPr>
        <w:t xml:space="preserve">Objective 3 (determining factors that affect stakeholder perceptions) indicated that the relationship-focused quality of care, continuity allowing accumulated resident comprehension, communication efficiency, organizational support systems, and systemic interactions with external health services had a fundamental influence on the family and staff experiences. Objective 4 (creating evidence-based recommendations) stressed the following priorities: creation of better staff training and emotional support, secured access to families </w:t>
      </w:r>
      <w:r w:rsidR="00515FDB" w:rsidRPr="00FE174A">
        <w:rPr>
          <w:rFonts w:ascii="Arial" w:eastAsia="Calibri" w:hAnsi="Arial" w:cs="Arial"/>
        </w:rPr>
        <w:t>during</w:t>
      </w:r>
      <w:r w:rsidRPr="00FE174A">
        <w:rPr>
          <w:rFonts w:ascii="Arial" w:eastAsia="Calibri" w:hAnsi="Arial" w:cs="Arial"/>
        </w:rPr>
        <w:t xml:space="preserve"> crises, a new system of communication, establishment of knowledge in the sphere of the care home and equal respect with the NHS and systematic integration of health/social care.</w:t>
      </w:r>
    </w:p>
    <w:p w14:paraId="247EA0C6" w14:textId="74D084DB" w:rsidR="00555312" w:rsidRPr="00FE174A" w:rsidRDefault="00555312" w:rsidP="003545E8">
      <w:pPr>
        <w:spacing w:after="0" w:line="360" w:lineRule="auto"/>
        <w:jc w:val="both"/>
        <w:rPr>
          <w:rFonts w:ascii="Arial" w:eastAsia="Calibri" w:hAnsi="Arial" w:cs="Arial"/>
        </w:rPr>
      </w:pPr>
      <w:r w:rsidRPr="00FE174A">
        <w:rPr>
          <w:rFonts w:ascii="Arial" w:eastAsia="Calibri" w:hAnsi="Arial" w:cs="Arial"/>
        </w:rPr>
        <w:t>These results form a premise to the discussion chapter, wherein they will be interpreted in terms of the existing literature, implications for policy and practice, and specific recommendations are given on how best person-centred end-of-life care can be provided within UK residential care homes.</w:t>
      </w:r>
    </w:p>
    <w:p w14:paraId="6F2446E6" w14:textId="7BDA9609" w:rsidR="009706D0" w:rsidRPr="00FE174A" w:rsidRDefault="009706D0" w:rsidP="003545E8">
      <w:pPr>
        <w:spacing w:after="0" w:line="360" w:lineRule="auto"/>
        <w:jc w:val="both"/>
        <w:rPr>
          <w:rFonts w:ascii="Arial" w:eastAsia="Calibri" w:hAnsi="Arial" w:cs="Arial"/>
          <w:b/>
          <w:bCs/>
        </w:rPr>
      </w:pPr>
    </w:p>
    <w:p w14:paraId="14000001" w14:textId="22109349" w:rsidR="00744B8B" w:rsidRPr="00FE174A" w:rsidRDefault="00743B59" w:rsidP="003545E8">
      <w:pPr>
        <w:spacing w:after="0" w:line="360" w:lineRule="auto"/>
        <w:jc w:val="both"/>
        <w:rPr>
          <w:rFonts w:ascii="Arial" w:eastAsia="Calibri" w:hAnsi="Arial" w:cs="Arial"/>
        </w:rPr>
      </w:pPr>
      <w:r w:rsidRPr="00FE174A">
        <w:rPr>
          <w:rFonts w:ascii="Arial" w:eastAsia="Calibri" w:hAnsi="Arial" w:cs="Arial"/>
          <w:noProof/>
        </w:rPr>
        <w:lastRenderedPageBreak/>
        <w:drawing>
          <wp:inline distT="0" distB="0" distL="0" distR="0" wp14:anchorId="70EF0D77" wp14:editId="07895733">
            <wp:extent cx="5731510" cy="4239260"/>
            <wp:effectExtent l="0" t="0" r="2540" b="8890"/>
            <wp:docPr id="201133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36290" name=""/>
                    <pic:cNvPicPr/>
                  </pic:nvPicPr>
                  <pic:blipFill>
                    <a:blip r:embed="rId23"/>
                    <a:stretch>
                      <a:fillRect/>
                    </a:stretch>
                  </pic:blipFill>
                  <pic:spPr>
                    <a:xfrm>
                      <a:off x="0" y="0"/>
                      <a:ext cx="5731510" cy="4239260"/>
                    </a:xfrm>
                    <a:prstGeom prst="rect">
                      <a:avLst/>
                    </a:prstGeom>
                  </pic:spPr>
                </pic:pic>
              </a:graphicData>
            </a:graphic>
          </wp:inline>
        </w:drawing>
      </w:r>
    </w:p>
    <w:p w14:paraId="14000002" w14:textId="189C8AF0" w:rsidR="00744B8B" w:rsidRPr="00FE174A" w:rsidRDefault="00A74D07" w:rsidP="00A74D07">
      <w:pPr>
        <w:pStyle w:val="Caption"/>
        <w:rPr>
          <w:rFonts w:ascii="Arial" w:eastAsia="Calibri" w:hAnsi="Arial" w:cs="Arial"/>
          <w:sz w:val="22"/>
          <w:szCs w:val="22"/>
        </w:rPr>
      </w:pPr>
      <w:bookmarkStart w:id="64" w:name="_Toc220798114"/>
      <w:r w:rsidRPr="00FE174A">
        <w:rPr>
          <w:rFonts w:ascii="Arial" w:eastAsia="Calibri" w:hAnsi="Arial" w:cs="Arial"/>
          <w:sz w:val="22"/>
          <w:szCs w:val="22"/>
        </w:rPr>
        <w:t xml:space="preserve">Figure </w:t>
      </w:r>
      <w:r w:rsidRPr="00FE174A">
        <w:rPr>
          <w:rFonts w:ascii="Arial" w:eastAsia="Calibri" w:hAnsi="Arial" w:cs="Arial"/>
          <w:sz w:val="22"/>
          <w:szCs w:val="22"/>
        </w:rPr>
        <w:fldChar w:fldCharType="begin"/>
      </w:r>
      <w:r w:rsidRPr="00FE174A">
        <w:rPr>
          <w:rFonts w:ascii="Arial" w:eastAsia="Calibri" w:hAnsi="Arial" w:cs="Arial"/>
          <w:sz w:val="22"/>
          <w:szCs w:val="22"/>
        </w:rPr>
        <w:instrText xml:space="preserve"> SEQ Figure \* ARABIC </w:instrText>
      </w:r>
      <w:r w:rsidRPr="00FE174A">
        <w:rPr>
          <w:rFonts w:ascii="Arial" w:eastAsia="Calibri" w:hAnsi="Arial" w:cs="Arial"/>
          <w:sz w:val="22"/>
          <w:szCs w:val="22"/>
        </w:rPr>
        <w:fldChar w:fldCharType="separate"/>
      </w:r>
      <w:r w:rsidRPr="00FE174A">
        <w:rPr>
          <w:rFonts w:ascii="Arial" w:eastAsia="Calibri" w:hAnsi="Arial" w:cs="Arial"/>
          <w:sz w:val="22"/>
          <w:szCs w:val="22"/>
        </w:rPr>
        <w:t>4</w:t>
      </w:r>
      <w:r w:rsidRPr="00FE174A">
        <w:rPr>
          <w:rFonts w:ascii="Arial" w:eastAsia="Calibri" w:hAnsi="Arial" w:cs="Arial"/>
          <w:sz w:val="22"/>
          <w:szCs w:val="22"/>
        </w:rPr>
        <w:fldChar w:fldCharType="end"/>
      </w:r>
      <w:r w:rsidR="00744B8B" w:rsidRPr="00FE174A">
        <w:rPr>
          <w:rFonts w:ascii="Arial" w:eastAsia="Calibri" w:hAnsi="Arial" w:cs="Arial"/>
          <w:sz w:val="22"/>
          <w:szCs w:val="22"/>
        </w:rPr>
        <w:t>: Thematic Synthesis Findings</w:t>
      </w:r>
      <w:bookmarkEnd w:id="64"/>
    </w:p>
    <w:p w14:paraId="14000003" w14:textId="77777777" w:rsidR="00744B8B" w:rsidRPr="00FE174A" w:rsidRDefault="00744B8B" w:rsidP="003545E8">
      <w:pPr>
        <w:spacing w:after="0" w:line="360" w:lineRule="auto"/>
        <w:jc w:val="both"/>
        <w:rPr>
          <w:rFonts w:ascii="Arial" w:eastAsia="Calibri" w:hAnsi="Arial" w:cs="Arial"/>
          <w:i/>
          <w:iCs/>
        </w:rPr>
      </w:pPr>
      <w:r w:rsidRPr="00FE174A">
        <w:rPr>
          <w:rFonts w:ascii="Arial" w:eastAsia="Calibri" w:hAnsi="Arial" w:cs="Arial"/>
          <w:i/>
          <w:iCs/>
        </w:rPr>
        <w:t>Source: Author’s own work based on thematic synthesis of included studies (n=12)</w:t>
      </w:r>
    </w:p>
    <w:p w14:paraId="04F8DDB8" w14:textId="77777777" w:rsidR="00A74D07" w:rsidRPr="00FE174A" w:rsidRDefault="00A74D07">
      <w:pPr>
        <w:rPr>
          <w:rFonts w:ascii="Arial" w:eastAsia="Times New Roman" w:hAnsi="Arial" w:cs="Arial"/>
          <w:b/>
          <w:color w:val="000000"/>
        </w:rPr>
      </w:pPr>
      <w:bookmarkStart w:id="65" w:name="_Toc220573302"/>
      <w:r w:rsidRPr="00FE174A">
        <w:rPr>
          <w:rFonts w:ascii="Arial" w:hAnsi="Arial" w:cs="Arial"/>
        </w:rPr>
        <w:br w:type="page"/>
      </w:r>
    </w:p>
    <w:p w14:paraId="3E63F171" w14:textId="6227170E" w:rsidR="00847023" w:rsidRPr="00FE174A" w:rsidRDefault="00847023" w:rsidP="003545E8">
      <w:pPr>
        <w:pStyle w:val="Heading1"/>
        <w:spacing w:after="0"/>
      </w:pPr>
      <w:bookmarkStart w:id="66" w:name="_Toc220846970"/>
      <w:r w:rsidRPr="00FE174A">
        <w:lastRenderedPageBreak/>
        <w:t>CHAPTER 5: D</w:t>
      </w:r>
      <w:bookmarkEnd w:id="65"/>
      <w:r w:rsidR="00720682" w:rsidRPr="00FE174A">
        <w:t>iscussion</w:t>
      </w:r>
      <w:bookmarkEnd w:id="66"/>
    </w:p>
    <w:p w14:paraId="1B3247CE" w14:textId="77777777" w:rsidR="00847023" w:rsidRPr="00FE174A" w:rsidRDefault="00847023" w:rsidP="003545E8">
      <w:pPr>
        <w:pStyle w:val="Heading2"/>
        <w:spacing w:after="0"/>
      </w:pPr>
      <w:bookmarkStart w:id="67" w:name="_Toc220846971"/>
      <w:r w:rsidRPr="00FE174A">
        <w:t>5.1 Introduction</w:t>
      </w:r>
      <w:bookmarkEnd w:id="67"/>
    </w:p>
    <w:p w14:paraId="67298D71" w14:textId="3D08559A" w:rsidR="00847023" w:rsidRPr="00FE174A" w:rsidRDefault="00847023" w:rsidP="003545E8">
      <w:pPr>
        <w:spacing w:after="0" w:line="360" w:lineRule="auto"/>
        <w:jc w:val="both"/>
        <w:rPr>
          <w:rFonts w:ascii="Arial" w:hAnsi="Arial" w:cs="Arial"/>
        </w:rPr>
      </w:pPr>
      <w:r w:rsidRPr="00FE174A">
        <w:rPr>
          <w:rFonts w:ascii="Arial" w:hAnsi="Arial" w:cs="Arial"/>
        </w:rPr>
        <w:t>This chapter synthesises the results of the systematic literature review</w:t>
      </w:r>
      <w:r w:rsidR="00515FDB" w:rsidRPr="00FE174A">
        <w:rPr>
          <w:rFonts w:ascii="Arial" w:hAnsi="Arial" w:cs="Arial"/>
        </w:rPr>
        <w:t>,</w:t>
      </w:r>
      <w:r w:rsidRPr="00FE174A">
        <w:rPr>
          <w:rFonts w:ascii="Arial" w:hAnsi="Arial" w:cs="Arial"/>
        </w:rPr>
        <w:t xml:space="preserve"> which investigated the experiences of bereaved family members and employees working in UK residential care homes about end-of-life care. The question of the research was as follows: What is the experience of bereaved family members and care home staff with regard to end-of-life care in residential care homes in the UK? The review provided five family themes (communication and information, presence and involvement, relationships with staff, grief and bereavement, priorities for care) and six staff ones (emotional labour, training needs, support needs, recognition and value, systemic barriers, expertise and creativity).</w:t>
      </w:r>
    </w:p>
    <w:p w14:paraId="40242302" w14:textId="56CA1FE8" w:rsidR="00847023" w:rsidRPr="00FE174A" w:rsidRDefault="00847023" w:rsidP="003545E8">
      <w:pPr>
        <w:spacing w:after="0" w:line="360" w:lineRule="auto"/>
        <w:jc w:val="both"/>
        <w:rPr>
          <w:rFonts w:ascii="Arial" w:hAnsi="Arial" w:cs="Arial"/>
          <w:b/>
          <w:bCs/>
        </w:rPr>
      </w:pPr>
      <w:r w:rsidRPr="00FE174A">
        <w:rPr>
          <w:rFonts w:ascii="Arial" w:hAnsi="Arial" w:cs="Arial"/>
        </w:rPr>
        <w:t>The findings are critically discussed in relation to person-centred care models (Kitwood, 1997; McCormack and McCance, 2017) and conceptualizations of the good death (Steinhauser et al., 2000). The relationship between the findings and the existing literature, implications for the practice, policy, and further research were formulated.</w:t>
      </w:r>
    </w:p>
    <w:p w14:paraId="455FE057" w14:textId="77777777" w:rsidR="00847023" w:rsidRPr="00FE174A" w:rsidRDefault="00847023" w:rsidP="003545E8">
      <w:pPr>
        <w:spacing w:after="0" w:line="360" w:lineRule="auto"/>
        <w:jc w:val="both"/>
        <w:rPr>
          <w:rFonts w:ascii="Arial" w:hAnsi="Arial" w:cs="Arial"/>
          <w:b/>
          <w:bCs/>
        </w:rPr>
      </w:pPr>
    </w:p>
    <w:p w14:paraId="2909DEAE" w14:textId="0F79DA2C" w:rsidR="00847023" w:rsidRPr="00FE174A" w:rsidRDefault="00847023" w:rsidP="003545E8">
      <w:pPr>
        <w:pStyle w:val="Heading2"/>
        <w:spacing w:after="0"/>
      </w:pPr>
      <w:bookmarkStart w:id="68" w:name="_Toc220846972"/>
      <w:r w:rsidRPr="00FE174A">
        <w:t>5.2 Discussion of Findings in Context</w:t>
      </w:r>
      <w:bookmarkEnd w:id="68"/>
    </w:p>
    <w:p w14:paraId="3637C395" w14:textId="77777777" w:rsidR="00080A64" w:rsidRPr="00FE174A" w:rsidRDefault="00080A64" w:rsidP="003545E8">
      <w:pPr>
        <w:pStyle w:val="Heading3"/>
        <w:spacing w:after="0"/>
      </w:pPr>
      <w:bookmarkStart w:id="69" w:name="_Toc220846973"/>
      <w:r w:rsidRPr="00FE174A">
        <w:t>5.2.1 Family Experiences: Interpretation and Comparison</w:t>
      </w:r>
      <w:bookmarkEnd w:id="69"/>
    </w:p>
    <w:p w14:paraId="5E283BC8" w14:textId="0854DC31" w:rsidR="00847023" w:rsidRPr="00FE174A" w:rsidRDefault="00847023" w:rsidP="003545E8">
      <w:pPr>
        <w:spacing w:after="0" w:line="360" w:lineRule="auto"/>
        <w:jc w:val="both"/>
        <w:rPr>
          <w:rFonts w:ascii="Arial" w:hAnsi="Arial" w:cs="Arial"/>
        </w:rPr>
      </w:pPr>
      <w:r w:rsidRPr="00FE174A">
        <w:rPr>
          <w:rFonts w:ascii="Arial" w:hAnsi="Arial" w:cs="Arial"/>
        </w:rPr>
        <w:t>As the most common aspect, communication and information provision were found in seven studies (Badger et al., 201</w:t>
      </w:r>
      <w:r w:rsidR="00C12A30" w:rsidRPr="00FE174A">
        <w:rPr>
          <w:rFonts w:ascii="Arial" w:hAnsi="Arial" w:cs="Arial"/>
        </w:rPr>
        <w:t>2</w:t>
      </w:r>
      <w:r w:rsidRPr="00FE174A">
        <w:rPr>
          <w:rFonts w:ascii="Arial" w:hAnsi="Arial" w:cs="Arial"/>
        </w:rPr>
        <w:t>; Bamford et al., 2018; De Witt Jansen et al., 2017; Hanna et al., 2022; Kupeli et al., 2019; Lee et al., 2015; Moore et al., 2017) in accordance with publications that define communication as a significant factor in quality end-of-life care (Hancock et al., 2007 Nevertheless, it became clear during synthesis that communication failures were structural, and the families were being dismissed when they raised concerns (De Witt Jansen et al., 2017) and were not told about deterioration (Hanna et al., 2022) which is in contrast to the principles of person-centered care (McCormack and McCance, 2017).</w:t>
      </w:r>
    </w:p>
    <w:p w14:paraId="7AF11774" w14:textId="21C92BCB" w:rsidR="00847023" w:rsidRPr="00FE174A" w:rsidRDefault="00847023" w:rsidP="003545E8">
      <w:pPr>
        <w:spacing w:after="0" w:line="360" w:lineRule="auto"/>
        <w:jc w:val="both"/>
        <w:rPr>
          <w:rFonts w:ascii="Arial" w:hAnsi="Arial" w:cs="Arial"/>
        </w:rPr>
      </w:pPr>
      <w:r w:rsidRPr="00FE174A">
        <w:rPr>
          <w:rFonts w:ascii="Arial" w:hAnsi="Arial" w:cs="Arial"/>
        </w:rPr>
        <w:t>The fact that 26% bereaved relatives had clinical depression and 41% anxiety, as indicated by Moore et al. (2017), is a factor indicating that communication deficits could lead to complex grief coursework.</w:t>
      </w:r>
    </w:p>
    <w:p w14:paraId="233B2A12" w14:textId="617B8052" w:rsidR="00847023" w:rsidRPr="00FE174A" w:rsidRDefault="00847023" w:rsidP="003545E8">
      <w:pPr>
        <w:spacing w:after="0" w:line="360" w:lineRule="auto"/>
        <w:jc w:val="both"/>
        <w:rPr>
          <w:rFonts w:ascii="Arial" w:hAnsi="Arial" w:cs="Arial"/>
        </w:rPr>
      </w:pPr>
      <w:r w:rsidRPr="00FE174A">
        <w:rPr>
          <w:rFonts w:ascii="Arial" w:hAnsi="Arial" w:cs="Arial"/>
        </w:rPr>
        <w:t>The presence and involvement in six studies (Badger et al., 20</w:t>
      </w:r>
      <w:r w:rsidR="00C12A30" w:rsidRPr="00FE174A">
        <w:rPr>
          <w:rFonts w:ascii="Arial" w:hAnsi="Arial" w:cs="Arial"/>
        </w:rPr>
        <w:t>1</w:t>
      </w:r>
      <w:r w:rsidRPr="00FE174A">
        <w:rPr>
          <w:rFonts w:ascii="Arial" w:hAnsi="Arial" w:cs="Arial"/>
        </w:rPr>
        <w:t>2; Bamford et al., 2018; Bradshaw et al., 2023; Hanna et al., 2022; Moore et al., 2017; Sawyer et al., 2021) should be perceived in the context of COVID-19. The fact that 78.5% of care homes permitted visiting</w:t>
      </w:r>
      <w:r w:rsidR="00515FDB" w:rsidRPr="00FE174A">
        <w:rPr>
          <w:rFonts w:ascii="Arial" w:hAnsi="Arial" w:cs="Arial"/>
        </w:rPr>
        <w:t>,</w:t>
      </w:r>
      <w:r w:rsidRPr="00FE174A">
        <w:rPr>
          <w:rFonts w:ascii="Arial" w:hAnsi="Arial" w:cs="Arial"/>
        </w:rPr>
        <w:t xml:space="preserve"> but families had a deep sense of trauma as observed by Bradshaw et al. (2023) throws light on the conflict between infection control and the human touch. Losses </w:t>
      </w:r>
      <w:r w:rsidR="00515FDB" w:rsidRPr="00FE174A">
        <w:rPr>
          <w:rFonts w:ascii="Arial" w:hAnsi="Arial" w:cs="Arial"/>
        </w:rPr>
        <w:t>labelled</w:t>
      </w:r>
      <w:r w:rsidRPr="00FE174A">
        <w:rPr>
          <w:rFonts w:ascii="Arial" w:hAnsi="Arial" w:cs="Arial"/>
        </w:rPr>
        <w:t xml:space="preserve"> as hideous and traumatic in the absence of the families suggest that the ethics of the health promotion pin family prevention rank above the psychosocial aspect.</w:t>
      </w:r>
    </w:p>
    <w:p w14:paraId="66C68D0B" w14:textId="2699C09D" w:rsidR="00847023" w:rsidRPr="00FE174A" w:rsidRDefault="00847023" w:rsidP="003545E8">
      <w:pPr>
        <w:spacing w:after="0" w:line="360" w:lineRule="auto"/>
        <w:jc w:val="both"/>
        <w:rPr>
          <w:rFonts w:ascii="Arial" w:hAnsi="Arial" w:cs="Arial"/>
        </w:rPr>
      </w:pPr>
      <w:r w:rsidRPr="00FE174A">
        <w:rPr>
          <w:rFonts w:ascii="Arial" w:hAnsi="Arial" w:cs="Arial"/>
        </w:rPr>
        <w:t xml:space="preserve">This becomes important as opposed to </w:t>
      </w:r>
      <w:r w:rsidR="00515FDB" w:rsidRPr="00FE174A">
        <w:rPr>
          <w:rFonts w:ascii="Arial" w:hAnsi="Arial" w:cs="Arial"/>
        </w:rPr>
        <w:t>conceptualisations</w:t>
      </w:r>
      <w:r w:rsidRPr="00FE174A">
        <w:rPr>
          <w:rFonts w:ascii="Arial" w:hAnsi="Arial" w:cs="Arial"/>
        </w:rPr>
        <w:t xml:space="preserve"> of the good death that </w:t>
      </w:r>
      <w:r w:rsidR="00515FDB" w:rsidRPr="00FE174A">
        <w:rPr>
          <w:rFonts w:ascii="Arial" w:hAnsi="Arial" w:cs="Arial"/>
        </w:rPr>
        <w:t>locate</w:t>
      </w:r>
      <w:r w:rsidRPr="00FE174A">
        <w:rPr>
          <w:rFonts w:ascii="Arial" w:hAnsi="Arial" w:cs="Arial"/>
        </w:rPr>
        <w:t xml:space="preserve"> the presence of loved ones (Steinhauser et al., 2000). The restrictions imposed by COVID-19 did </w:t>
      </w:r>
      <w:r w:rsidRPr="00FE174A">
        <w:rPr>
          <w:rFonts w:ascii="Arial" w:hAnsi="Arial" w:cs="Arial"/>
        </w:rPr>
        <w:lastRenderedPageBreak/>
        <w:t>not allow what Kellehe</w:t>
      </w:r>
      <w:r w:rsidR="008A5811" w:rsidRPr="00FE174A">
        <w:rPr>
          <w:rFonts w:ascii="Arial" w:hAnsi="Arial" w:cs="Arial"/>
        </w:rPr>
        <w:t>a</w:t>
      </w:r>
      <w:r w:rsidRPr="00FE174A">
        <w:rPr>
          <w:rFonts w:ascii="Arial" w:hAnsi="Arial" w:cs="Arial"/>
        </w:rPr>
        <w:t>r (2007) refers to as social death rituals and relational closure</w:t>
      </w:r>
      <w:r w:rsidR="00515FDB" w:rsidRPr="00FE174A">
        <w:rPr>
          <w:rFonts w:ascii="Arial" w:hAnsi="Arial" w:cs="Arial"/>
        </w:rPr>
        <w:t>,</w:t>
      </w:r>
      <w:r w:rsidRPr="00FE174A">
        <w:rPr>
          <w:rFonts w:ascii="Arial" w:hAnsi="Arial" w:cs="Arial"/>
        </w:rPr>
        <w:t xml:space="preserve"> </w:t>
      </w:r>
      <w:r w:rsidR="00515FDB" w:rsidRPr="00FE174A">
        <w:rPr>
          <w:rFonts w:ascii="Arial" w:hAnsi="Arial" w:cs="Arial"/>
        </w:rPr>
        <w:t>which</w:t>
      </w:r>
      <w:r w:rsidRPr="00FE174A">
        <w:rPr>
          <w:rFonts w:ascii="Arial" w:hAnsi="Arial" w:cs="Arial"/>
        </w:rPr>
        <w:t xml:space="preserve"> provide meaning to dying. The median of 27 complicated grief scale used by Moore et al. (2017) before the pandemic and covered by Bradshaw et al. (2023) during the pandemic indicates the gradual neglect of relational needs of families by care facilities.</w:t>
      </w:r>
    </w:p>
    <w:p w14:paraId="16AF5D36" w14:textId="64B51988" w:rsidR="00847023" w:rsidRPr="00FE174A" w:rsidRDefault="00847023" w:rsidP="003545E8">
      <w:pPr>
        <w:spacing w:after="0" w:line="360" w:lineRule="auto"/>
        <w:jc w:val="both"/>
        <w:rPr>
          <w:rFonts w:ascii="Arial" w:hAnsi="Arial" w:cs="Arial"/>
        </w:rPr>
      </w:pPr>
      <w:r w:rsidRPr="00FE174A">
        <w:rPr>
          <w:rFonts w:ascii="Arial" w:hAnsi="Arial" w:cs="Arial"/>
        </w:rPr>
        <w:t>Positive relationships were found with staff in four studies (Badger et al., 20</w:t>
      </w:r>
      <w:r w:rsidR="00C12A30" w:rsidRPr="00FE174A">
        <w:rPr>
          <w:rFonts w:ascii="Arial" w:hAnsi="Arial" w:cs="Arial"/>
        </w:rPr>
        <w:t>12</w:t>
      </w:r>
      <w:r w:rsidRPr="00FE174A">
        <w:rPr>
          <w:rFonts w:ascii="Arial" w:hAnsi="Arial" w:cs="Arial"/>
        </w:rPr>
        <w:t xml:space="preserve">; Hanna et al., 2022; Lee et al., 2015; Sharp et al., 2013) that showed that positive relationships could partially fill gaps in the system. Compassionate staff </w:t>
      </w:r>
      <w:r w:rsidR="00515FDB" w:rsidRPr="00FE174A">
        <w:rPr>
          <w:rFonts w:ascii="Arial" w:hAnsi="Arial" w:cs="Arial"/>
        </w:rPr>
        <w:t>were</w:t>
      </w:r>
      <w:r w:rsidRPr="00FE174A">
        <w:rPr>
          <w:rFonts w:ascii="Arial" w:hAnsi="Arial" w:cs="Arial"/>
        </w:rPr>
        <w:t xml:space="preserve"> also reported to make all the difference in families (Sharp et al., 2013). Nevertheless, the positive interrelations were based on personal features, as opposed to systems models, and this aspect has exposed quality to staff attritions of up to 30-40 </w:t>
      </w:r>
      <w:r w:rsidR="00515FDB" w:rsidRPr="00FE174A">
        <w:rPr>
          <w:rFonts w:ascii="Arial" w:hAnsi="Arial" w:cs="Arial"/>
        </w:rPr>
        <w:t>per cent</w:t>
      </w:r>
      <w:r w:rsidRPr="00FE174A">
        <w:rPr>
          <w:rFonts w:ascii="Arial" w:hAnsi="Arial" w:cs="Arial"/>
        </w:rPr>
        <w:t xml:space="preserve"> in a year (Skills for Care, 2022).</w:t>
      </w:r>
    </w:p>
    <w:p w14:paraId="33EDB950" w14:textId="2FD8FA74" w:rsidR="00847023" w:rsidRPr="00FE174A" w:rsidRDefault="00847023" w:rsidP="003545E8">
      <w:pPr>
        <w:spacing w:after="0" w:line="360" w:lineRule="auto"/>
        <w:jc w:val="both"/>
        <w:rPr>
          <w:rFonts w:ascii="Arial" w:hAnsi="Arial" w:cs="Arial"/>
        </w:rPr>
      </w:pPr>
      <w:r w:rsidRPr="00FE174A">
        <w:rPr>
          <w:rFonts w:ascii="Arial" w:hAnsi="Arial" w:cs="Arial"/>
        </w:rPr>
        <w:t>The article by Badger and colleagues (20</w:t>
      </w:r>
      <w:r w:rsidR="00C12A30" w:rsidRPr="00FE174A">
        <w:rPr>
          <w:rFonts w:ascii="Arial" w:hAnsi="Arial" w:cs="Arial"/>
        </w:rPr>
        <w:t>12</w:t>
      </w:r>
      <w:r w:rsidRPr="00FE174A">
        <w:rPr>
          <w:rFonts w:ascii="Arial" w:hAnsi="Arial" w:cs="Arial"/>
        </w:rPr>
        <w:t xml:space="preserve">) and the ones by Kupeli and Lee (2019) and Moore and colleagues (2017) provided four studies and </w:t>
      </w:r>
      <w:r w:rsidR="00515FDB" w:rsidRPr="00FE174A">
        <w:rPr>
          <w:rFonts w:ascii="Arial" w:hAnsi="Arial" w:cs="Arial"/>
        </w:rPr>
        <w:t>emphasised</w:t>
      </w:r>
      <w:r w:rsidRPr="00FE174A">
        <w:rPr>
          <w:rFonts w:ascii="Arial" w:hAnsi="Arial" w:cs="Arial"/>
        </w:rPr>
        <w:t xml:space="preserve"> anticipatory grief as an </w:t>
      </w:r>
      <w:r w:rsidR="00515FDB" w:rsidRPr="00FE174A">
        <w:rPr>
          <w:rFonts w:ascii="Arial" w:hAnsi="Arial" w:cs="Arial"/>
        </w:rPr>
        <w:t>under-recognised</w:t>
      </w:r>
      <w:r w:rsidRPr="00FE174A">
        <w:rPr>
          <w:rFonts w:ascii="Arial" w:hAnsi="Arial" w:cs="Arial"/>
        </w:rPr>
        <w:t xml:space="preserve"> concept. The fact that families reported experiencing the process of </w:t>
      </w:r>
      <w:r w:rsidR="00515FDB" w:rsidRPr="00FE174A">
        <w:rPr>
          <w:rFonts w:ascii="Arial" w:hAnsi="Arial" w:cs="Arial"/>
        </w:rPr>
        <w:t>grieving</w:t>
      </w:r>
      <w:r w:rsidRPr="00FE174A">
        <w:rPr>
          <w:rFonts w:ascii="Arial" w:hAnsi="Arial" w:cs="Arial"/>
        </w:rPr>
        <w:t xml:space="preserve"> before their loved ones </w:t>
      </w:r>
      <w:r w:rsidR="00515FDB" w:rsidRPr="00FE174A">
        <w:rPr>
          <w:rFonts w:ascii="Arial" w:hAnsi="Arial" w:cs="Arial"/>
        </w:rPr>
        <w:t>had</w:t>
      </w:r>
      <w:r w:rsidRPr="00FE174A">
        <w:rPr>
          <w:rFonts w:ascii="Arial" w:hAnsi="Arial" w:cs="Arial"/>
        </w:rPr>
        <w:t xml:space="preserve"> died (Moore et al, 2017) indicates that care homes do not give much attention to the mentioned process. Studies show that not all care homes provide formal bereavement care (only 22 </w:t>
      </w:r>
      <w:r w:rsidR="00515FDB" w:rsidRPr="00FE174A">
        <w:rPr>
          <w:rFonts w:ascii="Arial" w:hAnsi="Arial" w:cs="Arial"/>
        </w:rPr>
        <w:t>per cent</w:t>
      </w:r>
      <w:r w:rsidRPr="00FE174A">
        <w:rPr>
          <w:rFonts w:ascii="Arial" w:hAnsi="Arial" w:cs="Arial"/>
        </w:rPr>
        <w:t xml:space="preserve"> of care homes give bereavement care)</w:t>
      </w:r>
      <w:r w:rsidR="00515FDB" w:rsidRPr="00FE174A">
        <w:rPr>
          <w:rFonts w:ascii="Arial" w:hAnsi="Arial" w:cs="Arial"/>
        </w:rPr>
        <w:t>,</w:t>
      </w:r>
      <w:r w:rsidRPr="00FE174A">
        <w:rPr>
          <w:rFonts w:ascii="Arial" w:hAnsi="Arial" w:cs="Arial"/>
        </w:rPr>
        <w:t xml:space="preserve"> which is important since care </w:t>
      </w:r>
      <w:r w:rsidR="00515FDB" w:rsidRPr="00FE174A">
        <w:rPr>
          <w:rFonts w:ascii="Arial" w:hAnsi="Arial" w:cs="Arial"/>
        </w:rPr>
        <w:t>home</w:t>
      </w:r>
      <w:r w:rsidRPr="00FE174A">
        <w:rPr>
          <w:rFonts w:ascii="Arial" w:hAnsi="Arial" w:cs="Arial"/>
        </w:rPr>
        <w:t xml:space="preserve"> deaths occur in 24 </w:t>
      </w:r>
      <w:r w:rsidR="00515FDB" w:rsidRPr="00FE174A">
        <w:rPr>
          <w:rFonts w:ascii="Arial" w:hAnsi="Arial" w:cs="Arial"/>
        </w:rPr>
        <w:t>per cent</w:t>
      </w:r>
      <w:r w:rsidRPr="00FE174A">
        <w:rPr>
          <w:rFonts w:ascii="Arial" w:hAnsi="Arial" w:cs="Arial"/>
        </w:rPr>
        <w:t xml:space="preserve"> of all UK deaths (</w:t>
      </w:r>
      <w:r w:rsidR="008A5811" w:rsidRPr="00FE174A">
        <w:rPr>
          <w:rFonts w:ascii="Arial" w:eastAsia="Calibri" w:hAnsi="Arial" w:cs="Arial"/>
        </w:rPr>
        <w:t>Office for National Statistics</w:t>
      </w:r>
      <w:r w:rsidRPr="00FE174A">
        <w:rPr>
          <w:rFonts w:ascii="Arial" w:hAnsi="Arial" w:cs="Arial"/>
        </w:rPr>
        <w:t xml:space="preserve">, </w:t>
      </w:r>
      <w:r w:rsidR="00A534D5" w:rsidRPr="00FE174A">
        <w:rPr>
          <w:rFonts w:ascii="Arial" w:hAnsi="Arial" w:cs="Arial"/>
        </w:rPr>
        <w:t xml:space="preserve">2023; </w:t>
      </w:r>
      <w:r w:rsidRPr="00FE174A">
        <w:rPr>
          <w:rFonts w:ascii="Arial" w:hAnsi="Arial" w:cs="Arial"/>
        </w:rPr>
        <w:t>202</w:t>
      </w:r>
      <w:r w:rsidR="00A534D5" w:rsidRPr="00FE174A">
        <w:rPr>
          <w:rFonts w:ascii="Arial" w:hAnsi="Arial" w:cs="Arial"/>
        </w:rPr>
        <w:t>4</w:t>
      </w:r>
      <w:r w:rsidRPr="00FE174A">
        <w:rPr>
          <w:rFonts w:ascii="Arial" w:hAnsi="Arial" w:cs="Arial"/>
        </w:rPr>
        <w:t>).</w:t>
      </w:r>
    </w:p>
    <w:p w14:paraId="41EAF7E5" w14:textId="5B4DAF61" w:rsidR="00847023" w:rsidRPr="00FE174A" w:rsidRDefault="00847023" w:rsidP="003545E8">
      <w:pPr>
        <w:spacing w:after="0" w:line="360" w:lineRule="auto"/>
        <w:jc w:val="both"/>
        <w:rPr>
          <w:rFonts w:ascii="Arial" w:hAnsi="Arial" w:cs="Arial"/>
          <w:b/>
          <w:bCs/>
        </w:rPr>
      </w:pPr>
      <w:r w:rsidRPr="00FE174A">
        <w:rPr>
          <w:rFonts w:ascii="Arial" w:hAnsi="Arial" w:cs="Arial"/>
        </w:rPr>
        <w:t>Priorities of care in three studies (Badger et al., 20</w:t>
      </w:r>
      <w:r w:rsidR="00C12A30" w:rsidRPr="00FE174A">
        <w:rPr>
          <w:rFonts w:ascii="Arial" w:hAnsi="Arial" w:cs="Arial"/>
        </w:rPr>
        <w:t>12</w:t>
      </w:r>
      <w:r w:rsidRPr="00FE174A">
        <w:rPr>
          <w:rFonts w:ascii="Arial" w:hAnsi="Arial" w:cs="Arial"/>
        </w:rPr>
        <w:t xml:space="preserve">; Lee et al., 2015; Sharp et al., 2013) showed that families </w:t>
      </w:r>
      <w:r w:rsidR="00515FDB" w:rsidRPr="00FE174A">
        <w:rPr>
          <w:rFonts w:ascii="Arial" w:hAnsi="Arial" w:cs="Arial"/>
        </w:rPr>
        <w:t>prioritised</w:t>
      </w:r>
      <w:r w:rsidRPr="00FE174A">
        <w:rPr>
          <w:rFonts w:ascii="Arial" w:hAnsi="Arial" w:cs="Arial"/>
        </w:rPr>
        <w:t xml:space="preserve"> dignity and comfort as secondary to </w:t>
      </w:r>
      <w:r w:rsidR="00515FDB" w:rsidRPr="00FE174A">
        <w:rPr>
          <w:rFonts w:ascii="Arial" w:hAnsi="Arial" w:cs="Arial"/>
        </w:rPr>
        <w:t>routinised</w:t>
      </w:r>
      <w:r w:rsidRPr="00FE174A">
        <w:rPr>
          <w:rFonts w:ascii="Arial" w:hAnsi="Arial" w:cs="Arial"/>
        </w:rPr>
        <w:t xml:space="preserve"> and ended up with the priorities of care as being about the home routine and not about him (Sharp et al., 2013). According to Goffman (</w:t>
      </w:r>
      <w:r w:rsidR="00AF7B17" w:rsidRPr="00FE174A">
        <w:rPr>
          <w:rFonts w:ascii="Arial" w:hAnsi="Arial" w:cs="Arial"/>
        </w:rPr>
        <w:t>2007</w:t>
      </w:r>
      <w:r w:rsidRPr="00FE174A">
        <w:rPr>
          <w:rFonts w:ascii="Arial" w:hAnsi="Arial" w:cs="Arial"/>
        </w:rPr>
        <w:t xml:space="preserve">), this conflict between institutional efficiency and </w:t>
      </w:r>
      <w:r w:rsidR="00515FDB" w:rsidRPr="00FE174A">
        <w:rPr>
          <w:rFonts w:ascii="Arial" w:hAnsi="Arial" w:cs="Arial"/>
        </w:rPr>
        <w:t>individualised</w:t>
      </w:r>
      <w:r w:rsidRPr="00FE174A">
        <w:rPr>
          <w:rFonts w:ascii="Arial" w:hAnsi="Arial" w:cs="Arial"/>
        </w:rPr>
        <w:t xml:space="preserve"> care has postulated that routines that are task-oriented are </w:t>
      </w:r>
      <w:r w:rsidR="00515FDB" w:rsidRPr="00FE174A">
        <w:rPr>
          <w:rFonts w:ascii="Arial" w:hAnsi="Arial" w:cs="Arial"/>
        </w:rPr>
        <w:t>prioritised</w:t>
      </w:r>
      <w:r w:rsidRPr="00FE174A">
        <w:rPr>
          <w:rFonts w:ascii="Arial" w:hAnsi="Arial" w:cs="Arial"/>
        </w:rPr>
        <w:t xml:space="preserve"> in line with person-oriented rhetoric.</w:t>
      </w:r>
    </w:p>
    <w:p w14:paraId="6E34F11E" w14:textId="77777777" w:rsidR="00847023" w:rsidRPr="00FE174A" w:rsidRDefault="00847023" w:rsidP="003545E8">
      <w:pPr>
        <w:spacing w:after="0" w:line="360" w:lineRule="auto"/>
        <w:jc w:val="both"/>
        <w:rPr>
          <w:rFonts w:ascii="Arial" w:hAnsi="Arial" w:cs="Arial"/>
          <w:b/>
          <w:bCs/>
        </w:rPr>
      </w:pPr>
    </w:p>
    <w:p w14:paraId="2D412926" w14:textId="77777777" w:rsidR="00FC0783" w:rsidRPr="00FE174A" w:rsidRDefault="00FC0783" w:rsidP="003545E8">
      <w:pPr>
        <w:pStyle w:val="Heading3"/>
        <w:spacing w:after="0"/>
      </w:pPr>
      <w:bookmarkStart w:id="70" w:name="_Toc220846974"/>
      <w:r w:rsidRPr="00FE174A">
        <w:t>5.2.2 Staff Experiences: Interpretation and Comparison</w:t>
      </w:r>
      <w:bookmarkEnd w:id="70"/>
      <w:r w:rsidRPr="00FE174A">
        <w:t xml:space="preserve"> </w:t>
      </w:r>
    </w:p>
    <w:p w14:paraId="31A81783" w14:textId="5F6AC7D4" w:rsidR="00847023" w:rsidRPr="00FE174A" w:rsidRDefault="00847023" w:rsidP="003545E8">
      <w:pPr>
        <w:spacing w:after="0" w:line="360" w:lineRule="auto"/>
        <w:jc w:val="both"/>
        <w:rPr>
          <w:rFonts w:ascii="Arial" w:hAnsi="Arial" w:cs="Arial"/>
        </w:rPr>
      </w:pPr>
      <w:r w:rsidRPr="00FE174A">
        <w:rPr>
          <w:rFonts w:ascii="Arial" w:hAnsi="Arial" w:cs="Arial"/>
        </w:rPr>
        <w:t xml:space="preserve">The utilization of emotional labour occurred more in six studies (Bamford et al., 2018; Bradshaw et al., 2023; Handley et al., 2022; Kupeli et al., 2019; Lee et al., 2015; Sawyer et al., 2021), which supports the findings of frameworks about care work as an emotionally demanding phenomenon (Hochschild, </w:t>
      </w:r>
      <w:r w:rsidR="000F5C2E" w:rsidRPr="00FE174A">
        <w:rPr>
          <w:rFonts w:ascii="Arial" w:hAnsi="Arial" w:cs="Arial"/>
        </w:rPr>
        <w:t>2012</w:t>
      </w:r>
      <w:r w:rsidRPr="00FE174A">
        <w:rPr>
          <w:rFonts w:ascii="Arial" w:hAnsi="Arial" w:cs="Arial"/>
        </w:rPr>
        <w:t>). The staff accounts of feeling the pain of patients to live through (Lee et al., 2015) sheds light on the intensity of relations that do not fit biomedical paradigms.</w:t>
      </w:r>
    </w:p>
    <w:p w14:paraId="027B012E" w14:textId="52550E9E" w:rsidR="00847023" w:rsidRPr="00FE174A" w:rsidRDefault="00847023" w:rsidP="003545E8">
      <w:pPr>
        <w:spacing w:after="0" w:line="360" w:lineRule="auto"/>
        <w:jc w:val="both"/>
        <w:rPr>
          <w:rFonts w:ascii="Arial" w:hAnsi="Arial" w:cs="Arial"/>
        </w:rPr>
      </w:pPr>
      <w:r w:rsidRPr="00FE174A">
        <w:rPr>
          <w:rFonts w:ascii="Arial" w:hAnsi="Arial" w:cs="Arial"/>
        </w:rPr>
        <w:t xml:space="preserve">The results of Bradshaw et al. (2023), who reported that 70.1% of the staff experienced high levels of COVID-19 stress and said that they also experienced moral distress, will broaden the discussion on moral injury in healthcare. Employees felt triggered to enact restrictions since they felt they were failing families. The psychological trauma that has been documented by </w:t>
      </w:r>
      <w:r w:rsidRPr="00FE174A">
        <w:rPr>
          <w:rFonts w:ascii="Arial" w:hAnsi="Arial" w:cs="Arial"/>
        </w:rPr>
        <w:lastRenderedPageBreak/>
        <w:t>Handley et al. (2022) suggests that some of the workers can form post-traumatic stress symptoms.</w:t>
      </w:r>
    </w:p>
    <w:p w14:paraId="57F9A7CE" w14:textId="23285847" w:rsidR="00847023" w:rsidRPr="00FE174A" w:rsidRDefault="00847023" w:rsidP="003545E8">
      <w:pPr>
        <w:spacing w:after="0" w:line="360" w:lineRule="auto"/>
        <w:jc w:val="both"/>
        <w:rPr>
          <w:rFonts w:ascii="Arial" w:hAnsi="Arial" w:cs="Arial"/>
        </w:rPr>
      </w:pPr>
      <w:r w:rsidRPr="00FE174A">
        <w:rPr>
          <w:rFonts w:ascii="Arial" w:hAnsi="Arial" w:cs="Arial"/>
        </w:rPr>
        <w:t>Four studies (Badger et al., 201</w:t>
      </w:r>
      <w:r w:rsidR="00C12A30" w:rsidRPr="00FE174A">
        <w:rPr>
          <w:rFonts w:ascii="Arial" w:hAnsi="Arial" w:cs="Arial"/>
        </w:rPr>
        <w:t>2</w:t>
      </w:r>
      <w:r w:rsidRPr="00FE174A">
        <w:rPr>
          <w:rFonts w:ascii="Arial" w:hAnsi="Arial" w:cs="Arial"/>
        </w:rPr>
        <w:t>; Bamford et al., 2018; De Witt Jansen et al., 2017; Handley et al., 2022) identifying training requirements also shown the staff were aware of knowledge gaps in symptom recognition and advance care planning, in line with evidence of care home staff not receiving as much palliative care education as hospital staff (Hall et al., 2011).</w:t>
      </w:r>
    </w:p>
    <w:p w14:paraId="750385DE" w14:textId="6FB531D0" w:rsidR="00847023" w:rsidRPr="00FE174A" w:rsidRDefault="00847023" w:rsidP="003545E8">
      <w:pPr>
        <w:spacing w:after="0" w:line="360" w:lineRule="auto"/>
        <w:jc w:val="both"/>
        <w:rPr>
          <w:rFonts w:ascii="Arial" w:hAnsi="Arial" w:cs="Arial"/>
        </w:rPr>
      </w:pPr>
      <w:r w:rsidRPr="00FE174A">
        <w:rPr>
          <w:rFonts w:ascii="Arial" w:hAnsi="Arial" w:cs="Arial"/>
        </w:rPr>
        <w:t xml:space="preserve">The need to support staff (Bamford et al., 2018; Bradshaw et al., 2023; Handley et al., 2022; Sawyer et al., 2021) was identified as desirable by four studies, which was most often not systematically delivered. This goes in line with the theoretical studies on the hidden cost of emotion work when organizations are unable to cater to the emotional requirements of employees (Bolton, 2000). Although the policies of the NHS require clinical supervision (NHS England, 2016), the same </w:t>
      </w:r>
      <w:r w:rsidR="00515FDB" w:rsidRPr="00FE174A">
        <w:rPr>
          <w:rFonts w:ascii="Arial" w:hAnsi="Arial" w:cs="Arial"/>
        </w:rPr>
        <w:t>does not apply</w:t>
      </w:r>
      <w:r w:rsidRPr="00FE174A">
        <w:rPr>
          <w:rFonts w:ascii="Arial" w:hAnsi="Arial" w:cs="Arial"/>
        </w:rPr>
        <w:t xml:space="preserve"> to the care home staff.</w:t>
      </w:r>
    </w:p>
    <w:p w14:paraId="0CFA3EAB" w14:textId="68D13199" w:rsidR="00847023" w:rsidRPr="00FE174A" w:rsidRDefault="00847023" w:rsidP="003545E8">
      <w:pPr>
        <w:spacing w:after="0" w:line="360" w:lineRule="auto"/>
        <w:jc w:val="both"/>
        <w:rPr>
          <w:rFonts w:ascii="Arial" w:hAnsi="Arial" w:cs="Arial"/>
        </w:rPr>
      </w:pPr>
      <w:r w:rsidRPr="00FE174A">
        <w:rPr>
          <w:rFonts w:ascii="Arial" w:hAnsi="Arial" w:cs="Arial"/>
        </w:rPr>
        <w:t>The statistics presented by Bradshaw et al. (2023) regarding 45.3 percent of nursing homes experiencing staffing problems place the needs of individuals in a framework of a poor workforce. Studies indicate that a lack of adequate support causes turnover, which leads to the release of specific cycles where a lack of support leads to low mutual support ability.</w:t>
      </w:r>
    </w:p>
    <w:p w14:paraId="59FEBBA0" w14:textId="4BB3C067" w:rsidR="00847023" w:rsidRPr="00FE174A" w:rsidRDefault="00847023" w:rsidP="003545E8">
      <w:pPr>
        <w:spacing w:after="0" w:line="360" w:lineRule="auto"/>
        <w:jc w:val="both"/>
        <w:rPr>
          <w:rFonts w:ascii="Arial" w:hAnsi="Arial" w:cs="Arial"/>
        </w:rPr>
      </w:pPr>
      <w:r w:rsidRPr="00FE174A">
        <w:rPr>
          <w:rFonts w:ascii="Arial" w:hAnsi="Arial" w:cs="Arial"/>
        </w:rPr>
        <w:t>The need to feel important was identified as having been recognized and valued by 3 studies (Handley et al., 2022; Lee et al., 2015; Sawyer et al., 2021)—that the staff perceive working in a Cinderella sector and feel undervalued, or looked down upon (Lee et al., 2015). In the UK care home, wages are 15-20% less than those in the NHS (Skills for Care, 2022).</w:t>
      </w:r>
    </w:p>
    <w:p w14:paraId="2D9B07E7" w14:textId="79D8256B" w:rsidR="00847023" w:rsidRPr="00FE174A" w:rsidRDefault="00847023" w:rsidP="003545E8">
      <w:pPr>
        <w:spacing w:after="0" w:line="360" w:lineRule="auto"/>
        <w:jc w:val="both"/>
        <w:rPr>
          <w:rFonts w:ascii="Arial" w:hAnsi="Arial" w:cs="Arial"/>
        </w:rPr>
      </w:pPr>
      <w:r w:rsidRPr="00FE174A">
        <w:rPr>
          <w:rFonts w:ascii="Arial" w:hAnsi="Arial" w:cs="Arial"/>
        </w:rPr>
        <w:t>High workloads and the lack of specialist palliative care are some systemic barriers found in four studies (Badger et al., 201</w:t>
      </w:r>
      <w:r w:rsidR="00C12A30" w:rsidRPr="00FE174A">
        <w:rPr>
          <w:rFonts w:ascii="Arial" w:hAnsi="Arial" w:cs="Arial"/>
        </w:rPr>
        <w:t>2</w:t>
      </w:r>
      <w:r w:rsidRPr="00FE174A">
        <w:rPr>
          <w:rFonts w:ascii="Arial" w:hAnsi="Arial" w:cs="Arial"/>
        </w:rPr>
        <w:t>; Bradshaw et al., 2023; Handley et al., 2022; Sharp et al., 2013). According to the Care Quality Commission (2016), the greatest quality barrier was found to be staffing inadequacy.</w:t>
      </w:r>
    </w:p>
    <w:p w14:paraId="2F8AF978" w14:textId="77777777" w:rsidR="00847023" w:rsidRPr="00FE174A" w:rsidRDefault="00847023" w:rsidP="003545E8">
      <w:pPr>
        <w:spacing w:after="0" w:line="360" w:lineRule="auto"/>
        <w:jc w:val="both"/>
        <w:rPr>
          <w:rFonts w:ascii="Arial" w:hAnsi="Arial" w:cs="Arial"/>
          <w:b/>
          <w:bCs/>
        </w:rPr>
      </w:pPr>
      <w:r w:rsidRPr="00FE174A">
        <w:rPr>
          <w:rFonts w:ascii="Arial" w:hAnsi="Arial" w:cs="Arial"/>
        </w:rPr>
        <w:t>The two works show that staff expertise and innovation (Lee et al., 2015; Sawyer et al., 2021) present examples of advanced knowledge, which could be considered an example of invisible work since it was an invisible practice during the standardization. This implies that quality improvement ought to be based on the current personnel capabilities (Grol and Grimshaw, 2003).</w:t>
      </w:r>
    </w:p>
    <w:p w14:paraId="01912E30" w14:textId="77777777" w:rsidR="00847023" w:rsidRPr="00FE174A" w:rsidRDefault="00847023" w:rsidP="003545E8">
      <w:pPr>
        <w:spacing w:after="0" w:line="360" w:lineRule="auto"/>
        <w:jc w:val="both"/>
        <w:rPr>
          <w:rFonts w:ascii="Arial" w:hAnsi="Arial" w:cs="Arial"/>
          <w:b/>
          <w:bCs/>
        </w:rPr>
      </w:pPr>
    </w:p>
    <w:p w14:paraId="39A5A6C1" w14:textId="77777777" w:rsidR="00847023" w:rsidRPr="00FE174A" w:rsidRDefault="00847023" w:rsidP="003545E8">
      <w:pPr>
        <w:pStyle w:val="Heading3"/>
        <w:spacing w:after="0"/>
      </w:pPr>
      <w:bookmarkStart w:id="71" w:name="_Toc220846975"/>
      <w:r w:rsidRPr="00FE174A">
        <w:t>5.2.3 Integrated Analysis</w:t>
      </w:r>
      <w:bookmarkEnd w:id="71"/>
    </w:p>
    <w:p w14:paraId="124556CB" w14:textId="33FA8C16" w:rsidR="00847023" w:rsidRPr="00FE174A" w:rsidRDefault="00847023" w:rsidP="003545E8">
      <w:pPr>
        <w:spacing w:after="0" w:line="360" w:lineRule="auto"/>
        <w:jc w:val="both"/>
        <w:rPr>
          <w:rFonts w:ascii="Arial" w:hAnsi="Arial" w:cs="Arial"/>
        </w:rPr>
      </w:pPr>
      <w:r w:rsidRPr="00FE174A">
        <w:rPr>
          <w:rFonts w:ascii="Arial" w:hAnsi="Arial" w:cs="Arial"/>
        </w:rPr>
        <w:t>There is a convergence of themes indicating a few functional relationships among the care triad (residents, families and staff), including the elements of quality end-of-life care (Nolan et al., 2004). Training, lack of time or emotional support of the staff can negatively impact the relational care; lack of inclusion of the families in the staff morale is negatively addressed.</w:t>
      </w:r>
    </w:p>
    <w:p w14:paraId="13762350" w14:textId="11638ACA" w:rsidR="00847023" w:rsidRPr="00FE174A" w:rsidRDefault="00847023" w:rsidP="003545E8">
      <w:pPr>
        <w:spacing w:after="0" w:line="360" w:lineRule="auto"/>
        <w:jc w:val="both"/>
        <w:rPr>
          <w:rFonts w:ascii="Arial" w:hAnsi="Arial" w:cs="Arial"/>
        </w:rPr>
      </w:pPr>
      <w:r w:rsidRPr="00FE174A">
        <w:rPr>
          <w:rFonts w:ascii="Arial" w:hAnsi="Arial" w:cs="Arial"/>
        </w:rPr>
        <w:t xml:space="preserve">The COVID-19 results presented by Bradshaw et al. (2023) indicate the interventions of system-level policies that impacted the capacity of both families and staff to deliver </w:t>
      </w:r>
      <w:r w:rsidRPr="00FE174A">
        <w:rPr>
          <w:rFonts w:ascii="Arial" w:hAnsi="Arial" w:cs="Arial"/>
        </w:rPr>
        <w:lastRenderedPageBreak/>
        <w:t>relationship-focused care at the same time. Staff had moral distress due to imposing policies that were known to be negative to others, who were excluded.</w:t>
      </w:r>
    </w:p>
    <w:p w14:paraId="363571E1" w14:textId="2145F8F6" w:rsidR="00847023" w:rsidRPr="00FE174A" w:rsidRDefault="00847023" w:rsidP="003545E8">
      <w:pPr>
        <w:spacing w:after="0" w:line="360" w:lineRule="auto"/>
        <w:jc w:val="both"/>
        <w:rPr>
          <w:rFonts w:ascii="Arial" w:hAnsi="Arial" w:cs="Arial"/>
          <w:b/>
          <w:bCs/>
        </w:rPr>
      </w:pPr>
      <w:r w:rsidRPr="00FE174A">
        <w:rPr>
          <w:rFonts w:ascii="Arial" w:hAnsi="Arial" w:cs="Arial"/>
        </w:rPr>
        <w:t>A combination of these indicated how under-resourcing on a systemic level leads to effects. Poor staffing implies that staff will have less time to communicate with families, and this is one of the components that families identify as the main issue. The emotional load on the staff grows as they deal with family dissatisfaction, and the issues of staff being under-resourced circle in cycles, serving as a compromise between the well-being of the staff and the experience of the family. It has to be at a system level of investment.</w:t>
      </w:r>
    </w:p>
    <w:p w14:paraId="3B5E98F5" w14:textId="77777777" w:rsidR="00847023" w:rsidRPr="00FE174A" w:rsidRDefault="00847023" w:rsidP="003545E8">
      <w:pPr>
        <w:spacing w:after="0" w:line="360" w:lineRule="auto"/>
        <w:jc w:val="both"/>
        <w:rPr>
          <w:rFonts w:ascii="Arial" w:hAnsi="Arial" w:cs="Arial"/>
          <w:b/>
          <w:bCs/>
        </w:rPr>
      </w:pPr>
    </w:p>
    <w:p w14:paraId="371ECF23" w14:textId="77777777" w:rsidR="00847023" w:rsidRPr="00FE174A" w:rsidRDefault="00847023" w:rsidP="003545E8">
      <w:pPr>
        <w:pStyle w:val="Heading2"/>
        <w:spacing w:after="0"/>
      </w:pPr>
      <w:bookmarkStart w:id="72" w:name="_Toc220846976"/>
      <w:r w:rsidRPr="00FE174A">
        <w:t>5.3 Implications for Practice</w:t>
      </w:r>
      <w:bookmarkEnd w:id="72"/>
    </w:p>
    <w:p w14:paraId="7F40DE1F" w14:textId="70F525B3" w:rsidR="005B17B6" w:rsidRDefault="005B17B6" w:rsidP="005B17B6">
      <w:pPr>
        <w:spacing w:line="360" w:lineRule="auto"/>
        <w:jc w:val="both"/>
        <w:rPr>
          <w:rFonts w:ascii="Arial" w:hAnsi="Arial" w:cs="Arial"/>
        </w:rPr>
      </w:pPr>
      <w:r w:rsidRPr="005B17B6">
        <w:rPr>
          <w:rFonts w:ascii="Arial" w:hAnsi="Arial" w:cs="Arial"/>
          <w:b/>
          <w:bCs/>
        </w:rPr>
        <w:t>For care home management:</w:t>
      </w:r>
      <w:r w:rsidRPr="005B17B6">
        <w:rPr>
          <w:rFonts w:ascii="Arial" w:hAnsi="Arial" w:cs="Arial"/>
        </w:rPr>
        <w:t xml:space="preserve"> Introduce a form of communication that allows families to be informed frequently, provide clear prognostic notices as ill family members decline in health, and suggest precedence advance care planning session. It is arguably the clinical depression that Moore et al. (2017) determined affected 26% of families, indicating </w:t>
      </w:r>
      <w:r>
        <w:rPr>
          <w:rFonts w:ascii="Arial" w:hAnsi="Arial" w:cs="Arial"/>
        </w:rPr>
        <w:t xml:space="preserve">that </w:t>
      </w:r>
      <w:r w:rsidRPr="005B17B6">
        <w:rPr>
          <w:rFonts w:ascii="Arial" w:hAnsi="Arial" w:cs="Arial"/>
        </w:rPr>
        <w:t>poor communication has quantifiable effects on mental health. The managers ought to create family liaison roles whereby there are regular points of communication to the family</w:t>
      </w:r>
      <w:r>
        <w:rPr>
          <w:rFonts w:ascii="Arial" w:hAnsi="Arial" w:cs="Arial"/>
        </w:rPr>
        <w:t>,</w:t>
      </w:r>
      <w:r w:rsidRPr="005B17B6">
        <w:rPr>
          <w:rFonts w:ascii="Arial" w:hAnsi="Arial" w:cs="Arial"/>
        </w:rPr>
        <w:t xml:space="preserve"> especially at evenings and </w:t>
      </w:r>
      <w:r>
        <w:rPr>
          <w:rFonts w:ascii="Arial" w:hAnsi="Arial" w:cs="Arial"/>
        </w:rPr>
        <w:t xml:space="preserve">at </w:t>
      </w:r>
      <w:r w:rsidRPr="005B17B6">
        <w:rPr>
          <w:rFonts w:ascii="Arial" w:hAnsi="Arial" w:cs="Arial"/>
        </w:rPr>
        <w:t xml:space="preserve">weekends when </w:t>
      </w:r>
      <w:r>
        <w:rPr>
          <w:rFonts w:ascii="Arial" w:hAnsi="Arial" w:cs="Arial"/>
        </w:rPr>
        <w:t xml:space="preserve">the </w:t>
      </w:r>
      <w:r w:rsidRPr="005B17B6">
        <w:rPr>
          <w:rFonts w:ascii="Arial" w:hAnsi="Arial" w:cs="Arial"/>
        </w:rPr>
        <w:t>majority of the death cases are reported.</w:t>
      </w:r>
    </w:p>
    <w:p w14:paraId="65A81452" w14:textId="77BF8946" w:rsidR="005B17B6" w:rsidRPr="005B17B6" w:rsidRDefault="005B17B6" w:rsidP="005B17B6">
      <w:pPr>
        <w:spacing w:line="360" w:lineRule="auto"/>
        <w:jc w:val="both"/>
        <w:rPr>
          <w:rFonts w:ascii="Arial" w:hAnsi="Arial" w:cs="Arial"/>
        </w:rPr>
      </w:pPr>
      <w:r w:rsidRPr="005B17B6">
        <w:rPr>
          <w:rFonts w:ascii="Arial" w:hAnsi="Arial" w:cs="Arial"/>
        </w:rPr>
        <w:t xml:space="preserve">Instigate routine employee monitoring and emotional encouragement procedures. The risk of psychological assistance highlighted in the publication by Bradshaw et al. (2023) </w:t>
      </w:r>
      <w:r>
        <w:rPr>
          <w:rFonts w:ascii="Arial" w:hAnsi="Arial" w:cs="Arial"/>
        </w:rPr>
        <w:t xml:space="preserve">is </w:t>
      </w:r>
      <w:r w:rsidRPr="005B17B6">
        <w:rPr>
          <w:rFonts w:ascii="Arial" w:hAnsi="Arial" w:cs="Arial"/>
        </w:rPr>
        <w:t xml:space="preserve">based on the reporting of 70.1% stress in the staff. They should be accustomed to monthly reflective practice facilitated by trained supervisors and supported by the availability of </w:t>
      </w:r>
      <w:r>
        <w:rPr>
          <w:rFonts w:ascii="Arial" w:hAnsi="Arial" w:cs="Arial"/>
        </w:rPr>
        <w:t>counselling</w:t>
      </w:r>
      <w:r w:rsidRPr="005B17B6">
        <w:rPr>
          <w:rFonts w:ascii="Arial" w:hAnsi="Arial" w:cs="Arial"/>
        </w:rPr>
        <w:t xml:space="preserve"> services.</w:t>
      </w:r>
    </w:p>
    <w:p w14:paraId="697A8E72" w14:textId="28A49956" w:rsidR="005B17B6" w:rsidRDefault="005B17B6" w:rsidP="005B17B6">
      <w:pPr>
        <w:spacing w:line="360" w:lineRule="auto"/>
        <w:jc w:val="both"/>
        <w:rPr>
          <w:rFonts w:ascii="Arial" w:hAnsi="Arial" w:cs="Arial"/>
          <w:highlight w:val="yellow"/>
        </w:rPr>
      </w:pPr>
      <w:r w:rsidRPr="005B17B6">
        <w:rPr>
          <w:rFonts w:ascii="Arial" w:hAnsi="Arial" w:cs="Arial"/>
        </w:rPr>
        <w:t xml:space="preserve">Establish networks with the local specialist palliative care to effect education, clinical guidance and support in the management of symptoms. The lack of confidence in staff to manage the symptoms revealed by Sharpe et al. (2013) and Badger et al. (2021) leads to the conclusion that the education </w:t>
      </w:r>
      <w:r>
        <w:rPr>
          <w:rFonts w:ascii="Arial" w:hAnsi="Arial" w:cs="Arial"/>
        </w:rPr>
        <w:t>required</w:t>
      </w:r>
      <w:r w:rsidRPr="005B17B6">
        <w:rPr>
          <w:rFonts w:ascii="Arial" w:hAnsi="Arial" w:cs="Arial"/>
        </w:rPr>
        <w:t xml:space="preserve"> cannot be ensured only by generalist training.</w:t>
      </w:r>
    </w:p>
    <w:p w14:paraId="355A704E" w14:textId="744619DE" w:rsidR="005B17B6" w:rsidRPr="005B17B6" w:rsidRDefault="005B17B6" w:rsidP="005B17B6">
      <w:pPr>
        <w:spacing w:line="360" w:lineRule="auto"/>
        <w:jc w:val="both"/>
        <w:rPr>
          <w:rFonts w:ascii="Arial" w:hAnsi="Arial" w:cs="Arial"/>
        </w:rPr>
      </w:pPr>
      <w:r w:rsidRPr="005B17B6">
        <w:rPr>
          <w:rFonts w:ascii="Arial" w:hAnsi="Arial" w:cs="Arial"/>
          <w:b/>
          <w:bCs/>
        </w:rPr>
        <w:t>For frontline staff:</w:t>
      </w:r>
      <w:r w:rsidRPr="005B17B6">
        <w:rPr>
          <w:rFonts w:ascii="Arial" w:hAnsi="Arial" w:cs="Arial"/>
        </w:rPr>
        <w:t xml:space="preserve"> Focus on developing relationships with families during admission, and develop communication preferences and ways that families may know the staff. The observation that relational care is effective because positive relationships may partially counterbalance systemic deficits reported by Sharpe et al. (2013) indicates the effects of care. Such undemanding measures as presenting oneself by name and actively telling about positive things noticed would help build stronger relationships without having extra resources.</w:t>
      </w:r>
    </w:p>
    <w:p w14:paraId="17639F6B" w14:textId="40EA6639" w:rsidR="005B17B6" w:rsidRPr="005B17B6" w:rsidRDefault="005B17B6" w:rsidP="005B17B6">
      <w:pPr>
        <w:spacing w:line="360" w:lineRule="auto"/>
        <w:jc w:val="both"/>
        <w:rPr>
          <w:rFonts w:ascii="Arial" w:hAnsi="Arial" w:cs="Arial"/>
        </w:rPr>
      </w:pPr>
      <w:r w:rsidRPr="005B17B6">
        <w:rPr>
          <w:rFonts w:ascii="Arial" w:hAnsi="Arial" w:cs="Arial"/>
        </w:rPr>
        <w:t xml:space="preserve">Use </w:t>
      </w:r>
      <w:r>
        <w:rPr>
          <w:rFonts w:ascii="Arial" w:hAnsi="Arial" w:cs="Arial"/>
        </w:rPr>
        <w:t>advanced</w:t>
      </w:r>
      <w:r w:rsidRPr="005B17B6">
        <w:rPr>
          <w:rFonts w:ascii="Arial" w:hAnsi="Arial" w:cs="Arial"/>
        </w:rPr>
        <w:t xml:space="preserve"> care planning products, including ReSPECT (Recommended Summary Plan for Emergency Care and Treatment), to promote the discussion of the needs and priorities of residents. The fact that families expressed being dismissed (De Witt Jansen et al., 2017) </w:t>
      </w:r>
      <w:r w:rsidRPr="005B17B6">
        <w:rPr>
          <w:rFonts w:ascii="Arial" w:hAnsi="Arial" w:cs="Arial"/>
        </w:rPr>
        <w:lastRenderedPageBreak/>
        <w:t>indicates that staff should have a framework to be able to document and respond to family input.</w:t>
      </w:r>
    </w:p>
    <w:p w14:paraId="43F38721" w14:textId="01E49622" w:rsidR="005B17B6" w:rsidRPr="005B17B6" w:rsidRDefault="005B17B6" w:rsidP="005B17B6">
      <w:pPr>
        <w:spacing w:line="360" w:lineRule="auto"/>
        <w:jc w:val="both"/>
        <w:rPr>
          <w:rFonts w:ascii="Arial" w:hAnsi="Arial" w:cs="Arial"/>
        </w:rPr>
      </w:pPr>
      <w:r w:rsidRPr="005B17B6">
        <w:rPr>
          <w:rFonts w:ascii="Arial" w:hAnsi="Arial" w:cs="Arial"/>
        </w:rPr>
        <w:t>Bring about positive changes to the working conditions and professional status. The devaluation that Lee et al. (2015) are documenting in their report about the staff as looked down on is a systemic devaluation that the individual staff will not be able to resolve as an individual.</w:t>
      </w:r>
    </w:p>
    <w:p w14:paraId="2DDD86B7" w14:textId="39DC4D7D" w:rsidR="00847023" w:rsidRPr="005B17B6" w:rsidRDefault="005B17B6" w:rsidP="005B17B6">
      <w:pPr>
        <w:spacing w:line="360" w:lineRule="auto"/>
        <w:jc w:val="both"/>
        <w:rPr>
          <w:rFonts w:ascii="Arial" w:hAnsi="Arial" w:cs="Arial"/>
        </w:rPr>
      </w:pPr>
      <w:r w:rsidRPr="005B17B6">
        <w:rPr>
          <w:rFonts w:ascii="Arial" w:hAnsi="Arial" w:cs="Arial"/>
          <w:b/>
          <w:bCs/>
        </w:rPr>
        <w:t>For families:</w:t>
      </w:r>
      <w:r w:rsidRPr="005B17B6">
        <w:rPr>
          <w:rFonts w:ascii="Arial" w:hAnsi="Arial" w:cs="Arial"/>
        </w:rPr>
        <w:t xml:space="preserve"> This can be proactively requested by asking about advance care planning immediately after admission</w:t>
      </w:r>
      <w:r>
        <w:rPr>
          <w:rFonts w:ascii="Arial" w:hAnsi="Arial" w:cs="Arial"/>
        </w:rPr>
        <w:t>,</w:t>
      </w:r>
      <w:r w:rsidRPr="005B17B6">
        <w:rPr>
          <w:rFonts w:ascii="Arial" w:hAnsi="Arial" w:cs="Arial"/>
        </w:rPr>
        <w:t xml:space="preserve"> as opposed to only when there are health emergencies. Enquire particularly in relation to the management plans of the symptoms, the emergency procedures and the body notification procedures. The result of Moore et al. (2017)</w:t>
      </w:r>
      <w:r>
        <w:rPr>
          <w:rFonts w:ascii="Arial" w:hAnsi="Arial" w:cs="Arial"/>
        </w:rPr>
        <w:t>,</w:t>
      </w:r>
      <w:r w:rsidRPr="005B17B6">
        <w:rPr>
          <w:rFonts w:ascii="Arial" w:hAnsi="Arial" w:cs="Arial"/>
        </w:rPr>
        <w:t xml:space="preserve"> </w:t>
      </w:r>
      <w:r>
        <w:rPr>
          <w:rFonts w:ascii="Arial" w:hAnsi="Arial" w:cs="Arial"/>
        </w:rPr>
        <w:t>which</w:t>
      </w:r>
      <w:r w:rsidRPr="005B17B6">
        <w:rPr>
          <w:rFonts w:ascii="Arial" w:hAnsi="Arial" w:cs="Arial"/>
        </w:rPr>
        <w:t xml:space="preserve"> gives higher levels of depression and anxiety in families</w:t>
      </w:r>
      <w:r>
        <w:rPr>
          <w:rFonts w:ascii="Arial" w:hAnsi="Arial" w:cs="Arial"/>
        </w:rPr>
        <w:t>,</w:t>
      </w:r>
      <w:r w:rsidRPr="005B17B6">
        <w:rPr>
          <w:rFonts w:ascii="Arial" w:hAnsi="Arial" w:cs="Arial"/>
        </w:rPr>
        <w:t xml:space="preserve"> implies that more preparation and support is required in families. Find support groups of family members to share experiences and coping. The mutual support offered by Kupeli et al. (2019) to establish the unmet bereavement support needs implies that families can benefit through mutual support that is not available in care homes.</w:t>
      </w:r>
    </w:p>
    <w:p w14:paraId="2685E257" w14:textId="77777777" w:rsidR="00847023" w:rsidRPr="00FE174A" w:rsidRDefault="00847023" w:rsidP="003545E8">
      <w:pPr>
        <w:spacing w:after="0" w:line="360" w:lineRule="auto"/>
        <w:jc w:val="both"/>
        <w:rPr>
          <w:rFonts w:ascii="Arial" w:hAnsi="Arial" w:cs="Arial"/>
          <w:b/>
          <w:bCs/>
        </w:rPr>
      </w:pPr>
    </w:p>
    <w:p w14:paraId="7948DE7F" w14:textId="77777777" w:rsidR="00847023" w:rsidRPr="00FE174A" w:rsidRDefault="00847023" w:rsidP="003545E8">
      <w:pPr>
        <w:pStyle w:val="Heading2"/>
        <w:spacing w:after="0"/>
      </w:pPr>
      <w:bookmarkStart w:id="73" w:name="_Toc220846977"/>
      <w:r w:rsidRPr="00FE174A">
        <w:t>5.4 Implications for Policy</w:t>
      </w:r>
      <w:bookmarkEnd w:id="73"/>
    </w:p>
    <w:p w14:paraId="5DB5E09C" w14:textId="1B24FCA1" w:rsidR="00847023" w:rsidRPr="00FE174A" w:rsidRDefault="00847023" w:rsidP="003545E8">
      <w:pPr>
        <w:spacing w:after="0" w:line="360" w:lineRule="auto"/>
        <w:jc w:val="both"/>
        <w:rPr>
          <w:rFonts w:ascii="Arial" w:hAnsi="Arial" w:cs="Arial"/>
        </w:rPr>
      </w:pPr>
      <w:r w:rsidRPr="00FE174A">
        <w:rPr>
          <w:rFonts w:ascii="Arial" w:hAnsi="Arial" w:cs="Arial"/>
        </w:rPr>
        <w:t>The Care Quality Commission ought to change inspection models in such a way that would provide a clear evaluation of the end-of-life care quality, such as the quality of family communication and overall staff training. Existing frameworks are oriented on safety, and arguably, do not provide attention to experiential quality aspects (</w:t>
      </w:r>
      <w:r w:rsidR="00A442CF" w:rsidRPr="00FE174A">
        <w:rPr>
          <w:rFonts w:ascii="Arial" w:eastAsia="Calibri" w:hAnsi="Arial" w:cs="Arial"/>
        </w:rPr>
        <w:t xml:space="preserve">Care Quality Commission </w:t>
      </w:r>
      <w:r w:rsidRPr="00FE174A">
        <w:rPr>
          <w:rFonts w:ascii="Arial" w:hAnsi="Arial" w:cs="Arial"/>
        </w:rPr>
        <w:t>, 2023).</w:t>
      </w:r>
    </w:p>
    <w:p w14:paraId="56F1ED22" w14:textId="100C1911" w:rsidR="00847023" w:rsidRPr="00FE174A" w:rsidRDefault="00847023" w:rsidP="003545E8">
      <w:pPr>
        <w:spacing w:after="0" w:line="360" w:lineRule="auto"/>
        <w:jc w:val="both"/>
        <w:rPr>
          <w:rFonts w:ascii="Arial" w:hAnsi="Arial" w:cs="Arial"/>
        </w:rPr>
      </w:pPr>
      <w:r w:rsidRPr="00FE174A">
        <w:rPr>
          <w:rFonts w:ascii="Arial" w:hAnsi="Arial" w:cs="Arial"/>
        </w:rPr>
        <w:t>The findings should be reflected in national advice on the revision of the Ambitions for Palliative and End of Life Care framework (National Palliative and End of Life Care Partnership, 2021) and NICE quality standards (NICE, 2011), which should take into consideration the unique issues of care homes.</w:t>
      </w:r>
    </w:p>
    <w:p w14:paraId="4F8D9029" w14:textId="2477A7C4" w:rsidR="00847023" w:rsidRPr="00FE174A" w:rsidRDefault="00847023" w:rsidP="003545E8">
      <w:pPr>
        <w:spacing w:after="0" w:line="360" w:lineRule="auto"/>
        <w:jc w:val="both"/>
        <w:rPr>
          <w:rFonts w:ascii="Arial" w:hAnsi="Arial" w:cs="Arial"/>
        </w:rPr>
      </w:pPr>
      <w:r w:rsidRPr="00FE174A">
        <w:rPr>
          <w:rFonts w:ascii="Arial" w:hAnsi="Arial" w:cs="Arial"/>
        </w:rPr>
        <w:t>The labour planning should solve the staffing issue by utilizing the recruitment programs and retention programs funded by the government. The data provided by Skills for Care (2022), indicating turnover rates of 30-40 percent per year, proves the instability of the working force to be a threat to the quality of care.</w:t>
      </w:r>
    </w:p>
    <w:p w14:paraId="04E046CC" w14:textId="22F9C514" w:rsidR="00847023" w:rsidRPr="00FE174A" w:rsidRDefault="00847023" w:rsidP="003545E8">
      <w:pPr>
        <w:spacing w:after="0" w:line="360" w:lineRule="auto"/>
        <w:jc w:val="both"/>
        <w:rPr>
          <w:rFonts w:ascii="Arial" w:hAnsi="Arial" w:cs="Arial"/>
          <w:b/>
          <w:bCs/>
        </w:rPr>
      </w:pPr>
      <w:r w:rsidRPr="00FE174A">
        <w:rPr>
          <w:rFonts w:ascii="Arial" w:hAnsi="Arial" w:cs="Arial"/>
        </w:rPr>
        <w:t>The funding models have to be reformed so as to allow adequate staffing and wage rates. Existing fee arrangements cause financial strains that lead to under-investment of workforce. Family and staff experience measures should be introduced as key indicators in the quality framework, which take into account the burnout scales and turnover tracking.</w:t>
      </w:r>
    </w:p>
    <w:p w14:paraId="2B08A1AE" w14:textId="77777777" w:rsidR="00847023" w:rsidRPr="00FE174A" w:rsidRDefault="00847023" w:rsidP="003545E8">
      <w:pPr>
        <w:spacing w:after="0" w:line="360" w:lineRule="auto"/>
        <w:jc w:val="both"/>
        <w:rPr>
          <w:rFonts w:ascii="Arial" w:hAnsi="Arial" w:cs="Arial"/>
          <w:b/>
          <w:bCs/>
        </w:rPr>
      </w:pPr>
    </w:p>
    <w:p w14:paraId="6A9EB1F4" w14:textId="77777777" w:rsidR="00873D7D" w:rsidRPr="00FE174A" w:rsidRDefault="00873D7D" w:rsidP="003545E8">
      <w:pPr>
        <w:pStyle w:val="Heading2"/>
        <w:spacing w:after="0"/>
      </w:pPr>
      <w:bookmarkStart w:id="74" w:name="_Toc220846978"/>
      <w:r w:rsidRPr="00FE174A">
        <w:lastRenderedPageBreak/>
        <w:t>5.5 Implications for Future Research</w:t>
      </w:r>
      <w:bookmarkEnd w:id="74"/>
      <w:r w:rsidRPr="00FE174A">
        <w:t xml:space="preserve"> </w:t>
      </w:r>
    </w:p>
    <w:p w14:paraId="72090D11" w14:textId="11E79758" w:rsidR="00847023" w:rsidRPr="00FE174A" w:rsidRDefault="00847023" w:rsidP="003545E8">
      <w:pPr>
        <w:spacing w:after="0" w:line="360" w:lineRule="auto"/>
        <w:jc w:val="both"/>
        <w:rPr>
          <w:rFonts w:ascii="Arial" w:hAnsi="Arial" w:cs="Arial"/>
        </w:rPr>
      </w:pPr>
      <w:r w:rsidRPr="00FE174A">
        <w:rPr>
          <w:rFonts w:ascii="Arial" w:hAnsi="Arial" w:cs="Arial"/>
        </w:rPr>
        <w:t>This review found that there were critical research gaps. In the first place, there is a pressing need for intervention research on the improvement strategies of communication. Scalable improvements could be evidenced by cluster randomized trials, which have been assessed in the context of structured communication protocols.</w:t>
      </w:r>
    </w:p>
    <w:p w14:paraId="26C7E83C" w14:textId="1AF91098" w:rsidR="00847023" w:rsidRPr="00FE174A" w:rsidRDefault="00847023" w:rsidP="003545E8">
      <w:pPr>
        <w:spacing w:after="0" w:line="360" w:lineRule="auto"/>
        <w:jc w:val="both"/>
        <w:rPr>
          <w:rFonts w:ascii="Arial" w:hAnsi="Arial" w:cs="Arial"/>
        </w:rPr>
      </w:pPr>
      <w:r w:rsidRPr="00FE174A">
        <w:rPr>
          <w:rFonts w:ascii="Arial" w:hAnsi="Arial" w:cs="Arial"/>
        </w:rPr>
        <w:t>Second, longitudinal studies on the patterns of staff wellbeing would help to highlight the cumulative effect of emotional labour. Third, gaps between policy and practice would be addressed through implementation research examining the barriers to uptake of advanced care planning.</w:t>
      </w:r>
    </w:p>
    <w:p w14:paraId="5E250CFA" w14:textId="6B77DFA3" w:rsidR="00847023" w:rsidRPr="00FE174A" w:rsidRDefault="00847023" w:rsidP="003545E8">
      <w:pPr>
        <w:spacing w:after="0" w:line="360" w:lineRule="auto"/>
        <w:jc w:val="both"/>
        <w:rPr>
          <w:rFonts w:ascii="Arial" w:hAnsi="Arial" w:cs="Arial"/>
          <w:b/>
          <w:bCs/>
        </w:rPr>
      </w:pPr>
      <w:r w:rsidRPr="00FE174A">
        <w:rPr>
          <w:rFonts w:ascii="Arial" w:hAnsi="Arial" w:cs="Arial"/>
        </w:rPr>
        <w:t>Fourth, comparative studies comparing the quality of care in the models of ownership may serve as a policy source in market control. Fifth, it is important to conduct research on bereavement support interventions evaluation since Kupeli et al.'s (2019) report on unmet needs and the data provided by Moore et al. (2017) on depression have been documented.</w:t>
      </w:r>
    </w:p>
    <w:p w14:paraId="4E6FC217" w14:textId="77777777" w:rsidR="00847023" w:rsidRPr="00FE174A" w:rsidRDefault="00847023" w:rsidP="003545E8">
      <w:pPr>
        <w:spacing w:after="0" w:line="360" w:lineRule="auto"/>
        <w:jc w:val="both"/>
        <w:rPr>
          <w:rFonts w:ascii="Arial" w:hAnsi="Arial" w:cs="Arial"/>
          <w:b/>
          <w:bCs/>
        </w:rPr>
      </w:pPr>
    </w:p>
    <w:p w14:paraId="3075BC15" w14:textId="77777777" w:rsidR="00847023" w:rsidRPr="00FE174A" w:rsidRDefault="00847023" w:rsidP="003545E8">
      <w:pPr>
        <w:pStyle w:val="Heading2"/>
        <w:spacing w:after="0"/>
      </w:pPr>
      <w:bookmarkStart w:id="75" w:name="_Toc220846979"/>
      <w:r w:rsidRPr="00FE174A">
        <w:t>5.6 Strengths of the Review</w:t>
      </w:r>
      <w:bookmarkEnd w:id="75"/>
    </w:p>
    <w:p w14:paraId="07CC3CE5" w14:textId="6BFBA5A6" w:rsidR="00847023" w:rsidRPr="00FE174A" w:rsidRDefault="00847023" w:rsidP="003545E8">
      <w:pPr>
        <w:spacing w:after="0" w:line="360" w:lineRule="auto"/>
        <w:jc w:val="both"/>
        <w:rPr>
          <w:rFonts w:ascii="Arial" w:hAnsi="Arial" w:cs="Arial"/>
        </w:rPr>
      </w:pPr>
      <w:r w:rsidRPr="00FE174A">
        <w:rPr>
          <w:rFonts w:ascii="Arial" w:hAnsi="Arial" w:cs="Arial"/>
        </w:rPr>
        <w:t>This systematic review was done using a rigorous methodology that conformed to the PRISMA 2020 guidelines (Page et al., 2021). An extensive search through the Medline and PsycINFO databases, including grey literature searching, ensured that all the relevant studies were identified at the lowest level possible of selection bias.</w:t>
      </w:r>
    </w:p>
    <w:p w14:paraId="23A7A8B5" w14:textId="5B016380" w:rsidR="00847023" w:rsidRPr="00FE174A" w:rsidRDefault="00847023" w:rsidP="003545E8">
      <w:pPr>
        <w:spacing w:after="0" w:line="360" w:lineRule="auto"/>
        <w:jc w:val="both"/>
        <w:rPr>
          <w:rFonts w:ascii="Arial" w:hAnsi="Arial" w:cs="Arial"/>
        </w:rPr>
      </w:pPr>
      <w:r w:rsidRPr="00FE174A">
        <w:rPr>
          <w:rFonts w:ascii="Arial" w:hAnsi="Arial" w:cs="Arial"/>
        </w:rPr>
        <w:t>The quality was evaluated on a systematic basis using the CASP Qualitative Checklist ( Critical Appraisal Skills Programme Critical Appraisal Skills Programme, 2018), and the mean quality score was 9.75/10. The twin approach that takes into consideration the family and staff experiences is also a key strength, as it allows the concerns that are convergent to be identified but not under the single-stakeholder review.</w:t>
      </w:r>
    </w:p>
    <w:p w14:paraId="71FFE0EC" w14:textId="77777777" w:rsidR="00847023" w:rsidRPr="00FE174A" w:rsidRDefault="00847023" w:rsidP="003545E8">
      <w:pPr>
        <w:spacing w:after="0" w:line="360" w:lineRule="auto"/>
        <w:jc w:val="both"/>
        <w:rPr>
          <w:rFonts w:ascii="Arial" w:hAnsi="Arial" w:cs="Arial"/>
          <w:b/>
          <w:bCs/>
        </w:rPr>
      </w:pPr>
      <w:r w:rsidRPr="00FE174A">
        <w:rPr>
          <w:rFonts w:ascii="Arial" w:hAnsi="Arial" w:cs="Arial"/>
        </w:rPr>
        <w:t>The specialization of the UK area will make sure that the findings have a direct impact on UK policy. The scope in terms of time that included pre-pandemic research and pandemic-era research provided the possibility to conduct a comparative analysis of the situation and define how the conditions of the crisis increased the vulnerabilities that were present before the pandemic.</w:t>
      </w:r>
    </w:p>
    <w:p w14:paraId="0064AE48" w14:textId="77777777" w:rsidR="00847023" w:rsidRPr="00FE174A" w:rsidRDefault="00847023" w:rsidP="003545E8">
      <w:pPr>
        <w:spacing w:after="0" w:line="360" w:lineRule="auto"/>
        <w:jc w:val="both"/>
        <w:rPr>
          <w:rFonts w:ascii="Arial" w:hAnsi="Arial" w:cs="Arial"/>
          <w:b/>
          <w:bCs/>
        </w:rPr>
      </w:pPr>
    </w:p>
    <w:p w14:paraId="317EAD0A" w14:textId="77777777" w:rsidR="00847023" w:rsidRPr="00FE174A" w:rsidRDefault="00847023" w:rsidP="003545E8">
      <w:pPr>
        <w:pStyle w:val="Heading2"/>
        <w:spacing w:after="0"/>
      </w:pPr>
      <w:bookmarkStart w:id="76" w:name="_Toc220846980"/>
      <w:r w:rsidRPr="00FE174A">
        <w:t>5.7 Limitations of the Review</w:t>
      </w:r>
      <w:bookmarkEnd w:id="76"/>
    </w:p>
    <w:p w14:paraId="0497D915" w14:textId="1BE1F78E" w:rsidR="00847023" w:rsidRPr="00FE174A" w:rsidRDefault="00847023" w:rsidP="003545E8">
      <w:pPr>
        <w:spacing w:after="0" w:line="360" w:lineRule="auto"/>
        <w:jc w:val="both"/>
        <w:rPr>
          <w:rFonts w:ascii="Arial" w:hAnsi="Arial" w:cs="Arial"/>
        </w:rPr>
      </w:pPr>
      <w:r w:rsidRPr="00FE174A">
        <w:rPr>
          <w:rFonts w:ascii="Arial" w:hAnsi="Arial" w:cs="Arial"/>
        </w:rPr>
        <w:t>The greatest limitation is that of the single-reviewer approach. Although explicit criteria reduced the risk of bias, the risk of selection bias is more likely to be vulnerable because of the lack of independent dual screening (Higgins et al., 2019).</w:t>
      </w:r>
    </w:p>
    <w:p w14:paraId="65D0867D" w14:textId="632AC5EA" w:rsidR="00847023" w:rsidRPr="00FE174A" w:rsidRDefault="00847023" w:rsidP="003545E8">
      <w:pPr>
        <w:spacing w:after="0" w:line="360" w:lineRule="auto"/>
        <w:jc w:val="both"/>
        <w:rPr>
          <w:rFonts w:ascii="Arial" w:hAnsi="Arial" w:cs="Arial"/>
        </w:rPr>
      </w:pPr>
      <w:r w:rsidRPr="00FE174A">
        <w:rPr>
          <w:rFonts w:ascii="Arial" w:hAnsi="Arial" w:cs="Arial"/>
        </w:rPr>
        <w:t>The language limitations, which only included English-language publications, would possibly exclude other relevant research in Welsh or other languages. The scope of the UK is only UK-based and therefore restricts the ability to generalize to other healthcare systems.</w:t>
      </w:r>
    </w:p>
    <w:p w14:paraId="07CFAC53" w14:textId="0B9B5CCB" w:rsidR="00847023" w:rsidRPr="00FE174A" w:rsidRDefault="00847023" w:rsidP="003545E8">
      <w:pPr>
        <w:spacing w:after="0" w:line="360" w:lineRule="auto"/>
        <w:jc w:val="both"/>
        <w:rPr>
          <w:rFonts w:ascii="Arial" w:hAnsi="Arial" w:cs="Arial"/>
        </w:rPr>
      </w:pPr>
      <w:r w:rsidRPr="00FE174A">
        <w:rPr>
          <w:rFonts w:ascii="Arial" w:hAnsi="Arial" w:cs="Arial"/>
        </w:rPr>
        <w:lastRenderedPageBreak/>
        <w:t>There is the possibility of potential publication bias, which is an overrepresentation of significant issues and an underrepresentation of ordinary events (Easterbrook et al., 1991). Heterogeneity with regard to the quality of studies influenced the comprehensiveness of the synthesis. The 2015-2025 time horizon narrowed down an otherwise potentially relevant previous research.</w:t>
      </w:r>
    </w:p>
    <w:p w14:paraId="24F011C2" w14:textId="4C4D8B09" w:rsidR="00FD1B2B" w:rsidRPr="00FE174A" w:rsidRDefault="00847023" w:rsidP="003545E8">
      <w:pPr>
        <w:spacing w:after="0" w:line="360" w:lineRule="auto"/>
        <w:jc w:val="both"/>
        <w:rPr>
          <w:rFonts w:ascii="Arial" w:hAnsi="Arial" w:cs="Arial"/>
        </w:rPr>
      </w:pPr>
      <w:r w:rsidRPr="00FE174A">
        <w:rPr>
          <w:rFonts w:ascii="Arial" w:hAnsi="Arial" w:cs="Arial"/>
        </w:rPr>
        <w:t>The access to grey literature was restricted such that the organizational reports were not fully accessible. Lastly, the review was limited to experience and did not cover outcome research that was quantitative in nature.</w:t>
      </w:r>
    </w:p>
    <w:p w14:paraId="5234092E" w14:textId="57DD7722" w:rsidR="00426B4C" w:rsidRPr="00FE174A" w:rsidRDefault="00426B4C" w:rsidP="00426B4C">
      <w:pPr>
        <w:spacing w:after="0" w:line="360" w:lineRule="auto"/>
        <w:jc w:val="both"/>
        <w:rPr>
          <w:rFonts w:ascii="Arial" w:hAnsi="Arial" w:cs="Arial"/>
          <w:b/>
          <w:bCs/>
          <w:highlight w:val="yellow"/>
        </w:rPr>
      </w:pPr>
    </w:p>
    <w:p w14:paraId="5BB6B7FB" w14:textId="77777777" w:rsidR="00426B4C" w:rsidRPr="00FE174A" w:rsidRDefault="00426B4C" w:rsidP="003545E8">
      <w:pPr>
        <w:spacing w:after="0" w:line="360" w:lineRule="auto"/>
        <w:jc w:val="both"/>
        <w:rPr>
          <w:rFonts w:ascii="Arial" w:hAnsi="Arial" w:cs="Arial"/>
          <w:highlight w:val="yellow"/>
        </w:rPr>
      </w:pPr>
    </w:p>
    <w:p w14:paraId="69D95BFF" w14:textId="77777777" w:rsidR="00426B4C" w:rsidRPr="00FE174A" w:rsidRDefault="00426B4C">
      <w:pPr>
        <w:rPr>
          <w:rFonts w:ascii="Arial" w:eastAsia="Times New Roman" w:hAnsi="Arial" w:cs="Arial"/>
          <w:b/>
          <w:color w:val="000000"/>
        </w:rPr>
      </w:pPr>
      <w:bookmarkStart w:id="77" w:name="_Toc220573303"/>
      <w:r w:rsidRPr="00FE174A">
        <w:rPr>
          <w:rFonts w:ascii="Arial" w:hAnsi="Arial" w:cs="Arial"/>
        </w:rPr>
        <w:br w:type="page"/>
      </w:r>
    </w:p>
    <w:p w14:paraId="3118EBA9" w14:textId="55DBBC73" w:rsidR="008C57A1" w:rsidRPr="00FE174A" w:rsidRDefault="008C57A1" w:rsidP="003545E8">
      <w:pPr>
        <w:pStyle w:val="Heading1"/>
        <w:spacing w:after="0"/>
      </w:pPr>
      <w:bookmarkStart w:id="78" w:name="_Toc220846981"/>
      <w:r w:rsidRPr="00FE174A">
        <w:lastRenderedPageBreak/>
        <w:t>Chapter 6: Conclusion</w:t>
      </w:r>
      <w:bookmarkEnd w:id="77"/>
      <w:bookmarkEnd w:id="78"/>
    </w:p>
    <w:p w14:paraId="65451E6C" w14:textId="5B76AB76" w:rsidR="008C57A1" w:rsidRPr="00FE174A" w:rsidRDefault="006446CE" w:rsidP="003545E8">
      <w:pPr>
        <w:pStyle w:val="Heading2"/>
        <w:spacing w:after="0"/>
      </w:pPr>
      <w:bookmarkStart w:id="79" w:name="_Toc220846982"/>
      <w:r w:rsidRPr="00FE174A">
        <w:t>6.1 Introduction to Conclusions</w:t>
      </w:r>
      <w:bookmarkEnd w:id="79"/>
    </w:p>
    <w:p w14:paraId="27ACFB10" w14:textId="1B3E9C15"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This is the final chapter, which is the synthesis of the informed findings that have been developed due to this systematic review and explains their implications for practice and policy as well as future studies. The chapter weighs up the contributions to knowledge and theory by commencing with a summary of key findings, then giving practical and policy implications. The direction of future research findings is identified, and the thinking is made concerning the research process and the conclusive statement as to how to refine end-of-life treatment in the residential care homes in the UK.</w:t>
      </w:r>
    </w:p>
    <w:p w14:paraId="322868E2" w14:textId="77777777" w:rsidR="008C57A1" w:rsidRPr="00FE174A" w:rsidRDefault="008C57A1" w:rsidP="003545E8">
      <w:pPr>
        <w:spacing w:after="0" w:line="360" w:lineRule="auto"/>
        <w:jc w:val="both"/>
        <w:rPr>
          <w:rFonts w:ascii="Arial" w:eastAsia="Times New Roman" w:hAnsi="Arial" w:cs="Arial"/>
          <w:b/>
          <w:color w:val="000000"/>
        </w:rPr>
      </w:pPr>
    </w:p>
    <w:p w14:paraId="37AFDF6A" w14:textId="6548E0C3" w:rsidR="008C57A1" w:rsidRPr="00FE174A" w:rsidRDefault="008C57A1" w:rsidP="003545E8">
      <w:pPr>
        <w:pStyle w:val="Heading2"/>
        <w:spacing w:after="0"/>
      </w:pPr>
      <w:bookmarkStart w:id="80" w:name="_Toc220846983"/>
      <w:r w:rsidRPr="00FE174A">
        <w:t>6.2 Summary of Findings</w:t>
      </w:r>
      <w:bookmarkEnd w:id="80"/>
    </w:p>
    <w:p w14:paraId="29DB0EA0" w14:textId="69384424"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question that this systematic review involved was the following: What are the experiences of bereaved family members and care home staff in terms of end-of-life care in residential care homes in the UK? The review was based on a thematic synthesis of 12 high-quality qualitative studies and identified specific, although intersecting, themes that described the experiences of stakeholders.</w:t>
      </w:r>
    </w:p>
    <w:p w14:paraId="77387A66" w14:textId="4B2014BB"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 xml:space="preserve">The experiences of family members were able to synthesize around five main themes. To start with, it was noted that communication was the cornerstone, and the quality of care in care homes varied significantly. Families appreciated open, unadulterated information and often felt that there </w:t>
      </w:r>
      <w:r w:rsidR="00515FDB" w:rsidRPr="00FE174A">
        <w:rPr>
          <w:rFonts w:ascii="Arial" w:eastAsia="Times New Roman" w:hAnsi="Arial" w:cs="Arial"/>
          <w:bCs/>
          <w:color w:val="000000"/>
        </w:rPr>
        <w:t>were</w:t>
      </w:r>
      <w:r w:rsidRPr="00FE174A">
        <w:rPr>
          <w:rFonts w:ascii="Arial" w:eastAsia="Times New Roman" w:hAnsi="Arial" w:cs="Arial"/>
          <w:bCs/>
          <w:color w:val="000000"/>
        </w:rPr>
        <w:t xml:space="preserve"> a deficit and a lack of information in the critical conversations. Second, being present and feeling involved has a strong influence on experiences, but the restrictions of COVID-19 have brought distress. Third, staff relations predetermined the level of perception of quality of care; warm relations created trust, and dismissive relations created anxiety in the family. Fourth, the end-of-life period affected grief and bereavement, whereby compassionate care enabled grieving to be healthy. Fifth, there were priorities to care showing the family focuses on dignity, comfort, personalisation and relational aspects as opposed to clinical interventions alone.</w:t>
      </w:r>
    </w:p>
    <w:p w14:paraId="7A8BC57F" w14:textId="698C09B0"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There were six staff experiences that were characterised. Emotional labour denoted a diffuse aspect whereby employees were putting a lot of emotional energy without being acknowledged or assisted. Training needs were generally accepted, especially those about communication skills and symptom management. The areas of support that would be needed are emotional support, access to debriefing, and access to specialist advice. The issue of recognition and appreciation appeared, and employees felt that their knowledge was not appreciated. Distracters in the form of staffing and a lack of sufficient resources limited the quality of care. Last but not least, knowledge and innovation emphasized the potential of the staff to offer innovative treatment when the circumstances allowed it.</w:t>
      </w:r>
    </w:p>
    <w:p w14:paraId="5F249238" w14:textId="7136B59E" w:rsidR="008C57A1" w:rsidRPr="00FE174A" w:rsidRDefault="008C57A1" w:rsidP="003545E8">
      <w:pPr>
        <w:spacing w:after="0" w:line="360" w:lineRule="auto"/>
        <w:jc w:val="both"/>
        <w:rPr>
          <w:rFonts w:ascii="Arial" w:eastAsia="Times New Roman" w:hAnsi="Arial" w:cs="Arial"/>
          <w:b/>
          <w:color w:val="000000"/>
        </w:rPr>
      </w:pPr>
      <w:r w:rsidRPr="00FE174A">
        <w:rPr>
          <w:rFonts w:ascii="Arial" w:eastAsia="Times New Roman" w:hAnsi="Arial" w:cs="Arial"/>
          <w:bCs/>
          <w:color w:val="000000"/>
        </w:rPr>
        <w:lastRenderedPageBreak/>
        <w:t>Thematic areas were connected with the centre of communication, the role of relationships, the disruptive force of COVID-19, and limiting systems under-resourcing. The concept of dual perspective made it possible to observe the concerns of the family and the staff to have in common and differences in their location in the system of care.</w:t>
      </w:r>
    </w:p>
    <w:p w14:paraId="190A5C91" w14:textId="77777777" w:rsidR="008C57A1" w:rsidRPr="00FE174A" w:rsidRDefault="008C57A1" w:rsidP="003545E8">
      <w:pPr>
        <w:spacing w:after="0" w:line="360" w:lineRule="auto"/>
        <w:jc w:val="both"/>
        <w:rPr>
          <w:rFonts w:ascii="Arial" w:eastAsia="Times New Roman" w:hAnsi="Arial" w:cs="Arial"/>
          <w:b/>
          <w:color w:val="000000"/>
        </w:rPr>
      </w:pPr>
    </w:p>
    <w:p w14:paraId="07136F0A" w14:textId="07015318" w:rsidR="008C57A1" w:rsidRPr="00FE174A" w:rsidRDefault="00847821" w:rsidP="003545E8">
      <w:pPr>
        <w:pStyle w:val="Heading2"/>
        <w:spacing w:after="0"/>
      </w:pPr>
      <w:bookmarkStart w:id="81" w:name="_Toc220846984"/>
      <w:r w:rsidRPr="00FE174A">
        <w:t>6.3 Contributions to Knowledge and Theory</w:t>
      </w:r>
      <w:bookmarkEnd w:id="81"/>
    </w:p>
    <w:p w14:paraId="4508FA70" w14:textId="21973750"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This critical review has a number of contributions. Most importantly, it is the first systematic review conducted in the UK that explores the views of the staff and family members together. Past reviews sometimes used to concentrate on one type of stakeholder, or they gave a higher priority to clinical results rather than experiential evidence. The two-sided perspective technique allows recognizing common issues and contrasting experiences that offer a detailed insight into the provision of care in care homes at the end of life.</w:t>
      </w:r>
    </w:p>
    <w:p w14:paraId="32F16ED9" w14:textId="33DF15F4"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Hypothetically, this review shows that relationship-centred care frameworks are applicable in the context of end-of-life. Although person-centred care focuses on the person resident, the research data prove that the quality of care is inherently relational because it occurs through interactions among the residents, families, and staff (Gurung and Chaudhury, 2025). This implies that individual-based interventions like behaviour change may not be enough without regarding relational and systemic contexts.</w:t>
      </w:r>
    </w:p>
    <w:p w14:paraId="0674FAFF" w14:textId="4F1A597B"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review enhances knowledge on the idea of a good death in the institutional context. The results indicate that family and staff have similar conceptions, such as comfort, dignity, loved ones and the provision of good care, but are institutionally constrained in terms of their complete realisation. This is where the lack of correspondence between normative concepts and realities becomes clear in underserved environments.</w:t>
      </w:r>
    </w:p>
    <w:p w14:paraId="50CDBD03" w14:textId="77777777" w:rsidR="008C57A1" w:rsidRPr="00FE174A" w:rsidRDefault="008C57A1" w:rsidP="003545E8">
      <w:pPr>
        <w:spacing w:after="0" w:line="360" w:lineRule="auto"/>
        <w:jc w:val="both"/>
        <w:rPr>
          <w:rFonts w:ascii="Arial" w:eastAsia="Times New Roman" w:hAnsi="Arial" w:cs="Arial"/>
          <w:b/>
          <w:color w:val="000000"/>
        </w:rPr>
      </w:pPr>
      <w:r w:rsidRPr="00FE174A">
        <w:rPr>
          <w:rFonts w:ascii="Arial" w:eastAsia="Times New Roman" w:hAnsi="Arial" w:cs="Arial"/>
          <w:bCs/>
          <w:color w:val="000000"/>
        </w:rPr>
        <w:t>Lastly, the review presents systematic reporting of the effects of COVID-19 on end-of-life care, and this is a special historical event that will have a wider applicability in terms of pandemic preparedness.</w:t>
      </w:r>
    </w:p>
    <w:p w14:paraId="7FD8F4A7" w14:textId="77777777" w:rsidR="008C57A1" w:rsidRPr="00FE174A" w:rsidRDefault="008C57A1" w:rsidP="003545E8">
      <w:pPr>
        <w:spacing w:after="0" w:line="360" w:lineRule="auto"/>
        <w:jc w:val="both"/>
        <w:rPr>
          <w:rFonts w:ascii="Arial" w:eastAsia="Times New Roman" w:hAnsi="Arial" w:cs="Arial"/>
          <w:b/>
          <w:color w:val="000000"/>
        </w:rPr>
      </w:pPr>
    </w:p>
    <w:p w14:paraId="34A352AD" w14:textId="17D38711" w:rsidR="008C57A1" w:rsidRPr="00FE174A" w:rsidRDefault="008C57A1" w:rsidP="003545E8">
      <w:pPr>
        <w:pStyle w:val="Heading2"/>
        <w:spacing w:after="0"/>
      </w:pPr>
      <w:bookmarkStart w:id="82" w:name="_Toc220846985"/>
      <w:r w:rsidRPr="00FE174A">
        <w:t>6.4 Practical and Policy Implications</w:t>
      </w:r>
      <w:bookmarkEnd w:id="82"/>
    </w:p>
    <w:p w14:paraId="4DBFF49F" w14:textId="488B8B5B"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conclusions come up with recommendations at various levels. In the case of care home managers, such issues as the creation of communication procedures laying out who will communicate with families, the creation or establishment of supervision and debriefing systems, and the formation of partnerships with specialized palliative care organizations are the priorities. Managers must be aware that relational care must be given sufficient time, manpower and emotional labour should be valued expressly.</w:t>
      </w:r>
    </w:p>
    <w:p w14:paraId="36BD611A" w14:textId="50AB4778"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 xml:space="preserve">Considering frontline staff members, one can recommend proactive relationships with families, using the advanced care planning tools and collective advocacy towards more favourable </w:t>
      </w:r>
      <w:r w:rsidRPr="00FE174A">
        <w:rPr>
          <w:rFonts w:ascii="Arial" w:eastAsia="Times New Roman" w:hAnsi="Arial" w:cs="Arial"/>
          <w:bCs/>
          <w:color w:val="000000"/>
        </w:rPr>
        <w:lastRenderedPageBreak/>
        <w:t>conditions. The personnel have knowledge that should be rewarded; professionalism and adequate boundaries are the key to sustainable practice.</w:t>
      </w:r>
    </w:p>
    <w:p w14:paraId="16F20CE7" w14:textId="6D9617E0"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In relation to families, evidence would indicate the positive effects of proactive communication with care homes, engagement in advance care planning, and relationships with peer support networks. Realizing the limitations of the personnel might help in building positive relationships.</w:t>
      </w:r>
    </w:p>
    <w:p w14:paraId="2BBB530E" w14:textId="022456EF"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Systemic factors that are the root causes of challenges identified are remedied in policy recommendations. Physical care standards must not be the only ones evaluated by inspection frameworks, as far as communication and family engagement can be evaluated. Findings of relationships-centred care should be considered as national guidance and tackle organisational and systemic activities. Investment in the workforce is of the essence: without the continuous funding, the 540,000 extra jobs that are expected to appear by 2040 (Skills for Care, 2024) are not going to come up. The National Institute of Health and Care Research determined that the evidence of research regarding the quality of care is still scant, and COVID-19 specifies the critical differences in the end-of-life healthcare (NIHR, 2022).</w:t>
      </w:r>
    </w:p>
    <w:p w14:paraId="4C6E0EFC" w14:textId="5B45E999" w:rsidR="008C57A1" w:rsidRPr="00FE174A" w:rsidRDefault="008C57A1" w:rsidP="003545E8">
      <w:pPr>
        <w:spacing w:after="0" w:line="360" w:lineRule="auto"/>
        <w:jc w:val="both"/>
        <w:rPr>
          <w:rFonts w:ascii="Arial" w:eastAsia="Times New Roman" w:hAnsi="Arial" w:cs="Arial"/>
          <w:b/>
          <w:color w:val="000000"/>
        </w:rPr>
      </w:pPr>
      <w:r w:rsidRPr="00FE174A">
        <w:rPr>
          <w:rFonts w:ascii="Arial" w:eastAsia="Times New Roman" w:hAnsi="Arial" w:cs="Arial"/>
          <w:bCs/>
          <w:color w:val="000000"/>
        </w:rPr>
        <w:t>Translation science frameworks are based on the aim of implementing recommendations into practice. According to the Consolidated Framework of Implementation Research, all five domains, including intervention characteristics, outer setting, inner setting, individual characteristics, and implementation process, are the ones that should be addressed (Damschroder et al., 2009). Normalisation Process Theory underscores a team work, which is needed to incorporate new practices (May and Finch, 2009). The com-b model proposes that a change in behaviour needs to target the ability, opportunity, and motive (Michie, van Stralen and West, 2011). These models state that end-of-life care provision needs to be improved through a concerted effort on individual, organisational and system levels.</w:t>
      </w:r>
    </w:p>
    <w:p w14:paraId="3541BDA7" w14:textId="77777777" w:rsidR="008C57A1" w:rsidRPr="00FE174A" w:rsidRDefault="008C57A1" w:rsidP="003545E8">
      <w:pPr>
        <w:spacing w:after="0" w:line="360" w:lineRule="auto"/>
        <w:jc w:val="both"/>
        <w:rPr>
          <w:rFonts w:ascii="Arial" w:eastAsia="Times New Roman" w:hAnsi="Arial" w:cs="Arial"/>
          <w:b/>
          <w:color w:val="000000"/>
        </w:rPr>
      </w:pPr>
    </w:p>
    <w:p w14:paraId="36157CEC" w14:textId="77777777" w:rsidR="008C57A1" w:rsidRPr="00FE174A" w:rsidRDefault="008C57A1" w:rsidP="003545E8">
      <w:pPr>
        <w:pStyle w:val="Heading2"/>
        <w:spacing w:after="0"/>
      </w:pPr>
      <w:bookmarkStart w:id="83" w:name="_Toc220846986"/>
      <w:r w:rsidRPr="00FE174A">
        <w:t>6.5 Future Research Directions</w:t>
      </w:r>
      <w:bookmarkEnd w:id="83"/>
    </w:p>
    <w:p w14:paraId="7C17D925" w14:textId="71A6C855"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results define the future research interests. Communication interventions can be discussed as an urgent requirement: regardless of the centrality of communication, there is limited evidence on effective interventions. Strict screening of the structural instruments, training modules and organisational procedures is necessary.</w:t>
      </w:r>
    </w:p>
    <w:p w14:paraId="23D11BEA" w14:textId="3BA37202"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well-being of staff deserves longitudinal research in order to get acquainted with the cumulative effects of emotional labour. There should be research on positors to resilience, which should be used in workforce retention policies.</w:t>
      </w:r>
    </w:p>
    <w:p w14:paraId="380DA974" w14:textId="21161D10"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implementation of advanced care planning needs intensive research on the opportunities of creating a planning process that can be related to everyday practice. Policy would be informed by implementation studies of factors that assist and hinder it.</w:t>
      </w:r>
    </w:p>
    <w:p w14:paraId="1E3B53B7" w14:textId="6389AC11"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lastRenderedPageBreak/>
        <w:t>The field of bereavement support among families is underexplored. Palliative care provision in care homes was one of the priorities of the James Lind Alliance Priority Setting Partnership (James Lind Alliance/NIHR, 2015).</w:t>
      </w:r>
    </w:p>
    <w:p w14:paraId="65075E2F" w14:textId="5C9630B9" w:rsidR="008C57A1" w:rsidRPr="00FE174A" w:rsidRDefault="008C57A1" w:rsidP="003545E8">
      <w:pPr>
        <w:spacing w:after="0" w:line="360" w:lineRule="auto"/>
        <w:jc w:val="both"/>
        <w:rPr>
          <w:rFonts w:ascii="Arial" w:eastAsia="Times New Roman" w:hAnsi="Arial" w:cs="Arial"/>
          <w:b/>
          <w:color w:val="000000"/>
        </w:rPr>
      </w:pPr>
      <w:r w:rsidRPr="00FE174A">
        <w:rPr>
          <w:rFonts w:ascii="Arial" w:eastAsia="Times New Roman" w:hAnsi="Arial" w:cs="Arial"/>
          <w:bCs/>
          <w:color w:val="000000"/>
        </w:rPr>
        <w:t>The future studies should use a mixed methods approach and longitudinal designs that capture dynamic processes methodologically. Studies are to cover the diversification in terms of demographics, types of care homes, and regions.</w:t>
      </w:r>
    </w:p>
    <w:p w14:paraId="66B50E95" w14:textId="77777777" w:rsidR="008C57A1" w:rsidRPr="00FE174A" w:rsidRDefault="008C57A1" w:rsidP="003545E8">
      <w:pPr>
        <w:spacing w:after="0" w:line="360" w:lineRule="auto"/>
        <w:jc w:val="both"/>
        <w:rPr>
          <w:rFonts w:ascii="Arial" w:eastAsia="Times New Roman" w:hAnsi="Arial" w:cs="Arial"/>
          <w:b/>
          <w:color w:val="000000"/>
        </w:rPr>
      </w:pPr>
    </w:p>
    <w:p w14:paraId="7519253D" w14:textId="5545D4C2" w:rsidR="008C57A1" w:rsidRPr="00FE174A" w:rsidRDefault="008C57A1" w:rsidP="003545E8">
      <w:pPr>
        <w:spacing w:after="0" w:line="360" w:lineRule="auto"/>
        <w:jc w:val="both"/>
        <w:rPr>
          <w:rFonts w:ascii="Arial" w:eastAsia="Times New Roman" w:hAnsi="Arial" w:cs="Arial"/>
          <w:b/>
          <w:color w:val="000000"/>
        </w:rPr>
      </w:pPr>
      <w:bookmarkStart w:id="84" w:name="_Toc220846987"/>
      <w:r w:rsidRPr="00FE174A">
        <w:rPr>
          <w:rStyle w:val="Heading2Char"/>
          <w:rFonts w:eastAsiaTheme="minorEastAsia"/>
        </w:rPr>
        <w:t>6.6 Research Process Reflections</w:t>
      </w:r>
      <w:bookmarkEnd w:id="84"/>
    </w:p>
    <w:p w14:paraId="588F96E4" w14:textId="1F5B264C"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This systematic review has resulted in a significant amount of personal and professional learning since it has helped me acquire competence in the methodology of systematic review, database searching, selection of studies, quality appraisal and thematic synthesis.</w:t>
      </w:r>
    </w:p>
    <w:p w14:paraId="6D306A8E" w14:textId="77B6AFB6"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Reflexivity is an ongoing practice where researchers can look into subjectivity effects on the process of research (Olmos-Vega et al., 2023). Being an outsider student of public health who had not previously worked in a care home, I had an analytical detachment with the possible loss of sensitivity to practitioner realities. Consideration of structural aspects and individual experience was predetermined by my interest in health equity.</w:t>
      </w:r>
    </w:p>
    <w:p w14:paraId="7574B208" w14:textId="31E9D3CC" w:rsidR="008C57A1" w:rsidRPr="00FE174A" w:rsidRDefault="008C57A1" w:rsidP="003545E8">
      <w:pPr>
        <w:spacing w:after="0" w:line="360" w:lineRule="auto"/>
        <w:jc w:val="both"/>
        <w:rPr>
          <w:rFonts w:ascii="Arial" w:eastAsia="Times New Roman" w:hAnsi="Arial" w:cs="Arial"/>
          <w:b/>
          <w:color w:val="000000"/>
        </w:rPr>
      </w:pPr>
      <w:r w:rsidRPr="00FE174A">
        <w:rPr>
          <w:rFonts w:ascii="Arial" w:eastAsia="Times New Roman" w:hAnsi="Arial" w:cs="Arial"/>
          <w:bCs/>
          <w:color w:val="000000"/>
        </w:rPr>
        <w:t>Difficulties attracted comprised of being a single reviewer, which implies being conservative in decision making and documenting clear outcomes to reduce the chances of bias. Rigour was backed up by compliance with PRISMA reporting guidelines. The introduction of a second reviewer would be beneficial to the future work. Developed skills include the synthesis of evidence, critical analysis, writing evidence-based papers, and providing a base of evidence-based practice in health care.</w:t>
      </w:r>
    </w:p>
    <w:p w14:paraId="18DEE534" w14:textId="77777777" w:rsidR="008C57A1" w:rsidRPr="00FE174A" w:rsidRDefault="008C57A1" w:rsidP="003545E8">
      <w:pPr>
        <w:spacing w:after="0" w:line="360" w:lineRule="auto"/>
        <w:jc w:val="both"/>
        <w:rPr>
          <w:rFonts w:ascii="Arial" w:eastAsia="Times New Roman" w:hAnsi="Arial" w:cs="Arial"/>
          <w:b/>
          <w:color w:val="000000"/>
        </w:rPr>
      </w:pPr>
    </w:p>
    <w:p w14:paraId="6FA95FEB" w14:textId="7CB50D0E" w:rsidR="008C57A1" w:rsidRPr="00FE174A" w:rsidRDefault="008C57A1" w:rsidP="003545E8">
      <w:pPr>
        <w:pStyle w:val="Heading2"/>
        <w:spacing w:after="0"/>
      </w:pPr>
      <w:bookmarkStart w:id="85" w:name="_Toc220846988"/>
      <w:r w:rsidRPr="00FE174A">
        <w:t>6.7 Final Conclusions</w:t>
      </w:r>
      <w:bookmarkEnd w:id="85"/>
    </w:p>
    <w:p w14:paraId="39E442B0" w14:textId="2FE5E5B8"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This review of the literature shows that the quality of end-of-life care in residential care homes in the UK is inherently based on functional relationships between the triad of care residents, family, and staff. Under these conditions of clear communication, respectful relationships, and staff support, the conditions comprise compassionate care that is in tandem with the needs of dying residents, and their families. The quality of care is affected, whether as a matter of individual commitment or otherwise, in the absence of any relational foundations based on systemic pressures, insufficient resources, and organisational failures.</w:t>
      </w:r>
    </w:p>
    <w:p w14:paraId="04DF2911" w14:textId="4284603D"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t>The results suggest that it is necessary to invest at the system level, rather than just training at the individual level. The problem is that staff members are not always able to offer relationship-based care owing to the fact that vacancy rates still stand at triple the national average, and time constraints do not allow meaningful family involvement. Individual practice improvement should help to raise the policy attention devoted to funding, professional growth, and the combination of specialized services.</w:t>
      </w:r>
    </w:p>
    <w:p w14:paraId="7860E97D" w14:textId="6D512FCB" w:rsidR="008C57A1" w:rsidRPr="00FE174A" w:rsidRDefault="008C57A1" w:rsidP="003545E8">
      <w:pPr>
        <w:spacing w:after="0" w:line="360" w:lineRule="auto"/>
        <w:jc w:val="both"/>
        <w:rPr>
          <w:rFonts w:ascii="Arial" w:eastAsia="Times New Roman" w:hAnsi="Arial" w:cs="Arial"/>
          <w:bCs/>
          <w:color w:val="000000"/>
        </w:rPr>
      </w:pPr>
      <w:r w:rsidRPr="00FE174A">
        <w:rPr>
          <w:rFonts w:ascii="Arial" w:eastAsia="Times New Roman" w:hAnsi="Arial" w:cs="Arial"/>
          <w:bCs/>
          <w:color w:val="000000"/>
        </w:rPr>
        <w:lastRenderedPageBreak/>
        <w:t>The resultant vision can be made out as the end-of-life care, which is truly relationship-based, adequately funded, and provided by a well-resourced workforce. This can only be realised through long-term efforts by policymakers to deal with structural limitations, by providers to focus on relation care and by the researchers to come up with effective interventions.</w:t>
      </w:r>
    </w:p>
    <w:p w14:paraId="21668B29" w14:textId="057B25FA" w:rsidR="009706D0" w:rsidRPr="00FE174A" w:rsidRDefault="008C57A1" w:rsidP="003545E8">
      <w:pPr>
        <w:spacing w:after="0" w:line="360" w:lineRule="auto"/>
        <w:jc w:val="both"/>
        <w:rPr>
          <w:rFonts w:ascii="Arial" w:eastAsia="Times New Roman" w:hAnsi="Arial" w:cs="Arial"/>
          <w:b/>
          <w:color w:val="000000"/>
        </w:rPr>
      </w:pPr>
      <w:r w:rsidRPr="00FE174A">
        <w:rPr>
          <w:rFonts w:ascii="Arial" w:eastAsia="Times New Roman" w:hAnsi="Arial" w:cs="Arial"/>
          <w:bCs/>
          <w:color w:val="000000"/>
        </w:rPr>
        <w:t>The stakes may not be higher in the case of other families who lose a loved one in a care home, as well as in the case of staff offering care in difficult circumstances. This review offers evidence that will be used to improve, but this alone is not enough. The situation has to be researched at every level in order to provide end-of-life care that is always of the required standards, benefiting the residents, their families, and staff. Such a level of effort in enhancing evidence-based practice will lead to stability in my future career serving the population.</w:t>
      </w:r>
    </w:p>
    <w:p w14:paraId="3F2A3FD4" w14:textId="77777777" w:rsidR="00FE174A" w:rsidRDefault="00FE174A">
      <w:pPr>
        <w:rPr>
          <w:rFonts w:ascii="Arial" w:eastAsia="Times New Roman" w:hAnsi="Arial" w:cs="Arial"/>
          <w:b/>
          <w:color w:val="000000"/>
        </w:rPr>
      </w:pPr>
      <w:bookmarkStart w:id="86" w:name="_Toc220573304"/>
      <w:r>
        <w:br w:type="page"/>
      </w:r>
    </w:p>
    <w:p w14:paraId="1C880B3B" w14:textId="606C8B56" w:rsidR="009F64C5" w:rsidRPr="00FE174A" w:rsidRDefault="00A226E6" w:rsidP="003545E8">
      <w:pPr>
        <w:pStyle w:val="Heading1"/>
      </w:pPr>
      <w:bookmarkStart w:id="87" w:name="_Toc220846989"/>
      <w:r w:rsidRPr="00FE174A">
        <w:lastRenderedPageBreak/>
        <w:t>7. Reference list</w:t>
      </w:r>
      <w:bookmarkEnd w:id="86"/>
      <w:bookmarkEnd w:id="87"/>
      <w:r w:rsidRPr="00FE174A">
        <w:t xml:space="preserve"> </w:t>
      </w:r>
    </w:p>
    <w:p w14:paraId="26D40A11" w14:textId="6A54B2F7" w:rsidR="006C3A84" w:rsidRPr="00FE174A" w:rsidRDefault="009F64C5" w:rsidP="003545E8">
      <w:pPr>
        <w:spacing w:after="0" w:line="360" w:lineRule="auto"/>
        <w:jc w:val="both"/>
        <w:rPr>
          <w:rFonts w:ascii="Arial" w:eastAsia="Calibri" w:hAnsi="Arial" w:cs="Arial"/>
        </w:rPr>
      </w:pPr>
      <w:r w:rsidRPr="00FE174A">
        <w:rPr>
          <w:rFonts w:ascii="Arial" w:eastAsia="Calibri" w:hAnsi="Arial" w:cs="Arial"/>
        </w:rPr>
        <w:t xml:space="preserve">Age UK (2024) </w:t>
      </w:r>
      <w:r w:rsidRPr="00FE174A">
        <w:rPr>
          <w:rFonts w:ascii="Arial" w:eastAsia="Calibri" w:hAnsi="Arial" w:cs="Arial"/>
          <w:i/>
          <w:iCs/>
        </w:rPr>
        <w:t>State of Health and Care of Older People in England 2024</w:t>
      </w:r>
      <w:r w:rsidRPr="00FE174A">
        <w:rPr>
          <w:rFonts w:ascii="Arial" w:eastAsia="Calibri" w:hAnsi="Arial" w:cs="Arial"/>
        </w:rPr>
        <w:t xml:space="preserve">. London: Age UK. Available at: </w:t>
      </w:r>
      <w:hyperlink r:id="rId24" w:history="1">
        <w:r w:rsidR="00D8722F" w:rsidRPr="00FE174A">
          <w:rPr>
            <w:rStyle w:val="Hyperlink"/>
            <w:rFonts w:ascii="Arial" w:hAnsi="Arial" w:cs="Arial"/>
          </w:rPr>
          <w:t>https://www.ageuk.org.uk/siteassets/documents/reports-and-publications/reports-and-briefings/health--wellbeing/state-of-health-and-care/state_of_health_and_social_care_24.pdf</w:t>
        </w:r>
      </w:hyperlink>
      <w:r w:rsidR="00D8722F" w:rsidRPr="00FE174A">
        <w:rPr>
          <w:rFonts w:ascii="Arial" w:hAnsi="Arial" w:cs="Arial"/>
        </w:rPr>
        <w:t xml:space="preserve"> </w:t>
      </w:r>
      <w:r w:rsidRPr="00FE174A">
        <w:rPr>
          <w:rFonts w:ascii="Arial" w:eastAsia="Calibri" w:hAnsi="Arial" w:cs="Arial"/>
        </w:rPr>
        <w:t xml:space="preserve"> (Accessed: 15 </w:t>
      </w:r>
      <w:r w:rsidR="00A534D5" w:rsidRPr="00FE174A">
        <w:rPr>
          <w:rFonts w:ascii="Arial" w:eastAsia="Calibri" w:hAnsi="Arial" w:cs="Arial"/>
        </w:rPr>
        <w:t>December</w:t>
      </w:r>
      <w:r w:rsidRPr="00FE174A">
        <w:rPr>
          <w:rFonts w:ascii="Arial" w:eastAsia="Calibri" w:hAnsi="Arial" w:cs="Arial"/>
        </w:rPr>
        <w:t xml:space="preserve"> 2025).</w:t>
      </w:r>
    </w:p>
    <w:p w14:paraId="71A3BD8C" w14:textId="77777777" w:rsidR="008737B2" w:rsidRPr="00FE174A" w:rsidRDefault="008737B2" w:rsidP="003545E8">
      <w:pPr>
        <w:spacing w:after="0" w:line="360" w:lineRule="auto"/>
        <w:jc w:val="both"/>
        <w:rPr>
          <w:rFonts w:ascii="Arial" w:eastAsia="Calibri" w:hAnsi="Arial" w:cs="Arial"/>
        </w:rPr>
      </w:pPr>
    </w:p>
    <w:p w14:paraId="2F930698" w14:textId="06645005" w:rsidR="006C3A84" w:rsidRPr="00FE174A" w:rsidRDefault="00D8722F" w:rsidP="003545E8">
      <w:pPr>
        <w:spacing w:after="0" w:line="360" w:lineRule="auto"/>
        <w:jc w:val="both"/>
        <w:rPr>
          <w:rFonts w:ascii="Arial" w:eastAsia="Calibri" w:hAnsi="Arial" w:cs="Arial"/>
        </w:rPr>
      </w:pPr>
      <w:r w:rsidRPr="00FE174A">
        <w:rPr>
          <w:rFonts w:ascii="Arial" w:eastAsia="Calibri" w:hAnsi="Arial" w:cs="Arial"/>
        </w:rPr>
        <w:t>American Psychological Association (2020) </w:t>
      </w:r>
      <w:r w:rsidRPr="00FE174A">
        <w:rPr>
          <w:rFonts w:ascii="Arial" w:eastAsia="Calibri" w:hAnsi="Arial" w:cs="Arial"/>
          <w:i/>
          <w:iCs/>
        </w:rPr>
        <w:t>Publication manual of the American Psychological Association</w:t>
      </w:r>
      <w:r w:rsidRPr="00FE174A">
        <w:rPr>
          <w:rFonts w:ascii="Arial" w:eastAsia="Calibri" w:hAnsi="Arial" w:cs="Arial"/>
        </w:rPr>
        <w:t>. 7th edn. Washington, DC: American Psychological Association.</w:t>
      </w:r>
    </w:p>
    <w:p w14:paraId="1D35746E" w14:textId="77777777" w:rsidR="008737B2" w:rsidRPr="00FE174A" w:rsidRDefault="008737B2" w:rsidP="003545E8">
      <w:pPr>
        <w:spacing w:after="0" w:line="360" w:lineRule="auto"/>
        <w:jc w:val="both"/>
        <w:rPr>
          <w:rFonts w:ascii="Arial" w:eastAsia="Calibri" w:hAnsi="Arial" w:cs="Arial"/>
        </w:rPr>
      </w:pPr>
    </w:p>
    <w:p w14:paraId="269E882B" w14:textId="2981AB9F" w:rsidR="00D8722F" w:rsidRPr="00FE174A" w:rsidRDefault="00D8722F" w:rsidP="003545E8">
      <w:pPr>
        <w:spacing w:after="0" w:line="360" w:lineRule="auto"/>
        <w:jc w:val="both"/>
        <w:rPr>
          <w:rFonts w:ascii="Arial" w:eastAsia="Calibri" w:hAnsi="Arial" w:cs="Arial"/>
        </w:rPr>
      </w:pPr>
      <w:r w:rsidRPr="00FE174A">
        <w:rPr>
          <w:rFonts w:ascii="Arial" w:eastAsia="Calibri" w:hAnsi="Arial" w:cs="Arial"/>
        </w:rPr>
        <w:t>Anderson, K.A. and Ewen, H.H. (2011) 'Death in the nursing home: an examination of grief and well-being in nursing assistants', </w:t>
      </w:r>
      <w:r w:rsidRPr="00FE174A">
        <w:rPr>
          <w:rFonts w:ascii="Arial" w:eastAsia="Calibri" w:hAnsi="Arial" w:cs="Arial"/>
          <w:i/>
          <w:iCs/>
        </w:rPr>
        <w:t>Research in Gerontological Nursing</w:t>
      </w:r>
      <w:r w:rsidRPr="00FE174A">
        <w:rPr>
          <w:rFonts w:ascii="Arial" w:eastAsia="Calibri" w:hAnsi="Arial" w:cs="Arial"/>
        </w:rPr>
        <w:t>, 4(2), pp. 87–94.</w:t>
      </w:r>
    </w:p>
    <w:p w14:paraId="3BF759BB" w14:textId="77777777" w:rsidR="008737B2" w:rsidRPr="00FE174A" w:rsidRDefault="008737B2" w:rsidP="003545E8">
      <w:pPr>
        <w:spacing w:after="0" w:line="360" w:lineRule="auto"/>
        <w:jc w:val="both"/>
        <w:rPr>
          <w:rFonts w:ascii="Arial" w:eastAsia="Calibri" w:hAnsi="Arial" w:cs="Arial"/>
        </w:rPr>
      </w:pPr>
    </w:p>
    <w:p w14:paraId="7034312C" w14:textId="79A0D7A4" w:rsidR="007D0A88" w:rsidRPr="00FE174A" w:rsidRDefault="007D0A88" w:rsidP="003545E8">
      <w:pPr>
        <w:spacing w:after="0" w:line="360" w:lineRule="auto"/>
        <w:jc w:val="both"/>
        <w:rPr>
          <w:rFonts w:ascii="Arial" w:eastAsia="Calibri" w:hAnsi="Arial" w:cs="Arial"/>
        </w:rPr>
      </w:pPr>
      <w:r w:rsidRPr="00FE174A">
        <w:rPr>
          <w:rFonts w:ascii="Arial" w:eastAsia="Calibri" w:hAnsi="Arial" w:cs="Arial"/>
        </w:rPr>
        <w:t>Aromataris, E. and Pearson, A. (2014) 'The systematic review: an overview', </w:t>
      </w:r>
      <w:r w:rsidRPr="00FE174A">
        <w:rPr>
          <w:rFonts w:ascii="Arial" w:eastAsia="Calibri" w:hAnsi="Arial" w:cs="Arial"/>
          <w:i/>
          <w:iCs/>
        </w:rPr>
        <w:t>The American Journal of Nursing</w:t>
      </w:r>
      <w:r w:rsidRPr="00FE174A">
        <w:rPr>
          <w:rFonts w:ascii="Arial" w:eastAsia="Calibri" w:hAnsi="Arial" w:cs="Arial"/>
        </w:rPr>
        <w:t>, 114(3), pp. 53–58. </w:t>
      </w:r>
    </w:p>
    <w:p w14:paraId="2104D8C1" w14:textId="77777777" w:rsidR="008737B2" w:rsidRPr="00FE174A" w:rsidRDefault="008737B2" w:rsidP="003545E8">
      <w:pPr>
        <w:spacing w:after="0" w:line="360" w:lineRule="auto"/>
        <w:jc w:val="both"/>
        <w:rPr>
          <w:rFonts w:ascii="Arial" w:eastAsia="Calibri" w:hAnsi="Arial" w:cs="Arial"/>
        </w:rPr>
      </w:pPr>
    </w:p>
    <w:p w14:paraId="737217FE" w14:textId="69BE0389" w:rsidR="00E5456B" w:rsidRPr="00FE174A" w:rsidRDefault="00E5456B" w:rsidP="003545E8">
      <w:pPr>
        <w:spacing w:after="0" w:line="360" w:lineRule="auto"/>
        <w:jc w:val="both"/>
        <w:rPr>
          <w:rFonts w:ascii="Arial" w:eastAsia="Calibri" w:hAnsi="Arial" w:cs="Arial"/>
        </w:rPr>
      </w:pPr>
      <w:r w:rsidRPr="00FE174A">
        <w:rPr>
          <w:rFonts w:ascii="Arial" w:eastAsia="Calibri" w:hAnsi="Arial" w:cs="Arial"/>
        </w:rPr>
        <w:t>Badger, F., Plumridge, G., Hewison, A., Shaw, K.L., Thomas, K. and Clifford, C. (2012) 'An evaluation of the impact of the Gold Standards Framework on collaboration in end-of-life care in nursing homes. A qualitative and quantitative evaluation', </w:t>
      </w:r>
      <w:r w:rsidRPr="00FE174A">
        <w:rPr>
          <w:rFonts w:ascii="Arial" w:eastAsia="Calibri" w:hAnsi="Arial" w:cs="Arial"/>
          <w:i/>
          <w:iCs/>
        </w:rPr>
        <w:t>International Journal of Nursing Studies</w:t>
      </w:r>
      <w:r w:rsidRPr="00FE174A">
        <w:rPr>
          <w:rFonts w:ascii="Arial" w:eastAsia="Calibri" w:hAnsi="Arial" w:cs="Arial"/>
        </w:rPr>
        <w:t>, 49(5), pp. 586–595.</w:t>
      </w:r>
    </w:p>
    <w:p w14:paraId="5060DF2C" w14:textId="77777777" w:rsidR="008737B2" w:rsidRPr="00FE174A" w:rsidRDefault="008737B2" w:rsidP="003545E8">
      <w:pPr>
        <w:spacing w:after="0" w:line="360" w:lineRule="auto"/>
        <w:jc w:val="both"/>
        <w:rPr>
          <w:rFonts w:ascii="Arial" w:eastAsia="Calibri" w:hAnsi="Arial" w:cs="Arial"/>
        </w:rPr>
      </w:pPr>
    </w:p>
    <w:p w14:paraId="042779F5" w14:textId="300C527B" w:rsidR="006C3A84" w:rsidRPr="00FE174A" w:rsidRDefault="00E5456B" w:rsidP="003545E8">
      <w:pPr>
        <w:spacing w:after="0" w:line="360" w:lineRule="auto"/>
        <w:jc w:val="both"/>
        <w:rPr>
          <w:rFonts w:ascii="Arial" w:eastAsia="Calibri" w:hAnsi="Arial" w:cs="Arial"/>
        </w:rPr>
      </w:pPr>
      <w:r w:rsidRPr="00FE174A">
        <w:rPr>
          <w:rFonts w:ascii="Arial" w:eastAsia="Calibri" w:hAnsi="Arial" w:cs="Arial"/>
        </w:rPr>
        <w:t>Bamford, C., Lee, R., McLellan, E., Poole, M., Harrison-Dening, K., Hughes, J., Robinson, L. and Exley, C. (2018) 'What enables good end of life care for people with dementia? A multi-method qualitative study with key stakeholders', </w:t>
      </w:r>
      <w:r w:rsidRPr="00FE174A">
        <w:rPr>
          <w:rFonts w:ascii="Arial" w:eastAsia="Calibri" w:hAnsi="Arial" w:cs="Arial"/>
          <w:i/>
          <w:iCs/>
        </w:rPr>
        <w:t>BMC Geriatrics</w:t>
      </w:r>
      <w:r w:rsidRPr="00FE174A">
        <w:rPr>
          <w:rFonts w:ascii="Arial" w:eastAsia="Calibri" w:hAnsi="Arial" w:cs="Arial"/>
        </w:rPr>
        <w:t>, 18(1), pp. 1–15. </w:t>
      </w:r>
    </w:p>
    <w:p w14:paraId="5613700E" w14:textId="77777777" w:rsidR="008737B2" w:rsidRPr="00FE174A" w:rsidRDefault="008737B2" w:rsidP="003545E8">
      <w:pPr>
        <w:spacing w:after="0" w:line="360" w:lineRule="auto"/>
        <w:jc w:val="both"/>
        <w:rPr>
          <w:rFonts w:ascii="Arial" w:eastAsia="Calibri" w:hAnsi="Arial" w:cs="Arial"/>
        </w:rPr>
      </w:pPr>
    </w:p>
    <w:p w14:paraId="08E2186B" w14:textId="08E4A8F0" w:rsidR="00E5456B" w:rsidRPr="00FE174A" w:rsidRDefault="00E5456B" w:rsidP="003545E8">
      <w:pPr>
        <w:spacing w:after="0" w:line="360" w:lineRule="auto"/>
        <w:jc w:val="both"/>
        <w:rPr>
          <w:rFonts w:ascii="Arial" w:eastAsia="Calibri" w:hAnsi="Arial" w:cs="Arial"/>
        </w:rPr>
      </w:pPr>
      <w:r w:rsidRPr="00FE174A">
        <w:rPr>
          <w:rFonts w:ascii="Arial" w:eastAsia="Calibri" w:hAnsi="Arial" w:cs="Arial"/>
        </w:rPr>
        <w:t>Beach, M.C., Inui, T. and Relationship-Centered Care Research Network (2006) 'Relationship-centered care. A constructive reframing', </w:t>
      </w:r>
      <w:r w:rsidRPr="00FE174A">
        <w:rPr>
          <w:rFonts w:ascii="Arial" w:eastAsia="Calibri" w:hAnsi="Arial" w:cs="Arial"/>
          <w:i/>
          <w:iCs/>
        </w:rPr>
        <w:t>Journal of General Internal Medicine</w:t>
      </w:r>
      <w:r w:rsidRPr="00FE174A">
        <w:rPr>
          <w:rFonts w:ascii="Arial" w:eastAsia="Calibri" w:hAnsi="Arial" w:cs="Arial"/>
        </w:rPr>
        <w:t>, 21(S1), pp. S3–S8.</w:t>
      </w:r>
    </w:p>
    <w:p w14:paraId="19550573" w14:textId="77777777" w:rsidR="00E5456B" w:rsidRPr="00FE174A" w:rsidRDefault="00E5456B" w:rsidP="003545E8">
      <w:pPr>
        <w:spacing w:after="0" w:line="360" w:lineRule="auto"/>
        <w:jc w:val="both"/>
        <w:rPr>
          <w:rFonts w:ascii="Arial" w:eastAsia="Calibri" w:hAnsi="Arial" w:cs="Arial"/>
        </w:rPr>
      </w:pPr>
    </w:p>
    <w:p w14:paraId="501B5C13" w14:textId="6D544946" w:rsidR="00E5456B" w:rsidRPr="00FE174A" w:rsidRDefault="00E5456B" w:rsidP="003545E8">
      <w:pPr>
        <w:spacing w:after="0" w:line="360" w:lineRule="auto"/>
        <w:jc w:val="both"/>
        <w:rPr>
          <w:rFonts w:ascii="Arial" w:eastAsia="Calibri" w:hAnsi="Arial" w:cs="Arial"/>
        </w:rPr>
      </w:pPr>
      <w:r w:rsidRPr="00FE174A">
        <w:rPr>
          <w:rFonts w:ascii="Arial" w:eastAsia="Calibri" w:hAnsi="Arial" w:cs="Arial"/>
        </w:rPr>
        <w:t>Boerner, K., Burack, O.R., Jopp, D.S. and Mock, S.E. (2015) 'Grief after patient death: direct care staff in nursing homes and homecare', </w:t>
      </w:r>
      <w:r w:rsidRPr="00FE174A">
        <w:rPr>
          <w:rFonts w:ascii="Arial" w:eastAsia="Calibri" w:hAnsi="Arial" w:cs="Arial"/>
          <w:i/>
          <w:iCs/>
        </w:rPr>
        <w:t>Journal of Pain and Symptom Management</w:t>
      </w:r>
      <w:r w:rsidRPr="00FE174A">
        <w:rPr>
          <w:rFonts w:ascii="Arial" w:eastAsia="Calibri" w:hAnsi="Arial" w:cs="Arial"/>
        </w:rPr>
        <w:t>, 49(2), pp. 214–222.</w:t>
      </w:r>
    </w:p>
    <w:p w14:paraId="71E421FE" w14:textId="77777777" w:rsidR="00E5456B" w:rsidRPr="00FE174A" w:rsidRDefault="00E5456B" w:rsidP="003545E8">
      <w:pPr>
        <w:spacing w:after="0" w:line="360" w:lineRule="auto"/>
        <w:jc w:val="both"/>
        <w:rPr>
          <w:rFonts w:ascii="Arial" w:eastAsia="Calibri" w:hAnsi="Arial" w:cs="Arial"/>
        </w:rPr>
      </w:pPr>
    </w:p>
    <w:p w14:paraId="7F3BCDB3" w14:textId="71348FBD" w:rsidR="006C3A84" w:rsidRPr="00FE174A" w:rsidRDefault="00815268" w:rsidP="003545E8">
      <w:pPr>
        <w:spacing w:after="0" w:line="360" w:lineRule="auto"/>
        <w:jc w:val="both"/>
        <w:rPr>
          <w:rFonts w:ascii="Arial" w:eastAsia="Calibri" w:hAnsi="Arial" w:cs="Arial"/>
        </w:rPr>
      </w:pPr>
      <w:r w:rsidRPr="00FE174A">
        <w:rPr>
          <w:rFonts w:ascii="Arial" w:eastAsia="Calibri" w:hAnsi="Arial" w:cs="Arial"/>
        </w:rPr>
        <w:t>Bolton, S.C. (2000) 'Who cares? Offering emotion work as a "gift" in the nursing labour process', </w:t>
      </w:r>
      <w:r w:rsidRPr="00FE174A">
        <w:rPr>
          <w:rFonts w:ascii="Arial" w:eastAsia="Calibri" w:hAnsi="Arial" w:cs="Arial"/>
          <w:i/>
          <w:iCs/>
        </w:rPr>
        <w:t>Journal of Advanced Nursing</w:t>
      </w:r>
      <w:r w:rsidRPr="00FE174A">
        <w:rPr>
          <w:rFonts w:ascii="Arial" w:eastAsia="Calibri" w:hAnsi="Arial" w:cs="Arial"/>
        </w:rPr>
        <w:t>, 32(3), pp. 580–586. </w:t>
      </w:r>
      <w:r w:rsidR="006C3A84" w:rsidRPr="00FE174A">
        <w:rPr>
          <w:rFonts w:ascii="Arial" w:eastAsia="Calibri" w:hAnsi="Arial" w:cs="Arial"/>
        </w:rPr>
        <w:t>.</w:t>
      </w:r>
    </w:p>
    <w:p w14:paraId="4A82840D" w14:textId="77777777" w:rsidR="00815268" w:rsidRPr="00FE174A" w:rsidRDefault="00815268" w:rsidP="003545E8">
      <w:pPr>
        <w:spacing w:after="0" w:line="360" w:lineRule="auto"/>
        <w:jc w:val="both"/>
        <w:rPr>
          <w:rFonts w:ascii="Arial" w:eastAsia="Calibri" w:hAnsi="Arial" w:cs="Arial"/>
        </w:rPr>
      </w:pPr>
    </w:p>
    <w:p w14:paraId="19BD3333" w14:textId="77EFEDCB" w:rsidR="00815268" w:rsidRPr="00FE174A" w:rsidRDefault="00815268" w:rsidP="003545E8">
      <w:pPr>
        <w:spacing w:after="0" w:line="360" w:lineRule="auto"/>
        <w:jc w:val="both"/>
        <w:rPr>
          <w:rFonts w:ascii="Arial" w:eastAsia="Calibri" w:hAnsi="Arial" w:cs="Arial"/>
        </w:rPr>
      </w:pPr>
      <w:r w:rsidRPr="00FE174A">
        <w:rPr>
          <w:rFonts w:ascii="Arial" w:eastAsia="Calibri" w:hAnsi="Arial" w:cs="Arial"/>
        </w:rPr>
        <w:lastRenderedPageBreak/>
        <w:t>Bowers, B., Antunes, B.C.P., Etkind, S., Hopkins, S.A., Winterburn, I., Kuhn, I., Pollock, K. and Barclay, S. (2024) 'Anticipatory prescribing in community end-of-life care: systematic review and narrative synthesis of the evidence since 2017', </w:t>
      </w:r>
      <w:r w:rsidRPr="00FE174A">
        <w:rPr>
          <w:rFonts w:ascii="Arial" w:eastAsia="Calibri" w:hAnsi="Arial" w:cs="Arial"/>
          <w:i/>
          <w:iCs/>
        </w:rPr>
        <w:t>BMJ Supportive &amp; Palliative Care</w:t>
      </w:r>
      <w:r w:rsidRPr="00FE174A">
        <w:rPr>
          <w:rFonts w:ascii="Arial" w:eastAsia="Calibri" w:hAnsi="Arial" w:cs="Arial"/>
        </w:rPr>
        <w:t>, 13(e3), pp. e612–e623. </w:t>
      </w:r>
    </w:p>
    <w:p w14:paraId="6531B041" w14:textId="77777777" w:rsidR="008737B2" w:rsidRPr="00FE174A" w:rsidRDefault="008737B2" w:rsidP="003545E8">
      <w:pPr>
        <w:spacing w:after="0" w:line="360" w:lineRule="auto"/>
        <w:jc w:val="both"/>
        <w:rPr>
          <w:rFonts w:ascii="Arial" w:eastAsia="Calibri" w:hAnsi="Arial" w:cs="Arial"/>
        </w:rPr>
      </w:pPr>
    </w:p>
    <w:p w14:paraId="1B6AF41C" w14:textId="75D2F0B6" w:rsidR="00815268" w:rsidRPr="00FE174A" w:rsidRDefault="00815268" w:rsidP="003545E8">
      <w:pPr>
        <w:spacing w:after="0" w:line="360" w:lineRule="auto"/>
        <w:jc w:val="both"/>
        <w:rPr>
          <w:rFonts w:ascii="Arial" w:eastAsia="Calibri" w:hAnsi="Arial" w:cs="Arial"/>
        </w:rPr>
      </w:pPr>
      <w:r w:rsidRPr="00FE174A">
        <w:rPr>
          <w:rFonts w:ascii="Arial" w:eastAsia="Calibri" w:hAnsi="Arial" w:cs="Arial"/>
        </w:rPr>
        <w:t>Booth, A., Sutton, A., Clowes, M. and Martyn-St James, M. (2022) </w:t>
      </w:r>
      <w:r w:rsidRPr="00FE174A">
        <w:rPr>
          <w:rFonts w:ascii="Arial" w:eastAsia="Calibri" w:hAnsi="Arial" w:cs="Arial"/>
          <w:i/>
          <w:iCs/>
        </w:rPr>
        <w:t>Systematic approaches to a successful literature review</w:t>
      </w:r>
      <w:r w:rsidRPr="00FE174A">
        <w:rPr>
          <w:rFonts w:ascii="Arial" w:eastAsia="Calibri" w:hAnsi="Arial" w:cs="Arial"/>
        </w:rPr>
        <w:t>. 3rd edn. Los Angeles: SAGE. </w:t>
      </w:r>
    </w:p>
    <w:p w14:paraId="1AFCCFA9" w14:textId="1392158D"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w:t>
      </w:r>
    </w:p>
    <w:p w14:paraId="3FF1800E" w14:textId="0659FAFC" w:rsidR="006A7BF5" w:rsidRPr="00FE174A" w:rsidRDefault="006A7BF5" w:rsidP="003545E8">
      <w:pPr>
        <w:spacing w:after="0" w:line="360" w:lineRule="auto"/>
        <w:jc w:val="both"/>
        <w:rPr>
          <w:rFonts w:ascii="Arial" w:eastAsia="Calibri" w:hAnsi="Arial" w:cs="Arial"/>
        </w:rPr>
      </w:pPr>
      <w:r w:rsidRPr="00FE174A">
        <w:rPr>
          <w:rFonts w:ascii="Arial" w:eastAsia="Calibri" w:hAnsi="Arial" w:cs="Arial"/>
        </w:rPr>
        <w:t>Bradshaw, A., Ostler, S., Goodman, C., Batkovskyte, I., Ellis-Smith, C., Tunnard, I., Bone, A.E., Barclay, S., Vernon, M., Higginson, I.J., Evans, C.J. and Sleeman, K.E. (2023) 'Provision of palliative and end-of-life care in UK care homes during the COVID-19 pandemic: A mixed methods observational study with implications for policy', </w:t>
      </w:r>
      <w:r w:rsidRPr="00FE174A">
        <w:rPr>
          <w:rFonts w:ascii="Arial" w:eastAsia="Calibri" w:hAnsi="Arial" w:cs="Arial"/>
          <w:i/>
          <w:iCs/>
        </w:rPr>
        <w:t>Frontiers in Public Health</w:t>
      </w:r>
      <w:r w:rsidRPr="00FE174A">
        <w:rPr>
          <w:rFonts w:ascii="Arial" w:eastAsia="Calibri" w:hAnsi="Arial" w:cs="Arial"/>
        </w:rPr>
        <w:t>, 11, pp. 1–15. </w:t>
      </w:r>
    </w:p>
    <w:p w14:paraId="6AB228C0" w14:textId="77777777" w:rsidR="006A7BF5" w:rsidRPr="00FE174A" w:rsidRDefault="006A7BF5" w:rsidP="003545E8">
      <w:pPr>
        <w:spacing w:after="0" w:line="360" w:lineRule="auto"/>
        <w:jc w:val="both"/>
        <w:rPr>
          <w:rFonts w:ascii="Arial" w:eastAsia="Calibri" w:hAnsi="Arial" w:cs="Arial"/>
        </w:rPr>
      </w:pPr>
    </w:p>
    <w:p w14:paraId="13F12734" w14:textId="5F0C01E9" w:rsidR="006A7BF5" w:rsidRPr="00FE174A" w:rsidRDefault="006A7BF5" w:rsidP="003545E8">
      <w:pPr>
        <w:spacing w:after="0" w:line="360" w:lineRule="auto"/>
        <w:jc w:val="both"/>
        <w:rPr>
          <w:rFonts w:ascii="Arial" w:eastAsia="Calibri" w:hAnsi="Arial" w:cs="Arial"/>
        </w:rPr>
      </w:pPr>
      <w:r w:rsidRPr="00FE174A">
        <w:rPr>
          <w:rFonts w:ascii="Arial" w:eastAsia="Calibri" w:hAnsi="Arial" w:cs="Arial"/>
        </w:rPr>
        <w:t>Brooker, D. (2007) </w:t>
      </w:r>
      <w:r w:rsidRPr="00FE174A">
        <w:rPr>
          <w:rFonts w:ascii="Arial" w:eastAsia="Calibri" w:hAnsi="Arial" w:cs="Arial"/>
          <w:i/>
          <w:iCs/>
        </w:rPr>
        <w:t>Person-centred dementia care: making services better</w:t>
      </w:r>
      <w:r w:rsidRPr="00FE174A">
        <w:rPr>
          <w:rFonts w:ascii="Arial" w:eastAsia="Calibri" w:hAnsi="Arial" w:cs="Arial"/>
        </w:rPr>
        <w:t>. London: Jessica Kingsley Publishers.</w:t>
      </w:r>
    </w:p>
    <w:p w14:paraId="012C2D3A" w14:textId="77777777" w:rsidR="008737B2" w:rsidRPr="00FE174A" w:rsidRDefault="008737B2" w:rsidP="003545E8">
      <w:pPr>
        <w:spacing w:after="0" w:line="360" w:lineRule="auto"/>
        <w:jc w:val="both"/>
        <w:rPr>
          <w:rFonts w:ascii="Arial" w:eastAsia="Calibri" w:hAnsi="Arial" w:cs="Arial"/>
        </w:rPr>
      </w:pPr>
    </w:p>
    <w:p w14:paraId="148507E0" w14:textId="3383BF8A" w:rsidR="006A7BF5" w:rsidRPr="00FE174A" w:rsidRDefault="006A7BF5" w:rsidP="003545E8">
      <w:pPr>
        <w:spacing w:after="0" w:line="360" w:lineRule="auto"/>
        <w:jc w:val="both"/>
        <w:rPr>
          <w:rFonts w:ascii="Arial" w:eastAsia="Calibri" w:hAnsi="Arial" w:cs="Arial"/>
        </w:rPr>
      </w:pPr>
      <w:r w:rsidRPr="00FE174A">
        <w:rPr>
          <w:rFonts w:ascii="Arial" w:eastAsia="Calibri" w:hAnsi="Arial" w:cs="Arial"/>
        </w:rPr>
        <w:t>Brooker, D. and Latham, I. (2016) </w:t>
      </w:r>
      <w:r w:rsidRPr="00FE174A">
        <w:rPr>
          <w:rFonts w:ascii="Arial" w:eastAsia="Calibri" w:hAnsi="Arial" w:cs="Arial"/>
          <w:i/>
          <w:iCs/>
        </w:rPr>
        <w:t>Person-centred dementia care: making services better with the VIPS framework</w:t>
      </w:r>
      <w:r w:rsidRPr="00FE174A">
        <w:rPr>
          <w:rFonts w:ascii="Arial" w:eastAsia="Calibri" w:hAnsi="Arial" w:cs="Arial"/>
        </w:rPr>
        <w:t>. 2nd edn. London: Jessica Kingsley Publishers.</w:t>
      </w:r>
    </w:p>
    <w:p w14:paraId="3B42AE8D" w14:textId="77777777" w:rsidR="008737B2" w:rsidRPr="00FE174A" w:rsidRDefault="008737B2" w:rsidP="003545E8">
      <w:pPr>
        <w:spacing w:after="0" w:line="360" w:lineRule="auto"/>
        <w:jc w:val="both"/>
        <w:rPr>
          <w:rFonts w:ascii="Arial" w:eastAsia="Calibri" w:hAnsi="Arial" w:cs="Arial"/>
        </w:rPr>
      </w:pPr>
    </w:p>
    <w:p w14:paraId="2F5F8C3F" w14:textId="082F1D66"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Care Quality Commission (2016) </w:t>
      </w:r>
      <w:r w:rsidRPr="00FE174A">
        <w:rPr>
          <w:rFonts w:ascii="Arial" w:eastAsia="Calibri" w:hAnsi="Arial" w:cs="Arial"/>
          <w:i/>
          <w:iCs/>
        </w:rPr>
        <w:t>A Different Ending: End of Life Care Review</w:t>
      </w:r>
      <w:r w:rsidRPr="00FE174A">
        <w:rPr>
          <w:rFonts w:ascii="Arial" w:eastAsia="Calibri" w:hAnsi="Arial" w:cs="Arial"/>
        </w:rPr>
        <w:t xml:space="preserve">. Newcastle upon Tyne: CQC. Available at: </w:t>
      </w:r>
      <w:hyperlink r:id="rId25" w:history="1">
        <w:r w:rsidRPr="00FE174A">
          <w:rPr>
            <w:rStyle w:val="Hyperlink"/>
            <w:rFonts w:ascii="Arial" w:eastAsia="Calibri" w:hAnsi="Arial" w:cs="Arial"/>
          </w:rPr>
          <w:t>https://www.cqc.org.uk/publications/themed-work/different-ending-end-life-care-review</w:t>
        </w:r>
      </w:hyperlink>
      <w:r w:rsidRPr="00FE174A">
        <w:rPr>
          <w:rFonts w:ascii="Arial" w:eastAsia="Calibri" w:hAnsi="Arial" w:cs="Arial"/>
        </w:rPr>
        <w:t xml:space="preserve"> (Accessed: 22 October 2025).</w:t>
      </w:r>
    </w:p>
    <w:p w14:paraId="12877679" w14:textId="77777777" w:rsidR="008737B2" w:rsidRPr="00FE174A" w:rsidRDefault="008737B2" w:rsidP="003545E8">
      <w:pPr>
        <w:spacing w:after="0" w:line="360" w:lineRule="auto"/>
        <w:jc w:val="both"/>
        <w:rPr>
          <w:rFonts w:ascii="Arial" w:eastAsia="Calibri" w:hAnsi="Arial" w:cs="Arial"/>
        </w:rPr>
      </w:pPr>
    </w:p>
    <w:p w14:paraId="7F940F92" w14:textId="3474387A"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Care Quality Commission (2023) </w:t>
      </w:r>
      <w:r w:rsidRPr="00FE174A">
        <w:rPr>
          <w:rFonts w:ascii="Arial" w:eastAsia="Calibri" w:hAnsi="Arial" w:cs="Arial"/>
          <w:i/>
          <w:iCs/>
        </w:rPr>
        <w:t>The State of Health Care and Adult Social Care in England 2022/23</w:t>
      </w:r>
      <w:r w:rsidRPr="00FE174A">
        <w:rPr>
          <w:rFonts w:ascii="Arial" w:eastAsia="Calibri" w:hAnsi="Arial" w:cs="Arial"/>
        </w:rPr>
        <w:t xml:space="preserve">. Newcastle upon Tyne: CQC. Available at: </w:t>
      </w:r>
      <w:hyperlink r:id="rId26" w:history="1">
        <w:r w:rsidR="00761D9B" w:rsidRPr="00FE174A">
          <w:rPr>
            <w:rStyle w:val="Hyperlink"/>
            <w:rFonts w:ascii="Arial" w:hAnsi="Arial" w:cs="Arial"/>
          </w:rPr>
          <w:t>https://www.cqc.org.uk/publications/major-report/state-care/2022-2023</w:t>
        </w:r>
      </w:hyperlink>
      <w:r w:rsidR="00761D9B" w:rsidRPr="00FE174A">
        <w:rPr>
          <w:rFonts w:ascii="Arial" w:hAnsi="Arial" w:cs="Arial"/>
        </w:rPr>
        <w:t xml:space="preserve"> </w:t>
      </w:r>
      <w:r w:rsidRPr="00FE174A">
        <w:rPr>
          <w:rFonts w:ascii="Arial" w:eastAsia="Calibri" w:hAnsi="Arial" w:cs="Arial"/>
        </w:rPr>
        <w:t>(Accessed: 8 November 2025).</w:t>
      </w:r>
    </w:p>
    <w:p w14:paraId="2300A8A2" w14:textId="77777777" w:rsidR="008737B2" w:rsidRPr="00FE174A" w:rsidRDefault="008737B2" w:rsidP="003545E8">
      <w:pPr>
        <w:spacing w:after="0" w:line="360" w:lineRule="auto"/>
        <w:jc w:val="both"/>
        <w:rPr>
          <w:rFonts w:ascii="Arial" w:eastAsia="Calibri" w:hAnsi="Arial" w:cs="Arial"/>
        </w:rPr>
      </w:pPr>
    </w:p>
    <w:p w14:paraId="6E264734" w14:textId="55117640"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Care Quality Commission (2024) </w:t>
      </w:r>
      <w:r w:rsidRPr="00FE174A">
        <w:rPr>
          <w:rFonts w:ascii="Arial" w:eastAsia="Calibri" w:hAnsi="Arial" w:cs="Arial"/>
          <w:i/>
          <w:iCs/>
        </w:rPr>
        <w:t>State of Care 2023/24</w:t>
      </w:r>
      <w:r w:rsidRPr="00FE174A">
        <w:rPr>
          <w:rFonts w:ascii="Arial" w:eastAsia="Calibri" w:hAnsi="Arial" w:cs="Arial"/>
        </w:rPr>
        <w:t xml:space="preserve">. Newcastle upon Tyne: CQC. Available at: </w:t>
      </w:r>
      <w:hyperlink r:id="rId27" w:history="1">
        <w:r w:rsidR="00761D9B" w:rsidRPr="00FE174A">
          <w:rPr>
            <w:rStyle w:val="Hyperlink"/>
            <w:rFonts w:ascii="Arial" w:hAnsi="Arial" w:cs="Arial"/>
          </w:rPr>
          <w:t>https://www.cqc.org.uk/publications/major-report/state-care/2023-2024</w:t>
        </w:r>
      </w:hyperlink>
      <w:r w:rsidR="00761D9B" w:rsidRPr="00FE174A">
        <w:rPr>
          <w:rFonts w:ascii="Arial" w:hAnsi="Arial" w:cs="Arial"/>
        </w:rPr>
        <w:t xml:space="preserve"> </w:t>
      </w:r>
      <w:r w:rsidRPr="00FE174A">
        <w:rPr>
          <w:rFonts w:ascii="Arial" w:eastAsia="Calibri" w:hAnsi="Arial" w:cs="Arial"/>
        </w:rPr>
        <w:t>(Accessed: 28 December 2025).</w:t>
      </w:r>
    </w:p>
    <w:p w14:paraId="4868F190" w14:textId="77777777" w:rsidR="008737B2" w:rsidRPr="00FE174A" w:rsidRDefault="008737B2" w:rsidP="003545E8">
      <w:pPr>
        <w:spacing w:after="0" w:line="360" w:lineRule="auto"/>
        <w:jc w:val="both"/>
        <w:rPr>
          <w:rFonts w:ascii="Arial" w:eastAsia="Calibri" w:hAnsi="Arial" w:cs="Arial"/>
        </w:rPr>
      </w:pPr>
    </w:p>
    <w:p w14:paraId="4D8676C6" w14:textId="28E4AD14"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Centre for Ageing Better (2025) </w:t>
      </w:r>
      <w:r w:rsidRPr="00FE174A">
        <w:rPr>
          <w:rFonts w:ascii="Arial" w:eastAsia="Calibri" w:hAnsi="Arial" w:cs="Arial"/>
          <w:i/>
          <w:iCs/>
        </w:rPr>
        <w:t>The State of Ageing 2025: Our Ageing Population</w:t>
      </w:r>
      <w:r w:rsidRPr="00FE174A">
        <w:rPr>
          <w:rFonts w:ascii="Arial" w:eastAsia="Calibri" w:hAnsi="Arial" w:cs="Arial"/>
        </w:rPr>
        <w:t xml:space="preserve">. London: Centre for Ageing Better. Available at: </w:t>
      </w:r>
      <w:hyperlink r:id="rId28" w:history="1">
        <w:r w:rsidRPr="00FE174A">
          <w:rPr>
            <w:rStyle w:val="Hyperlink"/>
            <w:rFonts w:ascii="Arial" w:eastAsia="Calibri" w:hAnsi="Arial" w:cs="Arial"/>
          </w:rPr>
          <w:t>https://ageing-better.org.uk/state-ageing-2025</w:t>
        </w:r>
      </w:hyperlink>
      <w:r w:rsidRPr="00FE174A">
        <w:rPr>
          <w:rFonts w:ascii="Arial" w:eastAsia="Calibri" w:hAnsi="Arial" w:cs="Arial"/>
        </w:rPr>
        <w:t xml:space="preserve"> (Accessed: 27 </w:t>
      </w:r>
      <w:r w:rsidR="004C5AC0" w:rsidRPr="00FE174A">
        <w:rPr>
          <w:rFonts w:ascii="Arial" w:eastAsia="Calibri" w:hAnsi="Arial" w:cs="Arial"/>
        </w:rPr>
        <w:t xml:space="preserve">December </w:t>
      </w:r>
      <w:r w:rsidRPr="00FE174A">
        <w:rPr>
          <w:rFonts w:ascii="Arial" w:eastAsia="Calibri" w:hAnsi="Arial" w:cs="Arial"/>
        </w:rPr>
        <w:t>202</w:t>
      </w:r>
      <w:r w:rsidR="004C5AC0" w:rsidRPr="00FE174A">
        <w:rPr>
          <w:rFonts w:ascii="Arial" w:eastAsia="Calibri" w:hAnsi="Arial" w:cs="Arial"/>
        </w:rPr>
        <w:t>5</w:t>
      </w:r>
      <w:r w:rsidRPr="00FE174A">
        <w:rPr>
          <w:rFonts w:ascii="Arial" w:eastAsia="Calibri" w:hAnsi="Arial" w:cs="Arial"/>
        </w:rPr>
        <w:t>).</w:t>
      </w:r>
    </w:p>
    <w:p w14:paraId="784E7985" w14:textId="6F6DDBC2" w:rsidR="00761D9B" w:rsidRPr="00FE174A" w:rsidRDefault="00761D9B" w:rsidP="003545E8">
      <w:pPr>
        <w:spacing w:after="0" w:line="360" w:lineRule="auto"/>
        <w:jc w:val="both"/>
        <w:rPr>
          <w:rFonts w:ascii="Arial" w:eastAsia="Calibri" w:hAnsi="Arial" w:cs="Arial"/>
        </w:rPr>
      </w:pPr>
      <w:r w:rsidRPr="00FE174A">
        <w:rPr>
          <w:rFonts w:ascii="Arial" w:eastAsia="Calibri" w:hAnsi="Arial" w:cs="Arial"/>
        </w:rPr>
        <w:lastRenderedPageBreak/>
        <w:t>Chochinov, H.M., Hack, T., Hassard, T., Kristjanson, L.J., McClement, S. and Harlos, M. (2005) 'Dignity therapy: a novel psychotherapeutic intervention for patients near the end of life', </w:t>
      </w:r>
      <w:r w:rsidRPr="00FE174A">
        <w:rPr>
          <w:rFonts w:ascii="Arial" w:eastAsia="Calibri" w:hAnsi="Arial" w:cs="Arial"/>
          <w:i/>
          <w:iCs/>
        </w:rPr>
        <w:t>Journal of Clinical Oncology</w:t>
      </w:r>
      <w:r w:rsidRPr="00FE174A">
        <w:rPr>
          <w:rFonts w:ascii="Arial" w:eastAsia="Calibri" w:hAnsi="Arial" w:cs="Arial"/>
        </w:rPr>
        <w:t>, 23(24), pp. 5520–5525. </w:t>
      </w:r>
    </w:p>
    <w:p w14:paraId="7642174A" w14:textId="5A886C49" w:rsidR="006C3A84" w:rsidRPr="00FE174A" w:rsidRDefault="006C3A84" w:rsidP="003545E8">
      <w:pPr>
        <w:spacing w:after="0" w:line="360" w:lineRule="auto"/>
        <w:jc w:val="both"/>
        <w:rPr>
          <w:rFonts w:ascii="Arial" w:eastAsia="Calibri" w:hAnsi="Arial" w:cs="Arial"/>
        </w:rPr>
      </w:pPr>
    </w:p>
    <w:p w14:paraId="06682FB4" w14:textId="5E1D3A2F" w:rsidR="00761D9B" w:rsidRPr="00FE174A" w:rsidRDefault="00761D9B" w:rsidP="003545E8">
      <w:pPr>
        <w:spacing w:after="0" w:line="360" w:lineRule="auto"/>
        <w:jc w:val="both"/>
        <w:rPr>
          <w:rFonts w:ascii="Arial" w:eastAsia="Calibri" w:hAnsi="Arial" w:cs="Arial"/>
        </w:rPr>
      </w:pPr>
      <w:r w:rsidRPr="00FE174A">
        <w:rPr>
          <w:rFonts w:ascii="Arial" w:eastAsia="Calibri" w:hAnsi="Arial" w:cs="Arial"/>
        </w:rPr>
        <w:t>Chochinov, H.M. (2002) 'Dignity-conserving care—a new model for palliative care: helping the patient feel valued', </w:t>
      </w:r>
      <w:r w:rsidRPr="00FE174A">
        <w:rPr>
          <w:rFonts w:ascii="Arial" w:eastAsia="Calibri" w:hAnsi="Arial" w:cs="Arial"/>
          <w:i/>
          <w:iCs/>
        </w:rPr>
        <w:t>JAMA</w:t>
      </w:r>
      <w:r w:rsidRPr="00FE174A">
        <w:rPr>
          <w:rFonts w:ascii="Arial" w:eastAsia="Calibri" w:hAnsi="Arial" w:cs="Arial"/>
        </w:rPr>
        <w:t>, 287(17), pp. 2253–2260.</w:t>
      </w:r>
    </w:p>
    <w:p w14:paraId="37E671BD" w14:textId="77777777" w:rsidR="008737B2" w:rsidRPr="00FE174A" w:rsidRDefault="008737B2" w:rsidP="003545E8">
      <w:pPr>
        <w:spacing w:after="0" w:line="360" w:lineRule="auto"/>
        <w:jc w:val="both"/>
        <w:rPr>
          <w:rFonts w:ascii="Arial" w:eastAsia="Calibri" w:hAnsi="Arial" w:cs="Arial"/>
        </w:rPr>
      </w:pPr>
    </w:p>
    <w:p w14:paraId="5D9BEBE8" w14:textId="5F60E36F" w:rsidR="00761D9B" w:rsidRPr="00FE174A" w:rsidRDefault="00761D9B" w:rsidP="003545E8">
      <w:pPr>
        <w:spacing w:after="0" w:line="360" w:lineRule="auto"/>
        <w:jc w:val="both"/>
        <w:rPr>
          <w:rFonts w:ascii="Arial" w:eastAsia="Calibri" w:hAnsi="Arial" w:cs="Arial"/>
        </w:rPr>
      </w:pPr>
      <w:r w:rsidRPr="00FE174A">
        <w:rPr>
          <w:rFonts w:ascii="Arial" w:eastAsia="Calibri" w:hAnsi="Arial" w:cs="Arial"/>
        </w:rPr>
        <w:t>Creswell, J.W. and Plano Clark, V.L. (2018) </w:t>
      </w:r>
      <w:r w:rsidRPr="00FE174A">
        <w:rPr>
          <w:rFonts w:ascii="Arial" w:eastAsia="Calibri" w:hAnsi="Arial" w:cs="Arial"/>
          <w:i/>
          <w:iCs/>
        </w:rPr>
        <w:t>Designing and conducting mixed methods research</w:t>
      </w:r>
      <w:r w:rsidRPr="00FE174A">
        <w:rPr>
          <w:rFonts w:ascii="Arial" w:eastAsia="Calibri" w:hAnsi="Arial" w:cs="Arial"/>
        </w:rPr>
        <w:t>. 3rd edn. Thousand Oaks, CA: SAGE.</w:t>
      </w:r>
    </w:p>
    <w:p w14:paraId="6ACD6B99" w14:textId="77777777" w:rsidR="008737B2" w:rsidRPr="00FE174A" w:rsidRDefault="008737B2" w:rsidP="003545E8">
      <w:pPr>
        <w:spacing w:after="0" w:line="360" w:lineRule="auto"/>
        <w:jc w:val="both"/>
        <w:rPr>
          <w:rFonts w:ascii="Arial" w:eastAsia="Calibri" w:hAnsi="Arial" w:cs="Arial"/>
        </w:rPr>
      </w:pPr>
    </w:p>
    <w:p w14:paraId="232E0AE7" w14:textId="480857E3" w:rsidR="00761D9B" w:rsidRPr="00FE174A" w:rsidRDefault="00761D9B" w:rsidP="003545E8">
      <w:pPr>
        <w:spacing w:after="0" w:line="360" w:lineRule="auto"/>
        <w:jc w:val="both"/>
        <w:rPr>
          <w:rFonts w:ascii="Arial" w:eastAsia="Calibri" w:hAnsi="Arial" w:cs="Arial"/>
        </w:rPr>
      </w:pPr>
      <w:r w:rsidRPr="00FE174A">
        <w:rPr>
          <w:rFonts w:ascii="Arial" w:eastAsia="Calibri" w:hAnsi="Arial" w:cs="Arial"/>
        </w:rPr>
        <w:t>Creswell, J.W. and Poth, C.N. (2018) </w:t>
      </w:r>
      <w:r w:rsidRPr="00FE174A">
        <w:rPr>
          <w:rFonts w:ascii="Arial" w:eastAsia="Calibri" w:hAnsi="Arial" w:cs="Arial"/>
          <w:i/>
          <w:iCs/>
        </w:rPr>
        <w:t>Qualitative inquiry and research design: choosing among five approaches</w:t>
      </w:r>
      <w:r w:rsidRPr="00FE174A">
        <w:rPr>
          <w:rFonts w:ascii="Arial" w:eastAsia="Calibri" w:hAnsi="Arial" w:cs="Arial"/>
        </w:rPr>
        <w:t>. 4th edn. Thousand Oaks, CA: SAGE.</w:t>
      </w:r>
    </w:p>
    <w:p w14:paraId="24E78A2F" w14:textId="77777777" w:rsidR="008737B2" w:rsidRPr="00FE174A" w:rsidRDefault="008737B2" w:rsidP="003545E8">
      <w:pPr>
        <w:spacing w:after="0" w:line="360" w:lineRule="auto"/>
        <w:jc w:val="both"/>
        <w:rPr>
          <w:rFonts w:ascii="Arial" w:eastAsia="Calibri" w:hAnsi="Arial" w:cs="Arial"/>
        </w:rPr>
      </w:pPr>
    </w:p>
    <w:p w14:paraId="65290192" w14:textId="209CD09D"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Critical Appraisal Skills Programme (2018) </w:t>
      </w:r>
      <w:r w:rsidRPr="00FE174A">
        <w:rPr>
          <w:rFonts w:ascii="Arial" w:eastAsia="Calibri" w:hAnsi="Arial" w:cs="Arial"/>
          <w:i/>
          <w:iCs/>
        </w:rPr>
        <w:t>CASP Qualitative Checklist</w:t>
      </w:r>
      <w:r w:rsidRPr="00FE174A">
        <w:rPr>
          <w:rFonts w:ascii="Arial" w:eastAsia="Calibri" w:hAnsi="Arial" w:cs="Arial"/>
        </w:rPr>
        <w:t xml:space="preserve">. Available at: </w:t>
      </w:r>
      <w:hyperlink r:id="rId29" w:history="1">
        <w:r w:rsidRPr="00FE174A">
          <w:rPr>
            <w:rStyle w:val="Hyperlink"/>
            <w:rFonts w:ascii="Arial" w:eastAsia="Calibri" w:hAnsi="Arial" w:cs="Arial"/>
          </w:rPr>
          <w:t>https://casp-uk.net/casp-tools-checklists/</w:t>
        </w:r>
      </w:hyperlink>
      <w:r w:rsidRPr="00FE174A">
        <w:rPr>
          <w:rFonts w:ascii="Arial" w:eastAsia="Calibri" w:hAnsi="Arial" w:cs="Arial"/>
        </w:rPr>
        <w:t xml:space="preserve"> (Accessed: 15 </w:t>
      </w:r>
      <w:r w:rsidR="004C5AC0" w:rsidRPr="00FE174A">
        <w:rPr>
          <w:rFonts w:ascii="Arial" w:eastAsia="Calibri" w:hAnsi="Arial" w:cs="Arial"/>
        </w:rPr>
        <w:t xml:space="preserve">October </w:t>
      </w:r>
      <w:r w:rsidRPr="00FE174A">
        <w:rPr>
          <w:rFonts w:ascii="Arial" w:eastAsia="Calibri" w:hAnsi="Arial" w:cs="Arial"/>
        </w:rPr>
        <w:t>2025).</w:t>
      </w:r>
    </w:p>
    <w:p w14:paraId="404EF179" w14:textId="77777777" w:rsidR="008737B2" w:rsidRPr="00FE174A" w:rsidRDefault="008737B2" w:rsidP="003545E8">
      <w:pPr>
        <w:spacing w:after="0" w:line="360" w:lineRule="auto"/>
        <w:jc w:val="both"/>
        <w:rPr>
          <w:rFonts w:ascii="Arial" w:eastAsia="Calibri" w:hAnsi="Arial" w:cs="Arial"/>
        </w:rPr>
      </w:pPr>
    </w:p>
    <w:p w14:paraId="29E4796C" w14:textId="196FA646" w:rsidR="00475BC9" w:rsidRPr="00FE174A" w:rsidRDefault="00475BC9" w:rsidP="003545E8">
      <w:pPr>
        <w:spacing w:after="0" w:line="360" w:lineRule="auto"/>
        <w:jc w:val="both"/>
        <w:rPr>
          <w:rFonts w:ascii="Arial" w:eastAsia="Calibri" w:hAnsi="Arial" w:cs="Arial"/>
        </w:rPr>
      </w:pPr>
      <w:r w:rsidRPr="00FE174A">
        <w:rPr>
          <w:rFonts w:ascii="Arial" w:eastAsia="Calibri" w:hAnsi="Arial" w:cs="Arial"/>
        </w:rPr>
        <w:t>Damschroder, L.J., Aron, D.C., Keith, R.E., Kirsh, S.R., Alexander, J.A. and Lowery, J.C. (2009) 'Fostering implementation of health services research findings into practice: a consolidated framework for advancing implementation science', </w:t>
      </w:r>
      <w:r w:rsidRPr="00FE174A">
        <w:rPr>
          <w:rFonts w:ascii="Arial" w:eastAsia="Calibri" w:hAnsi="Arial" w:cs="Arial"/>
          <w:i/>
          <w:iCs/>
        </w:rPr>
        <w:t>Implementation Science</w:t>
      </w:r>
      <w:r w:rsidRPr="00FE174A">
        <w:rPr>
          <w:rFonts w:ascii="Arial" w:eastAsia="Calibri" w:hAnsi="Arial" w:cs="Arial"/>
        </w:rPr>
        <w:t>, 4(50), pp. 1–15. </w:t>
      </w:r>
    </w:p>
    <w:p w14:paraId="227A3896" w14:textId="77777777" w:rsidR="008737B2" w:rsidRPr="00FE174A" w:rsidRDefault="008737B2" w:rsidP="003545E8">
      <w:pPr>
        <w:spacing w:after="0" w:line="360" w:lineRule="auto"/>
        <w:jc w:val="both"/>
        <w:rPr>
          <w:rFonts w:ascii="Arial" w:eastAsia="Calibri" w:hAnsi="Arial" w:cs="Arial"/>
        </w:rPr>
      </w:pPr>
    </w:p>
    <w:p w14:paraId="7398AA7C" w14:textId="16A7942F" w:rsidR="00475BC9" w:rsidRPr="00FE174A" w:rsidRDefault="00475BC9" w:rsidP="003545E8">
      <w:pPr>
        <w:spacing w:after="0" w:line="360" w:lineRule="auto"/>
        <w:jc w:val="both"/>
        <w:rPr>
          <w:rFonts w:ascii="Arial" w:eastAsia="Calibri" w:hAnsi="Arial" w:cs="Arial"/>
        </w:rPr>
      </w:pPr>
      <w:r w:rsidRPr="00FE174A">
        <w:rPr>
          <w:rFonts w:ascii="Arial" w:eastAsia="Calibri" w:hAnsi="Arial" w:cs="Arial"/>
        </w:rPr>
        <w:t>Department of Health and Social Care (2021) </w:t>
      </w:r>
      <w:r w:rsidRPr="00FE174A">
        <w:rPr>
          <w:rFonts w:ascii="Arial" w:eastAsia="Calibri" w:hAnsi="Arial" w:cs="Arial"/>
          <w:i/>
          <w:iCs/>
        </w:rPr>
        <w:t>People at the heart of care: adult social care reform white paper</w:t>
      </w:r>
      <w:r w:rsidRPr="00FE174A">
        <w:rPr>
          <w:rFonts w:ascii="Arial" w:eastAsia="Calibri" w:hAnsi="Arial" w:cs="Arial"/>
        </w:rPr>
        <w:t>. CP 560. Available at: </w:t>
      </w:r>
      <w:hyperlink r:id="rId30" w:history="1">
        <w:r w:rsidRPr="00FE174A">
          <w:rPr>
            <w:rStyle w:val="Hyperlink"/>
            <w:rFonts w:ascii="Arial" w:eastAsia="Calibri" w:hAnsi="Arial" w:cs="Arial"/>
          </w:rPr>
          <w:t>https://www.gov.uk/government/publications/people-at-the-heart-of-care-adult-social-care-reform-white-paper</w:t>
        </w:r>
      </w:hyperlink>
      <w:r w:rsidRPr="00FE174A">
        <w:rPr>
          <w:rFonts w:ascii="Arial" w:eastAsia="Calibri" w:hAnsi="Arial" w:cs="Arial"/>
        </w:rPr>
        <w:t xml:space="preserve">  (Accessed: 1 January 2026).</w:t>
      </w:r>
    </w:p>
    <w:p w14:paraId="3C3D1538" w14:textId="77777777" w:rsidR="00475BC9" w:rsidRPr="00FE174A" w:rsidRDefault="00475BC9" w:rsidP="003545E8">
      <w:pPr>
        <w:spacing w:after="0" w:line="360" w:lineRule="auto"/>
        <w:jc w:val="both"/>
        <w:rPr>
          <w:rFonts w:ascii="Arial" w:eastAsia="Calibri" w:hAnsi="Arial" w:cs="Arial"/>
        </w:rPr>
      </w:pPr>
    </w:p>
    <w:p w14:paraId="24087133" w14:textId="016D293B" w:rsidR="00475BC9" w:rsidRPr="00FE174A" w:rsidRDefault="00475BC9" w:rsidP="003545E8">
      <w:pPr>
        <w:spacing w:after="0" w:line="360" w:lineRule="auto"/>
        <w:jc w:val="both"/>
        <w:rPr>
          <w:rFonts w:ascii="Arial" w:eastAsia="Calibri" w:hAnsi="Arial" w:cs="Arial"/>
        </w:rPr>
      </w:pPr>
      <w:r w:rsidRPr="00FE174A">
        <w:rPr>
          <w:rFonts w:ascii="Arial" w:eastAsia="Calibri" w:hAnsi="Arial" w:cs="Arial"/>
        </w:rPr>
        <w:t>Department of Health and Social Care (2023) </w:t>
      </w:r>
      <w:r w:rsidRPr="00FE174A">
        <w:rPr>
          <w:rFonts w:ascii="Arial" w:eastAsia="Calibri" w:hAnsi="Arial" w:cs="Arial"/>
          <w:i/>
          <w:iCs/>
        </w:rPr>
        <w:t>Adult social care system reform: next steps to put people at the heart of care: A Plan for Adult Social Care System Reform 2023 to 2024 and 2024 to 2025</w:t>
      </w:r>
      <w:r w:rsidRPr="00FE174A">
        <w:rPr>
          <w:rFonts w:ascii="Arial" w:eastAsia="Calibri" w:hAnsi="Arial" w:cs="Arial"/>
        </w:rPr>
        <w:t>. Available at: </w:t>
      </w:r>
      <w:hyperlink r:id="rId31" w:history="1">
        <w:r w:rsidRPr="00FE174A">
          <w:rPr>
            <w:rStyle w:val="Hyperlink"/>
            <w:rFonts w:ascii="Arial" w:eastAsia="Calibri" w:hAnsi="Arial" w:cs="Arial"/>
          </w:rPr>
          <w:t>https://www.gov.uk/government/publications/adult-social-care-system-reform-next-steps-to-put-people-at-the-heart-of-care</w:t>
        </w:r>
      </w:hyperlink>
      <w:r w:rsidRPr="00FE174A">
        <w:rPr>
          <w:rFonts w:ascii="Arial" w:eastAsia="Calibri" w:hAnsi="Arial" w:cs="Arial"/>
        </w:rPr>
        <w:t xml:space="preserve">  (Accessed: 1 January 2026). </w:t>
      </w:r>
    </w:p>
    <w:p w14:paraId="09F80D69" w14:textId="77777777" w:rsidR="00A442CF" w:rsidRPr="00FE174A" w:rsidRDefault="00A442CF" w:rsidP="003545E8">
      <w:pPr>
        <w:spacing w:after="0" w:line="360" w:lineRule="auto"/>
        <w:jc w:val="both"/>
        <w:rPr>
          <w:rFonts w:ascii="Arial" w:eastAsia="Calibri" w:hAnsi="Arial" w:cs="Arial"/>
        </w:rPr>
      </w:pPr>
    </w:p>
    <w:p w14:paraId="1874907A" w14:textId="12F531CF" w:rsidR="00475BC9" w:rsidRPr="00FE174A" w:rsidRDefault="00475BC9" w:rsidP="003545E8">
      <w:pPr>
        <w:spacing w:after="0" w:line="360" w:lineRule="auto"/>
        <w:jc w:val="both"/>
        <w:rPr>
          <w:rFonts w:ascii="Arial" w:eastAsia="Calibri" w:hAnsi="Arial" w:cs="Arial"/>
        </w:rPr>
      </w:pPr>
      <w:r w:rsidRPr="00FE174A">
        <w:rPr>
          <w:rFonts w:ascii="Arial" w:eastAsia="Calibri" w:hAnsi="Arial" w:cs="Arial"/>
        </w:rPr>
        <w:t>De Witt Jansen, B.W., Brazil, K., Passmore, P., Buchanan, H., Maxwell, D., McIlfatrick, S.J., Morgan, S.M., Watson, M. and Parsons, C. (2017) 'Exploring healthcare assistants' role and experience in pain assessment and management for people with advanced dementia towards the end of life: a qualitative study', </w:t>
      </w:r>
      <w:r w:rsidRPr="00FE174A">
        <w:rPr>
          <w:rFonts w:ascii="Arial" w:eastAsia="Calibri" w:hAnsi="Arial" w:cs="Arial"/>
          <w:i/>
          <w:iCs/>
        </w:rPr>
        <w:t>BMC Palliative Care</w:t>
      </w:r>
      <w:r w:rsidRPr="00FE174A">
        <w:rPr>
          <w:rFonts w:ascii="Arial" w:eastAsia="Calibri" w:hAnsi="Arial" w:cs="Arial"/>
        </w:rPr>
        <w:t>, 16(6), pp. 1–11. doi: 10.1186/s12904-017-0184-0.</w:t>
      </w:r>
    </w:p>
    <w:p w14:paraId="4B968A20" w14:textId="77777777" w:rsidR="008737B2" w:rsidRPr="00FE174A" w:rsidRDefault="008737B2" w:rsidP="003545E8">
      <w:pPr>
        <w:spacing w:after="0" w:line="360" w:lineRule="auto"/>
        <w:jc w:val="both"/>
        <w:rPr>
          <w:rFonts w:ascii="Arial" w:eastAsia="Calibri" w:hAnsi="Arial" w:cs="Arial"/>
        </w:rPr>
      </w:pPr>
    </w:p>
    <w:p w14:paraId="7CCEF6FE" w14:textId="514D3A1B" w:rsidR="00475BC9" w:rsidRPr="00FE174A" w:rsidRDefault="00475BC9" w:rsidP="003545E8">
      <w:pPr>
        <w:spacing w:after="0" w:line="360" w:lineRule="auto"/>
        <w:jc w:val="both"/>
        <w:rPr>
          <w:rFonts w:ascii="Arial" w:eastAsia="Calibri" w:hAnsi="Arial" w:cs="Arial"/>
        </w:rPr>
      </w:pPr>
      <w:r w:rsidRPr="00FE174A">
        <w:rPr>
          <w:rFonts w:ascii="Arial" w:eastAsia="Calibri" w:hAnsi="Arial" w:cs="Arial"/>
        </w:rPr>
        <w:t>Easterbrook, P.J., Berlin, J.A., Gopalan, R. and Matthews, D.R. (1991) 'Publication bias in clinical research', </w:t>
      </w:r>
      <w:r w:rsidRPr="00FE174A">
        <w:rPr>
          <w:rFonts w:ascii="Arial" w:eastAsia="Calibri" w:hAnsi="Arial" w:cs="Arial"/>
          <w:i/>
          <w:iCs/>
        </w:rPr>
        <w:t>The Lancet</w:t>
      </w:r>
      <w:r w:rsidRPr="00FE174A">
        <w:rPr>
          <w:rFonts w:ascii="Arial" w:eastAsia="Calibri" w:hAnsi="Arial" w:cs="Arial"/>
        </w:rPr>
        <w:t>, 337(8746), pp. 867–872.</w:t>
      </w:r>
    </w:p>
    <w:p w14:paraId="5D694C90" w14:textId="5AF8ACCA" w:rsidR="00AF7B17" w:rsidRPr="00FE174A" w:rsidRDefault="00AF7B17" w:rsidP="003545E8">
      <w:pPr>
        <w:spacing w:after="0" w:line="360" w:lineRule="auto"/>
        <w:jc w:val="both"/>
        <w:rPr>
          <w:rFonts w:ascii="Arial" w:eastAsia="Calibri" w:hAnsi="Arial" w:cs="Arial"/>
        </w:rPr>
      </w:pPr>
      <w:r w:rsidRPr="00FE174A">
        <w:rPr>
          <w:rFonts w:ascii="Arial" w:eastAsia="Calibri" w:hAnsi="Arial" w:cs="Arial"/>
        </w:rPr>
        <w:lastRenderedPageBreak/>
        <w:t>Engel, S.E., Kiely, D.K. and Mitchell, S.L. (2006) 'Satisfaction with end-of-life care for nursing home residents with advanced dementia', </w:t>
      </w:r>
      <w:r w:rsidRPr="00FE174A">
        <w:rPr>
          <w:rFonts w:ascii="Arial" w:eastAsia="Calibri" w:hAnsi="Arial" w:cs="Arial"/>
          <w:i/>
          <w:iCs/>
        </w:rPr>
        <w:t>Journal of the American Geriatrics Society</w:t>
      </w:r>
      <w:r w:rsidRPr="00FE174A">
        <w:rPr>
          <w:rFonts w:ascii="Arial" w:eastAsia="Calibri" w:hAnsi="Arial" w:cs="Arial"/>
        </w:rPr>
        <w:t>, 54(10), pp. 1567–1572. </w:t>
      </w:r>
    </w:p>
    <w:p w14:paraId="041F5AA1" w14:textId="77777777" w:rsidR="008737B2" w:rsidRPr="00FE174A" w:rsidRDefault="008737B2" w:rsidP="003545E8">
      <w:pPr>
        <w:spacing w:after="0" w:line="360" w:lineRule="auto"/>
        <w:jc w:val="both"/>
        <w:rPr>
          <w:rFonts w:ascii="Arial" w:eastAsia="Calibri" w:hAnsi="Arial" w:cs="Arial"/>
        </w:rPr>
      </w:pPr>
    </w:p>
    <w:p w14:paraId="503C9570" w14:textId="50B34A60" w:rsidR="00AF7B17" w:rsidRPr="00FE174A" w:rsidRDefault="00AF7B17" w:rsidP="003545E8">
      <w:pPr>
        <w:spacing w:after="0" w:line="360" w:lineRule="auto"/>
        <w:jc w:val="both"/>
        <w:rPr>
          <w:rFonts w:ascii="Arial" w:eastAsia="Calibri" w:hAnsi="Arial" w:cs="Arial"/>
        </w:rPr>
      </w:pPr>
      <w:r w:rsidRPr="00FE174A">
        <w:rPr>
          <w:rFonts w:ascii="Arial" w:eastAsia="Calibri" w:hAnsi="Arial" w:cs="Arial"/>
        </w:rPr>
        <w:t>Flemming, K. and Noyes, J. (2021) 'Qualitative evidence synthesis: where are we at?', </w:t>
      </w:r>
      <w:r w:rsidRPr="00FE174A">
        <w:rPr>
          <w:rFonts w:ascii="Arial" w:eastAsia="Calibri" w:hAnsi="Arial" w:cs="Arial"/>
          <w:i/>
          <w:iCs/>
        </w:rPr>
        <w:t>International Journal of Qualitative Methods</w:t>
      </w:r>
      <w:r w:rsidRPr="00FE174A">
        <w:rPr>
          <w:rFonts w:ascii="Arial" w:eastAsia="Calibri" w:hAnsi="Arial" w:cs="Arial"/>
        </w:rPr>
        <w:t>, 20, pp. 1–13. </w:t>
      </w:r>
    </w:p>
    <w:p w14:paraId="37C93894" w14:textId="77777777" w:rsidR="00AF7B17" w:rsidRPr="00FE174A" w:rsidRDefault="00AF7B17" w:rsidP="003545E8">
      <w:pPr>
        <w:spacing w:after="0" w:line="360" w:lineRule="auto"/>
        <w:jc w:val="both"/>
        <w:rPr>
          <w:rFonts w:ascii="Arial" w:eastAsia="Calibri" w:hAnsi="Arial" w:cs="Arial"/>
        </w:rPr>
      </w:pPr>
    </w:p>
    <w:p w14:paraId="27262D07" w14:textId="38D33F9E" w:rsidR="00AF7B17" w:rsidRPr="00FE174A" w:rsidRDefault="00AF7B17" w:rsidP="003545E8">
      <w:pPr>
        <w:spacing w:after="0" w:line="360" w:lineRule="auto"/>
        <w:jc w:val="both"/>
        <w:rPr>
          <w:rFonts w:ascii="Arial" w:eastAsia="Calibri" w:hAnsi="Arial" w:cs="Arial"/>
        </w:rPr>
      </w:pPr>
      <w:r w:rsidRPr="00FE174A">
        <w:rPr>
          <w:rFonts w:ascii="Arial" w:eastAsia="Calibri" w:hAnsi="Arial" w:cs="Arial"/>
        </w:rPr>
        <w:t>Froggatt, K.A. (2001) 'Palliative care and nursing homes: where next?', </w:t>
      </w:r>
      <w:r w:rsidRPr="00FE174A">
        <w:rPr>
          <w:rFonts w:ascii="Arial" w:eastAsia="Calibri" w:hAnsi="Arial" w:cs="Arial"/>
          <w:i/>
          <w:iCs/>
        </w:rPr>
        <w:t>Palliative Medicine</w:t>
      </w:r>
      <w:r w:rsidRPr="00FE174A">
        <w:rPr>
          <w:rFonts w:ascii="Arial" w:eastAsia="Calibri" w:hAnsi="Arial" w:cs="Arial"/>
        </w:rPr>
        <w:t>, 15(1), pp. 42–48. </w:t>
      </w:r>
    </w:p>
    <w:p w14:paraId="5BD20D68" w14:textId="77777777" w:rsidR="008737B2" w:rsidRPr="00FE174A" w:rsidRDefault="008737B2" w:rsidP="003545E8">
      <w:pPr>
        <w:spacing w:after="0" w:line="360" w:lineRule="auto"/>
        <w:jc w:val="both"/>
        <w:rPr>
          <w:rFonts w:ascii="Arial" w:eastAsia="Calibri" w:hAnsi="Arial" w:cs="Arial"/>
        </w:rPr>
      </w:pPr>
    </w:p>
    <w:p w14:paraId="6D53DB4A" w14:textId="7655E4D6" w:rsidR="00AF7B17" w:rsidRPr="00FE174A" w:rsidRDefault="00AF7B17" w:rsidP="003545E8">
      <w:pPr>
        <w:spacing w:after="0" w:line="360" w:lineRule="auto"/>
        <w:jc w:val="both"/>
        <w:rPr>
          <w:rFonts w:ascii="Arial" w:eastAsia="Calibri" w:hAnsi="Arial" w:cs="Arial"/>
        </w:rPr>
      </w:pPr>
      <w:r w:rsidRPr="00FE174A">
        <w:rPr>
          <w:rFonts w:ascii="Arial" w:eastAsia="Calibri" w:hAnsi="Arial" w:cs="Arial"/>
        </w:rPr>
        <w:t>Garand, L., Mitchell, A.M., Dietrick, A., Hijjawi, S.P. and Pan, D. (2006) 'Suicide in older adults: nursing assessment of suicide risk', </w:t>
      </w:r>
      <w:r w:rsidRPr="00FE174A">
        <w:rPr>
          <w:rFonts w:ascii="Arial" w:eastAsia="Calibri" w:hAnsi="Arial" w:cs="Arial"/>
          <w:i/>
          <w:iCs/>
        </w:rPr>
        <w:t>Issues in Mental Health Nursing</w:t>
      </w:r>
      <w:r w:rsidRPr="00FE174A">
        <w:rPr>
          <w:rFonts w:ascii="Arial" w:eastAsia="Calibri" w:hAnsi="Arial" w:cs="Arial"/>
        </w:rPr>
        <w:t>, 27(4), pp. 355–370.</w:t>
      </w:r>
    </w:p>
    <w:p w14:paraId="774A79D2" w14:textId="77777777" w:rsidR="00AF7B17" w:rsidRPr="00FE174A" w:rsidRDefault="00AF7B17" w:rsidP="003545E8">
      <w:pPr>
        <w:spacing w:after="0" w:line="360" w:lineRule="auto"/>
        <w:jc w:val="both"/>
        <w:rPr>
          <w:rFonts w:ascii="Arial" w:eastAsia="Calibri" w:hAnsi="Arial" w:cs="Arial"/>
        </w:rPr>
      </w:pPr>
    </w:p>
    <w:p w14:paraId="1BADC553" w14:textId="766760A3" w:rsidR="00AF7B17" w:rsidRPr="00FE174A" w:rsidRDefault="00AF7B17" w:rsidP="003545E8">
      <w:pPr>
        <w:spacing w:after="0" w:line="360" w:lineRule="auto"/>
        <w:jc w:val="both"/>
        <w:rPr>
          <w:rFonts w:ascii="Arial" w:eastAsia="Calibri" w:hAnsi="Arial" w:cs="Arial"/>
        </w:rPr>
      </w:pPr>
      <w:r w:rsidRPr="00FE174A">
        <w:rPr>
          <w:rFonts w:ascii="Arial" w:eastAsia="Calibri" w:hAnsi="Arial" w:cs="Arial"/>
        </w:rPr>
        <w:t>Givens, J.L., Kiely, D.K., Carey, K. and Mitchell, S.L. (2009) 'Healthcare proxies of nursing home residents with advanced dementia: decisions they confront and their satisfaction with decision-making', </w:t>
      </w:r>
      <w:r w:rsidRPr="00FE174A">
        <w:rPr>
          <w:rFonts w:ascii="Arial" w:eastAsia="Calibri" w:hAnsi="Arial" w:cs="Arial"/>
          <w:i/>
          <w:iCs/>
        </w:rPr>
        <w:t>Journal of the American Geriatrics Society</w:t>
      </w:r>
      <w:r w:rsidRPr="00FE174A">
        <w:rPr>
          <w:rFonts w:ascii="Arial" w:eastAsia="Calibri" w:hAnsi="Arial" w:cs="Arial"/>
        </w:rPr>
        <w:t>, 57(7), pp. 1149–1155.</w:t>
      </w:r>
    </w:p>
    <w:p w14:paraId="0C5B4338" w14:textId="77777777" w:rsidR="008737B2" w:rsidRPr="00FE174A" w:rsidRDefault="008737B2" w:rsidP="003545E8">
      <w:pPr>
        <w:spacing w:after="0" w:line="360" w:lineRule="auto"/>
        <w:jc w:val="both"/>
        <w:rPr>
          <w:rFonts w:ascii="Arial" w:eastAsia="Calibri" w:hAnsi="Arial" w:cs="Arial"/>
        </w:rPr>
      </w:pPr>
    </w:p>
    <w:p w14:paraId="78EF910C" w14:textId="1F45A69D" w:rsidR="00AF7B17" w:rsidRPr="00FE174A" w:rsidRDefault="00AF7B17" w:rsidP="003545E8">
      <w:pPr>
        <w:spacing w:after="0" w:line="360" w:lineRule="auto"/>
        <w:jc w:val="both"/>
        <w:rPr>
          <w:rFonts w:ascii="Arial" w:eastAsia="Calibri" w:hAnsi="Arial" w:cs="Arial"/>
        </w:rPr>
      </w:pPr>
      <w:r w:rsidRPr="00FE174A">
        <w:rPr>
          <w:rFonts w:ascii="Arial" w:eastAsia="Calibri" w:hAnsi="Arial" w:cs="Arial"/>
        </w:rPr>
        <w:t>Goffman, E. (2007) </w:t>
      </w:r>
      <w:r w:rsidRPr="00FE174A">
        <w:rPr>
          <w:rFonts w:ascii="Arial" w:eastAsia="Calibri" w:hAnsi="Arial" w:cs="Arial"/>
          <w:i/>
          <w:iCs/>
        </w:rPr>
        <w:t>Asylums: essays on the social situation of mental patients and other inmates</w:t>
      </w:r>
      <w:r w:rsidRPr="00FE174A">
        <w:rPr>
          <w:rFonts w:ascii="Arial" w:eastAsia="Calibri" w:hAnsi="Arial" w:cs="Arial"/>
        </w:rPr>
        <w:t>. 1st edn. Abingdon: Routledge.</w:t>
      </w:r>
    </w:p>
    <w:p w14:paraId="2740FEBA" w14:textId="77777777" w:rsidR="008737B2" w:rsidRPr="00FE174A" w:rsidRDefault="008737B2" w:rsidP="003545E8">
      <w:pPr>
        <w:spacing w:after="0" w:line="360" w:lineRule="auto"/>
        <w:jc w:val="both"/>
        <w:rPr>
          <w:rFonts w:ascii="Arial" w:eastAsia="Calibri" w:hAnsi="Arial" w:cs="Arial"/>
        </w:rPr>
      </w:pPr>
    </w:p>
    <w:p w14:paraId="16FD60D0" w14:textId="0378E7A9"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Gold Standards Framework Centre (2025) </w:t>
      </w:r>
      <w:r w:rsidRPr="00FE174A">
        <w:rPr>
          <w:rFonts w:ascii="Arial" w:eastAsia="Calibri" w:hAnsi="Arial" w:cs="Arial"/>
          <w:i/>
          <w:iCs/>
        </w:rPr>
        <w:t>Gold Standards Framework for Care Homes</w:t>
      </w:r>
      <w:r w:rsidRPr="00FE174A">
        <w:rPr>
          <w:rFonts w:ascii="Arial" w:eastAsia="Calibri" w:hAnsi="Arial" w:cs="Arial"/>
        </w:rPr>
        <w:t xml:space="preserve">. Shrewsbury: GSF Centre. Available at: </w:t>
      </w:r>
      <w:hyperlink r:id="rId32" w:history="1">
        <w:r w:rsidRPr="00FE174A">
          <w:rPr>
            <w:rStyle w:val="Hyperlink"/>
            <w:rFonts w:ascii="Arial" w:eastAsia="Calibri" w:hAnsi="Arial" w:cs="Arial"/>
          </w:rPr>
          <w:t>https://www.goldstandardsframework.org.uk/care-homes</w:t>
        </w:r>
      </w:hyperlink>
      <w:r w:rsidRPr="00FE174A">
        <w:rPr>
          <w:rFonts w:ascii="Arial" w:eastAsia="Calibri" w:hAnsi="Arial" w:cs="Arial"/>
        </w:rPr>
        <w:t xml:space="preserve"> (Accessed: 14 January 2026).</w:t>
      </w:r>
    </w:p>
    <w:p w14:paraId="505BF9D0" w14:textId="77777777" w:rsidR="008737B2" w:rsidRPr="00FE174A" w:rsidRDefault="008737B2" w:rsidP="003545E8">
      <w:pPr>
        <w:spacing w:after="0" w:line="360" w:lineRule="auto"/>
        <w:jc w:val="both"/>
        <w:rPr>
          <w:rFonts w:ascii="Arial" w:eastAsia="Calibri" w:hAnsi="Arial" w:cs="Arial"/>
        </w:rPr>
      </w:pPr>
    </w:p>
    <w:p w14:paraId="4B24028D" w14:textId="5A6AD2C6" w:rsidR="00C60ADA" w:rsidRPr="00FE174A" w:rsidRDefault="00C60ADA" w:rsidP="003545E8">
      <w:pPr>
        <w:spacing w:after="0" w:line="360" w:lineRule="auto"/>
        <w:jc w:val="both"/>
        <w:rPr>
          <w:rFonts w:ascii="Arial" w:eastAsia="Calibri" w:hAnsi="Arial" w:cs="Arial"/>
        </w:rPr>
      </w:pPr>
      <w:r w:rsidRPr="00FE174A">
        <w:rPr>
          <w:rFonts w:ascii="Arial" w:eastAsia="Calibri" w:hAnsi="Arial" w:cs="Arial"/>
        </w:rPr>
        <w:t>Goodman, C., Froggatt, K., Amador, S., Mathie, E. and Mayrhofer, A. (2015) 'End of life care interventions for people with dementia in care homes: addressing uncertainty within a framework for service delivery and evaluation', </w:t>
      </w:r>
      <w:r w:rsidRPr="00FE174A">
        <w:rPr>
          <w:rFonts w:ascii="Arial" w:eastAsia="Calibri" w:hAnsi="Arial" w:cs="Arial"/>
          <w:i/>
          <w:iCs/>
        </w:rPr>
        <w:t>BMC Palliative Care</w:t>
      </w:r>
      <w:r w:rsidRPr="00FE174A">
        <w:rPr>
          <w:rFonts w:ascii="Arial" w:eastAsia="Calibri" w:hAnsi="Arial" w:cs="Arial"/>
        </w:rPr>
        <w:t>, 14(42), pp. 1–11. </w:t>
      </w:r>
    </w:p>
    <w:p w14:paraId="0BB18BBF" w14:textId="77777777" w:rsidR="008737B2" w:rsidRPr="00FE174A" w:rsidRDefault="008737B2" w:rsidP="003545E8">
      <w:pPr>
        <w:spacing w:after="0" w:line="360" w:lineRule="auto"/>
        <w:jc w:val="both"/>
        <w:rPr>
          <w:rFonts w:ascii="Arial" w:eastAsia="Calibri" w:hAnsi="Arial" w:cs="Arial"/>
        </w:rPr>
      </w:pPr>
    </w:p>
    <w:p w14:paraId="4D70803B" w14:textId="443D2E69" w:rsidR="00C60ADA" w:rsidRPr="00FE174A" w:rsidRDefault="00C60ADA" w:rsidP="003545E8">
      <w:pPr>
        <w:spacing w:after="0" w:line="360" w:lineRule="auto"/>
        <w:jc w:val="both"/>
        <w:rPr>
          <w:rFonts w:ascii="Arial" w:eastAsia="Calibri" w:hAnsi="Arial" w:cs="Arial"/>
        </w:rPr>
      </w:pPr>
      <w:r w:rsidRPr="00FE174A">
        <w:rPr>
          <w:rFonts w:ascii="Arial" w:eastAsia="Calibri" w:hAnsi="Arial" w:cs="Arial"/>
        </w:rPr>
        <w:t>Goodman, C., Dening, T., Gordon, A.L., Davies, S.L., Meyer, J., Martin, F.C., Gladman, J.R., Bowman, C., Victor, C., Handley, M., Gage, H., Iliffe, S. and Zubair, M. (2016) 'Effective health care for older people living and dying in care homes: a realist review', </w:t>
      </w:r>
      <w:r w:rsidRPr="00FE174A">
        <w:rPr>
          <w:rFonts w:ascii="Arial" w:eastAsia="Calibri" w:hAnsi="Arial" w:cs="Arial"/>
          <w:i/>
          <w:iCs/>
        </w:rPr>
        <w:t>BMC Health Services Research</w:t>
      </w:r>
      <w:r w:rsidRPr="00FE174A">
        <w:rPr>
          <w:rFonts w:ascii="Arial" w:eastAsia="Calibri" w:hAnsi="Arial" w:cs="Arial"/>
        </w:rPr>
        <w:t>, 16(269), pp. 1–15.</w:t>
      </w:r>
    </w:p>
    <w:p w14:paraId="1011B79A" w14:textId="77777777" w:rsidR="008737B2" w:rsidRPr="00FE174A" w:rsidRDefault="008737B2" w:rsidP="003545E8">
      <w:pPr>
        <w:spacing w:after="0" w:line="360" w:lineRule="auto"/>
        <w:jc w:val="both"/>
        <w:rPr>
          <w:rFonts w:ascii="Arial" w:eastAsia="Calibri" w:hAnsi="Arial" w:cs="Arial"/>
        </w:rPr>
      </w:pPr>
    </w:p>
    <w:p w14:paraId="2FABC343" w14:textId="77777777" w:rsidR="00C60ADA" w:rsidRPr="00FE174A" w:rsidRDefault="00C60ADA" w:rsidP="00C60ADA">
      <w:pPr>
        <w:spacing w:after="0" w:line="360" w:lineRule="auto"/>
        <w:jc w:val="both"/>
        <w:rPr>
          <w:rFonts w:ascii="Arial" w:eastAsia="Calibri" w:hAnsi="Arial" w:cs="Arial"/>
        </w:rPr>
      </w:pPr>
      <w:r w:rsidRPr="00FE174A">
        <w:rPr>
          <w:rFonts w:ascii="Arial" w:eastAsia="Calibri" w:hAnsi="Arial" w:cs="Arial"/>
        </w:rPr>
        <w:t>Gough, D., Oliver, S. and Thomas, J. (2017) </w:t>
      </w:r>
      <w:r w:rsidRPr="00FE174A">
        <w:rPr>
          <w:rFonts w:ascii="Arial" w:eastAsia="Calibri" w:hAnsi="Arial" w:cs="Arial"/>
          <w:i/>
          <w:iCs/>
        </w:rPr>
        <w:t>An introduction to systematic reviews</w:t>
      </w:r>
      <w:r w:rsidRPr="00FE174A">
        <w:rPr>
          <w:rFonts w:ascii="Arial" w:eastAsia="Calibri" w:hAnsi="Arial" w:cs="Arial"/>
        </w:rPr>
        <w:t>. 2nd edn. London: SAGE.</w:t>
      </w:r>
    </w:p>
    <w:p w14:paraId="2335E6B4" w14:textId="6BDA4591" w:rsidR="006C3A84" w:rsidRPr="00FE174A" w:rsidRDefault="006C3A84" w:rsidP="003545E8">
      <w:pPr>
        <w:spacing w:after="0" w:line="360" w:lineRule="auto"/>
        <w:jc w:val="both"/>
        <w:rPr>
          <w:rFonts w:ascii="Arial" w:eastAsia="Calibri" w:hAnsi="Arial" w:cs="Arial"/>
        </w:rPr>
      </w:pPr>
    </w:p>
    <w:p w14:paraId="02567327" w14:textId="77777777" w:rsidR="008737B2" w:rsidRPr="00FE174A" w:rsidRDefault="008737B2" w:rsidP="003545E8">
      <w:pPr>
        <w:spacing w:after="0" w:line="360" w:lineRule="auto"/>
        <w:jc w:val="both"/>
        <w:rPr>
          <w:rFonts w:ascii="Arial" w:eastAsia="Calibri" w:hAnsi="Arial" w:cs="Arial"/>
        </w:rPr>
      </w:pPr>
    </w:p>
    <w:p w14:paraId="66A51564" w14:textId="35ED1D9A" w:rsidR="00C60ADA" w:rsidRPr="00FE174A" w:rsidRDefault="00C60ADA" w:rsidP="003545E8">
      <w:pPr>
        <w:spacing w:after="0" w:line="360" w:lineRule="auto"/>
        <w:jc w:val="both"/>
        <w:rPr>
          <w:rFonts w:ascii="Arial" w:eastAsia="Calibri" w:hAnsi="Arial" w:cs="Arial"/>
        </w:rPr>
      </w:pPr>
      <w:r w:rsidRPr="00FE174A">
        <w:rPr>
          <w:rFonts w:ascii="Arial" w:eastAsia="Calibri" w:hAnsi="Arial" w:cs="Arial"/>
        </w:rPr>
        <w:lastRenderedPageBreak/>
        <w:t>Greenhalgh, T. and Peacock, R. (2005) 'Effectiveness and efficiency of search methods in systematic reviews of complex evidence: audit of primary sources', </w:t>
      </w:r>
      <w:r w:rsidRPr="00FE174A">
        <w:rPr>
          <w:rFonts w:ascii="Arial" w:eastAsia="Calibri" w:hAnsi="Arial" w:cs="Arial"/>
          <w:i/>
          <w:iCs/>
        </w:rPr>
        <w:t>BMJ</w:t>
      </w:r>
      <w:r w:rsidRPr="00FE174A">
        <w:rPr>
          <w:rFonts w:ascii="Arial" w:eastAsia="Calibri" w:hAnsi="Arial" w:cs="Arial"/>
        </w:rPr>
        <w:t>, 331(7524), pp. 1064–1065.</w:t>
      </w:r>
    </w:p>
    <w:p w14:paraId="6761770B" w14:textId="77777777" w:rsidR="00C60ADA" w:rsidRPr="00FE174A" w:rsidRDefault="00C60ADA" w:rsidP="003545E8">
      <w:pPr>
        <w:spacing w:after="0" w:line="360" w:lineRule="auto"/>
        <w:jc w:val="both"/>
        <w:rPr>
          <w:rFonts w:ascii="Arial" w:eastAsia="Calibri" w:hAnsi="Arial" w:cs="Arial"/>
        </w:rPr>
      </w:pPr>
    </w:p>
    <w:p w14:paraId="5DBB1DCB" w14:textId="5C986204" w:rsidR="00C60ADA" w:rsidRPr="00FE174A" w:rsidRDefault="00C60ADA" w:rsidP="003545E8">
      <w:pPr>
        <w:spacing w:after="0" w:line="360" w:lineRule="auto"/>
        <w:jc w:val="both"/>
        <w:rPr>
          <w:rFonts w:ascii="Arial" w:eastAsia="Calibri" w:hAnsi="Arial" w:cs="Arial"/>
        </w:rPr>
      </w:pPr>
      <w:r w:rsidRPr="00FE174A">
        <w:rPr>
          <w:rFonts w:ascii="Arial" w:eastAsia="Calibri" w:hAnsi="Arial" w:cs="Arial"/>
        </w:rPr>
        <w:t>Grol, R. and Grimshaw, J. (2003) 'From best evidence to best practice: effective implementation of change in patients' care', </w:t>
      </w:r>
      <w:r w:rsidRPr="00FE174A">
        <w:rPr>
          <w:rFonts w:ascii="Arial" w:eastAsia="Calibri" w:hAnsi="Arial" w:cs="Arial"/>
          <w:i/>
          <w:iCs/>
        </w:rPr>
        <w:t>The Lancet</w:t>
      </w:r>
      <w:r w:rsidRPr="00FE174A">
        <w:rPr>
          <w:rFonts w:ascii="Arial" w:eastAsia="Calibri" w:hAnsi="Arial" w:cs="Arial"/>
        </w:rPr>
        <w:t>, 362(9391), pp. 1225–1230.</w:t>
      </w:r>
    </w:p>
    <w:p w14:paraId="24AAB3E1" w14:textId="77777777" w:rsidR="008737B2" w:rsidRPr="00FE174A" w:rsidRDefault="008737B2" w:rsidP="003545E8">
      <w:pPr>
        <w:spacing w:after="0" w:line="360" w:lineRule="auto"/>
        <w:jc w:val="both"/>
        <w:rPr>
          <w:rFonts w:ascii="Arial" w:eastAsia="Calibri" w:hAnsi="Arial" w:cs="Arial"/>
        </w:rPr>
      </w:pPr>
    </w:p>
    <w:p w14:paraId="11D0A2FC" w14:textId="225AC33C" w:rsidR="006C3A84" w:rsidRPr="00FE174A" w:rsidRDefault="00C60ADA" w:rsidP="003545E8">
      <w:pPr>
        <w:spacing w:after="0" w:line="360" w:lineRule="auto"/>
        <w:jc w:val="both"/>
        <w:rPr>
          <w:rFonts w:ascii="Arial" w:eastAsia="Calibri" w:hAnsi="Arial" w:cs="Arial"/>
        </w:rPr>
      </w:pPr>
      <w:r w:rsidRPr="00FE174A">
        <w:rPr>
          <w:rFonts w:ascii="Arial" w:eastAsia="Calibri" w:hAnsi="Arial" w:cs="Arial"/>
        </w:rPr>
        <w:t>Gurung, S. and Chaudhury, H. (2025) 'Relationship-centered care for older adults in long-term care homes: a scoping review', </w:t>
      </w:r>
      <w:r w:rsidRPr="00FE174A">
        <w:rPr>
          <w:rFonts w:ascii="Arial" w:eastAsia="Calibri" w:hAnsi="Arial" w:cs="Arial"/>
          <w:i/>
          <w:iCs/>
        </w:rPr>
        <w:t>Journal of Applied Gerontology</w:t>
      </w:r>
      <w:r w:rsidRPr="00FE174A">
        <w:rPr>
          <w:rFonts w:ascii="Arial" w:eastAsia="Calibri" w:hAnsi="Arial" w:cs="Arial"/>
        </w:rPr>
        <w:t>, 44(9), pp. 1513–1532.</w:t>
      </w:r>
    </w:p>
    <w:p w14:paraId="5926A9E6" w14:textId="77777777" w:rsidR="008737B2" w:rsidRPr="00FE174A" w:rsidRDefault="008737B2" w:rsidP="003545E8">
      <w:pPr>
        <w:spacing w:after="0" w:line="360" w:lineRule="auto"/>
        <w:jc w:val="both"/>
        <w:rPr>
          <w:rFonts w:ascii="Arial" w:eastAsia="Calibri" w:hAnsi="Arial" w:cs="Arial"/>
        </w:rPr>
      </w:pPr>
    </w:p>
    <w:p w14:paraId="0C096B1A" w14:textId="4CF2B39D" w:rsidR="006C3A84" w:rsidRPr="00FE174A" w:rsidRDefault="00C60ADA" w:rsidP="003545E8">
      <w:pPr>
        <w:spacing w:after="0" w:line="360" w:lineRule="auto"/>
        <w:jc w:val="both"/>
        <w:rPr>
          <w:rFonts w:ascii="Arial" w:eastAsia="Calibri" w:hAnsi="Arial" w:cs="Arial"/>
        </w:rPr>
      </w:pPr>
      <w:r w:rsidRPr="00FE174A">
        <w:rPr>
          <w:rFonts w:ascii="Arial" w:eastAsia="Calibri" w:hAnsi="Arial" w:cs="Arial"/>
        </w:rPr>
        <w:t>Hall, S., Kolliakou, A., Petkova, H., Froggatt, K. and Higginson, I.J. (2011) 'Interventions for improving palliative care for older people living in nursing care homes', </w:t>
      </w:r>
      <w:r w:rsidRPr="00FE174A">
        <w:rPr>
          <w:rFonts w:ascii="Arial" w:eastAsia="Calibri" w:hAnsi="Arial" w:cs="Arial"/>
          <w:i/>
          <w:iCs/>
        </w:rPr>
        <w:t>Cochrane Database of Systematic Reviews</w:t>
      </w:r>
      <w:r w:rsidRPr="00FE174A">
        <w:rPr>
          <w:rFonts w:ascii="Arial" w:eastAsia="Calibri" w:hAnsi="Arial" w:cs="Arial"/>
        </w:rPr>
        <w:t>, (3), CD007132. </w:t>
      </w:r>
    </w:p>
    <w:p w14:paraId="6EC63CF6" w14:textId="77777777" w:rsidR="00C60ADA" w:rsidRPr="00FE174A" w:rsidRDefault="00C60ADA" w:rsidP="003545E8">
      <w:pPr>
        <w:spacing w:after="0" w:line="360" w:lineRule="auto"/>
        <w:jc w:val="both"/>
        <w:rPr>
          <w:rFonts w:ascii="Arial" w:eastAsia="Calibri" w:hAnsi="Arial" w:cs="Arial"/>
        </w:rPr>
      </w:pPr>
    </w:p>
    <w:p w14:paraId="605E77D8" w14:textId="08830CCC" w:rsidR="006C3A84" w:rsidRPr="00FE174A" w:rsidRDefault="00C60ADA" w:rsidP="003545E8">
      <w:pPr>
        <w:spacing w:after="0" w:line="360" w:lineRule="auto"/>
        <w:jc w:val="both"/>
        <w:rPr>
          <w:rFonts w:ascii="Arial" w:eastAsia="Calibri" w:hAnsi="Arial" w:cs="Arial"/>
        </w:rPr>
      </w:pPr>
      <w:r w:rsidRPr="00FE174A">
        <w:rPr>
          <w:rFonts w:ascii="Arial" w:eastAsia="Calibri" w:hAnsi="Arial" w:cs="Arial"/>
        </w:rPr>
        <w:t>Hancock, K., Clayton, J.M., Parker, S.M., Walder, S., Butow, P.N., Carrick, S., Currow, D., Ghersi, D., Glare, P., Hagerty, R. and Tattersall, M.H. (2007) 'Truth-telling in discussing prognosis in advanced life-limiting illnesses: a systematic review', </w:t>
      </w:r>
      <w:r w:rsidRPr="00FE174A">
        <w:rPr>
          <w:rFonts w:ascii="Arial" w:eastAsia="Calibri" w:hAnsi="Arial" w:cs="Arial"/>
          <w:i/>
          <w:iCs/>
        </w:rPr>
        <w:t>Palliative Medicine</w:t>
      </w:r>
      <w:r w:rsidRPr="00FE174A">
        <w:rPr>
          <w:rFonts w:ascii="Arial" w:eastAsia="Calibri" w:hAnsi="Arial" w:cs="Arial"/>
        </w:rPr>
        <w:t>, 21(6), pp. 507–517. </w:t>
      </w:r>
    </w:p>
    <w:p w14:paraId="25C4EC16" w14:textId="77777777" w:rsidR="008737B2" w:rsidRPr="00FE174A" w:rsidRDefault="008737B2" w:rsidP="003545E8">
      <w:pPr>
        <w:spacing w:after="0" w:line="360" w:lineRule="auto"/>
        <w:jc w:val="both"/>
        <w:rPr>
          <w:rFonts w:ascii="Arial" w:eastAsia="Calibri" w:hAnsi="Arial" w:cs="Arial"/>
        </w:rPr>
      </w:pPr>
    </w:p>
    <w:p w14:paraId="23288A8A" w14:textId="009C0625" w:rsidR="006C3A84" w:rsidRPr="00FE174A" w:rsidRDefault="00C60ADA" w:rsidP="003545E8">
      <w:pPr>
        <w:spacing w:after="0" w:line="360" w:lineRule="auto"/>
        <w:jc w:val="both"/>
        <w:rPr>
          <w:rFonts w:ascii="Arial" w:eastAsia="Calibri" w:hAnsi="Arial" w:cs="Arial"/>
        </w:rPr>
      </w:pPr>
      <w:r w:rsidRPr="00FE174A">
        <w:rPr>
          <w:rFonts w:ascii="Arial" w:hAnsi="Arial" w:cs="Arial"/>
        </w:rPr>
        <w:t>Handley, M., Parker, D., Bunn, F. and Goodman, C. (2022) 'A qualitative comparison of care home staff and palliative care specialists' experiences of providing end of life care to people living and dying with dementia in care homes in two countries: a focus group study', </w:t>
      </w:r>
      <w:r w:rsidRPr="00FE174A">
        <w:rPr>
          <w:rFonts w:ascii="Arial" w:hAnsi="Arial" w:cs="Arial"/>
          <w:i/>
          <w:iCs/>
        </w:rPr>
        <w:t>Palliative Medicine</w:t>
      </w:r>
      <w:r w:rsidRPr="00FE174A">
        <w:rPr>
          <w:rFonts w:ascii="Arial" w:hAnsi="Arial" w:cs="Arial"/>
        </w:rPr>
        <w:t>, 36(1), pp. 114–123.</w:t>
      </w:r>
    </w:p>
    <w:p w14:paraId="6EBB6F97" w14:textId="77777777" w:rsidR="008737B2" w:rsidRPr="00FE174A" w:rsidRDefault="008737B2" w:rsidP="003545E8">
      <w:pPr>
        <w:spacing w:after="0" w:line="360" w:lineRule="auto"/>
        <w:jc w:val="both"/>
        <w:rPr>
          <w:rFonts w:ascii="Arial" w:eastAsia="Calibri" w:hAnsi="Arial" w:cs="Arial"/>
        </w:rPr>
      </w:pPr>
    </w:p>
    <w:p w14:paraId="11012534" w14:textId="6F192328" w:rsidR="00C60ADA" w:rsidRPr="00FE174A" w:rsidRDefault="00C60ADA" w:rsidP="003545E8">
      <w:pPr>
        <w:spacing w:after="0" w:line="360" w:lineRule="auto"/>
        <w:jc w:val="both"/>
        <w:rPr>
          <w:rFonts w:ascii="Arial" w:eastAsia="Calibri" w:hAnsi="Arial" w:cs="Arial"/>
        </w:rPr>
      </w:pPr>
      <w:r w:rsidRPr="00FE174A">
        <w:rPr>
          <w:rFonts w:ascii="Arial" w:eastAsia="Calibri" w:hAnsi="Arial" w:cs="Arial"/>
        </w:rPr>
        <w:t>Hanna, K., Giebel, C., Tetlow, H., Ward, K., Shenton, J., Cannon, J., Komuravelli, A., Gaughan, A., Eley, R., Rogers, C., Rajagopal, M., Limbert, S., Callaghan, S., Whittington, R., Butchard, S., Shaw, L. and Gabbay, M. (2022) 'Emotional and mental wellbeing following COVID-19 public health measures on people living with dementia and carers', </w:t>
      </w:r>
      <w:r w:rsidRPr="00FE174A">
        <w:rPr>
          <w:rFonts w:ascii="Arial" w:eastAsia="Calibri" w:hAnsi="Arial" w:cs="Arial"/>
          <w:i/>
          <w:iCs/>
        </w:rPr>
        <w:t>Journal of Geriatric Psychiatry and Neurology</w:t>
      </w:r>
      <w:r w:rsidRPr="00FE174A">
        <w:rPr>
          <w:rFonts w:ascii="Arial" w:eastAsia="Calibri" w:hAnsi="Arial" w:cs="Arial"/>
        </w:rPr>
        <w:t>, 35(3), pp. 344–352.</w:t>
      </w:r>
    </w:p>
    <w:p w14:paraId="60EA58E3" w14:textId="77777777" w:rsidR="008737B2" w:rsidRPr="00FE174A" w:rsidRDefault="008737B2" w:rsidP="003545E8">
      <w:pPr>
        <w:spacing w:after="0" w:line="360" w:lineRule="auto"/>
        <w:jc w:val="both"/>
        <w:rPr>
          <w:rFonts w:ascii="Arial" w:eastAsia="Calibri" w:hAnsi="Arial" w:cs="Arial"/>
        </w:rPr>
      </w:pPr>
    </w:p>
    <w:p w14:paraId="5C935300" w14:textId="76612596"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Health and Care Act </w:t>
      </w:r>
      <w:r w:rsidR="008A5811" w:rsidRPr="00FE174A">
        <w:rPr>
          <w:rFonts w:ascii="Arial" w:eastAsia="Calibri" w:hAnsi="Arial" w:cs="Arial"/>
        </w:rPr>
        <w:t>(</w:t>
      </w:r>
      <w:r w:rsidRPr="00FE174A">
        <w:rPr>
          <w:rFonts w:ascii="Arial" w:eastAsia="Calibri" w:hAnsi="Arial" w:cs="Arial"/>
        </w:rPr>
        <w:t>2022</w:t>
      </w:r>
      <w:r w:rsidR="008A5811" w:rsidRPr="00FE174A">
        <w:rPr>
          <w:rFonts w:ascii="Arial" w:eastAsia="Calibri" w:hAnsi="Arial" w:cs="Arial"/>
        </w:rPr>
        <w:t>)</w:t>
      </w:r>
      <w:r w:rsidRPr="00FE174A">
        <w:rPr>
          <w:rFonts w:ascii="Arial" w:eastAsia="Calibri" w:hAnsi="Arial" w:cs="Arial"/>
        </w:rPr>
        <w:t xml:space="preserve"> (c. 31). London: HMSO. Available at: </w:t>
      </w:r>
      <w:hyperlink r:id="rId33" w:history="1">
        <w:r w:rsidRPr="00FE174A">
          <w:rPr>
            <w:rStyle w:val="Hyperlink"/>
            <w:rFonts w:ascii="Arial" w:eastAsia="Calibri" w:hAnsi="Arial" w:cs="Arial"/>
          </w:rPr>
          <w:t>https://www.legislation.gov.uk/ukpga/2022/31/contents/enacted</w:t>
        </w:r>
      </w:hyperlink>
      <w:r w:rsidRPr="00FE174A">
        <w:rPr>
          <w:rFonts w:ascii="Arial" w:eastAsia="Calibri" w:hAnsi="Arial" w:cs="Arial"/>
        </w:rPr>
        <w:t xml:space="preserve"> (Accessed: 18 October 2025).</w:t>
      </w:r>
    </w:p>
    <w:p w14:paraId="4E995A25" w14:textId="77777777" w:rsidR="008A5811" w:rsidRPr="00FE174A" w:rsidRDefault="008A5811" w:rsidP="003545E8">
      <w:pPr>
        <w:spacing w:after="0" w:line="360" w:lineRule="auto"/>
        <w:jc w:val="both"/>
        <w:rPr>
          <w:rFonts w:ascii="Arial" w:eastAsia="Calibri" w:hAnsi="Arial" w:cs="Arial"/>
        </w:rPr>
      </w:pPr>
    </w:p>
    <w:p w14:paraId="1AE40796" w14:textId="6405D3C0"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Higgins, J.P.T., Thomas, J., Chandler, J., Cumpston, M., Li, T., Page, M.J. and Welch, V.A. (eds) (2019) </w:t>
      </w:r>
      <w:r w:rsidRPr="00FE174A">
        <w:rPr>
          <w:rFonts w:ascii="Arial" w:eastAsia="Calibri" w:hAnsi="Arial" w:cs="Arial"/>
          <w:i/>
          <w:iCs/>
        </w:rPr>
        <w:t>Cochrane Handbook for Systematic Reviews of Interventions</w:t>
      </w:r>
      <w:r w:rsidRPr="00FE174A">
        <w:rPr>
          <w:rFonts w:ascii="Arial" w:eastAsia="Calibri" w:hAnsi="Arial" w:cs="Arial"/>
        </w:rPr>
        <w:t xml:space="preserve"> (2nd edn). Chichester: John Wiley &amp; Sons.</w:t>
      </w:r>
    </w:p>
    <w:p w14:paraId="6BE1D4B7" w14:textId="77777777" w:rsidR="008A5811" w:rsidRPr="00FE174A" w:rsidRDefault="008A5811" w:rsidP="003545E8">
      <w:pPr>
        <w:spacing w:after="0" w:line="360" w:lineRule="auto"/>
        <w:jc w:val="both"/>
        <w:rPr>
          <w:rFonts w:ascii="Arial" w:eastAsia="Calibri" w:hAnsi="Arial" w:cs="Arial"/>
        </w:rPr>
      </w:pPr>
    </w:p>
    <w:p w14:paraId="34B5C9A0" w14:textId="5E44E379" w:rsidR="000F5C2E" w:rsidRPr="00FE174A" w:rsidRDefault="000F5C2E" w:rsidP="003545E8">
      <w:pPr>
        <w:spacing w:after="0" w:line="360" w:lineRule="auto"/>
        <w:jc w:val="both"/>
        <w:rPr>
          <w:rFonts w:ascii="Arial" w:eastAsia="Calibri" w:hAnsi="Arial" w:cs="Arial"/>
        </w:rPr>
      </w:pPr>
      <w:r w:rsidRPr="00FE174A">
        <w:rPr>
          <w:rFonts w:ascii="Arial" w:eastAsia="Calibri" w:hAnsi="Arial" w:cs="Arial"/>
        </w:rPr>
        <w:lastRenderedPageBreak/>
        <w:t>Hochschild, A.R. (2012) </w:t>
      </w:r>
      <w:r w:rsidRPr="00FE174A">
        <w:rPr>
          <w:rFonts w:ascii="Arial" w:eastAsia="Calibri" w:hAnsi="Arial" w:cs="Arial"/>
          <w:i/>
          <w:iCs/>
        </w:rPr>
        <w:t>The managed heart: commercialization of human feeling</w:t>
      </w:r>
      <w:r w:rsidRPr="00FE174A">
        <w:rPr>
          <w:rFonts w:ascii="Arial" w:eastAsia="Calibri" w:hAnsi="Arial" w:cs="Arial"/>
        </w:rPr>
        <w:t>. 3rd edn. Berkeley: University of California Press.</w:t>
      </w:r>
    </w:p>
    <w:p w14:paraId="2CAFA016" w14:textId="77777777" w:rsidR="008737B2" w:rsidRPr="00FE174A" w:rsidRDefault="008737B2" w:rsidP="003545E8">
      <w:pPr>
        <w:spacing w:after="0" w:line="360" w:lineRule="auto"/>
        <w:jc w:val="both"/>
        <w:rPr>
          <w:rFonts w:ascii="Arial" w:eastAsia="Calibri" w:hAnsi="Arial" w:cs="Arial"/>
        </w:rPr>
      </w:pPr>
    </w:p>
    <w:p w14:paraId="73C76599" w14:textId="4D3F5BD3" w:rsidR="000F5C2E" w:rsidRPr="00FE174A" w:rsidRDefault="000F5C2E" w:rsidP="003545E8">
      <w:pPr>
        <w:spacing w:after="0" w:line="360" w:lineRule="auto"/>
        <w:jc w:val="both"/>
        <w:rPr>
          <w:rFonts w:ascii="Arial" w:eastAsia="Calibri" w:hAnsi="Arial" w:cs="Arial"/>
        </w:rPr>
      </w:pPr>
      <w:r w:rsidRPr="00FE174A">
        <w:rPr>
          <w:rFonts w:ascii="Arial" w:eastAsia="Calibri" w:hAnsi="Arial" w:cs="Arial"/>
        </w:rPr>
        <w:t>Holley, C.K. and Mast, B.T. (2009) 'The impact of anticipatory grief on caregiver burden in dementia caregivers', </w:t>
      </w:r>
      <w:r w:rsidRPr="00FE174A">
        <w:rPr>
          <w:rFonts w:ascii="Arial" w:eastAsia="Calibri" w:hAnsi="Arial" w:cs="Arial"/>
          <w:i/>
          <w:iCs/>
        </w:rPr>
        <w:t>The Gerontologist</w:t>
      </w:r>
      <w:r w:rsidRPr="00FE174A">
        <w:rPr>
          <w:rFonts w:ascii="Arial" w:eastAsia="Calibri" w:hAnsi="Arial" w:cs="Arial"/>
        </w:rPr>
        <w:t>, 49(3), pp. 388–396.</w:t>
      </w:r>
    </w:p>
    <w:p w14:paraId="227D5B66" w14:textId="77777777" w:rsidR="000F5C2E" w:rsidRPr="00FE174A" w:rsidRDefault="000F5C2E" w:rsidP="003545E8">
      <w:pPr>
        <w:spacing w:after="0" w:line="360" w:lineRule="auto"/>
        <w:jc w:val="both"/>
        <w:rPr>
          <w:rFonts w:ascii="Arial" w:eastAsia="Calibri" w:hAnsi="Arial" w:cs="Arial"/>
        </w:rPr>
      </w:pPr>
    </w:p>
    <w:p w14:paraId="36B711FC" w14:textId="085A2025" w:rsidR="000F5C2E" w:rsidRPr="00FE174A" w:rsidRDefault="000F5C2E" w:rsidP="003545E8">
      <w:pPr>
        <w:spacing w:after="0" w:line="360" w:lineRule="auto"/>
        <w:jc w:val="both"/>
        <w:rPr>
          <w:rFonts w:ascii="Arial" w:eastAsia="Calibri" w:hAnsi="Arial" w:cs="Arial"/>
        </w:rPr>
      </w:pPr>
      <w:r w:rsidRPr="00FE174A">
        <w:rPr>
          <w:rFonts w:ascii="Arial" w:eastAsia="Calibri" w:hAnsi="Arial" w:cs="Arial"/>
        </w:rPr>
        <w:t>Holley, C.K. and Mast, B.T. (2010) 'Predictors of anticipatory grief in dementia caregivers', </w:t>
      </w:r>
      <w:r w:rsidRPr="00FE174A">
        <w:rPr>
          <w:rFonts w:ascii="Arial" w:eastAsia="Calibri" w:hAnsi="Arial" w:cs="Arial"/>
          <w:i/>
          <w:iCs/>
        </w:rPr>
        <w:t>Clinical Gerontologist</w:t>
      </w:r>
      <w:r w:rsidRPr="00FE174A">
        <w:rPr>
          <w:rFonts w:ascii="Arial" w:eastAsia="Calibri" w:hAnsi="Arial" w:cs="Arial"/>
        </w:rPr>
        <w:t>, 33(3), pp. 223–236.</w:t>
      </w:r>
    </w:p>
    <w:p w14:paraId="6FC72503" w14:textId="77777777" w:rsidR="008737B2" w:rsidRPr="00FE174A" w:rsidRDefault="008737B2" w:rsidP="003545E8">
      <w:pPr>
        <w:spacing w:after="0" w:line="360" w:lineRule="auto"/>
        <w:jc w:val="both"/>
        <w:rPr>
          <w:rFonts w:ascii="Arial" w:eastAsia="Calibri" w:hAnsi="Arial" w:cs="Arial"/>
        </w:rPr>
      </w:pPr>
    </w:p>
    <w:p w14:paraId="50ABDA95" w14:textId="119B5706" w:rsidR="008737B2" w:rsidRPr="00FE174A" w:rsidRDefault="00F760A6" w:rsidP="003545E8">
      <w:pPr>
        <w:spacing w:after="0" w:line="360" w:lineRule="auto"/>
        <w:jc w:val="both"/>
        <w:rPr>
          <w:rFonts w:ascii="Arial" w:eastAsia="Calibri" w:hAnsi="Arial" w:cs="Arial"/>
        </w:rPr>
      </w:pPr>
      <w:r w:rsidRPr="00FE174A">
        <w:rPr>
          <w:rFonts w:ascii="Arial" w:eastAsia="Calibri" w:hAnsi="Arial" w:cs="Arial"/>
        </w:rPr>
        <w:t>Hospice UK (2024) </w:t>
      </w:r>
      <w:r w:rsidRPr="00FE174A">
        <w:rPr>
          <w:rFonts w:ascii="Arial" w:eastAsia="Calibri" w:hAnsi="Arial" w:cs="Arial"/>
          <w:i/>
          <w:iCs/>
        </w:rPr>
        <w:t>Hospice health report 2024</w:t>
      </w:r>
      <w:r w:rsidRPr="00FE174A">
        <w:rPr>
          <w:rFonts w:ascii="Arial" w:eastAsia="Calibri" w:hAnsi="Arial" w:cs="Arial"/>
        </w:rPr>
        <w:t xml:space="preserve">. Available at: </w:t>
      </w:r>
      <w:hyperlink r:id="rId34" w:history="1">
        <w:r w:rsidRPr="00FE174A">
          <w:rPr>
            <w:rStyle w:val="Hyperlink"/>
            <w:rFonts w:ascii="Arial" w:eastAsia="Calibri" w:hAnsi="Arial" w:cs="Arial"/>
          </w:rPr>
          <w:t>https://www.hospiceuk.org/latest-from-hospice-uk/hospice-health-report-2024</w:t>
        </w:r>
      </w:hyperlink>
      <w:r w:rsidRPr="00FE174A">
        <w:rPr>
          <w:rFonts w:ascii="Arial" w:eastAsia="Calibri" w:hAnsi="Arial" w:cs="Arial"/>
        </w:rPr>
        <w:t xml:space="preserve"> (Accessed: 5 December 2025).</w:t>
      </w:r>
    </w:p>
    <w:p w14:paraId="5A29DACE" w14:textId="77777777" w:rsidR="00F760A6" w:rsidRPr="00FE174A" w:rsidRDefault="00F760A6" w:rsidP="003545E8">
      <w:pPr>
        <w:spacing w:after="0" w:line="360" w:lineRule="auto"/>
        <w:jc w:val="both"/>
        <w:rPr>
          <w:rFonts w:ascii="Arial" w:eastAsia="Calibri" w:hAnsi="Arial" w:cs="Arial"/>
        </w:rPr>
      </w:pPr>
    </w:p>
    <w:p w14:paraId="301AC9A9" w14:textId="30E167E7" w:rsidR="00F760A6" w:rsidRPr="00FE174A" w:rsidRDefault="00F760A6" w:rsidP="003545E8">
      <w:pPr>
        <w:spacing w:after="0" w:line="360" w:lineRule="auto"/>
        <w:jc w:val="both"/>
        <w:rPr>
          <w:rFonts w:ascii="Arial" w:eastAsia="Calibri" w:hAnsi="Arial" w:cs="Arial"/>
        </w:rPr>
      </w:pPr>
      <w:r w:rsidRPr="00FE174A">
        <w:rPr>
          <w:rFonts w:ascii="Arial" w:eastAsia="Calibri" w:hAnsi="Arial" w:cs="Arial"/>
        </w:rPr>
        <w:t>Hussein, S. and Manthorpe, J. (2012) 'The dementia social care workforce in England: secondary analysis of a national workforce dataset', </w:t>
      </w:r>
      <w:r w:rsidRPr="00FE174A">
        <w:rPr>
          <w:rFonts w:ascii="Arial" w:eastAsia="Calibri" w:hAnsi="Arial" w:cs="Arial"/>
          <w:i/>
          <w:iCs/>
        </w:rPr>
        <w:t>Aging &amp; Mental Health</w:t>
      </w:r>
      <w:r w:rsidRPr="00FE174A">
        <w:rPr>
          <w:rFonts w:ascii="Arial" w:eastAsia="Calibri" w:hAnsi="Arial" w:cs="Arial"/>
        </w:rPr>
        <w:t>, 16(1), pp. 110–118.</w:t>
      </w:r>
    </w:p>
    <w:p w14:paraId="103EF3F6" w14:textId="77777777" w:rsidR="008737B2" w:rsidRPr="00FE174A" w:rsidRDefault="008737B2" w:rsidP="003545E8">
      <w:pPr>
        <w:spacing w:after="0" w:line="360" w:lineRule="auto"/>
        <w:jc w:val="both"/>
        <w:rPr>
          <w:rFonts w:ascii="Arial" w:eastAsia="Calibri" w:hAnsi="Arial" w:cs="Arial"/>
        </w:rPr>
      </w:pPr>
    </w:p>
    <w:p w14:paraId="3FDFD2D7" w14:textId="58639E90" w:rsidR="00F760A6" w:rsidRPr="00FE174A" w:rsidRDefault="00F760A6" w:rsidP="003545E8">
      <w:pPr>
        <w:spacing w:after="0" w:line="360" w:lineRule="auto"/>
        <w:jc w:val="both"/>
        <w:rPr>
          <w:rFonts w:ascii="Arial" w:eastAsia="Calibri" w:hAnsi="Arial" w:cs="Arial"/>
        </w:rPr>
      </w:pPr>
      <w:r w:rsidRPr="00FE174A">
        <w:rPr>
          <w:rFonts w:ascii="Arial" w:eastAsia="Calibri" w:hAnsi="Arial" w:cs="Arial"/>
        </w:rPr>
        <w:t>Hussein, S., Ismail, M. and Manthorpe, J. (2016) 'Changes in turnover and vacancy rates of care workers in England from 2008 to 2010: panel analysis of national workforce data', </w:t>
      </w:r>
      <w:r w:rsidRPr="00FE174A">
        <w:rPr>
          <w:rFonts w:ascii="Arial" w:eastAsia="Calibri" w:hAnsi="Arial" w:cs="Arial"/>
          <w:i/>
          <w:iCs/>
        </w:rPr>
        <w:t>Health &amp; Social Care in the Community</w:t>
      </w:r>
      <w:r w:rsidRPr="00FE174A">
        <w:rPr>
          <w:rFonts w:ascii="Arial" w:eastAsia="Calibri" w:hAnsi="Arial" w:cs="Arial"/>
        </w:rPr>
        <w:t>, 24(5), pp. 547–556. </w:t>
      </w:r>
    </w:p>
    <w:p w14:paraId="61E06E6E" w14:textId="77777777" w:rsidR="008737B2" w:rsidRPr="00FE174A" w:rsidRDefault="008737B2" w:rsidP="003545E8">
      <w:pPr>
        <w:spacing w:after="0" w:line="360" w:lineRule="auto"/>
        <w:jc w:val="both"/>
        <w:rPr>
          <w:rFonts w:ascii="Arial" w:eastAsia="Calibri" w:hAnsi="Arial" w:cs="Arial"/>
        </w:rPr>
      </w:pPr>
    </w:p>
    <w:p w14:paraId="1EA4C771" w14:textId="06D494C1" w:rsidR="00F760A6" w:rsidRPr="00FE174A" w:rsidRDefault="00F760A6" w:rsidP="003545E8">
      <w:pPr>
        <w:spacing w:after="0" w:line="360" w:lineRule="auto"/>
        <w:jc w:val="both"/>
        <w:rPr>
          <w:rFonts w:ascii="Arial" w:eastAsia="Calibri" w:hAnsi="Arial" w:cs="Arial"/>
        </w:rPr>
      </w:pPr>
      <w:r w:rsidRPr="00FE174A">
        <w:rPr>
          <w:rFonts w:ascii="Arial" w:eastAsia="Calibri" w:hAnsi="Arial" w:cs="Arial"/>
        </w:rPr>
        <w:t>James, N. (1989) 'Emotional labour: skill and work in the social regulation of feelings', </w:t>
      </w:r>
      <w:r w:rsidRPr="00FE174A">
        <w:rPr>
          <w:rFonts w:ascii="Arial" w:eastAsia="Calibri" w:hAnsi="Arial" w:cs="Arial"/>
          <w:i/>
          <w:iCs/>
        </w:rPr>
        <w:t>The Sociological Review</w:t>
      </w:r>
      <w:r w:rsidRPr="00FE174A">
        <w:rPr>
          <w:rFonts w:ascii="Arial" w:eastAsia="Calibri" w:hAnsi="Arial" w:cs="Arial"/>
        </w:rPr>
        <w:t>, 37(1), pp. 15–42.</w:t>
      </w:r>
    </w:p>
    <w:p w14:paraId="6CACBFD5" w14:textId="77777777" w:rsidR="008737B2" w:rsidRPr="00FE174A" w:rsidRDefault="008737B2" w:rsidP="003545E8">
      <w:pPr>
        <w:spacing w:after="0" w:line="360" w:lineRule="auto"/>
        <w:jc w:val="both"/>
        <w:rPr>
          <w:rFonts w:ascii="Arial" w:eastAsia="Calibri" w:hAnsi="Arial" w:cs="Arial"/>
        </w:rPr>
      </w:pPr>
    </w:p>
    <w:p w14:paraId="69C35BED" w14:textId="5A4EA81E" w:rsidR="00F760A6" w:rsidRPr="00FE174A" w:rsidRDefault="00F760A6" w:rsidP="003545E8">
      <w:pPr>
        <w:spacing w:after="0" w:line="360" w:lineRule="auto"/>
        <w:jc w:val="both"/>
        <w:rPr>
          <w:rFonts w:ascii="Arial" w:eastAsia="Calibri" w:hAnsi="Arial" w:cs="Arial"/>
        </w:rPr>
      </w:pPr>
      <w:r w:rsidRPr="00FE174A">
        <w:rPr>
          <w:rFonts w:ascii="Arial" w:eastAsia="Calibri" w:hAnsi="Arial" w:cs="Arial"/>
        </w:rPr>
        <w:t>James, N. (1992) 'Care = organisation + physical labour + emotional labour', </w:t>
      </w:r>
      <w:r w:rsidRPr="00FE174A">
        <w:rPr>
          <w:rFonts w:ascii="Arial" w:eastAsia="Calibri" w:hAnsi="Arial" w:cs="Arial"/>
          <w:i/>
          <w:iCs/>
        </w:rPr>
        <w:t>Sociology of Health &amp; Illness</w:t>
      </w:r>
      <w:r w:rsidRPr="00FE174A">
        <w:rPr>
          <w:rFonts w:ascii="Arial" w:eastAsia="Calibri" w:hAnsi="Arial" w:cs="Arial"/>
        </w:rPr>
        <w:t>, 14(4), pp. 488–509. </w:t>
      </w:r>
    </w:p>
    <w:p w14:paraId="40C98980" w14:textId="77777777" w:rsidR="008737B2" w:rsidRPr="00FE174A" w:rsidRDefault="008737B2" w:rsidP="003545E8">
      <w:pPr>
        <w:spacing w:after="0" w:line="360" w:lineRule="auto"/>
        <w:jc w:val="both"/>
        <w:rPr>
          <w:rFonts w:ascii="Arial" w:eastAsia="Calibri" w:hAnsi="Arial" w:cs="Arial"/>
        </w:rPr>
      </w:pPr>
    </w:p>
    <w:p w14:paraId="5B561FD0" w14:textId="0EACC912"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James Lind Alliance/NIHR (2015) </w:t>
      </w:r>
      <w:r w:rsidRPr="00FE174A">
        <w:rPr>
          <w:rFonts w:ascii="Arial" w:eastAsia="Calibri" w:hAnsi="Arial" w:cs="Arial"/>
          <w:i/>
          <w:iCs/>
        </w:rPr>
        <w:t>Palliative and End of Life Care Priority Setting Partnership</w:t>
      </w:r>
      <w:r w:rsidRPr="00FE174A">
        <w:rPr>
          <w:rFonts w:ascii="Arial" w:eastAsia="Calibri" w:hAnsi="Arial" w:cs="Arial"/>
        </w:rPr>
        <w:t xml:space="preserve">. Southampton: NIHR. Available at: </w:t>
      </w:r>
      <w:hyperlink r:id="rId35" w:history="1">
        <w:r w:rsidRPr="00FE174A">
          <w:rPr>
            <w:rStyle w:val="Hyperlink"/>
            <w:rFonts w:ascii="Arial" w:eastAsia="Calibri" w:hAnsi="Arial" w:cs="Arial"/>
          </w:rPr>
          <w:t>https://www.jla.nihr.ac.uk/priority-setting-partnerships/palliative-and-end-of-life-care</w:t>
        </w:r>
      </w:hyperlink>
      <w:r w:rsidRPr="00FE174A">
        <w:rPr>
          <w:rFonts w:ascii="Arial" w:eastAsia="Calibri" w:hAnsi="Arial" w:cs="Arial"/>
        </w:rPr>
        <w:t xml:space="preserve"> (Accessed: 19 December 2025).</w:t>
      </w:r>
    </w:p>
    <w:p w14:paraId="15AA7BA7" w14:textId="77777777" w:rsidR="008737B2" w:rsidRPr="00FE174A" w:rsidRDefault="008737B2" w:rsidP="003545E8">
      <w:pPr>
        <w:spacing w:after="0" w:line="360" w:lineRule="auto"/>
        <w:jc w:val="both"/>
        <w:rPr>
          <w:rFonts w:ascii="Arial" w:eastAsia="Calibri" w:hAnsi="Arial" w:cs="Arial"/>
        </w:rPr>
      </w:pPr>
    </w:p>
    <w:p w14:paraId="078A7627" w14:textId="258D8B15" w:rsidR="000061C5" w:rsidRPr="00FE174A" w:rsidRDefault="000061C5" w:rsidP="003545E8">
      <w:pPr>
        <w:spacing w:after="0" w:line="360" w:lineRule="auto"/>
        <w:jc w:val="both"/>
        <w:rPr>
          <w:rFonts w:ascii="Arial" w:eastAsia="Calibri" w:hAnsi="Arial" w:cs="Arial"/>
        </w:rPr>
      </w:pPr>
      <w:r w:rsidRPr="00FE174A">
        <w:rPr>
          <w:rFonts w:ascii="Arial" w:eastAsia="Calibri" w:hAnsi="Arial" w:cs="Arial"/>
        </w:rPr>
        <w:t>Johansson, T., Sleeman, K.E., Murtagh, F.E.M., et al. (2024) </w:t>
      </w:r>
      <w:r w:rsidRPr="00FE174A">
        <w:rPr>
          <w:rFonts w:ascii="Arial" w:eastAsia="Calibri" w:hAnsi="Arial" w:cs="Arial"/>
          <w:i/>
          <w:iCs/>
        </w:rPr>
        <w:t>Time to care: findings from a nationally representative survey of experiences at the end of life in England and Wales</w:t>
      </w:r>
      <w:r w:rsidRPr="00FE174A">
        <w:rPr>
          <w:rFonts w:ascii="Arial" w:eastAsia="Calibri" w:hAnsi="Arial" w:cs="Arial"/>
        </w:rPr>
        <w:t>. London: Marie Curie. </w:t>
      </w:r>
    </w:p>
    <w:p w14:paraId="457D5DED" w14:textId="77777777" w:rsidR="008737B2" w:rsidRPr="00FE174A" w:rsidRDefault="008737B2" w:rsidP="003545E8">
      <w:pPr>
        <w:spacing w:after="0" w:line="360" w:lineRule="auto"/>
        <w:jc w:val="both"/>
        <w:rPr>
          <w:rFonts w:ascii="Arial" w:eastAsia="Calibri" w:hAnsi="Arial" w:cs="Arial"/>
        </w:rPr>
      </w:pPr>
    </w:p>
    <w:p w14:paraId="63332F93" w14:textId="7F06501B" w:rsidR="000061C5" w:rsidRPr="00FE174A" w:rsidRDefault="000061C5" w:rsidP="003545E8">
      <w:pPr>
        <w:spacing w:after="0" w:line="360" w:lineRule="auto"/>
        <w:jc w:val="both"/>
        <w:rPr>
          <w:rFonts w:ascii="Arial" w:eastAsia="Calibri" w:hAnsi="Arial" w:cs="Arial"/>
        </w:rPr>
      </w:pPr>
      <w:r w:rsidRPr="00FE174A">
        <w:rPr>
          <w:rFonts w:ascii="Arial" w:eastAsia="Calibri" w:hAnsi="Arial" w:cs="Arial"/>
        </w:rPr>
        <w:t>Kehl, K.A. (2006) ‘Moving toward peace: an analysis of the concept of a good death’, </w:t>
      </w:r>
      <w:r w:rsidRPr="00FE174A">
        <w:rPr>
          <w:rFonts w:ascii="Arial" w:eastAsia="Calibri" w:hAnsi="Arial" w:cs="Arial"/>
          <w:i/>
          <w:iCs/>
        </w:rPr>
        <w:t>The American Journal of Hospice &amp; Palliative Care</w:t>
      </w:r>
      <w:r w:rsidRPr="00FE174A">
        <w:rPr>
          <w:rFonts w:ascii="Arial" w:eastAsia="Calibri" w:hAnsi="Arial" w:cs="Arial"/>
        </w:rPr>
        <w:t>, 23(4), pp. 277–286. </w:t>
      </w:r>
    </w:p>
    <w:p w14:paraId="4A2F7CE8" w14:textId="77777777" w:rsidR="000061C5" w:rsidRPr="00FE174A" w:rsidRDefault="000061C5" w:rsidP="003545E8">
      <w:pPr>
        <w:spacing w:after="0" w:line="360" w:lineRule="auto"/>
        <w:jc w:val="both"/>
        <w:rPr>
          <w:rFonts w:ascii="Arial" w:eastAsia="Calibri" w:hAnsi="Arial" w:cs="Arial"/>
        </w:rPr>
      </w:pPr>
    </w:p>
    <w:p w14:paraId="07674F03" w14:textId="77777777"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lastRenderedPageBreak/>
        <w:t xml:space="preserve">Kellehear, A. (2007) </w:t>
      </w:r>
      <w:r w:rsidRPr="00FE174A">
        <w:rPr>
          <w:rFonts w:ascii="Arial" w:eastAsia="Calibri" w:hAnsi="Arial" w:cs="Arial"/>
          <w:i/>
          <w:iCs/>
        </w:rPr>
        <w:t>A Social History of Dying</w:t>
      </w:r>
      <w:r w:rsidRPr="00FE174A">
        <w:rPr>
          <w:rFonts w:ascii="Arial" w:eastAsia="Calibri" w:hAnsi="Arial" w:cs="Arial"/>
        </w:rPr>
        <w:t>. Cambridge: Cambridge University Press.</w:t>
      </w:r>
    </w:p>
    <w:p w14:paraId="2553FE09" w14:textId="77777777" w:rsidR="000061C5" w:rsidRPr="00FE174A" w:rsidRDefault="000061C5" w:rsidP="003545E8">
      <w:pPr>
        <w:spacing w:after="0" w:line="360" w:lineRule="auto"/>
        <w:jc w:val="both"/>
        <w:rPr>
          <w:rFonts w:ascii="Arial" w:eastAsia="Calibri" w:hAnsi="Arial" w:cs="Arial"/>
        </w:rPr>
      </w:pPr>
    </w:p>
    <w:p w14:paraId="214EE5DB" w14:textId="595E7BDD" w:rsidR="006C3A84" w:rsidRPr="00FE174A" w:rsidRDefault="00AB1F86" w:rsidP="003545E8">
      <w:pPr>
        <w:spacing w:after="0" w:line="360" w:lineRule="auto"/>
        <w:jc w:val="both"/>
        <w:rPr>
          <w:rFonts w:ascii="Arial" w:eastAsia="Calibri" w:hAnsi="Arial" w:cs="Arial"/>
        </w:rPr>
      </w:pPr>
      <w:r w:rsidRPr="00FE174A">
        <w:rPr>
          <w:rFonts w:ascii="Arial" w:eastAsia="Calibri" w:hAnsi="Arial" w:cs="Arial"/>
        </w:rPr>
        <w:t>Kiely, D.K., Volicer, L., Teno, J., Jones, R.N., Prigerson, H.G. and Mitchell, S.L. (2006) ‘The validity and reliability of scales for the evaluation of end-of-life care in advanced dementia’, </w:t>
      </w:r>
      <w:r w:rsidRPr="00FE174A">
        <w:rPr>
          <w:rFonts w:ascii="Arial" w:eastAsia="Calibri" w:hAnsi="Arial" w:cs="Arial"/>
          <w:i/>
          <w:iCs/>
        </w:rPr>
        <w:t>Alzheimer Disease and Associated Disorders</w:t>
      </w:r>
      <w:r w:rsidRPr="00FE174A">
        <w:rPr>
          <w:rFonts w:ascii="Arial" w:eastAsia="Calibri" w:hAnsi="Arial" w:cs="Arial"/>
        </w:rPr>
        <w:t>, 20(3), pp. 176–181. </w:t>
      </w:r>
    </w:p>
    <w:p w14:paraId="2976B90F" w14:textId="77777777" w:rsidR="008737B2" w:rsidRPr="00FE174A" w:rsidRDefault="008737B2" w:rsidP="003545E8">
      <w:pPr>
        <w:spacing w:after="0" w:line="360" w:lineRule="auto"/>
        <w:jc w:val="both"/>
        <w:rPr>
          <w:rFonts w:ascii="Arial" w:eastAsia="Calibri" w:hAnsi="Arial" w:cs="Arial"/>
        </w:rPr>
      </w:pPr>
    </w:p>
    <w:p w14:paraId="6AD4CC23" w14:textId="4AA6473F"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Kitwood, T. (1997) </w:t>
      </w:r>
      <w:r w:rsidRPr="00FE174A">
        <w:rPr>
          <w:rFonts w:ascii="Arial" w:eastAsia="Calibri" w:hAnsi="Arial" w:cs="Arial"/>
          <w:i/>
          <w:iCs/>
        </w:rPr>
        <w:t>Dementia Reconsidered: The Person Comes First</w:t>
      </w:r>
      <w:r w:rsidRPr="00FE174A">
        <w:rPr>
          <w:rFonts w:ascii="Arial" w:eastAsia="Calibri" w:hAnsi="Arial" w:cs="Arial"/>
        </w:rPr>
        <w:t>. Buckingham: Open University Press.</w:t>
      </w:r>
    </w:p>
    <w:p w14:paraId="68080AB6" w14:textId="77777777" w:rsidR="008737B2" w:rsidRPr="00FE174A" w:rsidRDefault="008737B2" w:rsidP="003545E8">
      <w:pPr>
        <w:spacing w:after="0" w:line="360" w:lineRule="auto"/>
        <w:jc w:val="both"/>
        <w:rPr>
          <w:rFonts w:ascii="Arial" w:eastAsia="Calibri" w:hAnsi="Arial" w:cs="Arial"/>
        </w:rPr>
      </w:pPr>
    </w:p>
    <w:p w14:paraId="00A842CB" w14:textId="5F2F71D1"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Kupeli, N., Leavey, G., Moore, K., Harrington, J., Lord, K., King, M., Nazareth, I., Sampson, E.L. and Jones, L. (2016) 'Context, mechanisms and outcomes in end of life care for people with advanced dementia', </w:t>
      </w:r>
      <w:r w:rsidRPr="00FE174A">
        <w:rPr>
          <w:rFonts w:ascii="Arial" w:eastAsia="Calibri" w:hAnsi="Arial" w:cs="Arial"/>
          <w:i/>
          <w:iCs/>
        </w:rPr>
        <w:t>BMC Palliative Care</w:t>
      </w:r>
      <w:r w:rsidRPr="00FE174A">
        <w:rPr>
          <w:rFonts w:ascii="Arial" w:eastAsia="Calibri" w:hAnsi="Arial" w:cs="Arial"/>
        </w:rPr>
        <w:t xml:space="preserve">, 15:31. </w:t>
      </w:r>
    </w:p>
    <w:p w14:paraId="05903650" w14:textId="77777777" w:rsidR="008737B2" w:rsidRPr="00FE174A" w:rsidRDefault="008737B2" w:rsidP="003545E8">
      <w:pPr>
        <w:spacing w:after="0" w:line="360" w:lineRule="auto"/>
        <w:jc w:val="both"/>
        <w:rPr>
          <w:rFonts w:ascii="Arial" w:eastAsia="Calibri" w:hAnsi="Arial" w:cs="Arial"/>
        </w:rPr>
      </w:pPr>
    </w:p>
    <w:p w14:paraId="3CB69CCA" w14:textId="1DE74A05" w:rsidR="008737B2" w:rsidRPr="00FE174A" w:rsidRDefault="00AB1F86" w:rsidP="003545E8">
      <w:pPr>
        <w:spacing w:after="0" w:line="360" w:lineRule="auto"/>
        <w:jc w:val="both"/>
        <w:rPr>
          <w:rFonts w:ascii="Arial" w:eastAsia="Calibri" w:hAnsi="Arial" w:cs="Arial"/>
        </w:rPr>
      </w:pPr>
      <w:r w:rsidRPr="00FE174A">
        <w:rPr>
          <w:rFonts w:ascii="Arial" w:eastAsia="Calibri" w:hAnsi="Arial" w:cs="Arial"/>
        </w:rPr>
        <w:t>Kupeli, N., Candy, B., Tamura-Rose, G., Schofield, G., Webber, N., Hicks, S.E., Floyd, T., Vivat, B., Sampson, E.L., Stone, P. and Aspden, T. (2019) ‘Tools measuring quality of death, dying, and care, completed after death: systematic review of psychometric properties’, </w:t>
      </w:r>
      <w:r w:rsidRPr="00FE174A">
        <w:rPr>
          <w:rFonts w:ascii="Arial" w:eastAsia="Calibri" w:hAnsi="Arial" w:cs="Arial"/>
          <w:i/>
          <w:iCs/>
        </w:rPr>
        <w:t>The Patient: Patient-Centered Outcomes Research</w:t>
      </w:r>
      <w:r w:rsidRPr="00FE174A">
        <w:rPr>
          <w:rFonts w:ascii="Arial" w:eastAsia="Calibri" w:hAnsi="Arial" w:cs="Arial"/>
        </w:rPr>
        <w:t>, 12(2), pp. 183–197.</w:t>
      </w:r>
    </w:p>
    <w:p w14:paraId="75C0006B" w14:textId="77777777" w:rsidR="00AB1F86" w:rsidRPr="00FE174A" w:rsidRDefault="00AB1F86" w:rsidP="003545E8">
      <w:pPr>
        <w:spacing w:after="0" w:line="360" w:lineRule="auto"/>
        <w:jc w:val="both"/>
        <w:rPr>
          <w:rFonts w:ascii="Arial" w:eastAsia="Calibri" w:hAnsi="Arial" w:cs="Arial"/>
        </w:rPr>
      </w:pPr>
    </w:p>
    <w:p w14:paraId="5CEA1D76" w14:textId="44A9C321"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LaingBuisson (2024) </w:t>
      </w:r>
      <w:r w:rsidRPr="00FE174A">
        <w:rPr>
          <w:rFonts w:ascii="Arial" w:eastAsia="Calibri" w:hAnsi="Arial" w:cs="Arial"/>
          <w:i/>
          <w:iCs/>
        </w:rPr>
        <w:t>Adult Social Care in the UK: Scale, Structure, Funding and Financial Performance of the Independent Sector</w:t>
      </w:r>
      <w:r w:rsidRPr="00FE174A">
        <w:rPr>
          <w:rFonts w:ascii="Arial" w:eastAsia="Calibri" w:hAnsi="Arial" w:cs="Arial"/>
        </w:rPr>
        <w:t>. London: LaingBuisson.</w:t>
      </w:r>
    </w:p>
    <w:p w14:paraId="3FAFA959" w14:textId="77777777" w:rsidR="008737B2" w:rsidRPr="00FE174A" w:rsidRDefault="008737B2" w:rsidP="003545E8">
      <w:pPr>
        <w:spacing w:after="0" w:line="360" w:lineRule="auto"/>
        <w:jc w:val="both"/>
        <w:rPr>
          <w:rFonts w:ascii="Arial" w:eastAsia="Calibri" w:hAnsi="Arial" w:cs="Arial"/>
        </w:rPr>
      </w:pPr>
    </w:p>
    <w:p w14:paraId="1C792E42" w14:textId="258D4D8F"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Lee, R.P., Bamford, C., Exley, C. and Robinson, L. (2015) 'Expert views on the factors enabling good end of life care for people with dementia: a qualitative study', </w:t>
      </w:r>
      <w:r w:rsidRPr="00FE174A">
        <w:rPr>
          <w:rFonts w:ascii="Arial" w:eastAsia="Calibri" w:hAnsi="Arial" w:cs="Arial"/>
          <w:i/>
          <w:iCs/>
        </w:rPr>
        <w:t>BMC Palliative Care</w:t>
      </w:r>
      <w:r w:rsidRPr="00FE174A">
        <w:rPr>
          <w:rFonts w:ascii="Arial" w:eastAsia="Calibri" w:hAnsi="Arial" w:cs="Arial"/>
        </w:rPr>
        <w:t xml:space="preserve">, 14:32. </w:t>
      </w:r>
    </w:p>
    <w:p w14:paraId="2E64BAE1" w14:textId="77777777" w:rsidR="008737B2" w:rsidRPr="00FE174A" w:rsidRDefault="008737B2" w:rsidP="003545E8">
      <w:pPr>
        <w:spacing w:after="0" w:line="360" w:lineRule="auto"/>
        <w:jc w:val="both"/>
        <w:rPr>
          <w:rFonts w:ascii="Arial" w:eastAsia="Calibri" w:hAnsi="Arial" w:cs="Arial"/>
        </w:rPr>
      </w:pPr>
    </w:p>
    <w:p w14:paraId="70CCAD54" w14:textId="77777777"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Lincoln, Y.S. and Guba, E.G. (1985) </w:t>
      </w:r>
      <w:r w:rsidRPr="00FE174A">
        <w:rPr>
          <w:rFonts w:ascii="Arial" w:eastAsia="Calibri" w:hAnsi="Arial" w:cs="Arial"/>
          <w:i/>
          <w:iCs/>
        </w:rPr>
        <w:t>Naturalistic Inquiry</w:t>
      </w:r>
      <w:r w:rsidRPr="00FE174A">
        <w:rPr>
          <w:rFonts w:ascii="Arial" w:eastAsia="Calibri" w:hAnsi="Arial" w:cs="Arial"/>
        </w:rPr>
        <w:t>. Newbury Park, CA: SAGE Publications.</w:t>
      </w:r>
    </w:p>
    <w:p w14:paraId="04C47780" w14:textId="77777777" w:rsidR="008A5811" w:rsidRPr="00FE174A" w:rsidRDefault="008A5811" w:rsidP="003545E8">
      <w:pPr>
        <w:spacing w:after="0" w:line="360" w:lineRule="auto"/>
        <w:jc w:val="both"/>
        <w:rPr>
          <w:rFonts w:ascii="Arial" w:eastAsia="Calibri" w:hAnsi="Arial" w:cs="Arial"/>
        </w:rPr>
      </w:pPr>
    </w:p>
    <w:p w14:paraId="77225989" w14:textId="47ABA3A5"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Lindauer, A. and Harvath, T.A. (2014) 'Pre-death grief in the context of dementia caregiving: A concept analysis', </w:t>
      </w:r>
      <w:r w:rsidRPr="00FE174A">
        <w:rPr>
          <w:rFonts w:ascii="Arial" w:eastAsia="Calibri" w:hAnsi="Arial" w:cs="Arial"/>
          <w:i/>
          <w:iCs/>
        </w:rPr>
        <w:t>Journal of Advanced Nursing</w:t>
      </w:r>
      <w:r w:rsidRPr="00FE174A">
        <w:rPr>
          <w:rFonts w:ascii="Arial" w:eastAsia="Calibri" w:hAnsi="Arial" w:cs="Arial"/>
        </w:rPr>
        <w:t>, 70(10), pp. 2196-2207.</w:t>
      </w:r>
    </w:p>
    <w:p w14:paraId="74777C62" w14:textId="77777777" w:rsidR="008737B2" w:rsidRPr="00FE174A" w:rsidRDefault="008737B2" w:rsidP="003545E8">
      <w:pPr>
        <w:spacing w:after="0" w:line="360" w:lineRule="auto"/>
        <w:jc w:val="both"/>
        <w:rPr>
          <w:rFonts w:ascii="Arial" w:eastAsia="Calibri" w:hAnsi="Arial" w:cs="Arial"/>
        </w:rPr>
      </w:pPr>
    </w:p>
    <w:p w14:paraId="7BD1DDDE" w14:textId="71E39029"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Long, H.A., French, D.P. and Brooks, J.M. (2020) 'Optimising the value of the critical appraisal skills programme (CASP) tool for quality appraisal in qualitative evidence synthesis', </w:t>
      </w:r>
      <w:r w:rsidRPr="00FE174A">
        <w:rPr>
          <w:rFonts w:ascii="Arial" w:eastAsia="Calibri" w:hAnsi="Arial" w:cs="Arial"/>
          <w:i/>
          <w:iCs/>
        </w:rPr>
        <w:t>Research Methods in Medicine &amp; Health Sciences</w:t>
      </w:r>
      <w:r w:rsidRPr="00FE174A">
        <w:rPr>
          <w:rFonts w:ascii="Arial" w:eastAsia="Calibri" w:hAnsi="Arial" w:cs="Arial"/>
        </w:rPr>
        <w:t>, 1(1), pp. 31-42.</w:t>
      </w:r>
    </w:p>
    <w:p w14:paraId="283E2F7D" w14:textId="77777777" w:rsidR="00AB1F86" w:rsidRPr="00FE174A" w:rsidRDefault="00AB1F86" w:rsidP="003545E8">
      <w:pPr>
        <w:spacing w:after="0" w:line="360" w:lineRule="auto"/>
        <w:jc w:val="both"/>
        <w:rPr>
          <w:rFonts w:ascii="Arial" w:eastAsia="Calibri" w:hAnsi="Arial" w:cs="Arial"/>
        </w:rPr>
      </w:pPr>
    </w:p>
    <w:p w14:paraId="3D398CA7" w14:textId="39D53969"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Marcella, J. and Kelley, M.L. (2015) 'Death is part of the job' in long-term care homes: supporting direct care staff with their grief and bereavement', </w:t>
      </w:r>
      <w:r w:rsidRPr="00FE174A">
        <w:rPr>
          <w:rFonts w:ascii="Arial" w:eastAsia="Calibri" w:hAnsi="Arial" w:cs="Arial"/>
          <w:i/>
          <w:iCs/>
        </w:rPr>
        <w:t>SAGE Open</w:t>
      </w:r>
      <w:r w:rsidRPr="00FE174A">
        <w:rPr>
          <w:rFonts w:ascii="Arial" w:eastAsia="Calibri" w:hAnsi="Arial" w:cs="Arial"/>
        </w:rPr>
        <w:t xml:space="preserve">, 5(1), pp. 1-11. </w:t>
      </w:r>
    </w:p>
    <w:p w14:paraId="3C29243D" w14:textId="77777777" w:rsidR="008737B2" w:rsidRPr="00FE174A" w:rsidRDefault="008737B2" w:rsidP="003545E8">
      <w:pPr>
        <w:spacing w:after="0" w:line="360" w:lineRule="auto"/>
        <w:jc w:val="both"/>
        <w:rPr>
          <w:rFonts w:ascii="Arial" w:eastAsia="Calibri" w:hAnsi="Arial" w:cs="Arial"/>
        </w:rPr>
      </w:pPr>
    </w:p>
    <w:p w14:paraId="63D5B802" w14:textId="3C9762E9"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lastRenderedPageBreak/>
        <w:t xml:space="preserve">May, C. and Finch, T. (2009) 'Implementing, embedding, and integrating practices: an outline of Normalization Process Theory', </w:t>
      </w:r>
      <w:r w:rsidRPr="00FE174A">
        <w:rPr>
          <w:rFonts w:ascii="Arial" w:eastAsia="Calibri" w:hAnsi="Arial" w:cs="Arial"/>
          <w:i/>
          <w:iCs/>
        </w:rPr>
        <w:t>Sociology</w:t>
      </w:r>
      <w:r w:rsidRPr="00FE174A">
        <w:rPr>
          <w:rFonts w:ascii="Arial" w:eastAsia="Calibri" w:hAnsi="Arial" w:cs="Arial"/>
        </w:rPr>
        <w:t xml:space="preserve">, 43(3), pp. 535-554. </w:t>
      </w:r>
    </w:p>
    <w:p w14:paraId="2DD5F937" w14:textId="77777777" w:rsidR="008737B2" w:rsidRPr="00FE174A" w:rsidRDefault="008737B2" w:rsidP="003545E8">
      <w:pPr>
        <w:spacing w:after="0" w:line="360" w:lineRule="auto"/>
        <w:jc w:val="both"/>
        <w:rPr>
          <w:rFonts w:ascii="Arial" w:eastAsia="Calibri" w:hAnsi="Arial" w:cs="Arial"/>
        </w:rPr>
      </w:pPr>
    </w:p>
    <w:p w14:paraId="190120A9" w14:textId="04C68ACD"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McCormack, B. and McCance, T. (2017) </w:t>
      </w:r>
      <w:r w:rsidRPr="00FE174A">
        <w:rPr>
          <w:rFonts w:ascii="Arial" w:eastAsia="Calibri" w:hAnsi="Arial" w:cs="Arial"/>
          <w:i/>
          <w:iCs/>
        </w:rPr>
        <w:t>Person-Centred Practice in Nursing and Health Care: Theory and Practice</w:t>
      </w:r>
      <w:r w:rsidRPr="00FE174A">
        <w:rPr>
          <w:rFonts w:ascii="Arial" w:eastAsia="Calibri" w:hAnsi="Arial" w:cs="Arial"/>
        </w:rPr>
        <w:t xml:space="preserve"> (2nd edn). Chichester: Wiley-Blackwell.</w:t>
      </w:r>
    </w:p>
    <w:p w14:paraId="4FC78974" w14:textId="77777777" w:rsidR="008737B2" w:rsidRPr="00FE174A" w:rsidRDefault="008737B2" w:rsidP="003545E8">
      <w:pPr>
        <w:spacing w:after="0" w:line="360" w:lineRule="auto"/>
        <w:jc w:val="both"/>
        <w:rPr>
          <w:rFonts w:ascii="Arial" w:eastAsia="Calibri" w:hAnsi="Arial" w:cs="Arial"/>
        </w:rPr>
      </w:pPr>
    </w:p>
    <w:p w14:paraId="5B4EB781" w14:textId="7E3139D0"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Meier, E.A., Gallegos, J.V., Thomas, L.P., Depp, C.A., Irwin, S.A. and Jeste, D.V. (2016) 'Defining a good death (successful dying): Literature review and a call for research and public dialogue', </w:t>
      </w:r>
      <w:r w:rsidRPr="00FE174A">
        <w:rPr>
          <w:rFonts w:ascii="Arial" w:eastAsia="Calibri" w:hAnsi="Arial" w:cs="Arial"/>
          <w:i/>
          <w:iCs/>
        </w:rPr>
        <w:t>American Journal of Geriatric Psychiatry</w:t>
      </w:r>
      <w:r w:rsidRPr="00FE174A">
        <w:rPr>
          <w:rFonts w:ascii="Arial" w:eastAsia="Calibri" w:hAnsi="Arial" w:cs="Arial"/>
        </w:rPr>
        <w:t>, 24(4), pp. 261-271.</w:t>
      </w:r>
    </w:p>
    <w:p w14:paraId="1C1B963B" w14:textId="77777777" w:rsidR="008737B2" w:rsidRPr="00FE174A" w:rsidRDefault="008737B2" w:rsidP="003545E8">
      <w:pPr>
        <w:spacing w:after="0" w:line="360" w:lineRule="auto"/>
        <w:jc w:val="both"/>
        <w:rPr>
          <w:rFonts w:ascii="Arial" w:eastAsia="Calibri" w:hAnsi="Arial" w:cs="Arial"/>
        </w:rPr>
      </w:pPr>
    </w:p>
    <w:p w14:paraId="75E2ADF8" w14:textId="28414A5C"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Michie, S., van Stralen, M.M. and West, R. (2011) 'The behaviour change wheel: A new method for characterising and designing behaviour change interventions', </w:t>
      </w:r>
      <w:r w:rsidRPr="00FE174A">
        <w:rPr>
          <w:rFonts w:ascii="Arial" w:eastAsia="Calibri" w:hAnsi="Arial" w:cs="Arial"/>
          <w:i/>
          <w:iCs/>
        </w:rPr>
        <w:t>Implementation Science</w:t>
      </w:r>
      <w:r w:rsidRPr="00FE174A">
        <w:rPr>
          <w:rFonts w:ascii="Arial" w:eastAsia="Calibri" w:hAnsi="Arial" w:cs="Arial"/>
        </w:rPr>
        <w:t>, 6:42.</w:t>
      </w:r>
    </w:p>
    <w:p w14:paraId="7E897CF1" w14:textId="77777777" w:rsidR="008737B2" w:rsidRPr="00FE174A" w:rsidRDefault="008737B2" w:rsidP="003545E8">
      <w:pPr>
        <w:spacing w:after="0" w:line="360" w:lineRule="auto"/>
        <w:jc w:val="both"/>
        <w:rPr>
          <w:rFonts w:ascii="Arial" w:eastAsia="Calibri" w:hAnsi="Arial" w:cs="Arial"/>
        </w:rPr>
      </w:pPr>
    </w:p>
    <w:p w14:paraId="143908B2" w14:textId="33881CAD"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Moore, K.J., Candy, B., Davis, S., Gola, A., Harrington, J., Kupeli, N., Vickerstaff, V., King, M., Leavey, G., Nazareth, I., Omar, R.Z., Jones, L. and Sampson, E.L. (2017) 'Implementing the compassion intervention, a model for integrated care for people with advanced dementia towards the end of life in nursing homes: a naturalistic feasibility study', </w:t>
      </w:r>
      <w:r w:rsidRPr="00FE174A">
        <w:rPr>
          <w:rFonts w:ascii="Arial" w:eastAsia="Calibri" w:hAnsi="Arial" w:cs="Arial"/>
          <w:i/>
          <w:iCs/>
        </w:rPr>
        <w:t>BMJ Open</w:t>
      </w:r>
      <w:r w:rsidRPr="00FE174A">
        <w:rPr>
          <w:rFonts w:ascii="Arial" w:eastAsia="Calibri" w:hAnsi="Arial" w:cs="Arial"/>
        </w:rPr>
        <w:t>, 7:e015515.</w:t>
      </w:r>
    </w:p>
    <w:p w14:paraId="24074BDC" w14:textId="77777777" w:rsidR="008737B2" w:rsidRPr="00FE174A" w:rsidRDefault="008737B2" w:rsidP="003545E8">
      <w:pPr>
        <w:spacing w:after="0" w:line="360" w:lineRule="auto"/>
        <w:jc w:val="both"/>
        <w:rPr>
          <w:rFonts w:ascii="Arial" w:eastAsia="Calibri" w:hAnsi="Arial" w:cs="Arial"/>
        </w:rPr>
      </w:pPr>
    </w:p>
    <w:p w14:paraId="101CBC42" w14:textId="3D087B94" w:rsidR="00AB1F86" w:rsidRPr="00FE174A" w:rsidRDefault="00966D5B" w:rsidP="003545E8">
      <w:pPr>
        <w:spacing w:after="0" w:line="360" w:lineRule="auto"/>
        <w:jc w:val="both"/>
        <w:rPr>
          <w:rFonts w:ascii="Arial" w:eastAsia="Calibri" w:hAnsi="Arial" w:cs="Arial"/>
          <w:i/>
          <w:iCs/>
        </w:rPr>
      </w:pPr>
      <w:r w:rsidRPr="00FE174A">
        <w:rPr>
          <w:rFonts w:ascii="Arial" w:eastAsia="Calibri" w:hAnsi="Arial" w:cs="Arial"/>
        </w:rPr>
        <w:t>Muldrew, D.H.L., Kaasalainen, S., McLaughlin, D. and Brazil, K. (2020) ‘Ethical issues in nursing home palliative care: a cross-national survey’, </w:t>
      </w:r>
      <w:r w:rsidRPr="00FE174A">
        <w:rPr>
          <w:rFonts w:ascii="Arial" w:eastAsia="Calibri" w:hAnsi="Arial" w:cs="Arial"/>
          <w:i/>
          <w:iCs/>
        </w:rPr>
        <w:t>BMJ Supportive &amp; Palliative Care</w:t>
      </w:r>
    </w:p>
    <w:p w14:paraId="4A65C377" w14:textId="77777777" w:rsidR="00966D5B" w:rsidRPr="00FE174A" w:rsidRDefault="00966D5B" w:rsidP="003545E8">
      <w:pPr>
        <w:spacing w:after="0" w:line="360" w:lineRule="auto"/>
        <w:jc w:val="both"/>
        <w:rPr>
          <w:rFonts w:ascii="Arial" w:eastAsia="Calibri" w:hAnsi="Arial" w:cs="Arial"/>
        </w:rPr>
      </w:pPr>
    </w:p>
    <w:p w14:paraId="438BE78B" w14:textId="560093E3"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National Institute for Health and Care Research (2022) </w:t>
      </w:r>
      <w:r w:rsidRPr="00FE174A">
        <w:rPr>
          <w:rFonts w:ascii="Arial" w:eastAsia="Calibri" w:hAnsi="Arial" w:cs="Arial"/>
          <w:i/>
          <w:iCs/>
        </w:rPr>
        <w:t>Policy Research Programme Policy Research Unit - Palliative and End of Life Care: Commissioning Brief</w:t>
      </w:r>
      <w:r w:rsidRPr="00FE174A">
        <w:rPr>
          <w:rFonts w:ascii="Arial" w:eastAsia="Calibri" w:hAnsi="Arial" w:cs="Arial"/>
        </w:rPr>
        <w:t xml:space="preserve">. Southampton: NIHR. Available at: </w:t>
      </w:r>
      <w:hyperlink r:id="rId36" w:history="1">
        <w:r w:rsidR="00966D5B" w:rsidRPr="00FE174A">
          <w:rPr>
            <w:rStyle w:val="Hyperlink"/>
            <w:rFonts w:ascii="Arial" w:hAnsi="Arial" w:cs="Arial"/>
          </w:rPr>
          <w:t>https://www.nihr.ac.uk/policy-research-programme-policy-research-unit-palliative-and-end-life-care</w:t>
        </w:r>
      </w:hyperlink>
      <w:r w:rsidR="00966D5B" w:rsidRPr="00FE174A">
        <w:rPr>
          <w:rFonts w:ascii="Arial" w:hAnsi="Arial" w:cs="Arial"/>
        </w:rPr>
        <w:t xml:space="preserve"> </w:t>
      </w:r>
      <w:r w:rsidRPr="00FE174A">
        <w:rPr>
          <w:rFonts w:ascii="Arial" w:eastAsia="Calibri" w:hAnsi="Arial" w:cs="Arial"/>
        </w:rPr>
        <w:t>(Accessed: 12 January 2026).</w:t>
      </w:r>
    </w:p>
    <w:p w14:paraId="6794EA07" w14:textId="77777777" w:rsidR="008737B2" w:rsidRPr="00FE174A" w:rsidRDefault="008737B2" w:rsidP="003545E8">
      <w:pPr>
        <w:spacing w:after="0" w:line="360" w:lineRule="auto"/>
        <w:jc w:val="both"/>
        <w:rPr>
          <w:rFonts w:ascii="Arial" w:eastAsia="Calibri" w:hAnsi="Arial" w:cs="Arial"/>
        </w:rPr>
      </w:pPr>
    </w:p>
    <w:p w14:paraId="693EA4B9" w14:textId="56E30A19"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National Palliative and End of Life Care Partnership (2015) </w:t>
      </w:r>
      <w:r w:rsidRPr="00FE174A">
        <w:rPr>
          <w:rFonts w:ascii="Arial" w:eastAsia="Calibri" w:hAnsi="Arial" w:cs="Arial"/>
          <w:i/>
          <w:iCs/>
        </w:rPr>
        <w:t>Ambitions for Palliative and End of Life Care: A National Framework for Local Action 2015-2020</w:t>
      </w:r>
      <w:r w:rsidRPr="00FE174A">
        <w:rPr>
          <w:rFonts w:ascii="Arial" w:eastAsia="Calibri" w:hAnsi="Arial" w:cs="Arial"/>
        </w:rPr>
        <w:t>. London: National Palliative and End of Life Care Partnership.</w:t>
      </w:r>
    </w:p>
    <w:p w14:paraId="5F074F13" w14:textId="77777777" w:rsidR="008737B2" w:rsidRPr="00FE174A" w:rsidRDefault="008737B2" w:rsidP="003545E8">
      <w:pPr>
        <w:spacing w:after="0" w:line="360" w:lineRule="auto"/>
        <w:jc w:val="both"/>
        <w:rPr>
          <w:rFonts w:ascii="Arial" w:eastAsia="Calibri" w:hAnsi="Arial" w:cs="Arial"/>
        </w:rPr>
      </w:pPr>
    </w:p>
    <w:p w14:paraId="23423642" w14:textId="626FE809"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National Palliative and End of Life Care Partnership (2021) </w:t>
      </w:r>
      <w:r w:rsidRPr="00FE174A">
        <w:rPr>
          <w:rFonts w:ascii="Arial" w:eastAsia="Calibri" w:hAnsi="Arial" w:cs="Arial"/>
          <w:i/>
          <w:iCs/>
        </w:rPr>
        <w:t>Ambitions for Palliative and End of Life Care: A National Framework for Local Action 2021-2026</w:t>
      </w:r>
      <w:r w:rsidRPr="00FE174A">
        <w:rPr>
          <w:rFonts w:ascii="Arial" w:eastAsia="Calibri" w:hAnsi="Arial" w:cs="Arial"/>
        </w:rPr>
        <w:t xml:space="preserve">. London: National Palliative and End of Life Care Partnership. </w:t>
      </w:r>
    </w:p>
    <w:p w14:paraId="3B1350C2" w14:textId="77777777" w:rsidR="008737B2" w:rsidRPr="00FE174A" w:rsidRDefault="008737B2" w:rsidP="003545E8">
      <w:pPr>
        <w:spacing w:after="0" w:line="360" w:lineRule="auto"/>
        <w:jc w:val="both"/>
        <w:rPr>
          <w:rFonts w:ascii="Arial" w:eastAsia="Calibri" w:hAnsi="Arial" w:cs="Arial"/>
        </w:rPr>
      </w:pPr>
    </w:p>
    <w:p w14:paraId="3E284EC7" w14:textId="77777777"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NHS England (2016) </w:t>
      </w:r>
      <w:r w:rsidRPr="00FE174A">
        <w:rPr>
          <w:rFonts w:ascii="Arial" w:eastAsia="Calibri" w:hAnsi="Arial" w:cs="Arial"/>
          <w:i/>
          <w:iCs/>
        </w:rPr>
        <w:t>Commitment to Carers</w:t>
      </w:r>
      <w:r w:rsidRPr="00FE174A">
        <w:rPr>
          <w:rFonts w:ascii="Arial" w:eastAsia="Calibri" w:hAnsi="Arial" w:cs="Arial"/>
        </w:rPr>
        <w:t>. Leeds: NHS England.</w:t>
      </w:r>
    </w:p>
    <w:p w14:paraId="1B1AE17F" w14:textId="77777777" w:rsidR="008A5811" w:rsidRPr="00FE174A" w:rsidRDefault="008A5811" w:rsidP="003545E8">
      <w:pPr>
        <w:spacing w:after="0" w:line="360" w:lineRule="auto"/>
        <w:jc w:val="both"/>
        <w:rPr>
          <w:rFonts w:ascii="Arial" w:eastAsia="Calibri" w:hAnsi="Arial" w:cs="Arial"/>
        </w:rPr>
      </w:pPr>
    </w:p>
    <w:p w14:paraId="0872ABA2" w14:textId="2624A989" w:rsidR="008737B2" w:rsidRPr="00FE174A" w:rsidRDefault="006C3A84" w:rsidP="003545E8">
      <w:pPr>
        <w:spacing w:after="0" w:line="360" w:lineRule="auto"/>
        <w:jc w:val="both"/>
        <w:rPr>
          <w:rFonts w:ascii="Arial" w:eastAsia="Calibri" w:hAnsi="Arial" w:cs="Arial"/>
        </w:rPr>
      </w:pPr>
      <w:r w:rsidRPr="00FE174A">
        <w:rPr>
          <w:rFonts w:ascii="Arial" w:eastAsia="Calibri" w:hAnsi="Arial" w:cs="Arial"/>
        </w:rPr>
        <w:lastRenderedPageBreak/>
        <w:t xml:space="preserve">NHS England (2019) </w:t>
      </w:r>
      <w:r w:rsidRPr="00FE174A">
        <w:rPr>
          <w:rFonts w:ascii="Arial" w:eastAsia="Calibri" w:hAnsi="Arial" w:cs="Arial"/>
          <w:i/>
          <w:iCs/>
        </w:rPr>
        <w:t>The NHS Long Term Plan</w:t>
      </w:r>
      <w:r w:rsidRPr="00FE174A">
        <w:rPr>
          <w:rFonts w:ascii="Arial" w:eastAsia="Calibri" w:hAnsi="Arial" w:cs="Arial"/>
        </w:rPr>
        <w:t xml:space="preserve">. London: NHS England. </w:t>
      </w:r>
    </w:p>
    <w:p w14:paraId="7FAF0019" w14:textId="77777777" w:rsidR="00966D5B" w:rsidRPr="00FE174A" w:rsidRDefault="00966D5B" w:rsidP="003545E8">
      <w:pPr>
        <w:spacing w:after="0" w:line="360" w:lineRule="auto"/>
        <w:jc w:val="both"/>
        <w:rPr>
          <w:rFonts w:ascii="Arial" w:eastAsia="Calibri" w:hAnsi="Arial" w:cs="Arial"/>
        </w:rPr>
      </w:pPr>
    </w:p>
    <w:p w14:paraId="54D172D7" w14:textId="61256D8C" w:rsidR="008737B2"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NHS England (2022) </w:t>
      </w:r>
      <w:r w:rsidRPr="00FE174A">
        <w:rPr>
          <w:rFonts w:ascii="Arial" w:eastAsia="Calibri" w:hAnsi="Arial" w:cs="Arial"/>
          <w:i/>
          <w:iCs/>
        </w:rPr>
        <w:t>Care and Support Statutory Guidance: Issued Under the Care Act 2014</w:t>
      </w:r>
      <w:r w:rsidRPr="00FE174A">
        <w:rPr>
          <w:rFonts w:ascii="Arial" w:eastAsia="Calibri" w:hAnsi="Arial" w:cs="Arial"/>
        </w:rPr>
        <w:t>. London: NHS England.</w:t>
      </w:r>
    </w:p>
    <w:p w14:paraId="2CA87738" w14:textId="77777777" w:rsidR="00966D5B" w:rsidRPr="00FE174A" w:rsidRDefault="00966D5B" w:rsidP="003545E8">
      <w:pPr>
        <w:spacing w:after="0" w:line="360" w:lineRule="auto"/>
        <w:jc w:val="both"/>
        <w:rPr>
          <w:rFonts w:ascii="Arial" w:eastAsia="Calibri" w:hAnsi="Arial" w:cs="Arial"/>
        </w:rPr>
      </w:pPr>
    </w:p>
    <w:p w14:paraId="1585F920" w14:textId="52BC15CC"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NICE (2011) </w:t>
      </w:r>
      <w:r w:rsidRPr="00FE174A">
        <w:rPr>
          <w:rFonts w:ascii="Arial" w:eastAsia="Calibri" w:hAnsi="Arial" w:cs="Arial"/>
          <w:i/>
          <w:iCs/>
        </w:rPr>
        <w:t>End of Life Care for Adults</w:t>
      </w:r>
      <w:r w:rsidRPr="00FE174A">
        <w:rPr>
          <w:rFonts w:ascii="Arial" w:eastAsia="Calibri" w:hAnsi="Arial" w:cs="Arial"/>
        </w:rPr>
        <w:t xml:space="preserve"> (QS13). London: National Institute for Health and Care Excellence.</w:t>
      </w:r>
    </w:p>
    <w:p w14:paraId="149D174B" w14:textId="77777777" w:rsidR="008737B2" w:rsidRPr="00FE174A" w:rsidRDefault="008737B2" w:rsidP="003545E8">
      <w:pPr>
        <w:spacing w:after="0" w:line="360" w:lineRule="auto"/>
        <w:jc w:val="both"/>
        <w:rPr>
          <w:rFonts w:ascii="Arial" w:eastAsia="Calibri" w:hAnsi="Arial" w:cs="Arial"/>
        </w:rPr>
      </w:pPr>
    </w:p>
    <w:p w14:paraId="4FB2F7C6" w14:textId="6993461A"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NICE (2019) </w:t>
      </w:r>
      <w:r w:rsidRPr="00FE174A">
        <w:rPr>
          <w:rFonts w:ascii="Arial" w:eastAsia="Calibri" w:hAnsi="Arial" w:cs="Arial"/>
          <w:i/>
          <w:iCs/>
        </w:rPr>
        <w:t>Care of Dying Adults in the Last Days of Life</w:t>
      </w:r>
      <w:r w:rsidRPr="00FE174A">
        <w:rPr>
          <w:rFonts w:ascii="Arial" w:eastAsia="Calibri" w:hAnsi="Arial" w:cs="Arial"/>
        </w:rPr>
        <w:t xml:space="preserve"> (NG142). London: National Institute for Health and Care Excellence.</w:t>
      </w:r>
    </w:p>
    <w:p w14:paraId="51F53394" w14:textId="77777777" w:rsidR="008737B2" w:rsidRPr="00FE174A" w:rsidRDefault="008737B2" w:rsidP="003545E8">
      <w:pPr>
        <w:spacing w:after="0" w:line="360" w:lineRule="auto"/>
        <w:jc w:val="both"/>
        <w:rPr>
          <w:rFonts w:ascii="Arial" w:eastAsia="Calibri" w:hAnsi="Arial" w:cs="Arial"/>
        </w:rPr>
      </w:pPr>
    </w:p>
    <w:p w14:paraId="1FD834C8" w14:textId="46C89054"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NICE (2021) </w:t>
      </w:r>
      <w:r w:rsidRPr="00FE174A">
        <w:rPr>
          <w:rFonts w:ascii="Arial" w:eastAsia="Calibri" w:hAnsi="Arial" w:cs="Arial"/>
          <w:i/>
          <w:iCs/>
        </w:rPr>
        <w:t>End of Life Care for Adults: Service Delivery</w:t>
      </w:r>
      <w:r w:rsidRPr="00FE174A">
        <w:rPr>
          <w:rFonts w:ascii="Arial" w:eastAsia="Calibri" w:hAnsi="Arial" w:cs="Arial"/>
        </w:rPr>
        <w:t xml:space="preserve"> (NG142). London: National Institute for Health and Care Excellence.</w:t>
      </w:r>
    </w:p>
    <w:p w14:paraId="1755BF02" w14:textId="77777777" w:rsidR="008737B2" w:rsidRPr="00FE174A" w:rsidRDefault="008737B2" w:rsidP="003545E8">
      <w:pPr>
        <w:spacing w:after="0" w:line="360" w:lineRule="auto"/>
        <w:jc w:val="both"/>
        <w:rPr>
          <w:rFonts w:ascii="Arial" w:eastAsia="Calibri" w:hAnsi="Arial" w:cs="Arial"/>
        </w:rPr>
      </w:pPr>
    </w:p>
    <w:p w14:paraId="446DABEE" w14:textId="4F8D770F"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Nolan, M.R., Brown, J., Davies, S., Nolan, J. and Keady, J. (2004) 'The senses framework: improving care for older people through a relationship-centred approach', </w:t>
      </w:r>
      <w:r w:rsidRPr="00FE174A">
        <w:rPr>
          <w:rFonts w:ascii="Arial" w:eastAsia="Calibri" w:hAnsi="Arial" w:cs="Arial"/>
          <w:i/>
          <w:iCs/>
        </w:rPr>
        <w:t>Getting Research into Practice (GRiP) Report No. 2</w:t>
      </w:r>
      <w:r w:rsidRPr="00FE174A">
        <w:rPr>
          <w:rFonts w:ascii="Arial" w:eastAsia="Calibri" w:hAnsi="Arial" w:cs="Arial"/>
        </w:rPr>
        <w:t>. Sheffield: University of Sheffield.</w:t>
      </w:r>
    </w:p>
    <w:p w14:paraId="011D514C" w14:textId="77777777" w:rsidR="008737B2" w:rsidRPr="00FE174A" w:rsidRDefault="008737B2" w:rsidP="003545E8">
      <w:pPr>
        <w:spacing w:after="0" w:line="360" w:lineRule="auto"/>
        <w:jc w:val="both"/>
        <w:rPr>
          <w:rFonts w:ascii="Arial" w:eastAsia="Calibri" w:hAnsi="Arial" w:cs="Arial"/>
        </w:rPr>
      </w:pPr>
    </w:p>
    <w:p w14:paraId="3E69AA0B" w14:textId="77777777"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Noyes, J., Booth, A., Cargo, M., Flemming, K., Harden, A., Harris, J., Garside, R., Hannes, K., Pantoja, T. and Thomas, J. (2019) 'Qualitative evidence', in Higgins, J.P.T., Thomas, J., Chandler, J., Cumpston, M., Li, T., Page, M.J. and Welch, V.A. (eds) </w:t>
      </w:r>
      <w:r w:rsidRPr="00FE174A">
        <w:rPr>
          <w:rFonts w:ascii="Arial" w:eastAsia="Calibri" w:hAnsi="Arial" w:cs="Arial"/>
          <w:i/>
          <w:iCs/>
        </w:rPr>
        <w:t>Cochrane Handbook for Systematic Reviews of Interventions</w:t>
      </w:r>
      <w:r w:rsidRPr="00FE174A">
        <w:rPr>
          <w:rFonts w:ascii="Arial" w:eastAsia="Calibri" w:hAnsi="Arial" w:cs="Arial"/>
        </w:rPr>
        <w:t xml:space="preserve"> (2nd edn). Chichester: John Wiley &amp; Sons, pp. 525-545.</w:t>
      </w:r>
    </w:p>
    <w:p w14:paraId="62BDB6DA" w14:textId="77777777" w:rsidR="008A5811" w:rsidRPr="00FE174A" w:rsidRDefault="008A5811" w:rsidP="003545E8">
      <w:pPr>
        <w:spacing w:after="0" w:line="360" w:lineRule="auto"/>
        <w:jc w:val="both"/>
        <w:rPr>
          <w:rFonts w:ascii="Arial" w:eastAsia="Calibri" w:hAnsi="Arial" w:cs="Arial"/>
        </w:rPr>
      </w:pPr>
    </w:p>
    <w:p w14:paraId="76AD4701" w14:textId="65C57245"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Office for National Statistics (2023) </w:t>
      </w:r>
      <w:r w:rsidRPr="00FE174A">
        <w:rPr>
          <w:rFonts w:ascii="Arial" w:eastAsia="Calibri" w:hAnsi="Arial" w:cs="Arial"/>
          <w:i/>
          <w:iCs/>
        </w:rPr>
        <w:t>Deaths Registered in England and Wales: 2022</w:t>
      </w:r>
      <w:r w:rsidRPr="00FE174A">
        <w:rPr>
          <w:rFonts w:ascii="Arial" w:eastAsia="Calibri" w:hAnsi="Arial" w:cs="Arial"/>
        </w:rPr>
        <w:t xml:space="preserve">. Newport: ONS. Available at: </w:t>
      </w:r>
      <w:hyperlink r:id="rId37" w:history="1">
        <w:r w:rsidRPr="00FE174A">
          <w:rPr>
            <w:rStyle w:val="Hyperlink"/>
            <w:rFonts w:ascii="Arial" w:eastAsia="Calibri" w:hAnsi="Arial" w:cs="Arial"/>
          </w:rPr>
          <w:t>https://www.ons.gov.uk/peoplepopulationandcommunity/birthsdeathsandmarriages/deaths/bulletins/deathsregistrationsummarytables/2022</w:t>
        </w:r>
      </w:hyperlink>
      <w:r w:rsidRPr="00FE174A">
        <w:rPr>
          <w:rFonts w:ascii="Arial" w:eastAsia="Calibri" w:hAnsi="Arial" w:cs="Arial"/>
        </w:rPr>
        <w:t xml:space="preserve"> (Accessed: 25 October 2025).</w:t>
      </w:r>
    </w:p>
    <w:p w14:paraId="1FC0BE40" w14:textId="77777777" w:rsidR="008A5811" w:rsidRPr="00FE174A" w:rsidRDefault="008A5811" w:rsidP="003545E8">
      <w:pPr>
        <w:spacing w:after="0" w:line="360" w:lineRule="auto"/>
        <w:jc w:val="both"/>
        <w:rPr>
          <w:rFonts w:ascii="Arial" w:eastAsia="Calibri" w:hAnsi="Arial" w:cs="Arial"/>
        </w:rPr>
      </w:pPr>
    </w:p>
    <w:p w14:paraId="7089D77D" w14:textId="231CB7B7"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Office for National Statistics (2024) </w:t>
      </w:r>
      <w:r w:rsidRPr="00FE174A">
        <w:rPr>
          <w:rFonts w:ascii="Arial" w:eastAsia="Calibri" w:hAnsi="Arial" w:cs="Arial"/>
          <w:i/>
          <w:iCs/>
        </w:rPr>
        <w:t>National Population Projections: 2021-based Interim</w:t>
      </w:r>
      <w:r w:rsidRPr="00FE174A">
        <w:rPr>
          <w:rFonts w:ascii="Arial" w:eastAsia="Calibri" w:hAnsi="Arial" w:cs="Arial"/>
        </w:rPr>
        <w:t xml:space="preserve">. Newport: ONS. Available at: </w:t>
      </w:r>
      <w:hyperlink r:id="rId38" w:history="1">
        <w:r w:rsidRPr="00FE174A">
          <w:rPr>
            <w:rStyle w:val="Hyperlink"/>
            <w:rFonts w:ascii="Arial" w:eastAsia="Calibri" w:hAnsi="Arial" w:cs="Arial"/>
          </w:rPr>
          <w:t>https://www.ons.gov.uk/peoplepopulationandcommunity/populationandmigration/populationprojections/bulletins/nationalpopulationprojections/2021basedinterim</w:t>
        </w:r>
      </w:hyperlink>
      <w:r w:rsidRPr="00FE174A">
        <w:rPr>
          <w:rFonts w:ascii="Arial" w:eastAsia="Calibri" w:hAnsi="Arial" w:cs="Arial"/>
        </w:rPr>
        <w:t xml:space="preserve"> (Accessed: 6 December 2025).</w:t>
      </w:r>
    </w:p>
    <w:p w14:paraId="24FE99BC" w14:textId="77777777" w:rsidR="00697B5A" w:rsidRPr="00FE174A" w:rsidRDefault="00697B5A" w:rsidP="003545E8">
      <w:pPr>
        <w:spacing w:after="0" w:line="360" w:lineRule="auto"/>
        <w:jc w:val="both"/>
        <w:rPr>
          <w:rFonts w:ascii="Arial" w:eastAsia="Calibri" w:hAnsi="Arial" w:cs="Arial"/>
        </w:rPr>
      </w:pPr>
    </w:p>
    <w:p w14:paraId="731CC66D" w14:textId="5CC471BA"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Office for National Statistics (2025) </w:t>
      </w:r>
      <w:r w:rsidRPr="00FE174A">
        <w:rPr>
          <w:rFonts w:ascii="Arial" w:eastAsia="Calibri" w:hAnsi="Arial" w:cs="Arial"/>
          <w:i/>
          <w:iCs/>
        </w:rPr>
        <w:t>Population Estimates for the UK, England, Wales, Scotland and Northern Ireland: Mid-2024</w:t>
      </w:r>
      <w:r w:rsidRPr="00FE174A">
        <w:rPr>
          <w:rFonts w:ascii="Arial" w:eastAsia="Calibri" w:hAnsi="Arial" w:cs="Arial"/>
        </w:rPr>
        <w:t xml:space="preserve">. Newport: ONS. Available at: </w:t>
      </w:r>
      <w:hyperlink r:id="rId39" w:history="1">
        <w:r w:rsidRPr="00FE174A">
          <w:rPr>
            <w:rStyle w:val="Hyperlink"/>
            <w:rFonts w:ascii="Arial" w:eastAsia="Calibri" w:hAnsi="Arial" w:cs="Arial"/>
          </w:rPr>
          <w:t>https://www.ons.gov.uk/peoplepopulationandcommunity/populationandmigration/populationestimates</w:t>
        </w:r>
      </w:hyperlink>
      <w:r w:rsidRPr="00FE174A">
        <w:rPr>
          <w:rFonts w:ascii="Arial" w:eastAsia="Calibri" w:hAnsi="Arial" w:cs="Arial"/>
        </w:rPr>
        <w:t xml:space="preserve"> (Accessed: 21 January 2026).</w:t>
      </w:r>
    </w:p>
    <w:p w14:paraId="774BD159" w14:textId="77777777" w:rsidR="008737B2" w:rsidRPr="00FE174A" w:rsidRDefault="008737B2" w:rsidP="003545E8">
      <w:pPr>
        <w:spacing w:after="0" w:line="360" w:lineRule="auto"/>
        <w:jc w:val="both"/>
        <w:rPr>
          <w:rFonts w:ascii="Arial" w:eastAsia="Calibri" w:hAnsi="Arial" w:cs="Arial"/>
        </w:rPr>
      </w:pPr>
    </w:p>
    <w:p w14:paraId="31F532B8" w14:textId="2C5987F2"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Olmos-Vega, F.M., Stalmeijer, R.E., Varpio, L. and Kahlke, R. (2023) 'A practical guide to reflexivity in qualitative research: AMEE Guide No. 149', </w:t>
      </w:r>
      <w:r w:rsidRPr="00FE174A">
        <w:rPr>
          <w:rFonts w:ascii="Arial" w:eastAsia="Calibri" w:hAnsi="Arial" w:cs="Arial"/>
          <w:i/>
          <w:iCs/>
        </w:rPr>
        <w:t>Medical Teacher</w:t>
      </w:r>
      <w:r w:rsidRPr="00FE174A">
        <w:rPr>
          <w:rFonts w:ascii="Arial" w:eastAsia="Calibri" w:hAnsi="Arial" w:cs="Arial"/>
        </w:rPr>
        <w:t xml:space="preserve">, 45(3), pp. 241-251. </w:t>
      </w:r>
    </w:p>
    <w:p w14:paraId="6D060AA3" w14:textId="77777777" w:rsidR="008737B2" w:rsidRPr="00FE174A" w:rsidRDefault="008737B2" w:rsidP="003545E8">
      <w:pPr>
        <w:spacing w:after="0" w:line="360" w:lineRule="auto"/>
        <w:jc w:val="both"/>
        <w:rPr>
          <w:rFonts w:ascii="Arial" w:eastAsia="Calibri" w:hAnsi="Arial" w:cs="Arial"/>
        </w:rPr>
      </w:pPr>
    </w:p>
    <w:p w14:paraId="26A77EB5" w14:textId="1822DA40"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FE174A">
        <w:rPr>
          <w:rFonts w:ascii="Arial" w:eastAsia="Calibri" w:hAnsi="Arial" w:cs="Arial"/>
          <w:i/>
          <w:iCs/>
        </w:rPr>
        <w:t>BMJ</w:t>
      </w:r>
      <w:r w:rsidRPr="00FE174A">
        <w:rPr>
          <w:rFonts w:ascii="Arial" w:eastAsia="Calibri" w:hAnsi="Arial" w:cs="Arial"/>
        </w:rPr>
        <w:t xml:space="preserve">, 372:n71. </w:t>
      </w:r>
    </w:p>
    <w:p w14:paraId="0A42B636" w14:textId="77777777" w:rsidR="008737B2" w:rsidRPr="00FE174A" w:rsidRDefault="008737B2" w:rsidP="003545E8">
      <w:pPr>
        <w:spacing w:after="0" w:line="360" w:lineRule="auto"/>
        <w:jc w:val="both"/>
        <w:rPr>
          <w:rFonts w:ascii="Arial" w:eastAsia="Calibri" w:hAnsi="Arial" w:cs="Arial"/>
        </w:rPr>
      </w:pPr>
    </w:p>
    <w:p w14:paraId="52448DB1" w14:textId="2AFC8E47" w:rsidR="00966D5B" w:rsidRPr="00FE174A" w:rsidRDefault="00966D5B" w:rsidP="003545E8">
      <w:pPr>
        <w:spacing w:after="0" w:line="360" w:lineRule="auto"/>
        <w:jc w:val="both"/>
        <w:rPr>
          <w:rFonts w:ascii="Arial" w:eastAsia="Calibri" w:hAnsi="Arial" w:cs="Arial"/>
        </w:rPr>
      </w:pPr>
      <w:r w:rsidRPr="00FE174A">
        <w:rPr>
          <w:rFonts w:ascii="Arial" w:hAnsi="Arial" w:cs="Arial"/>
        </w:rPr>
        <w:t xml:space="preserve">Perkins, E., Gambles, M., Houten, R., Harper, S., Haycox, A., O'Brien, T., Richards, S., Chen, H., Nolan, K. and Ellershaw, J.E. (2016) </w:t>
      </w:r>
      <w:r w:rsidRPr="00FE174A">
        <w:rPr>
          <w:rFonts w:ascii="Arial" w:hAnsi="Arial" w:cs="Arial"/>
          <w:i/>
          <w:iCs/>
        </w:rPr>
        <w:t>The care of dying people in nursing homes and intensive care units: a qualitative mixed-methods study</w:t>
      </w:r>
      <w:r w:rsidRPr="00FE174A">
        <w:rPr>
          <w:rFonts w:ascii="Arial" w:hAnsi="Arial" w:cs="Arial"/>
        </w:rPr>
        <w:t xml:space="preserve">. Southampton: NIHR Journals Library (Health Services and Delivery Research, No. 4.20). </w:t>
      </w:r>
    </w:p>
    <w:p w14:paraId="093DB16F" w14:textId="77777777" w:rsidR="00966D5B" w:rsidRPr="00FE174A" w:rsidRDefault="00966D5B" w:rsidP="003545E8">
      <w:pPr>
        <w:spacing w:after="0" w:line="360" w:lineRule="auto"/>
        <w:jc w:val="both"/>
        <w:rPr>
          <w:rFonts w:ascii="Arial" w:eastAsia="Calibri" w:hAnsi="Arial" w:cs="Arial"/>
        </w:rPr>
      </w:pPr>
    </w:p>
    <w:p w14:paraId="6935B243" w14:textId="3C54F036"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Petticrew, M. and Roberts, H. (2006) </w:t>
      </w:r>
      <w:r w:rsidRPr="00FE174A">
        <w:rPr>
          <w:rFonts w:ascii="Arial" w:eastAsia="Calibri" w:hAnsi="Arial" w:cs="Arial"/>
          <w:i/>
          <w:iCs/>
        </w:rPr>
        <w:t>Systematic Reviews in the Social Sciences: A Practical Guide</w:t>
      </w:r>
      <w:r w:rsidRPr="00FE174A">
        <w:rPr>
          <w:rFonts w:ascii="Arial" w:eastAsia="Calibri" w:hAnsi="Arial" w:cs="Arial"/>
        </w:rPr>
        <w:t>. Malden, MA: Blackwell Publishing.</w:t>
      </w:r>
    </w:p>
    <w:p w14:paraId="2190231B" w14:textId="77777777" w:rsidR="008737B2" w:rsidRPr="00FE174A" w:rsidRDefault="008737B2" w:rsidP="003545E8">
      <w:pPr>
        <w:spacing w:after="0" w:line="360" w:lineRule="auto"/>
        <w:jc w:val="both"/>
        <w:rPr>
          <w:rFonts w:ascii="Arial" w:eastAsia="Calibri" w:hAnsi="Arial" w:cs="Arial"/>
        </w:rPr>
      </w:pPr>
    </w:p>
    <w:p w14:paraId="4C04A423" w14:textId="1E0EA84B"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Poole, M., Bamford, C., McLellan, E., Lee, R.P., Exley, C., Hughes, J.C., Harrison-Dening, K. and Robinson, L. (2018) 'End-of-life care: A qualitative study comparing the views of people with dementia and family carers', </w:t>
      </w:r>
      <w:r w:rsidRPr="00FE174A">
        <w:rPr>
          <w:rFonts w:ascii="Arial" w:eastAsia="Calibri" w:hAnsi="Arial" w:cs="Arial"/>
          <w:i/>
          <w:iCs/>
        </w:rPr>
        <w:t>Palliative Medicine</w:t>
      </w:r>
      <w:r w:rsidRPr="00FE174A">
        <w:rPr>
          <w:rFonts w:ascii="Arial" w:eastAsia="Calibri" w:hAnsi="Arial" w:cs="Arial"/>
        </w:rPr>
        <w:t>, 32(3), pp. 631-642.</w:t>
      </w:r>
    </w:p>
    <w:p w14:paraId="520A4C55" w14:textId="77777777" w:rsidR="008737B2" w:rsidRPr="00FE174A" w:rsidRDefault="008737B2" w:rsidP="003545E8">
      <w:pPr>
        <w:spacing w:after="0" w:line="360" w:lineRule="auto"/>
        <w:jc w:val="both"/>
        <w:rPr>
          <w:rFonts w:ascii="Arial" w:eastAsia="Calibri" w:hAnsi="Arial" w:cs="Arial"/>
        </w:rPr>
      </w:pPr>
    </w:p>
    <w:p w14:paraId="69199D7E" w14:textId="77777777"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Popay, J., Roberts, H., Sowden, A., Petticrew, M., Arai, L., Rodgers, M., Britten, N., Roen, K. and Duffy, S. (2006) </w:t>
      </w:r>
      <w:r w:rsidRPr="00FE174A">
        <w:rPr>
          <w:rFonts w:ascii="Arial" w:eastAsia="Calibri" w:hAnsi="Arial" w:cs="Arial"/>
          <w:i/>
          <w:iCs/>
        </w:rPr>
        <w:t>Guidance on the Conduct of Narrative Synthesis in Systematic Reviews: A Product from the ESRC Methods Programme</w:t>
      </w:r>
      <w:r w:rsidRPr="00FE174A">
        <w:rPr>
          <w:rFonts w:ascii="Arial" w:eastAsia="Calibri" w:hAnsi="Arial" w:cs="Arial"/>
        </w:rPr>
        <w:t xml:space="preserve"> (Version 1). Lancaster: Lancaster University.</w:t>
      </w:r>
    </w:p>
    <w:p w14:paraId="48CA4BEA" w14:textId="77777777" w:rsidR="00966D5B" w:rsidRPr="00FE174A" w:rsidRDefault="00966D5B" w:rsidP="003545E8">
      <w:pPr>
        <w:spacing w:after="0" w:line="360" w:lineRule="auto"/>
        <w:jc w:val="both"/>
        <w:rPr>
          <w:rFonts w:ascii="Arial" w:eastAsia="Calibri" w:hAnsi="Arial" w:cs="Arial"/>
        </w:rPr>
      </w:pPr>
    </w:p>
    <w:p w14:paraId="16BBCF41" w14:textId="335B1891"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Pope, C. and Mays, N. (eds) (2020) </w:t>
      </w:r>
      <w:r w:rsidRPr="00FE174A">
        <w:rPr>
          <w:rFonts w:ascii="Arial" w:eastAsia="Calibri" w:hAnsi="Arial" w:cs="Arial"/>
          <w:i/>
          <w:iCs/>
        </w:rPr>
        <w:t>Qualitative Research in Health Care</w:t>
      </w:r>
      <w:r w:rsidRPr="00FE174A">
        <w:rPr>
          <w:rFonts w:ascii="Arial" w:eastAsia="Calibri" w:hAnsi="Arial" w:cs="Arial"/>
        </w:rPr>
        <w:t xml:space="preserve"> (4th edn). Hoboken, NJ: Wiley-Blackwell.</w:t>
      </w:r>
    </w:p>
    <w:p w14:paraId="77683455" w14:textId="77777777" w:rsidR="008737B2" w:rsidRPr="00FE174A" w:rsidRDefault="008737B2" w:rsidP="003545E8">
      <w:pPr>
        <w:spacing w:after="0" w:line="360" w:lineRule="auto"/>
        <w:jc w:val="both"/>
        <w:rPr>
          <w:rFonts w:ascii="Arial" w:eastAsia="Calibri" w:hAnsi="Arial" w:cs="Arial"/>
        </w:rPr>
      </w:pPr>
    </w:p>
    <w:p w14:paraId="3E0ABA58" w14:textId="288CDA64" w:rsidR="006C3A84" w:rsidRPr="00FE174A" w:rsidRDefault="00CE1B51" w:rsidP="003545E8">
      <w:pPr>
        <w:spacing w:after="0" w:line="360" w:lineRule="auto"/>
        <w:jc w:val="both"/>
        <w:rPr>
          <w:rFonts w:ascii="Arial" w:eastAsia="Calibri" w:hAnsi="Arial" w:cs="Arial"/>
        </w:rPr>
      </w:pPr>
      <w:r w:rsidRPr="00FE174A">
        <w:rPr>
          <w:rFonts w:ascii="Arial" w:eastAsia="Calibri" w:hAnsi="Arial" w:cs="Arial"/>
        </w:rPr>
        <w:t xml:space="preserve">Preston, N., Cockshott, Z., Russell, S., Stocker, R., Knight, J., Mason, S. and Hanratty, B. (2025) 'Dying in residential care homes during the early COVID-19 pandemic: a qualitative interview study', BMC Geriatrics, 25:126. </w:t>
      </w:r>
    </w:p>
    <w:p w14:paraId="47F2677E" w14:textId="77777777" w:rsidR="00A534D5" w:rsidRPr="00FE174A" w:rsidRDefault="00A534D5" w:rsidP="003545E8">
      <w:pPr>
        <w:spacing w:after="0" w:line="360" w:lineRule="auto"/>
        <w:jc w:val="both"/>
        <w:rPr>
          <w:rFonts w:ascii="Arial" w:eastAsia="Calibri" w:hAnsi="Arial" w:cs="Arial"/>
        </w:rPr>
      </w:pPr>
    </w:p>
    <w:p w14:paraId="3C9B919E" w14:textId="7763BA63"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lastRenderedPageBreak/>
        <w:t xml:space="preserve">Rogers, C.R. (1961) </w:t>
      </w:r>
      <w:r w:rsidRPr="00FE174A">
        <w:rPr>
          <w:rFonts w:ascii="Arial" w:eastAsia="Calibri" w:hAnsi="Arial" w:cs="Arial"/>
          <w:i/>
          <w:iCs/>
        </w:rPr>
        <w:t>On Becoming a Person: A Therapist's View of Psychotherapy</w:t>
      </w:r>
      <w:r w:rsidRPr="00FE174A">
        <w:rPr>
          <w:rFonts w:ascii="Arial" w:eastAsia="Calibri" w:hAnsi="Arial" w:cs="Arial"/>
        </w:rPr>
        <w:t>. Boston, MA: Houghton Mifflin.</w:t>
      </w:r>
    </w:p>
    <w:p w14:paraId="3FA9C004" w14:textId="77777777" w:rsidR="008737B2" w:rsidRPr="00FE174A" w:rsidRDefault="008737B2" w:rsidP="003545E8">
      <w:pPr>
        <w:spacing w:after="0" w:line="360" w:lineRule="auto"/>
        <w:jc w:val="both"/>
        <w:rPr>
          <w:rFonts w:ascii="Arial" w:eastAsia="Calibri" w:hAnsi="Arial" w:cs="Arial"/>
        </w:rPr>
      </w:pPr>
    </w:p>
    <w:p w14:paraId="372E3776" w14:textId="38D1BF76"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Royal College of Nursing (2025)</w:t>
      </w:r>
      <w:r w:rsidR="00966D5B" w:rsidRPr="00FE174A">
        <w:rPr>
          <w:rFonts w:ascii="Arial" w:eastAsia="Calibri" w:hAnsi="Arial" w:cs="Arial"/>
        </w:rPr>
        <w:t xml:space="preserve"> </w:t>
      </w:r>
      <w:r w:rsidRPr="00FE174A">
        <w:rPr>
          <w:rFonts w:ascii="Arial" w:eastAsia="Calibri" w:hAnsi="Arial" w:cs="Arial"/>
          <w:i/>
          <w:iCs/>
        </w:rPr>
        <w:t>End of Life Care Standards</w:t>
      </w:r>
      <w:r w:rsidRPr="00FE174A">
        <w:rPr>
          <w:rFonts w:ascii="Arial" w:eastAsia="Calibri" w:hAnsi="Arial" w:cs="Arial"/>
        </w:rPr>
        <w:t xml:space="preserve">. London: RCN. Available at: </w:t>
      </w:r>
      <w:hyperlink r:id="rId40" w:history="1">
        <w:r w:rsidR="00966D5B" w:rsidRPr="00FE174A">
          <w:rPr>
            <w:rStyle w:val="Hyperlink"/>
            <w:rFonts w:ascii="Arial" w:hAnsi="Arial" w:cs="Arial"/>
          </w:rPr>
          <w:t>https://www.rcn.org.uk/library/Subject-Guides/end-of-life-care</w:t>
        </w:r>
      </w:hyperlink>
      <w:r w:rsidR="00966D5B" w:rsidRPr="00FE174A">
        <w:rPr>
          <w:rFonts w:ascii="Arial" w:hAnsi="Arial" w:cs="Arial"/>
        </w:rPr>
        <w:t xml:space="preserve"> </w:t>
      </w:r>
      <w:r w:rsidRPr="00FE174A">
        <w:rPr>
          <w:rFonts w:ascii="Arial" w:eastAsia="Calibri" w:hAnsi="Arial" w:cs="Arial"/>
        </w:rPr>
        <w:t>(Accessed: 17 January 2026).</w:t>
      </w:r>
    </w:p>
    <w:p w14:paraId="0F61F614" w14:textId="77777777" w:rsidR="008737B2" w:rsidRPr="00FE174A" w:rsidRDefault="008737B2" w:rsidP="003545E8">
      <w:pPr>
        <w:spacing w:after="0" w:line="360" w:lineRule="auto"/>
        <w:jc w:val="both"/>
        <w:rPr>
          <w:rFonts w:ascii="Arial" w:eastAsia="Calibri" w:hAnsi="Arial" w:cs="Arial"/>
        </w:rPr>
      </w:pPr>
    </w:p>
    <w:p w14:paraId="03127446" w14:textId="473A46BA"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Sandelowski, M. and Barroso, J. (2007) </w:t>
      </w:r>
      <w:r w:rsidRPr="00FE174A">
        <w:rPr>
          <w:rFonts w:ascii="Arial" w:eastAsia="Calibri" w:hAnsi="Arial" w:cs="Arial"/>
          <w:i/>
          <w:iCs/>
        </w:rPr>
        <w:t>Handbook for Synthesizing Qualitative Research</w:t>
      </w:r>
      <w:r w:rsidRPr="00FE174A">
        <w:rPr>
          <w:rFonts w:ascii="Arial" w:eastAsia="Calibri" w:hAnsi="Arial" w:cs="Arial"/>
        </w:rPr>
        <w:t>. New York: Springer Publishing Company.</w:t>
      </w:r>
    </w:p>
    <w:p w14:paraId="21B82384" w14:textId="77777777" w:rsidR="008737B2" w:rsidRPr="00FE174A" w:rsidRDefault="008737B2" w:rsidP="003545E8">
      <w:pPr>
        <w:spacing w:after="0" w:line="360" w:lineRule="auto"/>
        <w:jc w:val="both"/>
        <w:rPr>
          <w:rFonts w:ascii="Arial" w:eastAsia="Calibri" w:hAnsi="Arial" w:cs="Arial"/>
        </w:rPr>
      </w:pPr>
    </w:p>
    <w:p w14:paraId="76036310" w14:textId="2C7335E5"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Sawyer, C., Doherty, M., Mushtaq, F. and Norman, I. (2021) 'Communication in end-of-life care for people with dementia: A mixed-methods systematic review', </w:t>
      </w:r>
      <w:r w:rsidRPr="00FE174A">
        <w:rPr>
          <w:rFonts w:ascii="Arial" w:eastAsia="Calibri" w:hAnsi="Arial" w:cs="Arial"/>
          <w:i/>
          <w:iCs/>
        </w:rPr>
        <w:t>International Journal of Nursing Studies</w:t>
      </w:r>
      <w:r w:rsidRPr="00FE174A">
        <w:rPr>
          <w:rFonts w:ascii="Arial" w:eastAsia="Calibri" w:hAnsi="Arial" w:cs="Arial"/>
        </w:rPr>
        <w:t xml:space="preserve">, 123:104037. </w:t>
      </w:r>
    </w:p>
    <w:p w14:paraId="528D8100" w14:textId="77777777" w:rsidR="008737B2" w:rsidRPr="00FE174A" w:rsidRDefault="008737B2" w:rsidP="003545E8">
      <w:pPr>
        <w:spacing w:after="0" w:line="360" w:lineRule="auto"/>
        <w:jc w:val="both"/>
        <w:rPr>
          <w:rFonts w:ascii="Arial" w:eastAsia="Calibri" w:hAnsi="Arial" w:cs="Arial"/>
        </w:rPr>
      </w:pPr>
    </w:p>
    <w:p w14:paraId="7AFC6182" w14:textId="23A92DD5"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Schulz, R., Mendelsohn, A.B., Haley, W.E., Mahoney, D., Allen, R.S., Zhang, S., Thompson, L. and Belle, S.H. (2003) 'End-of-life care and the effects of bereavement on family caregivers of persons with dementia', </w:t>
      </w:r>
      <w:r w:rsidRPr="00FE174A">
        <w:rPr>
          <w:rFonts w:ascii="Arial" w:eastAsia="Calibri" w:hAnsi="Arial" w:cs="Arial"/>
          <w:i/>
          <w:iCs/>
        </w:rPr>
        <w:t>New England Journal of Medicine</w:t>
      </w:r>
      <w:r w:rsidRPr="00FE174A">
        <w:rPr>
          <w:rFonts w:ascii="Arial" w:eastAsia="Calibri" w:hAnsi="Arial" w:cs="Arial"/>
        </w:rPr>
        <w:t>, 349(20), pp. 1936-1942.</w:t>
      </w:r>
    </w:p>
    <w:p w14:paraId="561B31AB" w14:textId="77777777" w:rsidR="00A534D5" w:rsidRPr="00FE174A" w:rsidRDefault="00A534D5" w:rsidP="003545E8">
      <w:pPr>
        <w:spacing w:after="0" w:line="360" w:lineRule="auto"/>
        <w:jc w:val="both"/>
        <w:rPr>
          <w:rFonts w:ascii="Arial" w:eastAsia="Calibri" w:hAnsi="Arial" w:cs="Arial"/>
        </w:rPr>
      </w:pPr>
    </w:p>
    <w:p w14:paraId="3F35C35E" w14:textId="599F8381"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Schulz, R., Boerner, K., Shear, K., Zhang, S. and Gitlin, L.N. (2006) 'Predictors of complicated grief among dementia caregivers: A prospective study of bereavement', </w:t>
      </w:r>
      <w:r w:rsidRPr="00FE174A">
        <w:rPr>
          <w:rFonts w:ascii="Arial" w:eastAsia="Calibri" w:hAnsi="Arial" w:cs="Arial"/>
          <w:i/>
          <w:iCs/>
        </w:rPr>
        <w:t>American Journal of Geriatric Psychiatry</w:t>
      </w:r>
      <w:r w:rsidRPr="00FE174A">
        <w:rPr>
          <w:rFonts w:ascii="Arial" w:eastAsia="Calibri" w:hAnsi="Arial" w:cs="Arial"/>
        </w:rPr>
        <w:t xml:space="preserve">, 14(8), pp. 650-658. </w:t>
      </w:r>
    </w:p>
    <w:p w14:paraId="6CE72EAE" w14:textId="77777777" w:rsidR="00A534D5" w:rsidRPr="00FE174A" w:rsidRDefault="00A534D5" w:rsidP="003545E8">
      <w:pPr>
        <w:spacing w:after="0" w:line="360" w:lineRule="auto"/>
        <w:jc w:val="both"/>
        <w:rPr>
          <w:rFonts w:ascii="Arial" w:eastAsia="Calibri" w:hAnsi="Arial" w:cs="Arial"/>
        </w:rPr>
      </w:pPr>
    </w:p>
    <w:p w14:paraId="0C94D2D4" w14:textId="389F3DC4"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Sharp, T., Moran, E., Kuhn, I. and Barclay, S. (2013) 'Do the elderly have a voice? Advance care planning discussions with frail and older individuals: a systematic literature review and narrative synthesis', </w:t>
      </w:r>
      <w:r w:rsidRPr="00FE174A">
        <w:rPr>
          <w:rFonts w:ascii="Arial" w:eastAsia="Calibri" w:hAnsi="Arial" w:cs="Arial"/>
          <w:i/>
          <w:iCs/>
        </w:rPr>
        <w:t>British Journal of General Practice</w:t>
      </w:r>
      <w:r w:rsidRPr="00FE174A">
        <w:rPr>
          <w:rFonts w:ascii="Arial" w:eastAsia="Calibri" w:hAnsi="Arial" w:cs="Arial"/>
        </w:rPr>
        <w:t>, 63(615), pp. e657-e668.</w:t>
      </w:r>
    </w:p>
    <w:p w14:paraId="3885B005" w14:textId="77777777" w:rsidR="008737B2" w:rsidRPr="00FE174A" w:rsidRDefault="008737B2" w:rsidP="003545E8">
      <w:pPr>
        <w:spacing w:after="0" w:line="360" w:lineRule="auto"/>
        <w:jc w:val="both"/>
        <w:rPr>
          <w:rFonts w:ascii="Arial" w:eastAsia="Calibri" w:hAnsi="Arial" w:cs="Arial"/>
        </w:rPr>
      </w:pPr>
    </w:p>
    <w:p w14:paraId="4468D526" w14:textId="7BBE77F8"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Skills for Care (2022) </w:t>
      </w:r>
      <w:r w:rsidRPr="00FE174A">
        <w:rPr>
          <w:rFonts w:ascii="Arial" w:eastAsia="Calibri" w:hAnsi="Arial" w:cs="Arial"/>
          <w:i/>
          <w:iCs/>
        </w:rPr>
        <w:t>The State of the Adult Social Care Sector and Workforce in England 2022</w:t>
      </w:r>
      <w:r w:rsidRPr="00FE174A">
        <w:rPr>
          <w:rFonts w:ascii="Arial" w:eastAsia="Calibri" w:hAnsi="Arial" w:cs="Arial"/>
        </w:rPr>
        <w:t>. Leeds: Skills for Care.</w:t>
      </w:r>
    </w:p>
    <w:p w14:paraId="550D6239" w14:textId="77777777" w:rsidR="008737B2" w:rsidRPr="00FE174A" w:rsidRDefault="008737B2" w:rsidP="003545E8">
      <w:pPr>
        <w:spacing w:after="0" w:line="360" w:lineRule="auto"/>
        <w:jc w:val="both"/>
        <w:rPr>
          <w:rFonts w:ascii="Arial" w:eastAsia="Calibri" w:hAnsi="Arial" w:cs="Arial"/>
        </w:rPr>
      </w:pPr>
    </w:p>
    <w:p w14:paraId="04C5ED3F" w14:textId="40783904"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Skills for Care (2024) </w:t>
      </w:r>
      <w:r w:rsidRPr="00FE174A">
        <w:rPr>
          <w:rFonts w:ascii="Arial" w:eastAsia="Calibri" w:hAnsi="Arial" w:cs="Arial"/>
          <w:i/>
          <w:iCs/>
        </w:rPr>
        <w:t>The State of the Adult Social Care Sector and Workforce in England 2024</w:t>
      </w:r>
      <w:r w:rsidRPr="00FE174A">
        <w:rPr>
          <w:rFonts w:ascii="Arial" w:eastAsia="Calibri" w:hAnsi="Arial" w:cs="Arial"/>
        </w:rPr>
        <w:t xml:space="preserve">. Leeds: Skills for Care. Available at: </w:t>
      </w:r>
      <w:hyperlink r:id="rId41" w:history="1">
        <w:r w:rsidR="00402303" w:rsidRPr="00FE174A">
          <w:rPr>
            <w:rStyle w:val="Hyperlink"/>
            <w:rFonts w:ascii="Arial" w:hAnsi="Arial" w:cs="Arial"/>
          </w:rPr>
          <w:t>https://www.skillsforcare.org.uk/Adult-Social-Care-Workforce-Data/workforceintelligence/resources/Reports/National/The-state-of-the-adult-social-care-sector-and-workforce-in-England-2024.pdf</w:t>
        </w:r>
      </w:hyperlink>
      <w:r w:rsidR="00402303" w:rsidRPr="00FE174A">
        <w:rPr>
          <w:rFonts w:ascii="Arial" w:hAnsi="Arial" w:cs="Arial"/>
        </w:rPr>
        <w:t xml:space="preserve"> </w:t>
      </w:r>
      <w:r w:rsidRPr="00FE174A">
        <w:rPr>
          <w:rFonts w:ascii="Arial" w:eastAsia="Calibri" w:hAnsi="Arial" w:cs="Arial"/>
        </w:rPr>
        <w:t>(Accessed: 9 January 2026).</w:t>
      </w:r>
    </w:p>
    <w:p w14:paraId="6794FBC5" w14:textId="77777777" w:rsidR="008737B2" w:rsidRPr="00FE174A" w:rsidRDefault="008737B2" w:rsidP="003545E8">
      <w:pPr>
        <w:spacing w:after="0" w:line="360" w:lineRule="auto"/>
        <w:jc w:val="both"/>
        <w:rPr>
          <w:rFonts w:ascii="Arial" w:eastAsia="Calibri" w:hAnsi="Arial" w:cs="Arial"/>
        </w:rPr>
      </w:pPr>
    </w:p>
    <w:p w14:paraId="382B4694" w14:textId="32F610FE"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Spacey, A., Porter, S., Board, M. and Scammell, J. (2021) 'Impact of the COVID-19 pandemic on end of life care delivery in care homes: A mixed method systematic review', </w:t>
      </w:r>
      <w:r w:rsidRPr="00FE174A">
        <w:rPr>
          <w:rFonts w:ascii="Arial" w:eastAsia="Calibri" w:hAnsi="Arial" w:cs="Arial"/>
          <w:i/>
          <w:iCs/>
        </w:rPr>
        <w:t>Palliative Medicine</w:t>
      </w:r>
      <w:r w:rsidRPr="00FE174A">
        <w:rPr>
          <w:rFonts w:ascii="Arial" w:eastAsia="Calibri" w:hAnsi="Arial" w:cs="Arial"/>
        </w:rPr>
        <w:t xml:space="preserve">, 35(8), pp. 1468-1479. </w:t>
      </w:r>
    </w:p>
    <w:p w14:paraId="6DFE0C8D" w14:textId="77777777" w:rsidR="008737B2" w:rsidRPr="00FE174A" w:rsidRDefault="008737B2" w:rsidP="003545E8">
      <w:pPr>
        <w:spacing w:after="0" w:line="360" w:lineRule="auto"/>
        <w:jc w:val="both"/>
        <w:rPr>
          <w:rFonts w:ascii="Arial" w:eastAsia="Calibri" w:hAnsi="Arial" w:cs="Arial"/>
        </w:rPr>
      </w:pPr>
    </w:p>
    <w:p w14:paraId="6F3F7A8C" w14:textId="5035BF2D"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lastRenderedPageBreak/>
        <w:t xml:space="preserve">Steinhauser, K.E., Christakis, N.A., Clipp, E.C., McNeilly, M., McIntyre, L. and Tulsky, J.A. (2000) 'Factors considered important at the end of life by patients, family, physicians, and other care providers', </w:t>
      </w:r>
      <w:r w:rsidRPr="00FE174A">
        <w:rPr>
          <w:rFonts w:ascii="Arial" w:eastAsia="Calibri" w:hAnsi="Arial" w:cs="Arial"/>
          <w:i/>
          <w:iCs/>
        </w:rPr>
        <w:t>JAMA</w:t>
      </w:r>
      <w:r w:rsidRPr="00FE174A">
        <w:rPr>
          <w:rFonts w:ascii="Arial" w:eastAsia="Calibri" w:hAnsi="Arial" w:cs="Arial"/>
        </w:rPr>
        <w:t xml:space="preserve">, 284(19), pp. 2476-2482. </w:t>
      </w:r>
    </w:p>
    <w:p w14:paraId="6466AB3E" w14:textId="77777777" w:rsidR="008737B2" w:rsidRPr="00FE174A" w:rsidRDefault="008737B2" w:rsidP="003545E8">
      <w:pPr>
        <w:spacing w:after="0" w:line="360" w:lineRule="auto"/>
        <w:jc w:val="both"/>
        <w:rPr>
          <w:rFonts w:ascii="Arial" w:eastAsia="Calibri" w:hAnsi="Arial" w:cs="Arial"/>
        </w:rPr>
      </w:pPr>
    </w:p>
    <w:p w14:paraId="714D4471" w14:textId="6E1B9428"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Tellis-Nayak, V. and Tellis-Nayak, M. (1989) 'Quality of care and the burden of two cultures: When the world of the nurse's aide enters the world of the nursing home', </w:t>
      </w:r>
      <w:r w:rsidRPr="00FE174A">
        <w:rPr>
          <w:rFonts w:ascii="Arial" w:eastAsia="Calibri" w:hAnsi="Arial" w:cs="Arial"/>
          <w:i/>
          <w:iCs/>
        </w:rPr>
        <w:t>The Gerontologist</w:t>
      </w:r>
      <w:r w:rsidRPr="00FE174A">
        <w:rPr>
          <w:rFonts w:ascii="Arial" w:eastAsia="Calibri" w:hAnsi="Arial" w:cs="Arial"/>
        </w:rPr>
        <w:t xml:space="preserve">, 29(3), pp. 307-313. </w:t>
      </w:r>
    </w:p>
    <w:p w14:paraId="744D1671" w14:textId="77777777" w:rsidR="008737B2" w:rsidRPr="00FE174A" w:rsidRDefault="008737B2" w:rsidP="003545E8">
      <w:pPr>
        <w:spacing w:after="0" w:line="360" w:lineRule="auto"/>
        <w:jc w:val="both"/>
        <w:rPr>
          <w:rFonts w:ascii="Arial" w:eastAsia="Calibri" w:hAnsi="Arial" w:cs="Arial"/>
        </w:rPr>
      </w:pPr>
    </w:p>
    <w:p w14:paraId="08B099BF" w14:textId="07B04AB8" w:rsidR="008737B2"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Tellis-Nayak, V. (2007) 'A person-centered workplace: The foundation for person-centered caregiving in long-term care', </w:t>
      </w:r>
      <w:r w:rsidRPr="00FE174A">
        <w:rPr>
          <w:rFonts w:ascii="Arial" w:eastAsia="Calibri" w:hAnsi="Arial" w:cs="Arial"/>
          <w:i/>
          <w:iCs/>
        </w:rPr>
        <w:t>Journal of the American Medical Directors Association</w:t>
      </w:r>
      <w:r w:rsidRPr="00FE174A">
        <w:rPr>
          <w:rFonts w:ascii="Arial" w:eastAsia="Calibri" w:hAnsi="Arial" w:cs="Arial"/>
        </w:rPr>
        <w:t xml:space="preserve">, 8(1), pp. 46-54. </w:t>
      </w:r>
    </w:p>
    <w:p w14:paraId="6029275F" w14:textId="77777777" w:rsidR="00402303" w:rsidRPr="00FE174A" w:rsidRDefault="00402303" w:rsidP="003545E8">
      <w:pPr>
        <w:spacing w:after="0" w:line="360" w:lineRule="auto"/>
        <w:jc w:val="both"/>
        <w:rPr>
          <w:rFonts w:ascii="Arial" w:eastAsia="Calibri" w:hAnsi="Arial" w:cs="Arial"/>
        </w:rPr>
      </w:pPr>
    </w:p>
    <w:p w14:paraId="22B94D16" w14:textId="3B8C62BD"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Thomas, J. and Harden, A. (2008) 'Methods for the thematic synthesis of qualitative research in systematic reviews', </w:t>
      </w:r>
      <w:r w:rsidRPr="00FE174A">
        <w:rPr>
          <w:rFonts w:ascii="Arial" w:eastAsia="Calibri" w:hAnsi="Arial" w:cs="Arial"/>
          <w:i/>
          <w:iCs/>
        </w:rPr>
        <w:t>BMC Medical Research Methodology</w:t>
      </w:r>
      <w:r w:rsidRPr="00FE174A">
        <w:rPr>
          <w:rFonts w:ascii="Arial" w:eastAsia="Calibri" w:hAnsi="Arial" w:cs="Arial"/>
        </w:rPr>
        <w:t xml:space="preserve">, 8:45. </w:t>
      </w:r>
    </w:p>
    <w:p w14:paraId="1D1E5905" w14:textId="77777777" w:rsidR="00A534D5" w:rsidRPr="00FE174A" w:rsidRDefault="00A534D5" w:rsidP="003545E8">
      <w:pPr>
        <w:spacing w:after="0" w:line="360" w:lineRule="auto"/>
        <w:jc w:val="both"/>
        <w:rPr>
          <w:rFonts w:ascii="Arial" w:eastAsia="Calibri" w:hAnsi="Arial" w:cs="Arial"/>
        </w:rPr>
      </w:pPr>
    </w:p>
    <w:p w14:paraId="3B81F92E" w14:textId="1A173196" w:rsidR="00402303" w:rsidRPr="00FE174A" w:rsidRDefault="00A534D5" w:rsidP="003545E8">
      <w:pPr>
        <w:spacing w:after="0" w:line="360" w:lineRule="auto"/>
        <w:jc w:val="both"/>
        <w:rPr>
          <w:rFonts w:ascii="Arial" w:eastAsia="Calibri" w:hAnsi="Arial" w:cs="Arial"/>
        </w:rPr>
      </w:pPr>
      <w:r w:rsidRPr="00FE174A">
        <w:rPr>
          <w:rFonts w:ascii="Arial" w:eastAsia="Calibri" w:hAnsi="Arial" w:cs="Arial"/>
        </w:rPr>
        <w:t>Thompson</w:t>
      </w:r>
      <w:r w:rsidR="006C3A84" w:rsidRPr="00FE174A">
        <w:rPr>
          <w:rFonts w:ascii="Arial" w:eastAsia="Calibri" w:hAnsi="Arial" w:cs="Arial"/>
        </w:rPr>
        <w:t xml:space="preserve">, G.N., Menec, V.H., Chochinov, H.M. and McClement, S.E. (2008) 'Family satisfaction with care of a dying loved one in nursing homes: What makes the difference?', </w:t>
      </w:r>
      <w:r w:rsidR="006C3A84" w:rsidRPr="00FE174A">
        <w:rPr>
          <w:rFonts w:ascii="Arial" w:eastAsia="Calibri" w:hAnsi="Arial" w:cs="Arial"/>
          <w:i/>
          <w:iCs/>
        </w:rPr>
        <w:t>Journal of Gerontological Nursing</w:t>
      </w:r>
      <w:r w:rsidR="006C3A84" w:rsidRPr="00FE174A">
        <w:rPr>
          <w:rFonts w:ascii="Arial" w:eastAsia="Calibri" w:hAnsi="Arial" w:cs="Arial"/>
        </w:rPr>
        <w:t xml:space="preserve">, 34(12), pp. 37-44. </w:t>
      </w:r>
    </w:p>
    <w:p w14:paraId="6216A1FF" w14:textId="77777777" w:rsidR="00FE174A" w:rsidRPr="00FE174A" w:rsidRDefault="00FE174A" w:rsidP="003545E8">
      <w:pPr>
        <w:spacing w:after="0" w:line="360" w:lineRule="auto"/>
        <w:jc w:val="both"/>
        <w:rPr>
          <w:rFonts w:ascii="Arial" w:eastAsia="Calibri" w:hAnsi="Arial" w:cs="Arial"/>
        </w:rPr>
      </w:pPr>
    </w:p>
    <w:p w14:paraId="58775337" w14:textId="68B77BD6" w:rsidR="006C3A84"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Tresolini, C.P. and Pew-Fetzer Task Force (1994) </w:t>
      </w:r>
      <w:r w:rsidRPr="00FE174A">
        <w:rPr>
          <w:rFonts w:ascii="Arial" w:eastAsia="Calibri" w:hAnsi="Arial" w:cs="Arial"/>
          <w:i/>
          <w:iCs/>
        </w:rPr>
        <w:t>Health Professions Education and Relationship-Centered Care</w:t>
      </w:r>
      <w:r w:rsidRPr="00FE174A">
        <w:rPr>
          <w:rFonts w:ascii="Arial" w:eastAsia="Calibri" w:hAnsi="Arial" w:cs="Arial"/>
        </w:rPr>
        <w:t>. San Francisco, CA: Pew Health Professions Commission.</w:t>
      </w:r>
    </w:p>
    <w:p w14:paraId="14D0E713" w14:textId="77777777" w:rsidR="000F5C2E" w:rsidRPr="00FE174A" w:rsidRDefault="000F5C2E" w:rsidP="003545E8">
      <w:pPr>
        <w:spacing w:after="0" w:line="360" w:lineRule="auto"/>
        <w:jc w:val="both"/>
        <w:rPr>
          <w:rFonts w:ascii="Arial" w:eastAsia="Calibri" w:hAnsi="Arial" w:cs="Arial"/>
        </w:rPr>
      </w:pPr>
    </w:p>
    <w:p w14:paraId="2BCBA262" w14:textId="3E215A86" w:rsidR="000F5C2E" w:rsidRPr="00FE174A" w:rsidRDefault="000F5C2E" w:rsidP="003545E8">
      <w:pPr>
        <w:spacing w:after="0" w:line="360" w:lineRule="auto"/>
        <w:jc w:val="both"/>
        <w:rPr>
          <w:rFonts w:ascii="Arial" w:eastAsia="Calibri" w:hAnsi="Arial" w:cs="Arial"/>
        </w:rPr>
      </w:pPr>
      <w:r w:rsidRPr="00FE174A">
        <w:rPr>
          <w:rFonts w:ascii="Arial" w:eastAsia="Calibri" w:hAnsi="Arial" w:cs="Arial"/>
        </w:rPr>
        <w:t>Vandersman, P., Chakraborty, A., Rowley, G. and Tieman, J. (2024) 'The matter of grief, loss and bereavement in families of those living and dying in residential aged care setting: a systematic review', </w:t>
      </w:r>
      <w:r w:rsidRPr="00FE174A">
        <w:rPr>
          <w:rFonts w:ascii="Arial" w:eastAsia="Calibri" w:hAnsi="Arial" w:cs="Arial"/>
          <w:i/>
          <w:iCs/>
        </w:rPr>
        <w:t>Archives of Gerontology and Geriatrics</w:t>
      </w:r>
      <w:r w:rsidRPr="00FE174A">
        <w:rPr>
          <w:rFonts w:ascii="Arial" w:eastAsia="Calibri" w:hAnsi="Arial" w:cs="Arial"/>
        </w:rPr>
        <w:t>, 124, 105473. </w:t>
      </w:r>
    </w:p>
    <w:p w14:paraId="78CB5A7E" w14:textId="77777777" w:rsidR="008737B2" w:rsidRPr="00FE174A" w:rsidRDefault="008737B2" w:rsidP="003545E8">
      <w:pPr>
        <w:spacing w:after="0" w:line="360" w:lineRule="auto"/>
        <w:jc w:val="both"/>
        <w:rPr>
          <w:rFonts w:ascii="Arial" w:eastAsia="Calibri" w:hAnsi="Arial" w:cs="Arial"/>
        </w:rPr>
      </w:pPr>
    </w:p>
    <w:p w14:paraId="5070EDC1" w14:textId="4B330620" w:rsidR="008737B2"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Vandrevala, T., Samsi, K., Rose, C., Adenrele, C., Barnes, C. and Manthorpe, J. (2017) 'Perceived needs for support among care home staff providing end of life care for people with dementia: A qualitative study', </w:t>
      </w:r>
      <w:r w:rsidRPr="00FE174A">
        <w:rPr>
          <w:rFonts w:ascii="Arial" w:eastAsia="Calibri" w:hAnsi="Arial" w:cs="Arial"/>
          <w:i/>
          <w:iCs/>
        </w:rPr>
        <w:t>International Journal of Geriatric Psychiatry</w:t>
      </w:r>
      <w:r w:rsidRPr="00FE174A">
        <w:rPr>
          <w:rFonts w:ascii="Arial" w:eastAsia="Calibri" w:hAnsi="Arial" w:cs="Arial"/>
        </w:rPr>
        <w:t xml:space="preserve">, 32(2), pp. 155-163. </w:t>
      </w:r>
    </w:p>
    <w:p w14:paraId="419CD5B8" w14:textId="77777777" w:rsidR="00FE174A" w:rsidRPr="00FE174A" w:rsidRDefault="00FE174A" w:rsidP="003545E8">
      <w:pPr>
        <w:spacing w:after="0" w:line="360" w:lineRule="auto"/>
        <w:jc w:val="both"/>
        <w:rPr>
          <w:rFonts w:ascii="Arial" w:eastAsia="Calibri" w:hAnsi="Arial" w:cs="Arial"/>
        </w:rPr>
      </w:pPr>
    </w:p>
    <w:p w14:paraId="0EF5AC8F" w14:textId="05A093CD" w:rsidR="009F64C5" w:rsidRPr="00FE174A" w:rsidRDefault="006C3A84" w:rsidP="003545E8">
      <w:pPr>
        <w:spacing w:after="0" w:line="360" w:lineRule="auto"/>
        <w:jc w:val="both"/>
        <w:rPr>
          <w:rFonts w:ascii="Arial" w:eastAsia="Calibri" w:hAnsi="Arial" w:cs="Arial"/>
        </w:rPr>
      </w:pPr>
      <w:r w:rsidRPr="00FE174A">
        <w:rPr>
          <w:rFonts w:ascii="Arial" w:eastAsia="Calibri" w:hAnsi="Arial" w:cs="Arial"/>
        </w:rPr>
        <w:t xml:space="preserve">World Health Organization (2024) </w:t>
      </w:r>
      <w:r w:rsidRPr="00FE174A">
        <w:rPr>
          <w:rFonts w:ascii="Arial" w:eastAsia="Calibri" w:hAnsi="Arial" w:cs="Arial"/>
          <w:i/>
          <w:iCs/>
        </w:rPr>
        <w:t>Palliative Care</w:t>
      </w:r>
      <w:r w:rsidRPr="00FE174A">
        <w:rPr>
          <w:rFonts w:ascii="Arial" w:eastAsia="Calibri" w:hAnsi="Arial" w:cs="Arial"/>
        </w:rPr>
        <w:t xml:space="preserve">. Geneva: WHO. Available at: </w:t>
      </w:r>
      <w:hyperlink r:id="rId42" w:history="1">
        <w:r w:rsidRPr="00FE174A">
          <w:rPr>
            <w:rStyle w:val="Hyperlink"/>
            <w:rFonts w:ascii="Arial" w:eastAsia="Calibri" w:hAnsi="Arial" w:cs="Arial"/>
          </w:rPr>
          <w:t>https://www.who.int/news-room/fact-sheets/detail/palliative-care</w:t>
        </w:r>
      </w:hyperlink>
      <w:r w:rsidRPr="00FE174A">
        <w:rPr>
          <w:rFonts w:ascii="Arial" w:eastAsia="Calibri" w:hAnsi="Arial" w:cs="Arial"/>
        </w:rPr>
        <w:t xml:space="preserve"> (Accessed: 2 December 2025).</w:t>
      </w:r>
    </w:p>
    <w:sectPr w:rsidR="009F64C5" w:rsidRPr="00FE174A" w:rsidSect="00061C86">
      <w:footerReference w:type="even" r:id="rId43"/>
      <w:footerReference w:type="defaul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54C3D" w14:textId="77777777" w:rsidR="00C74D2C" w:rsidRDefault="00C74D2C">
      <w:pPr>
        <w:spacing w:after="0" w:line="240" w:lineRule="auto"/>
      </w:pPr>
      <w:r>
        <w:separator/>
      </w:r>
    </w:p>
  </w:endnote>
  <w:endnote w:type="continuationSeparator" w:id="0">
    <w:p w14:paraId="55326CBA" w14:textId="77777777" w:rsidR="00C74D2C" w:rsidRDefault="00C74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061C86" w:rsidRDefault="00061C86">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061C86" w:rsidRDefault="00061C86">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061C86" w:rsidRDefault="00061C86">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7C49D669" w:rsidR="00061C86" w:rsidRDefault="003B5558">
    <w:pPr>
      <w:tabs>
        <w:tab w:val="center" w:pos="4405"/>
      </w:tabs>
      <w:spacing w:after="0"/>
    </w:pPr>
    <w:r>
      <w:rPr>
        <w:rFonts w:ascii="Calibri" w:eastAsia="Calibri" w:hAnsi="Calibri" w:cs="Calibri"/>
      </w:rPr>
      <w:t>Ujval Patel</w:t>
    </w:r>
    <w:r w:rsidR="00061C86">
      <w:rPr>
        <w:rFonts w:ascii="Calibri" w:eastAsia="Calibri" w:hAnsi="Calibri" w:cs="Calibri"/>
      </w:rPr>
      <w:t xml:space="preserve"> </w:t>
    </w:r>
    <w:r w:rsidR="00061C86">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061C86" w:rsidRDefault="00061C86">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061C86" w:rsidRDefault="00061C86">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F0B7A" w14:textId="77777777" w:rsidR="00C74D2C" w:rsidRDefault="00C74D2C">
      <w:pPr>
        <w:spacing w:after="0" w:line="240" w:lineRule="auto"/>
      </w:pPr>
      <w:r>
        <w:separator/>
      </w:r>
    </w:p>
  </w:footnote>
  <w:footnote w:type="continuationSeparator" w:id="0">
    <w:p w14:paraId="4A9531C1" w14:textId="77777777" w:rsidR="00C74D2C" w:rsidRDefault="00C74D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932535C"/>
    <w:multiLevelType w:val="multilevel"/>
    <w:tmpl w:val="8824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770606C"/>
    <w:multiLevelType w:val="multilevel"/>
    <w:tmpl w:val="C96CD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447428572">
    <w:abstractNumId w:val="9"/>
  </w:num>
  <w:num w:numId="2" w16cid:durableId="1931624768">
    <w:abstractNumId w:val="0"/>
  </w:num>
  <w:num w:numId="3" w16cid:durableId="6684689">
    <w:abstractNumId w:val="5"/>
  </w:num>
  <w:num w:numId="4" w16cid:durableId="1919711475">
    <w:abstractNumId w:val="2"/>
  </w:num>
  <w:num w:numId="5" w16cid:durableId="118687448">
    <w:abstractNumId w:val="3"/>
  </w:num>
  <w:num w:numId="6" w16cid:durableId="1322201305">
    <w:abstractNumId w:val="6"/>
  </w:num>
  <w:num w:numId="7" w16cid:durableId="1907908797">
    <w:abstractNumId w:val="7"/>
  </w:num>
  <w:num w:numId="8" w16cid:durableId="615022317">
    <w:abstractNumId w:val="4"/>
  </w:num>
  <w:num w:numId="9" w16cid:durableId="376319394">
    <w:abstractNumId w:val="1"/>
  </w:num>
  <w:num w:numId="10" w16cid:durableId="1920171818">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arah Wiita">
    <w15:presenceInfo w15:providerId="AD" w15:userId="S::f.wiita@uwtsd.ac.uk::44738eb0-f3b0-4046-8859-79ad471dd10d"/>
  </w15:person>
  <w15:person w15:author="Mudassir Patel">
    <w15:presenceInfo w15:providerId="Windows Live" w15:userId="56809c18ec22f1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61C5"/>
    <w:rsid w:val="0002264D"/>
    <w:rsid w:val="00027A39"/>
    <w:rsid w:val="0003655A"/>
    <w:rsid w:val="000555DE"/>
    <w:rsid w:val="00061C86"/>
    <w:rsid w:val="000621FC"/>
    <w:rsid w:val="0006524E"/>
    <w:rsid w:val="00065F29"/>
    <w:rsid w:val="00073DB2"/>
    <w:rsid w:val="00080A64"/>
    <w:rsid w:val="00091247"/>
    <w:rsid w:val="0009326B"/>
    <w:rsid w:val="00095856"/>
    <w:rsid w:val="000A69C7"/>
    <w:rsid w:val="000B00FB"/>
    <w:rsid w:val="000B6ED1"/>
    <w:rsid w:val="000C3904"/>
    <w:rsid w:val="000C39D5"/>
    <w:rsid w:val="000C5AE3"/>
    <w:rsid w:val="000D0A61"/>
    <w:rsid w:val="000D162E"/>
    <w:rsid w:val="000D778F"/>
    <w:rsid w:val="000F3D59"/>
    <w:rsid w:val="000F5C2E"/>
    <w:rsid w:val="00102B08"/>
    <w:rsid w:val="00113366"/>
    <w:rsid w:val="001162E3"/>
    <w:rsid w:val="00142378"/>
    <w:rsid w:val="001642D2"/>
    <w:rsid w:val="001726CD"/>
    <w:rsid w:val="00182F68"/>
    <w:rsid w:val="001C2090"/>
    <w:rsid w:val="001C5965"/>
    <w:rsid w:val="00207256"/>
    <w:rsid w:val="0024350C"/>
    <w:rsid w:val="00247045"/>
    <w:rsid w:val="00260259"/>
    <w:rsid w:val="00261B7C"/>
    <w:rsid w:val="00262431"/>
    <w:rsid w:val="00274B9E"/>
    <w:rsid w:val="002853EA"/>
    <w:rsid w:val="002A75D0"/>
    <w:rsid w:val="002B04A6"/>
    <w:rsid w:val="002B523E"/>
    <w:rsid w:val="002B5434"/>
    <w:rsid w:val="002C7022"/>
    <w:rsid w:val="002E4DBE"/>
    <w:rsid w:val="002F385F"/>
    <w:rsid w:val="00310883"/>
    <w:rsid w:val="00321691"/>
    <w:rsid w:val="00330BBA"/>
    <w:rsid w:val="00351FD7"/>
    <w:rsid w:val="003537AE"/>
    <w:rsid w:val="003545E8"/>
    <w:rsid w:val="00364861"/>
    <w:rsid w:val="00364893"/>
    <w:rsid w:val="00366E05"/>
    <w:rsid w:val="003B2528"/>
    <w:rsid w:val="003B5558"/>
    <w:rsid w:val="003C1934"/>
    <w:rsid w:val="003C35D2"/>
    <w:rsid w:val="003C635C"/>
    <w:rsid w:val="003C729A"/>
    <w:rsid w:val="003F2B2E"/>
    <w:rsid w:val="003F53F9"/>
    <w:rsid w:val="00402303"/>
    <w:rsid w:val="00402BE9"/>
    <w:rsid w:val="00404EDE"/>
    <w:rsid w:val="00423AA7"/>
    <w:rsid w:val="00426B4C"/>
    <w:rsid w:val="00433331"/>
    <w:rsid w:val="004340B4"/>
    <w:rsid w:val="00434188"/>
    <w:rsid w:val="00434FF0"/>
    <w:rsid w:val="00446A3A"/>
    <w:rsid w:val="004528E6"/>
    <w:rsid w:val="00453058"/>
    <w:rsid w:val="00475BC9"/>
    <w:rsid w:val="0047786B"/>
    <w:rsid w:val="00481931"/>
    <w:rsid w:val="004A03E3"/>
    <w:rsid w:val="004C5AC0"/>
    <w:rsid w:val="004E2E9B"/>
    <w:rsid w:val="004F3CE3"/>
    <w:rsid w:val="00515FDB"/>
    <w:rsid w:val="00532EE1"/>
    <w:rsid w:val="00555312"/>
    <w:rsid w:val="00570253"/>
    <w:rsid w:val="005722AA"/>
    <w:rsid w:val="00593AA7"/>
    <w:rsid w:val="005958A8"/>
    <w:rsid w:val="005B17B6"/>
    <w:rsid w:val="005B5893"/>
    <w:rsid w:val="005D5233"/>
    <w:rsid w:val="005D5651"/>
    <w:rsid w:val="005E105D"/>
    <w:rsid w:val="005E4055"/>
    <w:rsid w:val="005F78BB"/>
    <w:rsid w:val="00600FA3"/>
    <w:rsid w:val="006208DD"/>
    <w:rsid w:val="00623C0E"/>
    <w:rsid w:val="00637827"/>
    <w:rsid w:val="006446CE"/>
    <w:rsid w:val="00680753"/>
    <w:rsid w:val="00690A8A"/>
    <w:rsid w:val="00691588"/>
    <w:rsid w:val="00697B5A"/>
    <w:rsid w:val="006A49E3"/>
    <w:rsid w:val="006A7BF5"/>
    <w:rsid w:val="006C31D9"/>
    <w:rsid w:val="006C3A84"/>
    <w:rsid w:val="006E066D"/>
    <w:rsid w:val="006E0DA5"/>
    <w:rsid w:val="006E2556"/>
    <w:rsid w:val="006E61D6"/>
    <w:rsid w:val="0070279F"/>
    <w:rsid w:val="00707DDF"/>
    <w:rsid w:val="00715197"/>
    <w:rsid w:val="00720682"/>
    <w:rsid w:val="00721EAE"/>
    <w:rsid w:val="0073402F"/>
    <w:rsid w:val="00741ED8"/>
    <w:rsid w:val="00743B59"/>
    <w:rsid w:val="007446D0"/>
    <w:rsid w:val="00744B8B"/>
    <w:rsid w:val="00750C87"/>
    <w:rsid w:val="00761D9B"/>
    <w:rsid w:val="007843AD"/>
    <w:rsid w:val="00795AF2"/>
    <w:rsid w:val="007970B0"/>
    <w:rsid w:val="007C4D16"/>
    <w:rsid w:val="007C6BD7"/>
    <w:rsid w:val="007D0A88"/>
    <w:rsid w:val="007D3678"/>
    <w:rsid w:val="007E23AA"/>
    <w:rsid w:val="007E41FE"/>
    <w:rsid w:val="007F1C8A"/>
    <w:rsid w:val="007F3292"/>
    <w:rsid w:val="007F554A"/>
    <w:rsid w:val="00815268"/>
    <w:rsid w:val="008271BF"/>
    <w:rsid w:val="00840414"/>
    <w:rsid w:val="008417F0"/>
    <w:rsid w:val="00847023"/>
    <w:rsid w:val="00847821"/>
    <w:rsid w:val="00851D37"/>
    <w:rsid w:val="0087148F"/>
    <w:rsid w:val="008737B2"/>
    <w:rsid w:val="00873D7D"/>
    <w:rsid w:val="00881CD3"/>
    <w:rsid w:val="008A5811"/>
    <w:rsid w:val="008A640E"/>
    <w:rsid w:val="008A73BC"/>
    <w:rsid w:val="008B04B8"/>
    <w:rsid w:val="008B5BDF"/>
    <w:rsid w:val="008C1791"/>
    <w:rsid w:val="008C57A1"/>
    <w:rsid w:val="008D6BF7"/>
    <w:rsid w:val="008E430B"/>
    <w:rsid w:val="00931047"/>
    <w:rsid w:val="00954E4C"/>
    <w:rsid w:val="00964ECD"/>
    <w:rsid w:val="00966D5B"/>
    <w:rsid w:val="009706D0"/>
    <w:rsid w:val="00986A40"/>
    <w:rsid w:val="00990C78"/>
    <w:rsid w:val="009A1B64"/>
    <w:rsid w:val="009D1A7D"/>
    <w:rsid w:val="009D39FB"/>
    <w:rsid w:val="009F64C5"/>
    <w:rsid w:val="00A05648"/>
    <w:rsid w:val="00A1432E"/>
    <w:rsid w:val="00A226E6"/>
    <w:rsid w:val="00A32125"/>
    <w:rsid w:val="00A42D30"/>
    <w:rsid w:val="00A442CF"/>
    <w:rsid w:val="00A509D9"/>
    <w:rsid w:val="00A534D5"/>
    <w:rsid w:val="00A66FCC"/>
    <w:rsid w:val="00A74D07"/>
    <w:rsid w:val="00A922EA"/>
    <w:rsid w:val="00A92508"/>
    <w:rsid w:val="00A93E09"/>
    <w:rsid w:val="00A9635A"/>
    <w:rsid w:val="00AB1F86"/>
    <w:rsid w:val="00AC6728"/>
    <w:rsid w:val="00AF7B17"/>
    <w:rsid w:val="00B10677"/>
    <w:rsid w:val="00B1747D"/>
    <w:rsid w:val="00B32D53"/>
    <w:rsid w:val="00B33EEF"/>
    <w:rsid w:val="00B524B0"/>
    <w:rsid w:val="00B62753"/>
    <w:rsid w:val="00B768F0"/>
    <w:rsid w:val="00B80221"/>
    <w:rsid w:val="00BB101A"/>
    <w:rsid w:val="00BC11F7"/>
    <w:rsid w:val="00BC67C0"/>
    <w:rsid w:val="00BE3788"/>
    <w:rsid w:val="00BE526B"/>
    <w:rsid w:val="00C04B19"/>
    <w:rsid w:val="00C12A30"/>
    <w:rsid w:val="00C15675"/>
    <w:rsid w:val="00C15A92"/>
    <w:rsid w:val="00C22976"/>
    <w:rsid w:val="00C31CBC"/>
    <w:rsid w:val="00C4048C"/>
    <w:rsid w:val="00C514B8"/>
    <w:rsid w:val="00C60ADA"/>
    <w:rsid w:val="00C74D2C"/>
    <w:rsid w:val="00C8043E"/>
    <w:rsid w:val="00CA565C"/>
    <w:rsid w:val="00CB4F63"/>
    <w:rsid w:val="00CD285F"/>
    <w:rsid w:val="00CE1B51"/>
    <w:rsid w:val="00D03AA6"/>
    <w:rsid w:val="00D10B8C"/>
    <w:rsid w:val="00D1686D"/>
    <w:rsid w:val="00D272C1"/>
    <w:rsid w:val="00D31161"/>
    <w:rsid w:val="00D3463E"/>
    <w:rsid w:val="00D34D3F"/>
    <w:rsid w:val="00D45A3F"/>
    <w:rsid w:val="00D76475"/>
    <w:rsid w:val="00D838F8"/>
    <w:rsid w:val="00D8722F"/>
    <w:rsid w:val="00DD7AA5"/>
    <w:rsid w:val="00E00AAD"/>
    <w:rsid w:val="00E0179F"/>
    <w:rsid w:val="00E02D50"/>
    <w:rsid w:val="00E350B9"/>
    <w:rsid w:val="00E46007"/>
    <w:rsid w:val="00E5456B"/>
    <w:rsid w:val="00E6453B"/>
    <w:rsid w:val="00E7797E"/>
    <w:rsid w:val="00E83F48"/>
    <w:rsid w:val="00E86A13"/>
    <w:rsid w:val="00E944B2"/>
    <w:rsid w:val="00EA6073"/>
    <w:rsid w:val="00EB4AB3"/>
    <w:rsid w:val="00EB6C8E"/>
    <w:rsid w:val="00EC54C4"/>
    <w:rsid w:val="00EE6C34"/>
    <w:rsid w:val="00EF4AEF"/>
    <w:rsid w:val="00F05EC5"/>
    <w:rsid w:val="00F24400"/>
    <w:rsid w:val="00F4192D"/>
    <w:rsid w:val="00F478DA"/>
    <w:rsid w:val="00F54B14"/>
    <w:rsid w:val="00F61A6A"/>
    <w:rsid w:val="00F630EA"/>
    <w:rsid w:val="00F63B9D"/>
    <w:rsid w:val="00F760A6"/>
    <w:rsid w:val="00F8180C"/>
    <w:rsid w:val="00F86760"/>
    <w:rsid w:val="00F95152"/>
    <w:rsid w:val="00FA1677"/>
    <w:rsid w:val="00FA17BE"/>
    <w:rsid w:val="00FA27F0"/>
    <w:rsid w:val="00FA6F39"/>
    <w:rsid w:val="00FA75CC"/>
    <w:rsid w:val="00FC0783"/>
    <w:rsid w:val="00FD0BDD"/>
    <w:rsid w:val="00FD1B2B"/>
    <w:rsid w:val="00FE174A"/>
    <w:rsid w:val="00FE5868"/>
    <w:rsid w:val="00FE763F"/>
    <w:rsid w:val="00FE7B33"/>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750C87"/>
    <w:pPr>
      <w:keepNext/>
      <w:keepLines/>
      <w:spacing w:line="360" w:lineRule="auto"/>
      <w:jc w:val="both"/>
      <w:outlineLvl w:val="0"/>
    </w:pPr>
    <w:rPr>
      <w:rFonts w:ascii="Arial" w:eastAsia="Times New Roman" w:hAnsi="Arial" w:cs="Arial"/>
      <w:b/>
      <w:color w:val="000000"/>
    </w:rPr>
  </w:style>
  <w:style w:type="paragraph" w:styleId="Heading2">
    <w:name w:val="heading 2"/>
    <w:basedOn w:val="Normal"/>
    <w:next w:val="Normal"/>
    <w:link w:val="Heading2Char"/>
    <w:uiPriority w:val="9"/>
    <w:unhideWhenUsed/>
    <w:qFormat/>
    <w:rsid w:val="00750C87"/>
    <w:pPr>
      <w:spacing w:line="360" w:lineRule="auto"/>
      <w:jc w:val="both"/>
      <w:outlineLvl w:val="1"/>
    </w:pPr>
    <w:rPr>
      <w:rFonts w:ascii="Arial" w:eastAsia="Times New Roman" w:hAnsi="Arial" w:cs="Arial"/>
      <w:b/>
      <w:color w:val="000000"/>
    </w:rPr>
  </w:style>
  <w:style w:type="paragraph" w:styleId="Heading3">
    <w:name w:val="heading 3"/>
    <w:basedOn w:val="Normal"/>
    <w:next w:val="Normal"/>
    <w:link w:val="Heading3Char"/>
    <w:uiPriority w:val="9"/>
    <w:unhideWhenUsed/>
    <w:qFormat/>
    <w:rsid w:val="00750C87"/>
    <w:pPr>
      <w:spacing w:line="360" w:lineRule="auto"/>
      <w:jc w:val="both"/>
      <w:outlineLvl w:val="2"/>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C87"/>
    <w:rPr>
      <w:rFonts w:ascii="Arial" w:eastAsia="Times New Roman" w:hAnsi="Arial" w:cs="Arial"/>
      <w:b/>
      <w:color w:val="000000"/>
    </w:rPr>
  </w:style>
  <w:style w:type="character" w:customStyle="1" w:styleId="Heading2Char">
    <w:name w:val="Heading 2 Char"/>
    <w:basedOn w:val="DefaultParagraphFont"/>
    <w:link w:val="Heading2"/>
    <w:uiPriority w:val="9"/>
    <w:rsid w:val="00750C87"/>
    <w:rPr>
      <w:rFonts w:ascii="Arial" w:eastAsia="Times New Roman" w:hAnsi="Arial" w:cs="Arial"/>
      <w:b/>
      <w:color w:val="000000"/>
    </w:rPr>
  </w:style>
  <w:style w:type="character" w:customStyle="1" w:styleId="Heading3Char">
    <w:name w:val="Heading 3 Char"/>
    <w:basedOn w:val="DefaultParagraphFont"/>
    <w:link w:val="Heading3"/>
    <w:uiPriority w:val="9"/>
    <w:rsid w:val="00750C87"/>
    <w:rPr>
      <w:rFonts w:ascii="Arial" w:hAnsi="Arial" w:cs="Arial"/>
      <w:b/>
      <w:bCs/>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FE763F"/>
    <w:rPr>
      <w:color w:val="0563C1" w:themeColor="hyperlink"/>
      <w:u w:val="single"/>
    </w:rPr>
  </w:style>
  <w:style w:type="character" w:styleId="UnresolvedMention">
    <w:name w:val="Unresolved Mention"/>
    <w:basedOn w:val="DefaultParagraphFont"/>
    <w:uiPriority w:val="99"/>
    <w:semiHidden/>
    <w:unhideWhenUsed/>
    <w:rsid w:val="00FE763F"/>
    <w:rPr>
      <w:color w:val="605E5C"/>
      <w:shd w:val="clear" w:color="auto" w:fill="E1DFDD"/>
    </w:rPr>
  </w:style>
  <w:style w:type="paragraph" w:styleId="TOCHeading">
    <w:name w:val="TOC Heading"/>
    <w:basedOn w:val="Heading1"/>
    <w:next w:val="Normal"/>
    <w:uiPriority w:val="39"/>
    <w:unhideWhenUsed/>
    <w:qFormat/>
    <w:rsid w:val="00F05EC5"/>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F05EC5"/>
    <w:pPr>
      <w:spacing w:after="100"/>
      <w:ind w:left="220"/>
    </w:pPr>
  </w:style>
  <w:style w:type="paragraph" w:styleId="TOC3">
    <w:name w:val="toc 3"/>
    <w:basedOn w:val="Normal"/>
    <w:next w:val="Normal"/>
    <w:autoRedefine/>
    <w:uiPriority w:val="39"/>
    <w:unhideWhenUsed/>
    <w:rsid w:val="00F05EC5"/>
    <w:pPr>
      <w:spacing w:after="100"/>
      <w:ind w:left="440"/>
    </w:pPr>
  </w:style>
  <w:style w:type="paragraph" w:styleId="Header">
    <w:name w:val="header"/>
    <w:basedOn w:val="Normal"/>
    <w:link w:val="HeaderChar"/>
    <w:uiPriority w:val="99"/>
    <w:unhideWhenUsed/>
    <w:rsid w:val="003B55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558"/>
  </w:style>
  <w:style w:type="paragraph" w:styleId="Revision">
    <w:name w:val="Revision"/>
    <w:hidden/>
    <w:uiPriority w:val="99"/>
    <w:semiHidden/>
    <w:rsid w:val="008417F0"/>
    <w:pPr>
      <w:spacing w:after="0" w:line="240" w:lineRule="auto"/>
    </w:pPr>
  </w:style>
  <w:style w:type="character" w:styleId="CommentReference">
    <w:name w:val="annotation reference"/>
    <w:basedOn w:val="DefaultParagraphFont"/>
    <w:uiPriority w:val="99"/>
    <w:semiHidden/>
    <w:unhideWhenUsed/>
    <w:rsid w:val="000A69C7"/>
    <w:rPr>
      <w:sz w:val="16"/>
      <w:szCs w:val="16"/>
    </w:rPr>
  </w:style>
  <w:style w:type="paragraph" w:styleId="CommentText">
    <w:name w:val="annotation text"/>
    <w:basedOn w:val="Normal"/>
    <w:link w:val="CommentTextChar"/>
    <w:uiPriority w:val="99"/>
    <w:semiHidden/>
    <w:unhideWhenUsed/>
    <w:rsid w:val="000A69C7"/>
    <w:pPr>
      <w:spacing w:line="240" w:lineRule="auto"/>
    </w:pPr>
    <w:rPr>
      <w:sz w:val="20"/>
      <w:szCs w:val="20"/>
    </w:rPr>
  </w:style>
  <w:style w:type="character" w:customStyle="1" w:styleId="CommentTextChar">
    <w:name w:val="Comment Text Char"/>
    <w:basedOn w:val="DefaultParagraphFont"/>
    <w:link w:val="CommentText"/>
    <w:uiPriority w:val="99"/>
    <w:semiHidden/>
    <w:rsid w:val="000A69C7"/>
    <w:rPr>
      <w:sz w:val="20"/>
      <w:szCs w:val="20"/>
    </w:rPr>
  </w:style>
  <w:style w:type="paragraph" w:styleId="CommentSubject">
    <w:name w:val="annotation subject"/>
    <w:basedOn w:val="CommentText"/>
    <w:next w:val="CommentText"/>
    <w:link w:val="CommentSubjectChar"/>
    <w:uiPriority w:val="99"/>
    <w:semiHidden/>
    <w:unhideWhenUsed/>
    <w:rsid w:val="000A69C7"/>
    <w:rPr>
      <w:b/>
      <w:bCs/>
    </w:rPr>
  </w:style>
  <w:style w:type="character" w:customStyle="1" w:styleId="CommentSubjectChar">
    <w:name w:val="Comment Subject Char"/>
    <w:basedOn w:val="CommentTextChar"/>
    <w:link w:val="CommentSubject"/>
    <w:uiPriority w:val="99"/>
    <w:semiHidden/>
    <w:rsid w:val="000A69C7"/>
    <w:rPr>
      <w:b/>
      <w:bCs/>
      <w:sz w:val="20"/>
      <w:szCs w:val="20"/>
    </w:rPr>
  </w:style>
  <w:style w:type="paragraph" w:styleId="Caption">
    <w:name w:val="caption"/>
    <w:basedOn w:val="Normal"/>
    <w:next w:val="Normal"/>
    <w:uiPriority w:val="35"/>
    <w:unhideWhenUsed/>
    <w:qFormat/>
    <w:rsid w:val="00A74D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285F"/>
    <w:pPr>
      <w:spacing w:after="0"/>
    </w:pPr>
  </w:style>
  <w:style w:type="character" w:styleId="FollowedHyperlink">
    <w:name w:val="FollowedHyperlink"/>
    <w:basedOn w:val="DefaultParagraphFont"/>
    <w:uiPriority w:val="99"/>
    <w:semiHidden/>
    <w:unhideWhenUsed/>
    <w:rsid w:val="00D872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6.png"/><Relationship Id="rId26" Type="http://schemas.openxmlformats.org/officeDocument/2006/relationships/hyperlink" Target="https://www.cqc.org.uk/publications/major-report/state-care/2022-2023" TargetMode="External"/><Relationship Id="rId39" Type="http://schemas.openxmlformats.org/officeDocument/2006/relationships/hyperlink" Target="https://www.ons.gov.uk/peoplepopulationandcommunity/populationandmigration/populationestimates" TargetMode="External"/><Relationship Id="rId21" Type="http://schemas.openxmlformats.org/officeDocument/2006/relationships/image" Target="media/image9.png"/><Relationship Id="rId34" Type="http://schemas.openxmlformats.org/officeDocument/2006/relationships/hyperlink" Target="https://www.hospiceuk.org/latest-from-hospice-uk/hospice-health-report-2024" TargetMode="External"/><Relationship Id="rId42" Type="http://schemas.openxmlformats.org/officeDocument/2006/relationships/hyperlink" Target="https://www.who.int/news-room/fact-sheets/detail/palliative-care" TargetMode="External"/><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casp-uk.net/casp-tools-checklis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ageuk.org.uk/siteassets/documents/reports-and-publications/reports-and-briefings/health--wellbeing/state-of-health-and-care/state_of_health_and_social_care_24.pdf" TargetMode="External"/><Relationship Id="rId32" Type="http://schemas.openxmlformats.org/officeDocument/2006/relationships/hyperlink" Target="https://www.goldstandardsframework.org.uk/care-homes" TargetMode="External"/><Relationship Id="rId37" Type="http://schemas.openxmlformats.org/officeDocument/2006/relationships/hyperlink" Target="https://www.ons.gov.uk/peoplepopulationandcommunity/birthsdeathsandmarriages/deaths/bulletins/deathsregistrationsummarytables/2022" TargetMode="External"/><Relationship Id="rId40" Type="http://schemas.openxmlformats.org/officeDocument/2006/relationships/hyperlink" Target="https://www.rcn.org.uk/library/Subject-Guides/end-of-life-care" TargetMode="Externa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image" Target="media/image11.png"/><Relationship Id="rId28" Type="http://schemas.openxmlformats.org/officeDocument/2006/relationships/hyperlink" Target="https://ageing-better.org.uk/state-ageing-2025" TargetMode="External"/><Relationship Id="rId36" Type="http://schemas.openxmlformats.org/officeDocument/2006/relationships/hyperlink" Target="https://www.nihr.ac.uk/policy-research-programme-policy-research-unit-palliative-and-end-life-care" TargetMode="Externa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yperlink" Target="https://www.gov.uk/government/publications/adult-social-care-system-reform-next-steps-to-put-people-at-the-heart-of-care"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yperlink" Target="https://www.cqc.org.uk/publications/major-report/state-care/2023-2024" TargetMode="External"/><Relationship Id="rId30" Type="http://schemas.openxmlformats.org/officeDocument/2006/relationships/hyperlink" Target="https://www.gov.uk/government/publications/people-at-the-heart-of-care-adult-social-care-reform-white-paper" TargetMode="External"/><Relationship Id="rId35" Type="http://schemas.openxmlformats.org/officeDocument/2006/relationships/hyperlink" Target="https://www.jla.nihr.ac.uk/priority-setting-partnerships/palliative-and-end-of-life-care"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hyperlink" Target="https://www.cqc.org.uk/publications/themed-work/different-ending-end-life-care-review" TargetMode="External"/><Relationship Id="rId33" Type="http://schemas.openxmlformats.org/officeDocument/2006/relationships/hyperlink" Target="https://www.legislation.gov.uk/ukpga/2022/31/contents/enacted" TargetMode="External"/><Relationship Id="rId38" Type="http://schemas.openxmlformats.org/officeDocument/2006/relationships/hyperlink" Target="https://www.ons.gov.uk/peoplepopulationandcommunity/populationandmigration/populationprojections/bulletins/nationalpopulationprojections/2021basedinterim" TargetMode="External"/><Relationship Id="rId46"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hyperlink" Target="https://www.skillsforcare.org.uk/Adult-Social-Care-Workforce-Data/workforceintelligence/resources/Reports/National/The-state-of-the-adult-social-care-sector-and-workforce-in-England-2024.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80BA4-1116-4953-A31F-C63972CB7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68</Pages>
  <Words>21645</Words>
  <Characters>123382</Characters>
  <Application>Microsoft Office Word</Application>
  <DocSecurity>0</DocSecurity>
  <Lines>1028</Lines>
  <Paragraphs>289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Mudassir Patel</cp:lastModifiedBy>
  <cp:revision>6</cp:revision>
  <cp:lastPrinted>2023-09-21T02:18:00Z</cp:lastPrinted>
  <dcterms:created xsi:type="dcterms:W3CDTF">2026-02-01T17:56:00Z</dcterms:created>
  <dcterms:modified xsi:type="dcterms:W3CDTF">2026-02-02T09:03:00Z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e5243df0-29ce-4397-ad43-9b150333acb5</vt:lpwstr>
  </property>
</Properties>
</file>