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2239" w:rsidRDefault="005B277B">
      <w:bookmarkStart w:id="0" w:name="_GoBack"/>
      <w:bookmarkEnd w:id="0"/>
      <w:r>
        <w:t>An Introduction to the Philosophy of Mind, David Cockburn, Palgrave Chapter 4, 2001</w:t>
      </w:r>
    </w:p>
    <w:p w:rsidR="006B2239" w:rsidRDefault="006B2239"/>
    <w:p w:rsidR="006B2239" w:rsidRDefault="005B277B">
      <w:r>
        <w:t xml:space="preserve">The Concept of Mind, in </w:t>
      </w:r>
      <w:proofErr w:type="spellStart"/>
      <w:r>
        <w:t>Cottingham</w:t>
      </w:r>
      <w:proofErr w:type="spellEnd"/>
      <w:r>
        <w:t xml:space="preserve"> (</w:t>
      </w:r>
      <w:proofErr w:type="spellStart"/>
      <w:proofErr w:type="gramStart"/>
      <w:r>
        <w:t>ed</w:t>
      </w:r>
      <w:proofErr w:type="spellEnd"/>
      <w:proofErr w:type="gramEnd"/>
      <w:r>
        <w:t>) Western Philosophy: an anthology (Oxford, Blackwell, 2008) chapter 2</w:t>
      </w:r>
    </w:p>
    <w:p w:rsidR="006B2239" w:rsidRDefault="006B2239"/>
    <w:p w:rsidR="006B2239" w:rsidRDefault="005B277B">
      <w:r>
        <w:t xml:space="preserve">In the beginning of Gilbert Ryle’s, The Concept of Mind, chapter 4, part 2, Ryle’s stresses how his book should not be thought of in </w:t>
      </w:r>
      <w:proofErr w:type="spellStart"/>
      <w:r>
        <w:t>behaviourist</w:t>
      </w:r>
      <w:proofErr w:type="spellEnd"/>
      <w:r>
        <w:t xml:space="preserve"> terms. Ryle’s feels as though, due to the rest of his book, people will label his work wrongly as </w:t>
      </w:r>
      <w:proofErr w:type="spellStart"/>
      <w:r>
        <w:t>behaviourist</w:t>
      </w:r>
      <w:proofErr w:type="spellEnd"/>
      <w:r>
        <w:t xml:space="preserve"> and so Ryle’s gives us a brief illustration of what </w:t>
      </w:r>
      <w:proofErr w:type="spellStart"/>
      <w:r>
        <w:t>behaviourism</w:t>
      </w:r>
      <w:proofErr w:type="spellEnd"/>
      <w:r>
        <w:t xml:space="preserve"> actually is. However, Ryle’s reasons for doing so do not seem particularly clear. </w:t>
      </w:r>
    </w:p>
    <w:p w:rsidR="006B2239" w:rsidRDefault="006B2239"/>
    <w:p w:rsidR="006B2239" w:rsidRDefault="005B277B">
      <w:proofErr w:type="spellStart"/>
      <w:r>
        <w:t>Ryles</w:t>
      </w:r>
      <w:proofErr w:type="spellEnd"/>
      <w:r>
        <w:t xml:space="preserve"> begins with a short history of the role </w:t>
      </w:r>
      <w:proofErr w:type="spellStart"/>
      <w:r>
        <w:t>behaviourism</w:t>
      </w:r>
      <w:proofErr w:type="spellEnd"/>
      <w:r>
        <w:t xml:space="preserve"> has played in the field of psychology. Separati</w:t>
      </w:r>
      <w:r>
        <w:t xml:space="preserve">ng </w:t>
      </w:r>
      <w:proofErr w:type="spellStart"/>
      <w:r>
        <w:t>behaviourists</w:t>
      </w:r>
      <w:proofErr w:type="spellEnd"/>
      <w:r>
        <w:t xml:space="preserve"> into two distinct camps; those who believe the inner parts of the mind not to be real and those who believe the inner parts of the mind to be merely unobservable and therefore, to be ignored. Hence why Ryle’s remarks the early </w:t>
      </w:r>
      <w:proofErr w:type="spellStart"/>
      <w:r>
        <w:t>behaviourist</w:t>
      </w:r>
      <w:r>
        <w:t>s</w:t>
      </w:r>
      <w:proofErr w:type="spellEnd"/>
      <w:r>
        <w:t xml:space="preserve"> could have either been very primitive mechanists or still somewhat dedicated to the Cartesian theory of mind and body. The prior method of understanding psychology was becoming increasingly bogged down in the abstract concept of what the mind actually is</w:t>
      </w:r>
      <w:r>
        <w:t xml:space="preserve"> and was failing to find an adequate answer to such a question. Ryle’s goes onto explain in a later paragraph why this the reason the </w:t>
      </w:r>
      <w:proofErr w:type="spellStart"/>
      <w:r>
        <w:t>behaviourists</w:t>
      </w:r>
      <w:proofErr w:type="spellEnd"/>
      <w:r>
        <w:t xml:space="preserve"> achieved greater popularity in the field of psychology. It seems as though Ryle’s wants to distinguish betwe</w:t>
      </w:r>
      <w:r>
        <w:t xml:space="preserve">en himself and </w:t>
      </w:r>
      <w:proofErr w:type="spellStart"/>
      <w:r>
        <w:t>behaviourism</w:t>
      </w:r>
      <w:proofErr w:type="spellEnd"/>
      <w:r>
        <w:t xml:space="preserve"> by going into the short history of </w:t>
      </w:r>
      <w:proofErr w:type="spellStart"/>
      <w:r>
        <w:t>behaviourism</w:t>
      </w:r>
      <w:proofErr w:type="spellEnd"/>
      <w:r>
        <w:t xml:space="preserve">. </w:t>
      </w:r>
    </w:p>
    <w:p w:rsidR="006B2239" w:rsidRDefault="006B2239"/>
    <w:p w:rsidR="006B2239" w:rsidRDefault="005B277B">
      <w:r>
        <w:t>Ryle’s mentions how many great characters we find in the literary/art world have been made more poignant by mannerisms, traits and the attributions of said characters. Such addi</w:t>
      </w:r>
      <w:r>
        <w:t xml:space="preserve">tions to these characters only amplify the </w:t>
      </w:r>
      <w:proofErr w:type="gramStart"/>
      <w:r>
        <w:t>readers</w:t>
      </w:r>
      <w:proofErr w:type="gramEnd"/>
      <w:r>
        <w:t xml:space="preserve"> interest in them. The look on a character’s face for example. The world of psychology followed in this path through </w:t>
      </w:r>
      <w:proofErr w:type="spellStart"/>
      <w:r>
        <w:t>behaviourism</w:t>
      </w:r>
      <w:proofErr w:type="spellEnd"/>
      <w:r>
        <w:t xml:space="preserve">. </w:t>
      </w:r>
    </w:p>
    <w:p w:rsidR="006B2239" w:rsidRDefault="006B2239"/>
    <w:p w:rsidR="006B2239" w:rsidRDefault="005B277B">
      <w:r>
        <w:t>At this point, it may be worth explaining what Ryle’s hopes to do in rela</w:t>
      </w:r>
      <w:r>
        <w:t xml:space="preserve">tion to the rest of The Concept of Mind. What Ryle’s calls the, ‘two </w:t>
      </w:r>
      <w:proofErr w:type="gramStart"/>
      <w:r>
        <w:t>worlds</w:t>
      </w:r>
      <w:proofErr w:type="gramEnd"/>
      <w:r>
        <w:t xml:space="preserve"> story</w:t>
      </w:r>
      <w:r>
        <w:rPr>
          <w:vertAlign w:val="superscript"/>
        </w:rPr>
        <w:footnoteReference w:id="1"/>
      </w:r>
      <w:r>
        <w:t xml:space="preserve">’ is more or less Cartesian dualism which Ryle’s is trying to argue against. Ryle’s objection predicates upon the idea that Cartesian dualism involves a physical event being </w:t>
      </w:r>
      <w:r>
        <w:t>caused by a mental event first. Ryle’s seems to want to know what exactly caused the mental event which in turn caused the physical event. Ryle’s also makes another objection; if a physical event can inform the mind in a certain way, then we may not need t</w:t>
      </w:r>
      <w:r>
        <w:t xml:space="preserve">o reach to the conclusion that mental events cause physical, it may be plausible that causal events are causing other causal events within the body. This seems to be why Ryle’s is sympathetic of the </w:t>
      </w:r>
      <w:proofErr w:type="spellStart"/>
      <w:r>
        <w:t>behaviourist</w:t>
      </w:r>
      <w:proofErr w:type="spellEnd"/>
      <w:r>
        <w:t xml:space="preserve"> position. </w:t>
      </w:r>
    </w:p>
    <w:p w:rsidR="006B2239" w:rsidRDefault="006B2239"/>
    <w:p w:rsidR="006B2239" w:rsidRDefault="005B277B">
      <w:r>
        <w:t>What Ryle’s does seem to overloo</w:t>
      </w:r>
      <w:r>
        <w:t>k though in his view of Cartesian dualism is a mental ability such as reason. We can find a good basis for such a criticism in Immanuel Kant’s</w:t>
      </w:r>
      <w:r>
        <w:rPr>
          <w:vertAlign w:val="superscript"/>
        </w:rPr>
        <w:footnoteReference w:id="2"/>
      </w:r>
      <w:r>
        <w:t xml:space="preserve"> The Critique of Pure Reason. Reason can be described as a mental activity. Reason is not in fact reliant </w:t>
      </w:r>
      <w:r>
        <w:lastRenderedPageBreak/>
        <w:t>upon ca</w:t>
      </w:r>
      <w:r>
        <w:t xml:space="preserve">use and effect and cannot be described as spatial. Describing physical events in terms of cause and effect makes sense because we can observe one physical object causing another but we cannot place a non-physical mental event such as reason under the same </w:t>
      </w:r>
      <w:r>
        <w:t xml:space="preserve">conditions. We could infer from such a criticism that Ryle conflates mental and physical events as one and the same on the basis of cause and effect. </w:t>
      </w:r>
    </w:p>
    <w:p w:rsidR="006B2239" w:rsidRDefault="006B2239"/>
    <w:p w:rsidR="006B2239" w:rsidRDefault="005B277B">
      <w:r>
        <w:t xml:space="preserve">Towards end of this section of The Concept of </w:t>
      </w:r>
      <w:proofErr w:type="spellStart"/>
      <w:r>
        <w:t>MInd</w:t>
      </w:r>
      <w:proofErr w:type="spellEnd"/>
      <w:r>
        <w:t>, Ryle’s mentions the distinction between the material</w:t>
      </w:r>
      <w:r>
        <w:t xml:space="preserve">ist view of mind through the </w:t>
      </w:r>
      <w:proofErr w:type="spellStart"/>
      <w:r>
        <w:t>lense</w:t>
      </w:r>
      <w:proofErr w:type="spellEnd"/>
      <w:r>
        <w:t xml:space="preserve"> of both Thomas Hobbes and Pierre </w:t>
      </w:r>
      <w:proofErr w:type="spellStart"/>
      <w:r>
        <w:t>Gassendi</w:t>
      </w:r>
      <w:proofErr w:type="spellEnd"/>
      <w:r>
        <w:t xml:space="preserve"> against Cartesian dualism. Ryle’s believes both to be ultimately problematic but is one is a far better answer to the problem of mind/body issue than the other. Ryle’s believes th</w:t>
      </w:r>
      <w:r>
        <w:t xml:space="preserve">e materialist view of both Hobbes and </w:t>
      </w:r>
      <w:proofErr w:type="spellStart"/>
      <w:r>
        <w:t>Gassendi</w:t>
      </w:r>
      <w:proofErr w:type="spellEnd"/>
      <w:r>
        <w:t xml:space="preserve"> cannot quite answer the issues of the mind/body problem but goes a lot further in doing so than Cartesian dualism. </w:t>
      </w:r>
    </w:p>
    <w:p w:rsidR="006B2239" w:rsidRDefault="006B2239"/>
    <w:p w:rsidR="006B2239" w:rsidRDefault="005B277B">
      <w:r>
        <w:t xml:space="preserve">Ryle’s uses language to explain this point. On the one hand we have the view that speech is </w:t>
      </w:r>
      <w:r>
        <w:t>part of a mental process of the mind and on the other we have the view that speech and the mind are separate. This in in fact is an unanswered problem at the end of The Concept of Mind. Ryle’s points out that if speech and the mind are in fact the same the</w:t>
      </w:r>
      <w:r>
        <w:t>n, ‘babbling’ probably involves some sort of thought process. Contrary to what most people believe, ‘babbling’ is usually thought to be speaking without thinking. Also, separating thinking from speech puts us, according to Ryle’s back into the cardinal dis</w:t>
      </w:r>
      <w:r>
        <w:t xml:space="preserve">tinction in which Ryle’s himself is trying to avoid. </w:t>
      </w:r>
    </w:p>
    <w:p w:rsidR="006B2239" w:rsidRDefault="006B2239"/>
    <w:p w:rsidR="006B2239" w:rsidRDefault="005B277B">
      <w:r>
        <w:t xml:space="preserve">It seems as though Ryle’s wants to flirt somewhat with the nominalist views of Hobbes in order to solve the problem of whether there is a mind/body </w:t>
      </w:r>
      <w:proofErr w:type="spellStart"/>
      <w:r>
        <w:t>dissection.By</w:t>
      </w:r>
      <w:proofErr w:type="spellEnd"/>
      <w:r>
        <w:t xml:space="preserve"> claiming the mind to be nothing more th</w:t>
      </w:r>
      <w:r>
        <w:t xml:space="preserve">an just a word, perhaps Ryle’s may not even need to focus on it at all. </w:t>
      </w:r>
    </w:p>
    <w:p w:rsidR="006B2239" w:rsidRDefault="006B2239"/>
    <w:p w:rsidR="006B2239" w:rsidRDefault="005B277B">
      <w:r>
        <w:t xml:space="preserve">From this chapter alone, we get the impression Ryle’s has tried answering a problem which appears for all </w:t>
      </w:r>
      <w:proofErr w:type="spellStart"/>
      <w:r>
        <w:t>intensive</w:t>
      </w:r>
      <w:proofErr w:type="spellEnd"/>
      <w:r>
        <w:t xml:space="preserve"> purposes quite unanswerable. Cartesian dualism creates problems fo</w:t>
      </w:r>
      <w:r>
        <w:t xml:space="preserve">r the mind/body problem but Ryle’s believing the </w:t>
      </w:r>
      <w:proofErr w:type="spellStart"/>
      <w:r>
        <w:t>Hobbist</w:t>
      </w:r>
      <w:proofErr w:type="spellEnd"/>
      <w:r>
        <w:t xml:space="preserve">, materialist or possibly </w:t>
      </w:r>
      <w:proofErr w:type="spellStart"/>
      <w:r>
        <w:t>behaviourist</w:t>
      </w:r>
      <w:proofErr w:type="spellEnd"/>
      <w:r>
        <w:t xml:space="preserve"> view could be the answer to such an issue creates its own set of problems off of the back of the back of Cartesian dualism. </w:t>
      </w:r>
    </w:p>
    <w:p w:rsidR="006B2239" w:rsidRDefault="006B2239"/>
    <w:p w:rsidR="006B2239" w:rsidRDefault="005B277B">
      <w:r>
        <w:t>One of Ryle’s criticisms towards th</w:t>
      </w:r>
      <w:r>
        <w:t>e Cartesian view of the mind body issue is the fact it separates mental processes form that of physical processes. For Ryle’s, mental processes do not simply turn themselves into physical processes, they are in fact said physical processes. This is why Ryl</w:t>
      </w:r>
      <w:r>
        <w:t xml:space="preserve">e’s is not very keen on the term, ‘ghost in the machine’. Mental processes are nothing more than, ‘modes of </w:t>
      </w:r>
      <w:proofErr w:type="spellStart"/>
      <w:r>
        <w:t>behaviour</w:t>
      </w:r>
      <w:proofErr w:type="spellEnd"/>
      <w:r>
        <w:t xml:space="preserve">’. </w:t>
      </w:r>
    </w:p>
    <w:p w:rsidR="006B2239" w:rsidRDefault="006B2239"/>
    <w:p w:rsidR="006B2239" w:rsidRDefault="005B277B">
      <w:r>
        <w:t xml:space="preserve">Ryle’s also believes one of the main issues with Cartesian dualism is in fact that it is a category mistake. Ryle’s does not think of </w:t>
      </w:r>
      <w:r>
        <w:t xml:space="preserve">the mind in terms of the </w:t>
      </w:r>
      <w:proofErr w:type="spellStart"/>
      <w:proofErr w:type="gramStart"/>
      <w:r>
        <w:t>cartesian</w:t>
      </w:r>
      <w:proofErr w:type="spellEnd"/>
      <w:proofErr w:type="gramEnd"/>
      <w:r>
        <w:t xml:space="preserve"> approach, as one fixed entity indivisible of parts but more the various </w:t>
      </w:r>
      <w:proofErr w:type="spellStart"/>
      <w:r>
        <w:t>behaviours</w:t>
      </w:r>
      <w:proofErr w:type="spellEnd"/>
      <w:r>
        <w:t xml:space="preserve"> we inhabit in our day to day lives. The category mistake for Ryle’s is to denote the possibility that the mind is </w:t>
      </w:r>
      <w:proofErr w:type="spellStart"/>
      <w:r>
        <w:t>infact</w:t>
      </w:r>
      <w:proofErr w:type="spellEnd"/>
      <w:r>
        <w:t xml:space="preserve"> a plethora of var</w:t>
      </w:r>
      <w:r>
        <w:t xml:space="preserve">ious parts. </w:t>
      </w:r>
    </w:p>
    <w:p w:rsidR="006B2239" w:rsidRDefault="005B277B">
      <w:r>
        <w:t xml:space="preserve">We can find a lot of Ryle’s thinking in both Arthur Schopenhauer and Ludwig Wittgenstein. It may be worth outlining some of their beliefs with that of Ryle’s in order to see this connection. </w:t>
      </w:r>
    </w:p>
    <w:sectPr w:rsidR="006B223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277B" w:rsidRDefault="005B277B">
      <w:pPr>
        <w:spacing w:line="240" w:lineRule="auto"/>
      </w:pPr>
      <w:r>
        <w:separator/>
      </w:r>
    </w:p>
  </w:endnote>
  <w:endnote w:type="continuationSeparator" w:id="0">
    <w:p w:rsidR="005B277B" w:rsidRDefault="005B27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277B" w:rsidRDefault="005B277B">
      <w:pPr>
        <w:spacing w:line="240" w:lineRule="auto"/>
      </w:pPr>
      <w:r>
        <w:separator/>
      </w:r>
    </w:p>
  </w:footnote>
  <w:footnote w:type="continuationSeparator" w:id="0">
    <w:p w:rsidR="005B277B" w:rsidRDefault="005B277B">
      <w:pPr>
        <w:spacing w:line="240" w:lineRule="auto"/>
      </w:pPr>
      <w:r>
        <w:continuationSeparator/>
      </w:r>
    </w:p>
  </w:footnote>
  <w:footnote w:id="1">
    <w:p w:rsidR="006B2239" w:rsidRDefault="005B277B">
      <w:pPr>
        <w:spacing w:line="240" w:lineRule="auto"/>
        <w:rPr>
          <w:sz w:val="20"/>
          <w:szCs w:val="20"/>
        </w:rPr>
      </w:pPr>
      <w:r>
        <w:rPr>
          <w:vertAlign w:val="superscript"/>
        </w:rPr>
        <w:footnoteRef/>
      </w:r>
      <w:r>
        <w:rPr>
          <w:sz w:val="20"/>
          <w:szCs w:val="20"/>
        </w:rPr>
        <w:t xml:space="preserve"> </w:t>
      </w:r>
    </w:p>
  </w:footnote>
  <w:footnote w:id="2">
    <w:p w:rsidR="006B2239" w:rsidRDefault="005B277B">
      <w:pPr>
        <w:spacing w:line="240" w:lineRule="auto"/>
        <w:rPr>
          <w:sz w:val="20"/>
          <w:szCs w:val="20"/>
        </w:rPr>
      </w:pPr>
      <w:r>
        <w:rPr>
          <w:vertAlign w:val="superscript"/>
        </w:rPr>
        <w:footnoteRef/>
      </w:r>
      <w:r>
        <w:rPr>
          <w:sz w:val="20"/>
          <w:szCs w:val="20"/>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2239"/>
    <w:rsid w:val="005B277B"/>
    <w:rsid w:val="006B2239"/>
    <w:rsid w:val="00F61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317A3BC-1C25-421C-A558-E9E79EEE4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938</Words>
  <Characters>5350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 Dyer (1804962)</dc:creator>
  <cp:lastModifiedBy>Joseph Dyer (1804962)</cp:lastModifiedBy>
  <cp:revision>2</cp:revision>
  <dcterms:created xsi:type="dcterms:W3CDTF">2019-01-25T16:41:00Z</dcterms:created>
  <dcterms:modified xsi:type="dcterms:W3CDTF">2019-01-25T16:41:00Z</dcterms:modified>
</cp:coreProperties>
</file>